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1"/>
        <w:snapToGrid w:val="0"/>
        <w:spacing w:beforeAutospacing="0" w:afterLines="50" w:afterAutospacing="0" w:line="240" w:lineRule="auto"/>
        <w:ind w:firstLine="0" w:firstLineChars="0"/>
        <w:jc w:val="center"/>
        <w:outlineLvl w:val="0"/>
        <w:rPr>
          <w:rFonts w:hint="default" w:ascii="Times New Roman" w:hAnsi="Times New Roman" w:eastAsia="宋体" w:cs="Times New Roman"/>
          <w:snapToGrid w:val="0"/>
          <w:color w:val="000000"/>
          <w:sz w:val="30"/>
          <w:szCs w:val="30"/>
        </w:rPr>
      </w:pPr>
      <w:bookmarkStart w:id="0" w:name="_Toc108783485"/>
      <w:r>
        <w:rPr>
          <w:rFonts w:hint="default" w:ascii="Times New Roman" w:hAnsi="Times New Roman" w:eastAsia="宋体" w:cs="Times New Roman"/>
          <w:snapToGrid w:val="0"/>
          <w:color w:val="000000"/>
          <w:sz w:val="30"/>
          <w:szCs w:val="30"/>
        </w:rPr>
        <w:t>一、建设项目基本情况</w:t>
      </w:r>
      <w:bookmarkEnd w:id="0"/>
    </w:p>
    <w:tbl>
      <w:tblPr>
        <w:tblStyle w:val="36"/>
        <w:tblW w:w="49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53"/>
        <w:gridCol w:w="2185"/>
        <w:gridCol w:w="1956"/>
        <w:gridCol w:w="2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1000" w:type="pct"/>
            <w:tcMar>
              <w:top w:w="16" w:type="dxa"/>
              <w:left w:w="16" w:type="dxa"/>
              <w:right w:w="16" w:type="dxa"/>
            </w:tcMar>
            <w:vAlign w:val="center"/>
          </w:tcPr>
          <w:p>
            <w:pPr>
              <w:adjustRightInd w:val="0"/>
              <w:snapToGrid w:val="0"/>
              <w:spacing w:line="240" w:lineRule="auto"/>
              <w:ind w:firstLine="0" w:firstLineChars="0"/>
              <w:jc w:val="center"/>
              <w:rPr>
                <w:b w:val="0"/>
                <w:bCs/>
                <w:color w:val="000000"/>
              </w:rPr>
            </w:pPr>
            <w:r>
              <w:rPr>
                <w:rFonts w:hint="eastAsia" w:hAnsi="宋体"/>
                <w:b w:val="0"/>
                <w:bCs/>
                <w:color w:val="000000"/>
              </w:rPr>
              <w:t>建设项目名称</w:t>
            </w:r>
          </w:p>
        </w:tc>
        <w:tc>
          <w:tcPr>
            <w:tcW w:w="3999" w:type="pct"/>
            <w:gridSpan w:val="3"/>
            <w:vAlign w:val="center"/>
          </w:tcPr>
          <w:p>
            <w:pPr>
              <w:adjustRightInd w:val="0"/>
              <w:snapToGrid w:val="0"/>
              <w:spacing w:line="240" w:lineRule="auto"/>
              <w:ind w:firstLine="0" w:firstLineChars="0"/>
              <w:jc w:val="center"/>
              <w:rPr>
                <w:rFonts w:hint="eastAsia" w:hAnsi="宋体"/>
                <w:b w:val="0"/>
                <w:bCs/>
                <w:color w:val="000000"/>
                <w:lang w:val="en-US" w:eastAsia="zh-CN"/>
              </w:rPr>
            </w:pPr>
            <w:r>
              <w:rPr>
                <w:rFonts w:hint="eastAsia" w:hAnsi="宋体"/>
                <w:b w:val="0"/>
                <w:bCs/>
                <w:color w:val="000000"/>
                <w:lang w:val="en-US" w:eastAsia="zh-CN"/>
              </w:rPr>
              <w:t>新疆吉木萨尔县白杨河</w:t>
            </w:r>
          </w:p>
          <w:p>
            <w:pPr>
              <w:adjustRightInd w:val="0"/>
              <w:snapToGrid w:val="0"/>
              <w:spacing w:line="240" w:lineRule="auto"/>
              <w:ind w:firstLine="0" w:firstLineChars="0"/>
              <w:jc w:val="center"/>
              <w:rPr>
                <w:b w:val="0"/>
                <w:bCs/>
                <w:color w:val="000000"/>
              </w:rPr>
            </w:pPr>
            <w:r>
              <w:rPr>
                <w:rFonts w:hint="eastAsia" w:hAnsi="宋体"/>
                <w:b w:val="0"/>
                <w:bCs/>
                <w:color w:val="000000"/>
                <w:lang w:val="en-US" w:eastAsia="zh-CN"/>
              </w:rPr>
              <w:t>五圣宫水文站至S303省道段中小河流治理工程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00" w:type="pct"/>
            <w:tcMar>
              <w:top w:w="16" w:type="dxa"/>
              <w:left w:w="16" w:type="dxa"/>
              <w:right w:w="16" w:type="dxa"/>
            </w:tcMar>
            <w:vAlign w:val="center"/>
          </w:tcPr>
          <w:p>
            <w:pPr>
              <w:adjustRightInd w:val="0"/>
              <w:snapToGrid w:val="0"/>
              <w:spacing w:line="240" w:lineRule="auto"/>
              <w:ind w:firstLine="0" w:firstLineChars="0"/>
              <w:jc w:val="center"/>
              <w:rPr>
                <w:b w:val="0"/>
                <w:bCs/>
                <w:color w:val="000000"/>
              </w:rPr>
            </w:pPr>
            <w:r>
              <w:rPr>
                <w:rFonts w:hint="eastAsia" w:hAnsi="宋体"/>
                <w:b w:val="0"/>
                <w:bCs/>
                <w:color w:val="000000"/>
              </w:rPr>
              <w:t>项目代码</w:t>
            </w:r>
          </w:p>
        </w:tc>
        <w:tc>
          <w:tcPr>
            <w:tcW w:w="3999" w:type="pct"/>
            <w:gridSpan w:val="3"/>
            <w:vAlign w:val="center"/>
          </w:tcPr>
          <w:p>
            <w:pPr>
              <w:adjustRightInd w:val="0"/>
              <w:snapToGrid w:val="0"/>
              <w:spacing w:line="240" w:lineRule="auto"/>
              <w:ind w:firstLine="0" w:firstLineChars="0"/>
              <w:jc w:val="center"/>
              <w:rPr>
                <w:rFonts w:hint="default" w:eastAsia="宋体"/>
                <w:b w:val="0"/>
                <w:bCs/>
                <w:color w:val="000000"/>
                <w:lang w:val="en-US" w:eastAsia="zh-CN"/>
              </w:rPr>
            </w:pPr>
            <w:r>
              <w:rPr>
                <w:rFonts w:hint="eastAsia"/>
                <w:b w:val="0"/>
                <w:bCs/>
                <w:color w:val="000000"/>
                <w:lang w:val="en-US" w:eastAsia="zh-CN"/>
              </w:rPr>
              <w:t>2309-652327-19-01-280550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00" w:type="pct"/>
            <w:tcMar>
              <w:top w:w="16" w:type="dxa"/>
              <w:left w:w="16" w:type="dxa"/>
              <w:right w:w="16" w:type="dxa"/>
            </w:tcMar>
            <w:vAlign w:val="center"/>
          </w:tcPr>
          <w:p>
            <w:pPr>
              <w:adjustRightInd w:val="0"/>
              <w:snapToGrid w:val="0"/>
              <w:spacing w:line="240" w:lineRule="auto"/>
              <w:ind w:firstLine="0" w:firstLineChars="0"/>
              <w:jc w:val="center"/>
              <w:rPr>
                <w:b w:val="0"/>
                <w:bCs/>
                <w:color w:val="000000"/>
              </w:rPr>
            </w:pPr>
            <w:r>
              <w:rPr>
                <w:rFonts w:hint="eastAsia" w:hAnsi="宋体"/>
                <w:b w:val="0"/>
                <w:bCs/>
                <w:color w:val="000000"/>
              </w:rPr>
              <w:t>建设单位联系人</w:t>
            </w:r>
          </w:p>
        </w:tc>
        <w:tc>
          <w:tcPr>
            <w:tcW w:w="1247" w:type="pct"/>
            <w:vAlign w:val="center"/>
          </w:tcPr>
          <w:p>
            <w:pPr>
              <w:adjustRightInd w:val="0"/>
              <w:snapToGrid w:val="0"/>
              <w:spacing w:line="240" w:lineRule="auto"/>
              <w:ind w:firstLine="0" w:firstLineChars="0"/>
              <w:jc w:val="center"/>
              <w:rPr>
                <w:b w:val="0"/>
                <w:bCs/>
                <w:color w:val="000000"/>
              </w:rPr>
            </w:pPr>
            <w:r>
              <w:rPr>
                <w:rFonts w:hint="eastAsia"/>
                <w:b w:val="0"/>
                <w:bCs/>
                <w:color w:val="000000"/>
              </w:rPr>
              <w:t>李宇飞</w:t>
            </w:r>
          </w:p>
        </w:tc>
        <w:tc>
          <w:tcPr>
            <w:tcW w:w="1116" w:type="pct"/>
            <w:vAlign w:val="center"/>
          </w:tcPr>
          <w:p>
            <w:pPr>
              <w:adjustRightInd w:val="0"/>
              <w:snapToGrid w:val="0"/>
              <w:spacing w:line="240" w:lineRule="auto"/>
              <w:ind w:firstLine="31680"/>
              <w:jc w:val="center"/>
              <w:rPr>
                <w:b w:val="0"/>
                <w:bCs/>
                <w:color w:val="000000"/>
              </w:rPr>
            </w:pPr>
            <w:r>
              <w:rPr>
                <w:rFonts w:hint="eastAsia" w:hAnsi="宋体"/>
                <w:b w:val="0"/>
                <w:bCs/>
                <w:color w:val="000000"/>
              </w:rPr>
              <w:t>联系方式</w:t>
            </w:r>
          </w:p>
        </w:tc>
        <w:tc>
          <w:tcPr>
            <w:tcW w:w="1636" w:type="pct"/>
            <w:vAlign w:val="center"/>
          </w:tcPr>
          <w:p>
            <w:pPr>
              <w:adjustRightInd w:val="0"/>
              <w:snapToGrid w:val="0"/>
              <w:spacing w:line="240" w:lineRule="auto"/>
              <w:ind w:firstLine="0" w:firstLineChars="0"/>
              <w:jc w:val="center"/>
              <w:rPr>
                <w:b w:val="0"/>
                <w:bCs/>
                <w:color w:val="000000"/>
              </w:rPr>
            </w:pPr>
            <w:r>
              <w:rPr>
                <w:rFonts w:hint="eastAsia"/>
                <w:b w:val="0"/>
                <w:bCs/>
                <w:color w:val="000000"/>
              </w:rPr>
              <w:t>18099371611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0" w:type="pct"/>
            <w:tcMar>
              <w:top w:w="16" w:type="dxa"/>
              <w:left w:w="16" w:type="dxa"/>
              <w:right w:w="16" w:type="dxa"/>
            </w:tcMar>
            <w:vAlign w:val="center"/>
          </w:tcPr>
          <w:p>
            <w:pPr>
              <w:adjustRightInd w:val="0"/>
              <w:snapToGrid w:val="0"/>
              <w:spacing w:line="240" w:lineRule="auto"/>
              <w:ind w:firstLine="0" w:firstLineChars="0"/>
              <w:jc w:val="center"/>
              <w:rPr>
                <w:b w:val="0"/>
                <w:bCs/>
                <w:color w:val="000000"/>
              </w:rPr>
            </w:pPr>
            <w:r>
              <w:rPr>
                <w:rFonts w:hint="eastAsia" w:hAnsi="宋体"/>
                <w:b w:val="0"/>
                <w:bCs/>
                <w:color w:val="000000"/>
              </w:rPr>
              <w:t>建设地点</w:t>
            </w:r>
          </w:p>
        </w:tc>
        <w:tc>
          <w:tcPr>
            <w:tcW w:w="3999" w:type="pct"/>
            <w:gridSpan w:val="3"/>
            <w:vAlign w:val="center"/>
          </w:tcPr>
          <w:p>
            <w:pPr>
              <w:snapToGrid w:val="0"/>
              <w:spacing w:line="240" w:lineRule="auto"/>
              <w:ind w:firstLine="0" w:firstLineChars="0"/>
              <w:jc w:val="center"/>
              <w:rPr>
                <w:b w:val="0"/>
                <w:bCs/>
                <w:color w:val="FF0000"/>
              </w:rPr>
            </w:pPr>
            <w:r>
              <w:rPr>
                <w:rFonts w:hint="default" w:hAnsi="宋体"/>
                <w:b w:val="0"/>
                <w:bCs/>
                <w:color w:val="000000"/>
                <w:lang w:val="en-US" w:eastAsia="zh-CN"/>
              </w:rPr>
              <w:t>本工程</w:t>
            </w:r>
            <w:r>
              <w:rPr>
                <w:rFonts w:hint="eastAsia" w:hAnsi="宋体"/>
                <w:b w:val="0"/>
                <w:bCs/>
                <w:color w:val="000000"/>
                <w:lang w:val="en-US" w:eastAsia="zh-CN"/>
              </w:rPr>
              <w:t>位于</w:t>
            </w:r>
            <w:r>
              <w:rPr>
                <w:rFonts w:hint="default" w:hAnsi="宋体"/>
                <w:b w:val="0"/>
                <w:bCs/>
                <w:color w:val="000000"/>
                <w:lang w:val="en-US" w:eastAsia="zh-CN"/>
              </w:rPr>
              <w:t>白杨河五圣宫水文站至S303省道29.15km范围的河段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5" w:hRule="atLeast"/>
          <w:jc w:val="center"/>
        </w:trPr>
        <w:tc>
          <w:tcPr>
            <w:tcW w:w="1000" w:type="pct"/>
            <w:tcMar>
              <w:top w:w="16" w:type="dxa"/>
              <w:left w:w="16" w:type="dxa"/>
              <w:right w:w="16" w:type="dxa"/>
            </w:tcMar>
            <w:vAlign w:val="center"/>
          </w:tcPr>
          <w:p>
            <w:pPr>
              <w:adjustRightInd w:val="0"/>
              <w:snapToGrid w:val="0"/>
              <w:spacing w:line="240" w:lineRule="auto"/>
              <w:ind w:firstLine="0" w:firstLineChars="0"/>
              <w:jc w:val="center"/>
              <w:rPr>
                <w:b w:val="0"/>
                <w:bCs/>
              </w:rPr>
            </w:pPr>
            <w:r>
              <w:rPr>
                <w:rFonts w:hint="eastAsia" w:hAnsi="宋体"/>
                <w:b w:val="0"/>
                <w:bCs/>
              </w:rPr>
              <w:t>地理坐标</w:t>
            </w:r>
          </w:p>
        </w:tc>
        <w:tc>
          <w:tcPr>
            <w:tcW w:w="3999" w:type="pct"/>
            <w:gridSpan w:val="3"/>
            <w:vAlign w:val="center"/>
          </w:tcPr>
          <w:p>
            <w:pPr>
              <w:keepNext w:val="0"/>
              <w:keepLines w:val="0"/>
              <w:widowControl/>
              <w:suppressLineNumbers w:val="0"/>
              <w:spacing w:line="240" w:lineRule="auto"/>
              <w:ind w:left="0" w:leftChars="0" w:firstLine="0" w:firstLineChars="0"/>
              <w:jc w:val="both"/>
              <w:rPr>
                <w:rFonts w:hint="default" w:ascii="Times New Roman" w:hAnsi="Times New Roman" w:eastAsia="宋体" w:cs="Times New Roman"/>
                <w:sz w:val="24"/>
                <w:szCs w:val="24"/>
                <w:highlight w:val="none"/>
                <w:lang w:eastAsia="zh-CN"/>
              </w:rPr>
            </w:pPr>
            <w:r>
              <w:rPr>
                <w:rFonts w:hint="eastAsia"/>
                <w:snapToGrid w:val="0"/>
                <w:color w:val="000000"/>
                <w:kern w:val="0"/>
                <w:szCs w:val="20"/>
                <w:highlight w:val="none"/>
              </w:rPr>
              <w:t>五圣</w:t>
            </w:r>
            <w:r>
              <w:rPr>
                <w:rFonts w:hint="default" w:ascii="Times New Roman" w:hAnsi="Times New Roman" w:eastAsia="宋体" w:cs="Times New Roman"/>
                <w:sz w:val="24"/>
                <w:szCs w:val="24"/>
                <w:highlight w:val="none"/>
                <w:lang w:eastAsia="zh-CN"/>
              </w:rPr>
              <w:t>宫水文站段</w:t>
            </w:r>
            <w:r>
              <w:rPr>
                <w:rFonts w:hint="default" w:ascii="Times New Roman" w:hAnsi="Times New Roman" w:cs="Times New Roman"/>
                <w:b w:val="0"/>
                <w:bCs/>
                <w:color w:val="000000"/>
              </w:rPr>
              <w:t>（</w:t>
            </w:r>
            <w:r>
              <w:rPr>
                <w:rFonts w:hint="default" w:ascii="Times New Roman" w:hAnsi="Times New Roman" w:eastAsia="宋体" w:cs="Times New Roman"/>
                <w:b w:val="0"/>
                <w:bCs w:val="0"/>
                <w:color w:val="000000"/>
                <w:kern w:val="0"/>
                <w:sz w:val="24"/>
                <w:szCs w:val="24"/>
                <w:lang w:val="en-US" w:eastAsia="zh-CN" w:bidi="ar-SA"/>
              </w:rPr>
              <w:t>0+000～1+880</w:t>
            </w:r>
            <w:r>
              <w:rPr>
                <w:rFonts w:hint="default" w:ascii="Times New Roman" w:hAnsi="Times New Roman" w:cs="Times New Roman"/>
                <w:b w:val="0"/>
                <w:bCs/>
                <w:color w:val="000000"/>
              </w:rPr>
              <w:t>）</w:t>
            </w:r>
            <w:r>
              <w:rPr>
                <w:rFonts w:hint="default" w:ascii="Times New Roman" w:hAnsi="Times New Roman" w:eastAsia="宋体" w:cs="Times New Roman"/>
                <w:sz w:val="24"/>
                <w:szCs w:val="24"/>
                <w:highlight w:val="none"/>
                <w:lang w:eastAsia="zh-CN"/>
              </w:rPr>
              <w:t>：</w:t>
            </w:r>
          </w:p>
          <w:p>
            <w:pPr>
              <w:keepNext w:val="0"/>
              <w:keepLines w:val="0"/>
              <w:widowControl/>
              <w:suppressLineNumbers w:val="0"/>
              <w:spacing w:line="240" w:lineRule="auto"/>
              <w:ind w:left="0" w:leftChars="0" w:firstLine="480" w:firstLineChars="200"/>
              <w:jc w:val="both"/>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eastAsia="zh-CN"/>
              </w:rPr>
              <w:t>起点坐标：东经：</w:t>
            </w:r>
            <w:r>
              <w:rPr>
                <w:rFonts w:hint="default" w:ascii="Times New Roman" w:hAnsi="Times New Roman" w:eastAsia="宋体" w:cs="Times New Roman"/>
                <w:sz w:val="24"/>
                <w:szCs w:val="24"/>
                <w:highlight w:val="none"/>
                <w:lang w:val="en-US" w:eastAsia="zh-CN"/>
              </w:rPr>
              <w:t>89°14′23.348″，北纬：43°44′01.811″</w:t>
            </w:r>
          </w:p>
          <w:p>
            <w:pPr>
              <w:keepNext w:val="0"/>
              <w:keepLines w:val="0"/>
              <w:widowControl/>
              <w:suppressLineNumbers w:val="0"/>
              <w:spacing w:line="240" w:lineRule="auto"/>
              <w:ind w:left="0" w:leftChars="0" w:firstLine="480" w:firstLineChars="200"/>
              <w:jc w:val="both"/>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终点坐标：</w:t>
            </w:r>
            <w:r>
              <w:rPr>
                <w:rFonts w:hint="default" w:ascii="Times New Roman" w:hAnsi="Times New Roman" w:eastAsia="宋体" w:cs="Times New Roman"/>
                <w:sz w:val="24"/>
                <w:szCs w:val="24"/>
                <w:highlight w:val="none"/>
                <w:lang w:eastAsia="zh-CN"/>
              </w:rPr>
              <w:t>东经：</w:t>
            </w:r>
            <w:r>
              <w:rPr>
                <w:rFonts w:hint="default" w:ascii="Times New Roman" w:hAnsi="Times New Roman" w:eastAsia="宋体" w:cs="Times New Roman"/>
                <w:sz w:val="24"/>
                <w:szCs w:val="24"/>
                <w:highlight w:val="none"/>
                <w:lang w:val="en-US" w:eastAsia="zh-CN"/>
              </w:rPr>
              <w:t>89°14′46.696″，北纬：43°44′48.120″；</w:t>
            </w:r>
          </w:p>
          <w:p>
            <w:pPr>
              <w:keepNext w:val="0"/>
              <w:keepLines w:val="0"/>
              <w:widowControl/>
              <w:suppressLineNumbers w:val="0"/>
              <w:spacing w:line="240" w:lineRule="auto"/>
              <w:ind w:left="0" w:leftChars="0" w:firstLine="0" w:firstLineChars="0"/>
              <w:jc w:val="both"/>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白杨河水库至林区公路段</w:t>
            </w:r>
            <w:r>
              <w:rPr>
                <w:rFonts w:hint="default" w:ascii="Times New Roman" w:hAnsi="Times New Roman" w:cs="Times New Roman"/>
                <w:b w:val="0"/>
                <w:bCs/>
                <w:color w:val="000000"/>
              </w:rPr>
              <w:t>（</w:t>
            </w:r>
            <w:r>
              <w:rPr>
                <w:rFonts w:hint="default" w:ascii="Times New Roman" w:hAnsi="Times New Roman" w:eastAsia="宋体" w:cs="Times New Roman"/>
                <w:b w:val="0"/>
                <w:bCs w:val="0"/>
                <w:color w:val="000000"/>
                <w:kern w:val="0"/>
                <w:sz w:val="24"/>
                <w:szCs w:val="24"/>
                <w:lang w:val="en-US" w:eastAsia="zh-CN" w:bidi="ar-SA"/>
              </w:rPr>
              <w:t>4+100～21+900</w:t>
            </w:r>
            <w:r>
              <w:rPr>
                <w:rFonts w:hint="default" w:ascii="Times New Roman" w:hAnsi="Times New Roman" w:cs="Times New Roman"/>
                <w:b w:val="0"/>
                <w:bCs/>
                <w:color w:val="000000"/>
              </w:rPr>
              <w:t>）</w:t>
            </w:r>
            <w:r>
              <w:rPr>
                <w:rFonts w:hint="default" w:ascii="Times New Roman" w:hAnsi="Times New Roman" w:eastAsia="宋体" w:cs="Times New Roman"/>
                <w:sz w:val="24"/>
                <w:szCs w:val="24"/>
                <w:highlight w:val="none"/>
                <w:lang w:val="en-US" w:eastAsia="zh-CN"/>
              </w:rPr>
              <w:t>：</w:t>
            </w:r>
          </w:p>
          <w:p>
            <w:pPr>
              <w:keepNext w:val="0"/>
              <w:keepLines w:val="0"/>
              <w:widowControl/>
              <w:suppressLineNumbers w:val="0"/>
              <w:spacing w:line="240" w:lineRule="auto"/>
              <w:ind w:left="0" w:leftChars="0" w:firstLine="480" w:firstLineChars="200"/>
              <w:jc w:val="both"/>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起点坐标：东经：89°15′46.604″，北纬：43°46′02.682″</w:t>
            </w:r>
          </w:p>
          <w:p>
            <w:pPr>
              <w:keepNext w:val="0"/>
              <w:keepLines w:val="0"/>
              <w:widowControl/>
              <w:suppressLineNumbers w:val="0"/>
              <w:spacing w:line="240" w:lineRule="auto"/>
              <w:ind w:left="0" w:leftChars="0" w:firstLine="480" w:firstLineChars="200"/>
              <w:jc w:val="both"/>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终点坐标：东经：89°17′05.645″，北纬：43°53′17.439″；</w:t>
            </w:r>
          </w:p>
          <w:p>
            <w:pPr>
              <w:keepNext w:val="0"/>
              <w:keepLines w:val="0"/>
              <w:widowControl/>
              <w:suppressLineNumbers w:val="0"/>
              <w:spacing w:line="240" w:lineRule="auto"/>
              <w:ind w:left="0" w:leftChars="0" w:firstLine="0" w:firstLineChars="0"/>
              <w:jc w:val="both"/>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魏家村至S303段</w:t>
            </w:r>
            <w:r>
              <w:rPr>
                <w:rFonts w:hint="default" w:ascii="Times New Roman" w:hAnsi="Times New Roman" w:cs="Times New Roman"/>
                <w:b w:val="0"/>
                <w:bCs/>
                <w:color w:val="000000"/>
              </w:rPr>
              <w:t>（</w:t>
            </w:r>
            <w:r>
              <w:rPr>
                <w:rFonts w:hint="default" w:ascii="Times New Roman" w:hAnsi="Times New Roman" w:eastAsia="宋体" w:cs="Times New Roman"/>
                <w:b w:val="0"/>
                <w:bCs w:val="0"/>
                <w:color w:val="000000"/>
                <w:kern w:val="0"/>
                <w:sz w:val="24"/>
                <w:szCs w:val="24"/>
                <w:lang w:val="en-US" w:eastAsia="zh-CN" w:bidi="ar-SA"/>
              </w:rPr>
              <w:t>26+750～29+160</w:t>
            </w:r>
            <w:r>
              <w:rPr>
                <w:rFonts w:hint="default" w:ascii="Times New Roman" w:hAnsi="Times New Roman" w:cs="Times New Roman"/>
                <w:b w:val="0"/>
                <w:bCs/>
                <w:color w:val="000000"/>
              </w:rPr>
              <w:t>）</w:t>
            </w:r>
            <w:r>
              <w:rPr>
                <w:rFonts w:hint="default" w:ascii="Times New Roman" w:hAnsi="Times New Roman" w:eastAsia="宋体" w:cs="Times New Roman"/>
                <w:sz w:val="24"/>
                <w:szCs w:val="24"/>
                <w:highlight w:val="none"/>
                <w:lang w:val="en-US" w:eastAsia="zh-CN"/>
              </w:rPr>
              <w:t>：</w:t>
            </w:r>
          </w:p>
          <w:p>
            <w:pPr>
              <w:keepNext w:val="0"/>
              <w:keepLines w:val="0"/>
              <w:widowControl/>
              <w:suppressLineNumbers w:val="0"/>
              <w:spacing w:line="240" w:lineRule="auto"/>
              <w:ind w:left="0" w:leftChars="0" w:firstLine="480" w:firstLineChars="200"/>
              <w:jc w:val="both"/>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起点坐标：东经：89°1</w:t>
            </w:r>
            <w:r>
              <w:rPr>
                <w:rFonts w:hint="default" w:ascii="Times New Roman" w:hAnsi="Times New Roman" w:cs="Times New Roman"/>
                <w:sz w:val="24"/>
                <w:szCs w:val="24"/>
                <w:highlight w:val="none"/>
                <w:lang w:val="en-US" w:eastAsia="zh-CN"/>
              </w:rPr>
              <w:t>8</w:t>
            </w:r>
            <w:r>
              <w:rPr>
                <w:rFonts w:hint="default" w:ascii="Times New Roman" w:hAnsi="Times New Roman" w:eastAsia="宋体" w:cs="Times New Roman"/>
                <w:sz w:val="24"/>
                <w:szCs w:val="24"/>
                <w:highlight w:val="none"/>
                <w:lang w:val="en-US" w:eastAsia="zh-CN"/>
              </w:rPr>
              <w:t>′4</w:t>
            </w:r>
            <w:r>
              <w:rPr>
                <w:rFonts w:hint="default" w:ascii="Times New Roman" w:hAnsi="Times New Roman" w:cs="Times New Roman"/>
                <w:sz w:val="24"/>
                <w:szCs w:val="24"/>
                <w:highlight w:val="none"/>
                <w:lang w:val="en-US" w:eastAsia="zh-CN"/>
              </w:rPr>
              <w:t>0</w:t>
            </w:r>
            <w:r>
              <w:rPr>
                <w:rFonts w:hint="default" w:ascii="Times New Roman" w:hAnsi="Times New Roman" w:eastAsia="宋体" w:cs="Times New Roman"/>
                <w:sz w:val="24"/>
                <w:szCs w:val="24"/>
                <w:highlight w:val="none"/>
                <w:lang w:val="en-US" w:eastAsia="zh-CN"/>
              </w:rPr>
              <w:t>.</w:t>
            </w:r>
            <w:r>
              <w:rPr>
                <w:rFonts w:hint="default" w:ascii="Times New Roman" w:hAnsi="Times New Roman" w:cs="Times New Roman"/>
                <w:sz w:val="24"/>
                <w:szCs w:val="24"/>
                <w:highlight w:val="none"/>
                <w:lang w:val="en-US" w:eastAsia="zh-CN"/>
              </w:rPr>
              <w:t>486</w:t>
            </w:r>
            <w:r>
              <w:rPr>
                <w:rFonts w:hint="default" w:ascii="Times New Roman" w:hAnsi="Times New Roman" w:eastAsia="宋体" w:cs="Times New Roman"/>
                <w:sz w:val="24"/>
                <w:szCs w:val="24"/>
                <w:highlight w:val="none"/>
                <w:lang w:val="en-US" w:eastAsia="zh-CN"/>
              </w:rPr>
              <w:t>″，北纬：43°</w:t>
            </w:r>
            <w:r>
              <w:rPr>
                <w:rFonts w:hint="default" w:ascii="Times New Roman" w:hAnsi="Times New Roman" w:cs="Times New Roman"/>
                <w:sz w:val="24"/>
                <w:szCs w:val="24"/>
                <w:highlight w:val="none"/>
                <w:lang w:val="en-US" w:eastAsia="zh-CN"/>
              </w:rPr>
              <w:t>57</w:t>
            </w:r>
            <w:r>
              <w:rPr>
                <w:rFonts w:hint="default" w:ascii="Times New Roman" w:hAnsi="Times New Roman" w:eastAsia="宋体" w:cs="Times New Roman"/>
                <w:sz w:val="24"/>
                <w:szCs w:val="24"/>
                <w:highlight w:val="none"/>
                <w:lang w:val="en-US" w:eastAsia="zh-CN"/>
              </w:rPr>
              <w:t>′</w:t>
            </w:r>
            <w:r>
              <w:rPr>
                <w:rFonts w:hint="default" w:ascii="Times New Roman" w:hAnsi="Times New Roman" w:cs="Times New Roman"/>
                <w:sz w:val="24"/>
                <w:szCs w:val="24"/>
                <w:highlight w:val="none"/>
                <w:lang w:val="en-US" w:eastAsia="zh-CN"/>
              </w:rPr>
              <w:t>42</w:t>
            </w:r>
            <w:r>
              <w:rPr>
                <w:rFonts w:hint="default" w:ascii="Times New Roman" w:hAnsi="Times New Roman" w:eastAsia="宋体" w:cs="Times New Roman"/>
                <w:sz w:val="24"/>
                <w:szCs w:val="24"/>
                <w:highlight w:val="none"/>
                <w:lang w:val="en-US" w:eastAsia="zh-CN"/>
              </w:rPr>
              <w:t>.</w:t>
            </w:r>
            <w:r>
              <w:rPr>
                <w:rFonts w:hint="default" w:ascii="Times New Roman" w:hAnsi="Times New Roman" w:cs="Times New Roman"/>
                <w:sz w:val="24"/>
                <w:szCs w:val="24"/>
                <w:highlight w:val="none"/>
                <w:lang w:val="en-US" w:eastAsia="zh-CN"/>
              </w:rPr>
              <w:t>705</w:t>
            </w:r>
            <w:r>
              <w:rPr>
                <w:rFonts w:hint="default" w:ascii="Times New Roman" w:hAnsi="Times New Roman" w:eastAsia="宋体" w:cs="Times New Roman"/>
                <w:sz w:val="24"/>
                <w:szCs w:val="24"/>
                <w:highlight w:val="none"/>
                <w:lang w:val="en-US" w:eastAsia="zh-CN"/>
              </w:rPr>
              <w:t>″</w:t>
            </w:r>
          </w:p>
          <w:p>
            <w:pPr>
              <w:keepNext w:val="0"/>
              <w:keepLines w:val="0"/>
              <w:widowControl/>
              <w:suppressLineNumbers w:val="0"/>
              <w:spacing w:line="240" w:lineRule="auto"/>
              <w:ind w:left="0" w:leftChars="0" w:firstLine="480" w:firstLineChars="200"/>
              <w:jc w:val="both"/>
            </w:pPr>
            <w:r>
              <w:rPr>
                <w:rFonts w:hint="default" w:ascii="Times New Roman" w:hAnsi="Times New Roman" w:eastAsia="宋体" w:cs="Times New Roman"/>
                <w:sz w:val="24"/>
                <w:szCs w:val="24"/>
                <w:highlight w:val="none"/>
                <w:lang w:val="en-US" w:eastAsia="zh-CN"/>
              </w:rPr>
              <w:t>终点坐标：东经：89°1</w:t>
            </w:r>
            <w:r>
              <w:rPr>
                <w:rFonts w:hint="default" w:ascii="Times New Roman" w:hAnsi="Times New Roman" w:cs="Times New Roman"/>
                <w:sz w:val="24"/>
                <w:szCs w:val="24"/>
                <w:highlight w:val="none"/>
                <w:lang w:val="en-US" w:eastAsia="zh-CN"/>
              </w:rPr>
              <w:t>8</w:t>
            </w:r>
            <w:r>
              <w:rPr>
                <w:rFonts w:hint="default" w:ascii="Times New Roman" w:hAnsi="Times New Roman" w:eastAsia="宋体" w:cs="Times New Roman"/>
                <w:sz w:val="24"/>
                <w:szCs w:val="24"/>
                <w:highlight w:val="none"/>
                <w:lang w:val="en-US" w:eastAsia="zh-CN"/>
              </w:rPr>
              <w:t>′</w:t>
            </w:r>
            <w:r>
              <w:rPr>
                <w:rFonts w:hint="default" w:ascii="Times New Roman" w:hAnsi="Times New Roman" w:cs="Times New Roman"/>
                <w:sz w:val="24"/>
                <w:szCs w:val="24"/>
                <w:highlight w:val="none"/>
                <w:lang w:val="en-US" w:eastAsia="zh-CN"/>
              </w:rPr>
              <w:t>3</w:t>
            </w:r>
            <w:r>
              <w:rPr>
                <w:rFonts w:hint="default" w:ascii="Times New Roman" w:hAnsi="Times New Roman" w:eastAsia="宋体" w:cs="Times New Roman"/>
                <w:sz w:val="24"/>
                <w:szCs w:val="24"/>
                <w:highlight w:val="none"/>
                <w:lang w:val="en-US" w:eastAsia="zh-CN"/>
              </w:rPr>
              <w:t>5.</w:t>
            </w:r>
            <w:r>
              <w:rPr>
                <w:rFonts w:hint="default" w:ascii="Times New Roman" w:hAnsi="Times New Roman" w:cs="Times New Roman"/>
                <w:sz w:val="24"/>
                <w:szCs w:val="24"/>
                <w:highlight w:val="none"/>
                <w:lang w:val="en-US" w:eastAsia="zh-CN"/>
              </w:rPr>
              <w:t>388</w:t>
            </w:r>
            <w:r>
              <w:rPr>
                <w:rFonts w:hint="default" w:ascii="Times New Roman" w:hAnsi="Times New Roman" w:eastAsia="宋体" w:cs="Times New Roman"/>
                <w:sz w:val="24"/>
                <w:szCs w:val="24"/>
                <w:highlight w:val="none"/>
                <w:lang w:val="en-US" w:eastAsia="zh-CN"/>
              </w:rPr>
              <w:t>″，北纬：43°5</w:t>
            </w:r>
            <w:r>
              <w:rPr>
                <w:rFonts w:hint="default" w:ascii="Times New Roman" w:hAnsi="Times New Roman" w:cs="Times New Roman"/>
                <w:sz w:val="24"/>
                <w:szCs w:val="24"/>
                <w:highlight w:val="none"/>
                <w:lang w:val="en-US" w:eastAsia="zh-CN"/>
              </w:rPr>
              <w:t>8</w:t>
            </w:r>
            <w:r>
              <w:rPr>
                <w:rFonts w:hint="default" w:ascii="Times New Roman" w:hAnsi="Times New Roman" w:eastAsia="宋体" w:cs="Times New Roman"/>
                <w:sz w:val="24"/>
                <w:szCs w:val="24"/>
                <w:highlight w:val="none"/>
                <w:lang w:val="en-US" w:eastAsia="zh-CN"/>
              </w:rPr>
              <w:t>′</w:t>
            </w:r>
            <w:r>
              <w:rPr>
                <w:rFonts w:hint="default" w:ascii="Times New Roman" w:hAnsi="Times New Roman" w:cs="Times New Roman"/>
                <w:sz w:val="24"/>
                <w:szCs w:val="24"/>
                <w:highlight w:val="none"/>
                <w:lang w:val="en-US" w:eastAsia="zh-CN"/>
              </w:rPr>
              <w:t>57</w:t>
            </w:r>
            <w:r>
              <w:rPr>
                <w:rFonts w:hint="default" w:ascii="Times New Roman" w:hAnsi="Times New Roman" w:eastAsia="宋体" w:cs="Times New Roman"/>
                <w:sz w:val="24"/>
                <w:szCs w:val="24"/>
                <w:highlight w:val="none"/>
                <w:lang w:val="en-US" w:eastAsia="zh-CN"/>
              </w:rPr>
              <w:t>.</w:t>
            </w:r>
            <w:r>
              <w:rPr>
                <w:rFonts w:hint="default" w:ascii="Times New Roman" w:hAnsi="Times New Roman" w:cs="Times New Roman"/>
                <w:sz w:val="24"/>
                <w:szCs w:val="24"/>
                <w:highlight w:val="none"/>
                <w:lang w:val="en-US" w:eastAsia="zh-CN"/>
              </w:rPr>
              <w:t>505</w:t>
            </w:r>
            <w:r>
              <w:rPr>
                <w:rFonts w:hint="default" w:ascii="Times New Roman" w:hAnsi="Times New Roman" w:eastAsia="宋体" w:cs="Times New Roman"/>
                <w:sz w:val="24"/>
                <w:szCs w:val="24"/>
                <w:highlight w:val="none"/>
                <w:lang w:val="en-US" w:eastAsia="zh-CN"/>
              </w:rPr>
              <w:t>″</w:t>
            </w:r>
            <w:r>
              <w:rPr>
                <w:rFonts w:hint="eastAsia" w:ascii="Times New Roman" w:hAnsi="Times New Roman" w:eastAsia="宋体" w:cs="Times New Roman"/>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11" w:hRule="atLeast"/>
          <w:jc w:val="center"/>
        </w:trPr>
        <w:tc>
          <w:tcPr>
            <w:tcW w:w="1000" w:type="pct"/>
            <w:tcMar>
              <w:top w:w="16" w:type="dxa"/>
              <w:left w:w="16" w:type="dxa"/>
              <w:right w:w="16" w:type="dxa"/>
            </w:tcMar>
            <w:vAlign w:val="center"/>
          </w:tcPr>
          <w:p>
            <w:pPr>
              <w:adjustRightInd w:val="0"/>
              <w:snapToGrid w:val="0"/>
              <w:spacing w:line="240" w:lineRule="auto"/>
              <w:ind w:firstLine="0" w:firstLineChars="0"/>
              <w:jc w:val="center"/>
              <w:rPr>
                <w:rFonts w:hAnsi="宋体"/>
                <w:b w:val="0"/>
                <w:bCs/>
                <w:color w:val="000000"/>
              </w:rPr>
            </w:pPr>
            <w:r>
              <w:rPr>
                <w:rFonts w:hint="eastAsia" w:hAnsi="宋体"/>
                <w:b w:val="0"/>
                <w:bCs/>
                <w:color w:val="000000"/>
              </w:rPr>
              <w:t>建设项目</w:t>
            </w:r>
          </w:p>
          <w:p>
            <w:pPr>
              <w:adjustRightInd w:val="0"/>
              <w:snapToGrid w:val="0"/>
              <w:spacing w:line="240" w:lineRule="auto"/>
              <w:ind w:firstLine="0" w:firstLineChars="0"/>
              <w:jc w:val="center"/>
              <w:rPr>
                <w:rFonts w:hAnsi="宋体"/>
                <w:b w:val="0"/>
                <w:bCs/>
                <w:color w:val="000000"/>
              </w:rPr>
            </w:pPr>
            <w:r>
              <w:rPr>
                <w:rFonts w:hint="eastAsia" w:hAnsi="宋体"/>
                <w:b w:val="0"/>
                <w:bCs/>
                <w:color w:val="000000"/>
              </w:rPr>
              <w:t>行业类别</w:t>
            </w:r>
          </w:p>
        </w:tc>
        <w:tc>
          <w:tcPr>
            <w:tcW w:w="1247" w:type="pct"/>
            <w:vAlign w:val="center"/>
          </w:tcPr>
          <w:p>
            <w:pPr>
              <w:adjustRightInd w:val="0"/>
              <w:snapToGrid w:val="0"/>
              <w:spacing w:line="240" w:lineRule="auto"/>
              <w:ind w:firstLine="0" w:firstLineChars="0"/>
              <w:jc w:val="center"/>
              <w:rPr>
                <w:rFonts w:hint="eastAsia" w:hAnsi="宋体"/>
                <w:b w:val="0"/>
                <w:bCs/>
                <w:color w:val="000000"/>
              </w:rPr>
            </w:pPr>
            <w:r>
              <w:rPr>
                <w:rFonts w:hint="eastAsia" w:hAnsi="宋体"/>
                <w:b w:val="0"/>
                <w:bCs/>
                <w:color w:val="000000"/>
              </w:rPr>
              <w:t>五十一、水利</w:t>
            </w:r>
          </w:p>
          <w:p>
            <w:pPr>
              <w:adjustRightInd w:val="0"/>
              <w:snapToGrid w:val="0"/>
              <w:spacing w:line="240" w:lineRule="auto"/>
              <w:ind w:firstLine="0" w:firstLineChars="0"/>
              <w:jc w:val="center"/>
              <w:rPr>
                <w:color w:val="000000"/>
                <w:highlight w:val="none"/>
              </w:rPr>
            </w:pPr>
            <w:r>
              <w:rPr>
                <w:rFonts w:hint="default" w:ascii="Times New Roman" w:hAnsi="Times New Roman" w:cs="Times New Roman"/>
                <w:color w:val="000000" w:themeColor="text1"/>
                <w:lang w:val="en-US" w:eastAsia="zh-CN"/>
                <w14:textFill>
                  <w14:solidFill>
                    <w14:schemeClr w14:val="tx1"/>
                  </w14:solidFill>
                </w14:textFill>
              </w:rPr>
              <w:t>127 防洪</w:t>
            </w:r>
            <w:r>
              <w:rPr>
                <w:rFonts w:hint="eastAsia" w:cs="Times New Roman"/>
                <w:color w:val="000000" w:themeColor="text1"/>
                <w:lang w:val="en-US" w:eastAsia="zh-CN"/>
                <w14:textFill>
                  <w14:solidFill>
                    <w14:schemeClr w14:val="tx1"/>
                  </w14:solidFill>
                </w14:textFill>
              </w:rPr>
              <w:t>除</w:t>
            </w:r>
            <w:r>
              <w:rPr>
                <w:rFonts w:hint="default" w:ascii="Times New Roman" w:hAnsi="Times New Roman" w:cs="Times New Roman"/>
                <w:color w:val="000000" w:themeColor="text1"/>
                <w:lang w:val="en-US" w:eastAsia="zh-CN"/>
                <w14:textFill>
                  <w14:solidFill>
                    <w14:schemeClr w14:val="tx1"/>
                  </w14:solidFill>
                </w14:textFill>
              </w:rPr>
              <w:t>涝工程</w:t>
            </w:r>
            <w:r>
              <w:rPr>
                <w:rFonts w:hint="eastAsia" w:hAnsi="宋体"/>
                <w:b w:val="0"/>
                <w:bCs/>
                <w:color w:val="000000"/>
                <w:lang w:val="en-US" w:eastAsia="zh-CN"/>
              </w:rPr>
              <w:t>中的其他</w:t>
            </w:r>
          </w:p>
        </w:tc>
        <w:tc>
          <w:tcPr>
            <w:tcW w:w="1116" w:type="pct"/>
            <w:vAlign w:val="center"/>
          </w:tcPr>
          <w:p>
            <w:pPr>
              <w:adjustRightInd w:val="0"/>
              <w:snapToGrid w:val="0"/>
              <w:spacing w:line="240" w:lineRule="auto"/>
              <w:ind w:firstLine="0" w:firstLineChars="0"/>
              <w:jc w:val="center"/>
              <w:rPr>
                <w:rFonts w:ascii="宋体" w:cs="宋体"/>
                <w:b/>
                <w:color w:val="000000"/>
                <w:highlight w:val="none"/>
              </w:rPr>
            </w:pPr>
            <w:r>
              <w:rPr>
                <w:rFonts w:hint="eastAsia" w:ascii="宋体" w:hAnsi="宋体" w:cs="宋体"/>
                <w:b w:val="0"/>
                <w:bCs/>
                <w:color w:val="000000"/>
                <w:highlight w:val="none"/>
              </w:rPr>
              <w:t>用地（用海）面积（</w:t>
            </w:r>
            <w:r>
              <w:rPr>
                <w:rFonts w:hAnsi="宋体"/>
                <w:color w:val="000000"/>
                <w:highlight w:val="none"/>
              </w:rPr>
              <w:t>m</w:t>
            </w:r>
            <w:r>
              <w:rPr>
                <w:rFonts w:hAnsi="宋体"/>
                <w:color w:val="000000"/>
                <w:highlight w:val="none"/>
                <w:vertAlign w:val="superscript"/>
              </w:rPr>
              <w:t>2</w:t>
            </w:r>
            <w:r>
              <w:rPr>
                <w:rFonts w:hint="eastAsia" w:ascii="宋体" w:hAnsi="宋体" w:cs="宋体"/>
                <w:b w:val="0"/>
                <w:bCs/>
                <w:color w:val="000000"/>
                <w:highlight w:val="none"/>
              </w:rPr>
              <w:t>）</w:t>
            </w:r>
            <w:r>
              <w:rPr>
                <w:rFonts w:ascii="宋体" w:hAnsi="宋体" w:cs="宋体"/>
                <w:b w:val="0"/>
                <w:bCs/>
                <w:color w:val="000000"/>
                <w:highlight w:val="none"/>
              </w:rPr>
              <w:t>/</w:t>
            </w:r>
            <w:r>
              <w:rPr>
                <w:rFonts w:hint="eastAsia" w:ascii="宋体" w:hAnsi="宋体" w:cs="宋体"/>
                <w:b w:val="0"/>
                <w:bCs/>
                <w:color w:val="000000"/>
                <w:highlight w:val="none"/>
              </w:rPr>
              <w:t>长度（</w:t>
            </w:r>
            <w:r>
              <w:rPr>
                <w:rFonts w:ascii="宋体" w:hAnsi="宋体" w:cs="宋体"/>
                <w:b w:val="0"/>
                <w:bCs/>
                <w:color w:val="000000"/>
                <w:highlight w:val="none"/>
              </w:rPr>
              <w:t>km</w:t>
            </w:r>
            <w:r>
              <w:rPr>
                <w:rFonts w:hint="eastAsia" w:ascii="宋体" w:hAnsi="宋体" w:cs="宋体"/>
                <w:b w:val="0"/>
                <w:bCs/>
                <w:color w:val="000000"/>
                <w:highlight w:val="none"/>
              </w:rPr>
              <w:t>）</w:t>
            </w:r>
          </w:p>
        </w:tc>
        <w:tc>
          <w:tcPr>
            <w:tcW w:w="1636" w:type="pct"/>
            <w:vAlign w:val="center"/>
          </w:tcPr>
          <w:p>
            <w:pPr>
              <w:adjustRightInd w:val="0"/>
              <w:snapToGrid w:val="0"/>
              <w:spacing w:line="240" w:lineRule="auto"/>
              <w:ind w:firstLine="0" w:firstLineChars="0"/>
              <w:jc w:val="center"/>
              <w:rPr>
                <w:rFonts w:hint="default" w:ascii="Times New Roman" w:hAnsi="Times New Roman" w:cs="Times New Roman"/>
                <w:sz w:val="24"/>
                <w:szCs w:val="24"/>
                <w:highlight w:val="none"/>
                <w:lang w:val="en-US" w:eastAsia="zh-CN"/>
              </w:rPr>
            </w:pPr>
            <w:r>
              <w:rPr>
                <w:rFonts w:hint="default" w:ascii="Times New Roman" w:hAnsi="Times New Roman" w:eastAsia="宋体" w:cs="Times New Roman"/>
                <w:color w:val="000000"/>
                <w:sz w:val="24"/>
                <w:szCs w:val="24"/>
                <w:highlight w:val="none"/>
                <w:lang w:val="en-US" w:eastAsia="zh-CN"/>
              </w:rPr>
              <w:t>河道治理工程占地合计为</w:t>
            </w:r>
            <w:r>
              <w:rPr>
                <w:rFonts w:hint="default" w:ascii="Times New Roman" w:hAnsi="Times New Roman" w:eastAsia="宋体" w:cs="Times New Roman"/>
                <w:b w:val="0"/>
                <w:bCs w:val="0"/>
                <w:color w:val="auto"/>
                <w:sz w:val="24"/>
                <w:szCs w:val="24"/>
                <w:highlight w:val="none"/>
              </w:rPr>
              <w:t>5</w:t>
            </w:r>
            <w:r>
              <w:rPr>
                <w:rFonts w:hint="eastAsia" w:cs="Times New Roman"/>
                <w:b w:val="0"/>
                <w:bCs w:val="0"/>
                <w:color w:val="auto"/>
                <w:sz w:val="24"/>
                <w:szCs w:val="24"/>
                <w:highlight w:val="none"/>
                <w:lang w:val="en-US" w:eastAsia="zh-CN"/>
              </w:rPr>
              <w:t>4</w:t>
            </w:r>
            <w:r>
              <w:rPr>
                <w:rFonts w:hint="default" w:ascii="Times New Roman" w:hAnsi="Times New Roman" w:eastAsia="宋体" w:cs="Times New Roman"/>
                <w:b w:val="0"/>
                <w:bCs w:val="0"/>
                <w:color w:val="auto"/>
                <w:sz w:val="24"/>
                <w:szCs w:val="24"/>
                <w:highlight w:val="none"/>
              </w:rPr>
              <w:t>.</w:t>
            </w:r>
            <w:r>
              <w:rPr>
                <w:rFonts w:hint="eastAsia" w:cs="Times New Roman"/>
                <w:b w:val="0"/>
                <w:bCs w:val="0"/>
                <w:color w:val="auto"/>
                <w:sz w:val="24"/>
                <w:szCs w:val="24"/>
                <w:highlight w:val="none"/>
                <w:lang w:val="en-US" w:eastAsia="zh-CN"/>
              </w:rPr>
              <w:t>49</w:t>
            </w:r>
            <w:r>
              <w:rPr>
                <w:rFonts w:hint="default" w:ascii="Times New Roman" w:hAnsi="Times New Roman" w:eastAsia="宋体" w:cs="Times New Roman"/>
                <w:color w:val="000000"/>
                <w:sz w:val="24"/>
                <w:szCs w:val="24"/>
                <w:highlight w:val="none"/>
                <w:lang w:val="en-US" w:eastAsia="zh-CN"/>
              </w:rPr>
              <w:t>h</w:t>
            </w:r>
            <w:r>
              <w:rPr>
                <w:rFonts w:hint="default" w:ascii="Times New Roman" w:hAnsi="Times New Roman" w:cs="Times New Roman"/>
                <w:color w:val="000000"/>
                <w:sz w:val="24"/>
                <w:szCs w:val="24"/>
                <w:highlight w:val="none"/>
              </w:rPr>
              <w:t>m</w:t>
            </w:r>
            <w:r>
              <w:rPr>
                <w:rFonts w:hint="default" w:ascii="Times New Roman" w:hAnsi="Times New Roman" w:cs="Times New Roman"/>
                <w:color w:val="000000"/>
                <w:sz w:val="24"/>
                <w:szCs w:val="24"/>
                <w:highlight w:val="none"/>
                <w:vertAlign w:val="superscript"/>
              </w:rPr>
              <w:t>2</w:t>
            </w:r>
            <w:r>
              <w:rPr>
                <w:rFonts w:hint="eastAsia" w:ascii="宋体" w:hAnsi="宋体" w:cs="宋体"/>
                <w:b w:val="0"/>
                <w:bCs/>
                <w:color w:val="000000"/>
                <w:highlight w:val="none"/>
              </w:rPr>
              <w:t>（</w:t>
            </w:r>
            <w:r>
              <w:rPr>
                <w:rFonts w:hint="eastAsia" w:cs="Times New Roman"/>
                <w:color w:val="000000"/>
                <w:sz w:val="24"/>
                <w:szCs w:val="24"/>
                <w:highlight w:val="none"/>
                <w:lang w:val="en-US" w:eastAsia="zh-CN"/>
              </w:rPr>
              <w:t>544900</w:t>
            </w:r>
            <w:r>
              <w:rPr>
                <w:rFonts w:hAnsi="宋体"/>
                <w:color w:val="000000"/>
                <w:highlight w:val="none"/>
              </w:rPr>
              <w:t>m</w:t>
            </w:r>
            <w:r>
              <w:rPr>
                <w:rFonts w:hAnsi="宋体"/>
                <w:color w:val="000000"/>
                <w:highlight w:val="none"/>
                <w:vertAlign w:val="superscript"/>
              </w:rPr>
              <w:t>2</w:t>
            </w:r>
            <w:r>
              <w:rPr>
                <w:rFonts w:hint="eastAsia" w:ascii="宋体" w:hAnsi="宋体" w:cs="宋体"/>
                <w:b w:val="0"/>
                <w:bCs/>
                <w:color w:val="000000"/>
                <w:highlight w:val="none"/>
              </w:rPr>
              <w:t>）</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color w:val="000000"/>
                <w:sz w:val="24"/>
                <w:szCs w:val="24"/>
                <w:highlight w:val="none"/>
                <w:lang w:val="en-US" w:eastAsia="zh-CN"/>
              </w:rPr>
              <w:t>其中永久占地</w:t>
            </w:r>
            <w:r>
              <w:rPr>
                <w:rFonts w:hint="default" w:ascii="Times New Roman" w:hAnsi="Times New Roman" w:eastAsia="宋体" w:cs="Times New Roman"/>
                <w:b w:val="0"/>
                <w:bCs w:val="0"/>
                <w:color w:val="auto"/>
                <w:kern w:val="0"/>
                <w:sz w:val="24"/>
                <w:szCs w:val="24"/>
                <w:highlight w:val="none"/>
                <w:lang w:val="en-US" w:eastAsia="zh-CN" w:bidi="ar"/>
              </w:rPr>
              <w:t>36.61</w:t>
            </w:r>
            <w:r>
              <w:rPr>
                <w:rFonts w:hint="default" w:ascii="Times New Roman" w:hAnsi="Times New Roman" w:eastAsia="宋体" w:cs="Times New Roman"/>
                <w:color w:val="000000"/>
                <w:sz w:val="24"/>
                <w:szCs w:val="24"/>
                <w:highlight w:val="none"/>
                <w:lang w:val="en-US" w:eastAsia="zh-CN"/>
              </w:rPr>
              <w:t>h</w:t>
            </w:r>
            <w:r>
              <w:rPr>
                <w:rFonts w:hint="default" w:ascii="Times New Roman" w:hAnsi="Times New Roman" w:cs="Times New Roman"/>
                <w:color w:val="000000"/>
                <w:sz w:val="24"/>
                <w:szCs w:val="24"/>
                <w:highlight w:val="none"/>
              </w:rPr>
              <w:t>m</w:t>
            </w:r>
            <w:r>
              <w:rPr>
                <w:rFonts w:hint="default" w:ascii="Times New Roman" w:hAnsi="Times New Roman" w:cs="Times New Roman"/>
                <w:color w:val="000000"/>
                <w:sz w:val="24"/>
                <w:szCs w:val="24"/>
                <w:highlight w:val="none"/>
                <w:vertAlign w:val="superscript"/>
              </w:rPr>
              <w:t>2</w:t>
            </w:r>
            <w:r>
              <w:rPr>
                <w:rFonts w:hint="eastAsia" w:ascii="宋体" w:hAnsi="宋体" w:cs="宋体"/>
                <w:b w:val="0"/>
                <w:bCs/>
                <w:color w:val="000000"/>
                <w:highlight w:val="none"/>
              </w:rPr>
              <w:t>（</w:t>
            </w:r>
            <w:r>
              <w:rPr>
                <w:rFonts w:hint="eastAsia" w:cs="Times New Roman"/>
                <w:color w:val="000000"/>
                <w:sz w:val="24"/>
                <w:szCs w:val="24"/>
                <w:highlight w:val="none"/>
                <w:lang w:val="en-US" w:eastAsia="zh-CN"/>
              </w:rPr>
              <w:t>366100</w:t>
            </w:r>
            <w:r>
              <w:rPr>
                <w:rFonts w:hAnsi="宋体"/>
                <w:color w:val="000000"/>
                <w:highlight w:val="none"/>
              </w:rPr>
              <w:t>m</w:t>
            </w:r>
            <w:r>
              <w:rPr>
                <w:rFonts w:hAnsi="宋体"/>
                <w:color w:val="000000"/>
                <w:highlight w:val="none"/>
                <w:vertAlign w:val="superscript"/>
              </w:rPr>
              <w:t>2</w:t>
            </w:r>
            <w:r>
              <w:rPr>
                <w:rFonts w:hint="eastAsia" w:ascii="宋体" w:hAnsi="宋体" w:cs="宋体"/>
                <w:b w:val="0"/>
                <w:bCs/>
                <w:color w:val="000000"/>
                <w:highlight w:val="none"/>
              </w:rPr>
              <w:t>）</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color w:val="000000"/>
                <w:sz w:val="24"/>
                <w:szCs w:val="24"/>
                <w:highlight w:val="none"/>
                <w:lang w:val="en-US" w:eastAsia="zh-CN"/>
              </w:rPr>
              <w:t>临时占地</w:t>
            </w:r>
            <w:r>
              <w:rPr>
                <w:rFonts w:hint="eastAsia" w:cs="Times New Roman"/>
                <w:b w:val="0"/>
                <w:bCs w:val="0"/>
                <w:color w:val="auto"/>
                <w:kern w:val="0"/>
                <w:sz w:val="24"/>
                <w:szCs w:val="24"/>
                <w:highlight w:val="none"/>
                <w:lang w:val="en-US" w:eastAsia="zh-CN" w:bidi="ar"/>
              </w:rPr>
              <w:t>17.88</w:t>
            </w:r>
            <w:r>
              <w:rPr>
                <w:rFonts w:hint="default" w:ascii="Times New Roman" w:hAnsi="Times New Roman" w:eastAsia="宋体" w:cs="Times New Roman"/>
                <w:color w:val="000000"/>
                <w:sz w:val="24"/>
                <w:szCs w:val="24"/>
                <w:highlight w:val="none"/>
                <w:lang w:val="en-US" w:eastAsia="zh-CN"/>
              </w:rPr>
              <w:t>h</w:t>
            </w:r>
            <w:r>
              <w:rPr>
                <w:rFonts w:hint="default" w:ascii="Times New Roman" w:hAnsi="Times New Roman" w:cs="Times New Roman"/>
                <w:color w:val="000000"/>
                <w:sz w:val="24"/>
                <w:szCs w:val="24"/>
                <w:highlight w:val="none"/>
              </w:rPr>
              <w:t>m</w:t>
            </w:r>
            <w:r>
              <w:rPr>
                <w:rFonts w:hint="default" w:ascii="Times New Roman" w:hAnsi="Times New Roman" w:cs="Times New Roman"/>
                <w:color w:val="000000"/>
                <w:sz w:val="24"/>
                <w:szCs w:val="24"/>
                <w:highlight w:val="none"/>
                <w:vertAlign w:val="superscript"/>
              </w:rPr>
              <w:t>2</w:t>
            </w:r>
            <w:r>
              <w:rPr>
                <w:rFonts w:hint="eastAsia" w:ascii="宋体" w:hAnsi="宋体" w:cs="宋体"/>
                <w:b w:val="0"/>
                <w:bCs/>
                <w:color w:val="000000"/>
                <w:highlight w:val="none"/>
              </w:rPr>
              <w:t>（</w:t>
            </w:r>
            <w:r>
              <w:rPr>
                <w:rFonts w:hint="eastAsia" w:cs="Times New Roman"/>
                <w:color w:val="000000"/>
                <w:sz w:val="24"/>
                <w:szCs w:val="24"/>
                <w:highlight w:val="none"/>
                <w:lang w:val="en-US" w:eastAsia="zh-CN"/>
              </w:rPr>
              <w:t>178800</w:t>
            </w:r>
            <w:r>
              <w:rPr>
                <w:rFonts w:hAnsi="宋体"/>
                <w:color w:val="000000"/>
                <w:highlight w:val="none"/>
              </w:rPr>
              <w:t>m</w:t>
            </w:r>
            <w:r>
              <w:rPr>
                <w:rFonts w:hAnsi="宋体"/>
                <w:color w:val="000000"/>
                <w:highlight w:val="none"/>
                <w:vertAlign w:val="superscript"/>
              </w:rPr>
              <w:t>2</w:t>
            </w:r>
            <w:r>
              <w:rPr>
                <w:rFonts w:hint="eastAsia" w:ascii="宋体" w:hAnsi="宋体" w:cs="宋体"/>
                <w:b w:val="0"/>
                <w:bCs/>
                <w:color w:val="000000"/>
                <w:highlight w:val="none"/>
              </w:rPr>
              <w:t>）</w:t>
            </w:r>
            <w:r>
              <w:rPr>
                <w:rFonts w:hint="default" w:ascii="Times New Roman" w:hAnsi="Times New Roman" w:eastAsia="宋体" w:cs="Times New Roman"/>
                <w:sz w:val="24"/>
                <w:szCs w:val="24"/>
                <w:highlight w:val="none"/>
                <w:lang w:val="en-US" w:eastAsia="zh-CN"/>
              </w:rPr>
              <w:t>；</w:t>
            </w:r>
          </w:p>
          <w:p>
            <w:pPr>
              <w:keepNext w:val="0"/>
              <w:keepLines w:val="0"/>
              <w:widowControl/>
              <w:suppressLineNumbers w:val="0"/>
              <w:ind w:left="0" w:leftChars="0" w:firstLine="0" w:firstLineChars="0"/>
              <w:jc w:val="center"/>
              <w:rPr>
                <w:highlight w:val="none"/>
              </w:rPr>
            </w:pPr>
            <w:r>
              <w:rPr>
                <w:rFonts w:hint="default" w:ascii="Times New Roman" w:hAnsi="Times New Roman" w:cs="Times New Roman"/>
                <w:b w:val="0"/>
                <w:bCs/>
                <w:color w:val="000000"/>
                <w:sz w:val="24"/>
                <w:szCs w:val="24"/>
                <w:highlight w:val="none"/>
                <w:lang w:val="en-US" w:eastAsia="zh-CN"/>
              </w:rPr>
              <w:t>治理河道长度22.09km</w:t>
            </w:r>
            <w:r>
              <w:rPr>
                <w:rFonts w:hint="eastAsia" w:ascii="Times New Roman" w:hAnsi="Times New Roman" w:cs="Times New Roman"/>
                <w:b w:val="0"/>
                <w:bCs/>
                <w:color w:val="00000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000" w:type="pct"/>
            <w:tcMar>
              <w:top w:w="16" w:type="dxa"/>
              <w:left w:w="16" w:type="dxa"/>
              <w:right w:w="16" w:type="dxa"/>
            </w:tcMar>
            <w:vAlign w:val="center"/>
          </w:tcPr>
          <w:p>
            <w:pPr>
              <w:adjustRightInd w:val="0"/>
              <w:snapToGrid w:val="0"/>
              <w:spacing w:line="240" w:lineRule="auto"/>
              <w:ind w:firstLine="0" w:firstLineChars="0"/>
              <w:jc w:val="center"/>
              <w:rPr>
                <w:b w:val="0"/>
                <w:bCs/>
                <w:color w:val="000000"/>
              </w:rPr>
            </w:pPr>
            <w:r>
              <w:rPr>
                <w:rFonts w:hint="eastAsia" w:hAnsi="宋体"/>
                <w:b w:val="0"/>
                <w:bCs/>
                <w:color w:val="000000"/>
              </w:rPr>
              <w:t>建设性质</w:t>
            </w:r>
          </w:p>
        </w:tc>
        <w:tc>
          <w:tcPr>
            <w:tcW w:w="1247" w:type="pct"/>
            <w:vAlign w:val="center"/>
          </w:tcPr>
          <w:p>
            <w:pPr>
              <w:snapToGrid w:val="0"/>
              <w:spacing w:line="240" w:lineRule="auto"/>
              <w:ind w:left="0" w:leftChars="0" w:firstLine="0" w:firstLineChars="0"/>
              <w:jc w:val="left"/>
              <w:rPr>
                <w:rFonts w:hAnsi="宋体"/>
                <w:color w:val="000000"/>
              </w:rPr>
            </w:pPr>
            <w:r>
              <w:rPr>
                <w:rFonts w:hint="eastAsia"/>
                <w:color w:val="000000"/>
                <w:lang w:eastAsia="zh-CN"/>
              </w:rPr>
              <w:t>□</w:t>
            </w:r>
            <w:r>
              <w:rPr>
                <w:rFonts w:hint="eastAsia" w:hAnsi="宋体"/>
                <w:color w:val="000000"/>
              </w:rPr>
              <w:t>新建（迁建）</w:t>
            </w:r>
          </w:p>
          <w:p>
            <w:pPr>
              <w:snapToGrid w:val="0"/>
              <w:spacing w:line="240" w:lineRule="auto"/>
              <w:ind w:left="0" w:leftChars="0" w:firstLine="0" w:firstLineChars="0"/>
              <w:jc w:val="left"/>
              <w:rPr>
                <w:rFonts w:hAnsi="宋体"/>
                <w:color w:val="000000"/>
              </w:rPr>
            </w:pPr>
            <w:r>
              <w:rPr>
                <w:rFonts w:hint="eastAsia"/>
                <w:color w:val="000000"/>
                <w:lang w:eastAsia="zh-CN"/>
              </w:rPr>
              <w:t>☑</w:t>
            </w:r>
            <w:r>
              <w:rPr>
                <w:rFonts w:hint="eastAsia" w:hAnsi="宋体"/>
                <w:color w:val="000000"/>
              </w:rPr>
              <w:t>改建</w:t>
            </w:r>
          </w:p>
          <w:p>
            <w:pPr>
              <w:snapToGrid w:val="0"/>
              <w:spacing w:line="240" w:lineRule="auto"/>
              <w:ind w:firstLine="0" w:firstLineChars="0"/>
              <w:jc w:val="left"/>
              <w:rPr>
                <w:color w:val="000000"/>
              </w:rPr>
            </w:pPr>
            <w:r>
              <w:rPr>
                <w:rFonts w:hint="eastAsia"/>
                <w:color w:val="000000"/>
                <w:lang w:eastAsia="zh-CN"/>
              </w:rPr>
              <w:t>□</w:t>
            </w:r>
            <w:r>
              <w:rPr>
                <w:rFonts w:hint="eastAsia" w:hAnsi="宋体"/>
                <w:color w:val="000000"/>
              </w:rPr>
              <w:t>扩建</w:t>
            </w:r>
          </w:p>
          <w:p>
            <w:pPr>
              <w:snapToGrid w:val="0"/>
              <w:spacing w:line="240" w:lineRule="auto"/>
              <w:ind w:firstLine="0" w:firstLineChars="0"/>
              <w:jc w:val="left"/>
              <w:rPr>
                <w:color w:val="000000"/>
              </w:rPr>
            </w:pPr>
            <w:r>
              <w:rPr>
                <w:color w:val="000000"/>
              </w:rPr>
              <w:t>□</w:t>
            </w:r>
            <w:r>
              <w:rPr>
                <w:rFonts w:hint="eastAsia" w:hAnsi="宋体"/>
                <w:color w:val="000000"/>
              </w:rPr>
              <w:t>技术改造</w:t>
            </w:r>
          </w:p>
        </w:tc>
        <w:tc>
          <w:tcPr>
            <w:tcW w:w="1116" w:type="pct"/>
            <w:vAlign w:val="center"/>
          </w:tcPr>
          <w:p>
            <w:pPr>
              <w:adjustRightInd w:val="0"/>
              <w:snapToGrid w:val="0"/>
              <w:spacing w:line="240" w:lineRule="auto"/>
              <w:ind w:firstLine="0" w:firstLineChars="0"/>
              <w:jc w:val="center"/>
              <w:rPr>
                <w:b w:val="0"/>
                <w:bCs/>
                <w:color w:val="000000"/>
              </w:rPr>
            </w:pPr>
            <w:r>
              <w:rPr>
                <w:rFonts w:hint="eastAsia" w:hAnsi="宋体"/>
                <w:b w:val="0"/>
                <w:bCs/>
                <w:color w:val="000000"/>
              </w:rPr>
              <w:t>建设项目</w:t>
            </w:r>
          </w:p>
          <w:p>
            <w:pPr>
              <w:adjustRightInd w:val="0"/>
              <w:snapToGrid w:val="0"/>
              <w:spacing w:line="240" w:lineRule="auto"/>
              <w:ind w:firstLine="0" w:firstLineChars="0"/>
              <w:jc w:val="center"/>
              <w:rPr>
                <w:b w:val="0"/>
                <w:bCs/>
                <w:color w:val="000000"/>
              </w:rPr>
            </w:pPr>
            <w:r>
              <w:rPr>
                <w:rFonts w:hint="eastAsia" w:hAnsi="宋体"/>
                <w:b w:val="0"/>
                <w:bCs/>
                <w:color w:val="000000"/>
              </w:rPr>
              <w:t>申报情形</w:t>
            </w:r>
          </w:p>
        </w:tc>
        <w:tc>
          <w:tcPr>
            <w:tcW w:w="1636" w:type="pct"/>
            <w:vAlign w:val="center"/>
          </w:tcPr>
          <w:p>
            <w:pPr>
              <w:snapToGrid w:val="0"/>
              <w:spacing w:line="240" w:lineRule="auto"/>
              <w:ind w:firstLine="0" w:firstLineChars="0"/>
              <w:jc w:val="both"/>
              <w:rPr>
                <w:color w:val="000000"/>
              </w:rPr>
            </w:pPr>
            <w:r>
              <w:rPr>
                <w:color w:val="000000"/>
              </w:rPr>
              <w:sym w:font="Wingdings 2" w:char="0052"/>
            </w:r>
            <w:r>
              <w:rPr>
                <w:rFonts w:hint="eastAsia" w:hAnsi="宋体"/>
                <w:color w:val="000000"/>
              </w:rPr>
              <w:t>首次申报项目</w:t>
            </w:r>
          </w:p>
          <w:p>
            <w:pPr>
              <w:snapToGrid w:val="0"/>
              <w:spacing w:line="240" w:lineRule="auto"/>
              <w:ind w:firstLine="0" w:firstLineChars="0"/>
              <w:jc w:val="center"/>
              <w:rPr>
                <w:color w:val="000000"/>
              </w:rPr>
            </w:pPr>
            <w:r>
              <w:rPr>
                <w:color w:val="000000"/>
              </w:rPr>
              <w:sym w:font="Wingdings 2" w:char="F0A3"/>
            </w:r>
            <w:r>
              <w:rPr>
                <w:rFonts w:hint="eastAsia" w:hAnsi="宋体"/>
                <w:color w:val="000000"/>
              </w:rPr>
              <w:t>不予批准后再次申报项目</w:t>
            </w:r>
          </w:p>
          <w:p>
            <w:pPr>
              <w:snapToGrid w:val="0"/>
              <w:spacing w:line="240" w:lineRule="auto"/>
              <w:ind w:firstLine="0" w:firstLineChars="0"/>
              <w:jc w:val="both"/>
              <w:rPr>
                <w:color w:val="000000"/>
              </w:rPr>
            </w:pPr>
            <w:r>
              <w:rPr>
                <w:color w:val="000000"/>
              </w:rPr>
              <w:sym w:font="Wingdings 2" w:char="F0A3"/>
            </w:r>
            <w:r>
              <w:rPr>
                <w:rFonts w:hint="eastAsia" w:hAnsi="宋体"/>
                <w:color w:val="000000"/>
              </w:rPr>
              <w:t>超五年重新审核项目</w:t>
            </w:r>
          </w:p>
          <w:p>
            <w:pPr>
              <w:snapToGrid w:val="0"/>
              <w:spacing w:line="240" w:lineRule="auto"/>
              <w:ind w:firstLine="0" w:firstLineChars="0"/>
              <w:jc w:val="both"/>
              <w:rPr>
                <w:color w:val="000000"/>
              </w:rPr>
            </w:pPr>
            <w:r>
              <w:rPr>
                <w:color w:val="000000"/>
              </w:rPr>
              <w:sym w:font="Wingdings 2" w:char="F0A3"/>
            </w:r>
            <w:r>
              <w:rPr>
                <w:rFonts w:hint="eastAsia" w:hAnsi="宋体"/>
                <w:color w:val="000000"/>
              </w:rPr>
              <w:t>重大变动重新报批项目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jc w:val="center"/>
        </w:trPr>
        <w:tc>
          <w:tcPr>
            <w:tcW w:w="1000" w:type="pct"/>
            <w:tcMar>
              <w:top w:w="16" w:type="dxa"/>
              <w:left w:w="16" w:type="dxa"/>
              <w:right w:w="16" w:type="dxa"/>
            </w:tcMar>
            <w:vAlign w:val="center"/>
          </w:tcPr>
          <w:p>
            <w:pPr>
              <w:adjustRightInd w:val="0"/>
              <w:snapToGrid w:val="0"/>
              <w:spacing w:line="240" w:lineRule="auto"/>
              <w:ind w:firstLine="0" w:firstLineChars="0"/>
              <w:jc w:val="center"/>
              <w:rPr>
                <w:b w:val="0"/>
                <w:bCs/>
                <w:color w:val="000000"/>
              </w:rPr>
            </w:pPr>
            <w:r>
              <w:rPr>
                <w:rFonts w:hint="eastAsia" w:hAnsi="宋体"/>
                <w:b w:val="0"/>
                <w:bCs/>
                <w:color w:val="000000"/>
              </w:rPr>
              <w:t>项目审批（核准</w:t>
            </w:r>
            <w:r>
              <w:rPr>
                <w:b w:val="0"/>
                <w:bCs/>
                <w:color w:val="000000"/>
              </w:rPr>
              <w:t>/</w:t>
            </w:r>
          </w:p>
          <w:p>
            <w:pPr>
              <w:adjustRightInd w:val="0"/>
              <w:snapToGrid w:val="0"/>
              <w:spacing w:line="240" w:lineRule="auto"/>
              <w:ind w:firstLine="0" w:firstLineChars="0"/>
              <w:jc w:val="center"/>
              <w:rPr>
                <w:b w:val="0"/>
                <w:bCs/>
                <w:color w:val="000000"/>
              </w:rPr>
            </w:pPr>
            <w:r>
              <w:rPr>
                <w:rFonts w:hint="eastAsia" w:hAnsi="宋体"/>
                <w:b w:val="0"/>
                <w:bCs/>
                <w:color w:val="000000"/>
              </w:rPr>
              <w:t>备案）部门（选填）</w:t>
            </w:r>
          </w:p>
        </w:tc>
        <w:tc>
          <w:tcPr>
            <w:tcW w:w="1247" w:type="pct"/>
            <w:vAlign w:val="center"/>
          </w:tcPr>
          <w:p>
            <w:pPr>
              <w:adjustRightInd w:val="0"/>
              <w:snapToGrid w:val="0"/>
              <w:spacing w:line="240" w:lineRule="auto"/>
              <w:ind w:firstLine="0" w:firstLineChars="0"/>
              <w:jc w:val="center"/>
              <w:rPr>
                <w:rFonts w:hint="default" w:hAnsi="宋体" w:eastAsia="宋体"/>
                <w:color w:val="000000"/>
                <w:lang w:val="en-US" w:eastAsia="zh-CN"/>
              </w:rPr>
            </w:pPr>
            <w:r>
              <w:rPr>
                <w:rFonts w:hint="eastAsia" w:hAnsi="宋体"/>
                <w:color w:val="000000"/>
                <w:lang w:val="en-US" w:eastAsia="zh-CN"/>
              </w:rPr>
              <w:t>吉木萨尔县发展和改革委员会</w:t>
            </w:r>
          </w:p>
        </w:tc>
        <w:tc>
          <w:tcPr>
            <w:tcW w:w="1116" w:type="pct"/>
            <w:vAlign w:val="center"/>
          </w:tcPr>
          <w:p>
            <w:pPr>
              <w:adjustRightInd w:val="0"/>
              <w:snapToGrid w:val="0"/>
              <w:spacing w:line="240" w:lineRule="auto"/>
              <w:ind w:firstLine="0" w:firstLineChars="0"/>
              <w:jc w:val="center"/>
              <w:rPr>
                <w:b w:val="0"/>
                <w:bCs/>
                <w:color w:val="000000"/>
              </w:rPr>
            </w:pPr>
            <w:r>
              <w:rPr>
                <w:rFonts w:hint="eastAsia" w:hAnsi="宋体"/>
                <w:b w:val="0"/>
                <w:bCs/>
                <w:color w:val="000000"/>
              </w:rPr>
              <w:t>项目审批（核准</w:t>
            </w:r>
            <w:r>
              <w:rPr>
                <w:b w:val="0"/>
                <w:bCs/>
                <w:color w:val="000000"/>
              </w:rPr>
              <w:t>/</w:t>
            </w:r>
          </w:p>
          <w:p>
            <w:pPr>
              <w:adjustRightInd w:val="0"/>
              <w:snapToGrid w:val="0"/>
              <w:spacing w:line="240" w:lineRule="auto"/>
              <w:ind w:firstLine="0" w:firstLineChars="0"/>
              <w:jc w:val="center"/>
              <w:rPr>
                <w:b w:val="0"/>
                <w:bCs/>
                <w:color w:val="000000"/>
              </w:rPr>
            </w:pPr>
            <w:r>
              <w:rPr>
                <w:rFonts w:hint="eastAsia" w:hAnsi="宋体"/>
                <w:b w:val="0"/>
                <w:bCs/>
                <w:color w:val="000000"/>
              </w:rPr>
              <w:t>备案）文号（选填）</w:t>
            </w:r>
          </w:p>
        </w:tc>
        <w:tc>
          <w:tcPr>
            <w:tcW w:w="1636" w:type="pct"/>
            <w:vAlign w:val="center"/>
          </w:tcPr>
          <w:p>
            <w:pPr>
              <w:adjustRightInd w:val="0"/>
              <w:snapToGrid w:val="0"/>
              <w:spacing w:line="240" w:lineRule="auto"/>
              <w:ind w:firstLine="0" w:firstLineChars="0"/>
              <w:jc w:val="center"/>
              <w:rPr>
                <w:rFonts w:hAnsi="宋体"/>
                <w:color w:val="000000"/>
              </w:rPr>
            </w:pPr>
            <w:r>
              <w:rPr>
                <w:rFonts w:hint="eastAsia" w:hAnsi="宋体"/>
                <w:color w:val="000000"/>
              </w:rPr>
              <w:t>吉县发改</w:t>
            </w:r>
            <w:r>
              <w:rPr>
                <w:rFonts w:hint="eastAsia" w:hAnsi="宋体"/>
                <w:color w:val="000000"/>
                <w:lang w:eastAsia="zh-CN"/>
              </w:rPr>
              <w:t>【</w:t>
            </w:r>
            <w:r>
              <w:rPr>
                <w:rFonts w:hint="eastAsia" w:hAnsi="宋体"/>
                <w:color w:val="000000"/>
              </w:rPr>
              <w:t>2023</w:t>
            </w:r>
            <w:r>
              <w:rPr>
                <w:rFonts w:hint="eastAsia" w:hAnsi="宋体"/>
                <w:color w:val="000000"/>
                <w:lang w:eastAsia="zh-CN"/>
              </w:rPr>
              <w:t>】</w:t>
            </w:r>
            <w:r>
              <w:rPr>
                <w:rFonts w:hint="eastAsia" w:hAnsi="宋体"/>
                <w:color w:val="000000"/>
              </w:rPr>
              <w:t>310号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00" w:type="pct"/>
            <w:tcMar>
              <w:top w:w="16" w:type="dxa"/>
              <w:left w:w="16" w:type="dxa"/>
              <w:right w:w="16" w:type="dxa"/>
            </w:tcMar>
            <w:vAlign w:val="center"/>
          </w:tcPr>
          <w:p>
            <w:pPr>
              <w:adjustRightInd w:val="0"/>
              <w:snapToGrid w:val="0"/>
              <w:spacing w:line="240" w:lineRule="auto"/>
              <w:ind w:firstLine="0" w:firstLineChars="0"/>
              <w:jc w:val="center"/>
              <w:rPr>
                <w:b w:val="0"/>
                <w:bCs/>
                <w:color w:val="000000"/>
              </w:rPr>
            </w:pPr>
            <w:r>
              <w:rPr>
                <w:rFonts w:hint="eastAsia" w:hAnsi="宋体"/>
                <w:b w:val="0"/>
                <w:bCs/>
                <w:color w:val="000000"/>
              </w:rPr>
              <w:t>总投资（万元）</w:t>
            </w:r>
          </w:p>
        </w:tc>
        <w:tc>
          <w:tcPr>
            <w:tcW w:w="1247" w:type="pct"/>
            <w:vAlign w:val="center"/>
          </w:tcPr>
          <w:p>
            <w:pPr>
              <w:adjustRightInd w:val="0"/>
              <w:snapToGrid w:val="0"/>
              <w:spacing w:line="240" w:lineRule="auto"/>
              <w:ind w:firstLine="0" w:firstLineChars="0"/>
              <w:jc w:val="center"/>
              <w:rPr>
                <w:rFonts w:hint="default" w:hAnsi="宋体" w:eastAsia="宋体"/>
                <w:color w:val="000000"/>
                <w:lang w:val="en-US" w:eastAsia="zh-CN"/>
              </w:rPr>
            </w:pPr>
            <w:r>
              <w:rPr>
                <w:rFonts w:hint="eastAsia" w:hAnsi="宋体"/>
                <w:color w:val="000000"/>
                <w:lang w:val="en-US" w:eastAsia="zh-CN"/>
              </w:rPr>
              <w:t>6100</w:t>
            </w:r>
          </w:p>
        </w:tc>
        <w:tc>
          <w:tcPr>
            <w:tcW w:w="1116" w:type="pct"/>
            <w:tcMar>
              <w:top w:w="16" w:type="dxa"/>
              <w:left w:w="16" w:type="dxa"/>
              <w:right w:w="16" w:type="dxa"/>
            </w:tcMar>
            <w:vAlign w:val="center"/>
          </w:tcPr>
          <w:p>
            <w:pPr>
              <w:adjustRightInd w:val="0"/>
              <w:snapToGrid w:val="0"/>
              <w:spacing w:line="240" w:lineRule="auto"/>
              <w:ind w:firstLine="0" w:firstLineChars="0"/>
              <w:jc w:val="center"/>
              <w:rPr>
                <w:rFonts w:hint="eastAsia" w:hAnsi="宋体"/>
                <w:b w:val="0"/>
                <w:bCs/>
                <w:color w:val="000000"/>
              </w:rPr>
            </w:pPr>
            <w:r>
              <w:rPr>
                <w:rFonts w:hint="eastAsia" w:hAnsi="宋体"/>
                <w:b w:val="0"/>
                <w:bCs/>
                <w:color w:val="000000"/>
              </w:rPr>
              <w:t>环保投资（万元）</w:t>
            </w:r>
          </w:p>
        </w:tc>
        <w:tc>
          <w:tcPr>
            <w:tcW w:w="1636" w:type="pct"/>
            <w:vAlign w:val="center"/>
          </w:tcPr>
          <w:p>
            <w:pPr>
              <w:adjustRightInd w:val="0"/>
              <w:snapToGrid w:val="0"/>
              <w:spacing w:line="240" w:lineRule="auto"/>
              <w:ind w:firstLine="0" w:firstLineChars="0"/>
              <w:jc w:val="center"/>
              <w:rPr>
                <w:rFonts w:hint="default" w:hAnsi="宋体"/>
                <w:b w:val="0"/>
                <w:bCs/>
                <w:color w:val="000000"/>
                <w:lang w:val="en-US" w:eastAsia="zh-CN"/>
              </w:rPr>
            </w:pPr>
            <w:r>
              <w:rPr>
                <w:rFonts w:hint="eastAsia" w:hAnsi="宋体"/>
                <w:b w:val="0"/>
                <w:bCs/>
                <w:color w:val="000000"/>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jc w:val="center"/>
        </w:trPr>
        <w:tc>
          <w:tcPr>
            <w:tcW w:w="1000" w:type="pct"/>
            <w:tcMar>
              <w:top w:w="16" w:type="dxa"/>
              <w:left w:w="16" w:type="dxa"/>
              <w:right w:w="16" w:type="dxa"/>
            </w:tcMar>
            <w:vAlign w:val="center"/>
          </w:tcPr>
          <w:p>
            <w:pPr>
              <w:adjustRightInd w:val="0"/>
              <w:snapToGrid w:val="0"/>
              <w:spacing w:line="240" w:lineRule="auto"/>
              <w:ind w:firstLine="0" w:firstLineChars="0"/>
              <w:jc w:val="center"/>
              <w:rPr>
                <w:b w:val="0"/>
                <w:bCs/>
                <w:color w:val="000000"/>
              </w:rPr>
            </w:pPr>
            <w:r>
              <w:rPr>
                <w:rFonts w:hint="eastAsia" w:hAnsi="宋体"/>
                <w:b w:val="0"/>
                <w:bCs/>
                <w:color w:val="000000"/>
              </w:rPr>
              <w:t>环保投资占比</w:t>
            </w:r>
          </w:p>
        </w:tc>
        <w:tc>
          <w:tcPr>
            <w:tcW w:w="1247" w:type="pct"/>
            <w:vAlign w:val="center"/>
          </w:tcPr>
          <w:p>
            <w:pPr>
              <w:adjustRightInd w:val="0"/>
              <w:snapToGrid w:val="0"/>
              <w:spacing w:line="240" w:lineRule="auto"/>
              <w:ind w:firstLine="0" w:firstLineChars="0"/>
              <w:jc w:val="center"/>
              <w:rPr>
                <w:color w:val="000000"/>
              </w:rPr>
            </w:pPr>
            <w:r>
              <w:rPr>
                <w:rFonts w:hint="eastAsia"/>
                <w:color w:val="000000"/>
                <w:lang w:val="en-US" w:eastAsia="zh-CN"/>
              </w:rPr>
              <w:t>1.64</w:t>
            </w:r>
            <w:r>
              <w:rPr>
                <w:color w:val="000000"/>
              </w:rPr>
              <w:t>%</w:t>
            </w:r>
          </w:p>
        </w:tc>
        <w:tc>
          <w:tcPr>
            <w:tcW w:w="1116" w:type="pct"/>
            <w:tcMar>
              <w:top w:w="16" w:type="dxa"/>
              <w:left w:w="16" w:type="dxa"/>
              <w:right w:w="16" w:type="dxa"/>
            </w:tcMar>
            <w:vAlign w:val="center"/>
          </w:tcPr>
          <w:p>
            <w:pPr>
              <w:adjustRightInd w:val="0"/>
              <w:snapToGrid w:val="0"/>
              <w:spacing w:line="240" w:lineRule="auto"/>
              <w:ind w:firstLine="0" w:firstLineChars="0"/>
              <w:jc w:val="center"/>
              <w:rPr>
                <w:rFonts w:hint="eastAsia" w:hAnsi="宋体"/>
                <w:b w:val="0"/>
                <w:bCs/>
                <w:color w:val="000000"/>
              </w:rPr>
            </w:pPr>
            <w:r>
              <w:rPr>
                <w:rFonts w:hint="eastAsia" w:hAnsi="宋体"/>
                <w:b w:val="0"/>
                <w:bCs/>
                <w:color w:val="000000"/>
              </w:rPr>
              <w:t>施工工期</w:t>
            </w:r>
          </w:p>
        </w:tc>
        <w:tc>
          <w:tcPr>
            <w:tcW w:w="1636" w:type="pct"/>
            <w:vAlign w:val="center"/>
          </w:tcPr>
          <w:p>
            <w:pPr>
              <w:adjustRightInd w:val="0"/>
              <w:snapToGrid w:val="0"/>
              <w:spacing w:line="240" w:lineRule="auto"/>
              <w:ind w:firstLine="0" w:firstLineChars="0"/>
              <w:jc w:val="center"/>
              <w:rPr>
                <w:rFonts w:hint="default" w:hAnsi="宋体"/>
                <w:b w:val="0"/>
                <w:bCs/>
                <w:color w:val="000000"/>
              </w:rPr>
            </w:pPr>
            <w:r>
              <w:rPr>
                <w:rFonts w:hint="eastAsia" w:hAnsi="宋体"/>
                <w:b w:val="0"/>
                <w:bCs/>
                <w:color w:val="000000"/>
                <w:lang w:val="en-US" w:eastAsia="zh-CN"/>
              </w:rPr>
              <w:t>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8" w:hRule="atLeast"/>
          <w:jc w:val="center"/>
        </w:trPr>
        <w:tc>
          <w:tcPr>
            <w:tcW w:w="1000" w:type="pct"/>
            <w:tcMar>
              <w:top w:w="16" w:type="dxa"/>
              <w:left w:w="16" w:type="dxa"/>
              <w:right w:w="16" w:type="dxa"/>
            </w:tcMar>
            <w:vAlign w:val="center"/>
          </w:tcPr>
          <w:p>
            <w:pPr>
              <w:adjustRightInd w:val="0"/>
              <w:snapToGrid w:val="0"/>
              <w:spacing w:line="240" w:lineRule="auto"/>
              <w:ind w:firstLine="0" w:firstLineChars="0"/>
              <w:jc w:val="center"/>
              <w:rPr>
                <w:b w:val="0"/>
                <w:bCs/>
                <w:color w:val="000000"/>
              </w:rPr>
            </w:pPr>
            <w:r>
              <w:rPr>
                <w:rFonts w:hint="eastAsia" w:hAnsi="宋体"/>
                <w:b w:val="0"/>
                <w:bCs/>
                <w:color w:val="000000"/>
              </w:rPr>
              <w:t>是否开工建设</w:t>
            </w:r>
          </w:p>
        </w:tc>
        <w:tc>
          <w:tcPr>
            <w:tcW w:w="3999" w:type="pct"/>
            <w:gridSpan w:val="3"/>
            <w:vAlign w:val="center"/>
          </w:tcPr>
          <w:p>
            <w:pPr>
              <w:adjustRightInd w:val="0"/>
              <w:snapToGrid w:val="0"/>
              <w:spacing w:line="240" w:lineRule="auto"/>
              <w:ind w:firstLine="0" w:firstLineChars="0"/>
              <w:rPr>
                <w:color w:val="000000"/>
              </w:rPr>
            </w:pPr>
            <w:r>
              <w:rPr>
                <w:rFonts w:hint="eastAsia"/>
                <w:color w:val="000000"/>
              </w:rPr>
              <w:t>√</w:t>
            </w:r>
            <w:r>
              <w:rPr>
                <w:rFonts w:hint="eastAsia" w:hAnsi="宋体"/>
                <w:color w:val="000000"/>
              </w:rPr>
              <w:t>否</w:t>
            </w:r>
          </w:p>
          <w:p>
            <w:pPr>
              <w:adjustRightInd w:val="0"/>
              <w:snapToGrid w:val="0"/>
              <w:spacing w:line="240" w:lineRule="auto"/>
              <w:ind w:firstLine="0" w:firstLineChars="0"/>
              <w:rPr>
                <w:color w:val="000000"/>
              </w:rPr>
            </w:pPr>
            <w:r>
              <w:rPr>
                <w:color w:val="000000"/>
              </w:rPr>
              <w:sym w:font="Wingdings 2" w:char="F0A3"/>
            </w:r>
            <w:r>
              <w:rPr>
                <w:rFonts w:hint="eastAsia" w:hAnsi="宋体"/>
                <w:color w:val="000000"/>
              </w:rPr>
              <w:t>是：</w:t>
            </w:r>
            <w:r>
              <w:rPr>
                <w:color w:val="00000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000" w:type="pct"/>
            <w:vAlign w:val="center"/>
          </w:tcPr>
          <w:p>
            <w:pPr>
              <w:autoSpaceDE w:val="0"/>
              <w:autoSpaceDN w:val="0"/>
              <w:adjustRightInd w:val="0"/>
              <w:snapToGrid w:val="0"/>
              <w:spacing w:line="240" w:lineRule="auto"/>
              <w:ind w:firstLine="0" w:firstLineChars="0"/>
              <w:jc w:val="center"/>
              <w:rPr>
                <w:b w:val="0"/>
                <w:bCs/>
                <w:color w:val="000000"/>
                <w:kern w:val="0"/>
              </w:rPr>
            </w:pPr>
            <w:r>
              <w:rPr>
                <w:rFonts w:hint="eastAsia" w:hAnsi="宋体"/>
                <w:b w:val="0"/>
                <w:bCs/>
                <w:color w:val="000000"/>
                <w:kern w:val="0"/>
              </w:rPr>
              <w:t>专项评价设置情况</w:t>
            </w:r>
          </w:p>
        </w:tc>
        <w:tc>
          <w:tcPr>
            <w:tcW w:w="3999" w:type="pct"/>
            <w:gridSpan w:val="3"/>
            <w:vAlign w:val="center"/>
          </w:tcPr>
          <w:p>
            <w:pPr>
              <w:autoSpaceDE w:val="0"/>
              <w:autoSpaceDN w:val="0"/>
              <w:adjustRightInd w:val="0"/>
              <w:snapToGrid w:val="0"/>
              <w:spacing w:line="240" w:lineRule="auto"/>
              <w:ind w:firstLine="0" w:firstLineChars="0"/>
              <w:jc w:val="center"/>
              <w:rPr>
                <w:rFonts w:hint="eastAsia" w:ascii="Times New Roman" w:hAnsi="宋体" w:eastAsia="宋体" w:cs="Times New Roman"/>
                <w:b w:val="0"/>
                <w:bCs/>
                <w:color w:val="000000"/>
                <w:kern w:val="0"/>
                <w:highlight w:val="none"/>
                <w:lang w:val="en-US" w:eastAsia="zh-CN"/>
              </w:rPr>
            </w:pPr>
            <w:r>
              <w:rPr>
                <w:rFonts w:hint="eastAsia" w:ascii="Times New Roman" w:hAnsi="宋体" w:eastAsia="宋体" w:cs="Times New Roman"/>
                <w:b w:val="0"/>
                <w:bCs/>
                <w:color w:val="000000"/>
                <w:kern w:val="0"/>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000" w:type="pct"/>
            <w:vAlign w:val="center"/>
          </w:tcPr>
          <w:p>
            <w:pPr>
              <w:autoSpaceDE w:val="0"/>
              <w:autoSpaceDN w:val="0"/>
              <w:adjustRightInd w:val="0"/>
              <w:snapToGrid w:val="0"/>
              <w:spacing w:line="240" w:lineRule="auto"/>
              <w:ind w:firstLine="0" w:firstLineChars="0"/>
              <w:jc w:val="center"/>
              <w:rPr>
                <w:rFonts w:hint="eastAsia" w:ascii="Times New Roman" w:hAnsi="宋体" w:eastAsia="宋体" w:cs="Times New Roman"/>
                <w:b w:val="0"/>
                <w:bCs/>
                <w:color w:val="000000"/>
                <w:kern w:val="0"/>
                <w:highlight w:val="none"/>
              </w:rPr>
            </w:pPr>
            <w:r>
              <w:rPr>
                <w:rFonts w:hint="eastAsia" w:ascii="Times New Roman" w:hAnsi="宋体" w:eastAsia="宋体" w:cs="Times New Roman"/>
                <w:b w:val="0"/>
                <w:bCs/>
                <w:color w:val="000000"/>
                <w:kern w:val="0"/>
                <w:highlight w:val="none"/>
              </w:rPr>
              <w:t>规划情况</w:t>
            </w:r>
          </w:p>
        </w:tc>
        <w:tc>
          <w:tcPr>
            <w:tcW w:w="3999" w:type="pct"/>
            <w:gridSpan w:val="3"/>
            <w:vAlign w:val="center"/>
          </w:tcPr>
          <w:p>
            <w:pPr>
              <w:autoSpaceDE w:val="0"/>
              <w:autoSpaceDN w:val="0"/>
              <w:adjustRightInd w:val="0"/>
              <w:snapToGrid w:val="0"/>
              <w:spacing w:line="240" w:lineRule="auto"/>
              <w:ind w:firstLine="0" w:firstLineChars="0"/>
              <w:jc w:val="center"/>
              <w:rPr>
                <w:rFonts w:hint="default" w:ascii="Times New Roman" w:hAnsi="宋体" w:eastAsia="宋体" w:cs="Times New Roman"/>
                <w:b w:val="0"/>
                <w:bCs/>
                <w:color w:val="000000"/>
                <w:kern w:val="0"/>
                <w:highlight w:val="none"/>
                <w:lang w:val="en-US" w:eastAsia="zh-CN"/>
              </w:rPr>
            </w:pPr>
            <w:r>
              <w:rPr>
                <w:rFonts w:hint="eastAsia" w:hAnsi="宋体" w:cs="Times New Roman"/>
                <w:b w:val="0"/>
                <w:bCs/>
                <w:color w:val="000000"/>
                <w:kern w:val="0"/>
                <w:highlight w:val="none"/>
                <w:lang w:val="en-US" w:eastAsia="zh-CN"/>
              </w:rPr>
              <w:t>《</w:t>
            </w:r>
            <w:r>
              <w:rPr>
                <w:rFonts w:hint="default" w:ascii="Times New Roman" w:hAnsi="宋体" w:eastAsia="宋体" w:cs="Times New Roman"/>
                <w:b w:val="0"/>
                <w:bCs/>
                <w:color w:val="000000"/>
                <w:kern w:val="0"/>
                <w:highlight w:val="none"/>
                <w:lang w:val="en-US" w:eastAsia="zh-CN"/>
              </w:rPr>
              <w:t>新疆奇台县</w:t>
            </w:r>
            <w:r>
              <w:rPr>
                <w:rFonts w:hint="eastAsia" w:hAnsi="宋体" w:cs="Times New Roman"/>
                <w:b w:val="0"/>
                <w:bCs/>
                <w:color w:val="000000"/>
                <w:kern w:val="0"/>
                <w:highlight w:val="none"/>
                <w:lang w:val="en-US" w:eastAsia="zh-CN"/>
              </w:rPr>
              <w:t>白</w:t>
            </w:r>
            <w:r>
              <w:rPr>
                <w:rFonts w:hint="default" w:ascii="Times New Roman" w:hAnsi="宋体" w:eastAsia="宋体" w:cs="Times New Roman"/>
                <w:b w:val="0"/>
                <w:bCs/>
                <w:color w:val="000000"/>
                <w:kern w:val="0"/>
                <w:highlight w:val="none"/>
                <w:lang w:val="en-US" w:eastAsia="zh-CN"/>
              </w:rPr>
              <w:t>杨河防洪规划报告</w:t>
            </w:r>
            <w:r>
              <w:rPr>
                <w:rFonts w:hint="eastAsia" w:hAnsi="宋体" w:cs="Times New Roman"/>
                <w:b w:val="0"/>
                <w:bCs/>
                <w:color w:val="000000"/>
                <w:kern w:val="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000" w:type="pct"/>
            <w:vAlign w:val="center"/>
          </w:tcPr>
          <w:p>
            <w:pPr>
              <w:autoSpaceDE w:val="0"/>
              <w:autoSpaceDN w:val="0"/>
              <w:adjustRightInd w:val="0"/>
              <w:snapToGrid w:val="0"/>
              <w:spacing w:line="240" w:lineRule="auto"/>
              <w:ind w:firstLine="0" w:firstLineChars="0"/>
              <w:jc w:val="center"/>
              <w:rPr>
                <w:rFonts w:hint="eastAsia" w:ascii="Times New Roman" w:hAnsi="宋体" w:eastAsia="宋体" w:cs="Times New Roman"/>
                <w:b w:val="0"/>
                <w:bCs/>
                <w:color w:val="000000"/>
                <w:kern w:val="0"/>
                <w:highlight w:val="none"/>
              </w:rPr>
            </w:pPr>
            <w:r>
              <w:rPr>
                <w:rFonts w:hint="eastAsia" w:ascii="Times New Roman" w:hAnsi="宋体" w:eastAsia="宋体" w:cs="Times New Roman"/>
                <w:b w:val="0"/>
                <w:bCs/>
                <w:color w:val="000000"/>
                <w:kern w:val="0"/>
                <w:highlight w:val="none"/>
              </w:rPr>
              <w:t>规划环境影响</w:t>
            </w:r>
          </w:p>
          <w:p>
            <w:pPr>
              <w:autoSpaceDE w:val="0"/>
              <w:autoSpaceDN w:val="0"/>
              <w:adjustRightInd w:val="0"/>
              <w:snapToGrid w:val="0"/>
              <w:spacing w:line="240" w:lineRule="auto"/>
              <w:ind w:firstLine="0" w:firstLineChars="0"/>
              <w:jc w:val="center"/>
              <w:rPr>
                <w:rFonts w:hint="eastAsia" w:ascii="Times New Roman" w:hAnsi="宋体" w:eastAsia="宋体" w:cs="Times New Roman"/>
                <w:b w:val="0"/>
                <w:bCs/>
                <w:color w:val="000000"/>
                <w:kern w:val="0"/>
                <w:highlight w:val="none"/>
              </w:rPr>
            </w:pPr>
            <w:r>
              <w:rPr>
                <w:rFonts w:hint="eastAsia" w:ascii="Times New Roman" w:hAnsi="宋体" w:eastAsia="宋体" w:cs="Times New Roman"/>
                <w:b w:val="0"/>
                <w:bCs/>
                <w:color w:val="000000"/>
                <w:kern w:val="0"/>
                <w:highlight w:val="none"/>
              </w:rPr>
              <w:t>评价情况</w:t>
            </w:r>
          </w:p>
        </w:tc>
        <w:tc>
          <w:tcPr>
            <w:tcW w:w="3999" w:type="pct"/>
            <w:gridSpan w:val="3"/>
            <w:vAlign w:val="center"/>
          </w:tcPr>
          <w:p>
            <w:pPr>
              <w:autoSpaceDE w:val="0"/>
              <w:autoSpaceDN w:val="0"/>
              <w:adjustRightInd w:val="0"/>
              <w:snapToGrid w:val="0"/>
              <w:spacing w:line="240" w:lineRule="auto"/>
              <w:ind w:firstLine="0" w:firstLineChars="0"/>
              <w:jc w:val="center"/>
              <w:rPr>
                <w:rFonts w:hint="eastAsia" w:ascii="Times New Roman" w:hAnsi="宋体" w:eastAsia="宋体" w:cs="Times New Roman"/>
                <w:b w:val="0"/>
                <w:bCs/>
                <w:color w:val="000000"/>
                <w:kern w:val="0"/>
                <w:highlight w:val="none"/>
                <w:lang w:val="en-US" w:eastAsia="zh-CN"/>
              </w:rPr>
            </w:pPr>
            <w:r>
              <w:rPr>
                <w:rFonts w:hint="eastAsia" w:ascii="Times New Roman" w:hAnsi="宋体" w:eastAsia="宋体" w:cs="Times New Roman"/>
                <w:b w:val="0"/>
                <w:bCs/>
                <w:color w:val="000000"/>
                <w:kern w:val="0"/>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1000" w:type="pct"/>
            <w:vAlign w:val="center"/>
          </w:tcPr>
          <w:p>
            <w:pPr>
              <w:autoSpaceDE w:val="0"/>
              <w:autoSpaceDN w:val="0"/>
              <w:adjustRightInd w:val="0"/>
              <w:snapToGrid w:val="0"/>
              <w:spacing w:line="240" w:lineRule="auto"/>
              <w:ind w:firstLine="0" w:firstLineChars="0"/>
              <w:jc w:val="center"/>
              <w:rPr>
                <w:rFonts w:hint="eastAsia" w:ascii="Times New Roman" w:hAnsi="宋体" w:eastAsia="宋体" w:cs="Times New Roman"/>
                <w:b w:val="0"/>
                <w:bCs/>
                <w:color w:val="000000"/>
                <w:kern w:val="0"/>
                <w:highlight w:val="none"/>
              </w:rPr>
            </w:pPr>
            <w:r>
              <w:rPr>
                <w:rFonts w:hint="eastAsia" w:ascii="Times New Roman" w:hAnsi="宋体" w:eastAsia="宋体" w:cs="Times New Roman"/>
                <w:b w:val="0"/>
                <w:bCs/>
                <w:color w:val="000000"/>
                <w:kern w:val="0"/>
                <w:highlight w:val="none"/>
              </w:rPr>
              <w:t>规划及规划环境影响评价符合性分析</w:t>
            </w:r>
          </w:p>
        </w:tc>
        <w:tc>
          <w:tcPr>
            <w:tcW w:w="3999" w:type="pct"/>
            <w:gridSpan w:val="3"/>
            <w:vAlign w:val="center"/>
          </w:tcPr>
          <w:p>
            <w:pPr>
              <w:autoSpaceDE w:val="0"/>
              <w:autoSpaceDN w:val="0"/>
              <w:adjustRightInd w:val="0"/>
              <w:snapToGrid w:val="0"/>
              <w:spacing w:line="360" w:lineRule="auto"/>
              <w:ind w:firstLine="480" w:firstLineChars="200"/>
              <w:jc w:val="both"/>
              <w:rPr>
                <w:rFonts w:hint="eastAsia" w:ascii="Times New Roman" w:hAnsi="宋体" w:eastAsia="宋体" w:cs="Times New Roman"/>
                <w:b w:val="0"/>
                <w:bCs/>
                <w:color w:val="000000"/>
                <w:kern w:val="0"/>
                <w:highlight w:val="none"/>
                <w:lang w:val="en-US" w:eastAsia="zh-CN"/>
              </w:rPr>
            </w:pPr>
            <w:r>
              <w:rPr>
                <w:rFonts w:hint="eastAsia" w:hAnsi="宋体" w:cs="Times New Roman"/>
                <w:b w:val="0"/>
                <w:bCs/>
                <w:color w:val="000000"/>
                <w:kern w:val="0"/>
                <w:highlight w:val="none"/>
                <w:lang w:val="en-US" w:eastAsia="zh-CN"/>
              </w:rPr>
              <w:t>《</w:t>
            </w:r>
            <w:r>
              <w:rPr>
                <w:rFonts w:hint="default" w:ascii="Times New Roman" w:hAnsi="宋体" w:eastAsia="宋体" w:cs="Times New Roman"/>
                <w:b w:val="0"/>
                <w:bCs/>
                <w:color w:val="000000"/>
                <w:kern w:val="0"/>
                <w:highlight w:val="none"/>
                <w:lang w:val="en-US" w:eastAsia="zh-CN"/>
              </w:rPr>
              <w:t>新疆奇台县</w:t>
            </w:r>
            <w:r>
              <w:rPr>
                <w:rFonts w:hint="eastAsia" w:ascii="Times New Roman" w:hAnsi="宋体" w:eastAsia="宋体" w:cs="Times New Roman"/>
                <w:b w:val="0"/>
                <w:bCs/>
                <w:color w:val="000000"/>
                <w:kern w:val="0"/>
                <w:highlight w:val="none"/>
                <w:lang w:val="en-US" w:eastAsia="zh-CN"/>
              </w:rPr>
              <w:t>白</w:t>
            </w:r>
            <w:r>
              <w:rPr>
                <w:rFonts w:hint="default" w:ascii="Times New Roman" w:hAnsi="宋体" w:eastAsia="宋体" w:cs="Times New Roman"/>
                <w:b w:val="0"/>
                <w:bCs/>
                <w:color w:val="000000"/>
                <w:kern w:val="0"/>
                <w:highlight w:val="none"/>
                <w:lang w:val="en-US" w:eastAsia="zh-CN"/>
              </w:rPr>
              <w:t>杨河防洪规划报告</w:t>
            </w:r>
            <w:r>
              <w:rPr>
                <w:rFonts w:hint="eastAsia" w:ascii="Times New Roman" w:hAnsi="宋体" w:eastAsia="宋体" w:cs="Times New Roman"/>
                <w:b w:val="0"/>
                <w:bCs/>
                <w:color w:val="000000"/>
                <w:kern w:val="0"/>
                <w:highlight w:val="none"/>
                <w:lang w:val="en-US" w:eastAsia="zh-CN"/>
              </w:rPr>
              <w:t>》中“防洪工程规划范围的具体河段上自五圣宫水文站</w:t>
            </w:r>
            <w:r>
              <w:rPr>
                <w:rFonts w:hint="eastAsia" w:hAnsi="宋体" w:cs="Times New Roman"/>
                <w:b w:val="0"/>
                <w:bCs/>
                <w:color w:val="000000"/>
                <w:kern w:val="0"/>
                <w:highlight w:val="none"/>
                <w:lang w:val="en-US" w:eastAsia="zh-CN"/>
              </w:rPr>
              <w:t>，</w:t>
            </w:r>
            <w:r>
              <w:rPr>
                <w:rFonts w:hint="eastAsia" w:ascii="Times New Roman" w:hAnsi="宋体" w:eastAsia="宋体" w:cs="Times New Roman"/>
                <w:b w:val="0"/>
                <w:bCs/>
                <w:color w:val="000000"/>
                <w:kern w:val="0"/>
                <w:highlight w:val="none"/>
                <w:lang w:val="en-US" w:eastAsia="zh-CN"/>
              </w:rPr>
              <w:t>下至黄水槽子水库</w:t>
            </w:r>
            <w:r>
              <w:rPr>
                <w:rFonts w:hint="eastAsia" w:hAnsi="宋体" w:cs="Times New Roman"/>
                <w:b w:val="0"/>
                <w:bCs/>
                <w:color w:val="000000"/>
                <w:kern w:val="0"/>
                <w:highlight w:val="none"/>
                <w:lang w:val="en-US" w:eastAsia="zh-CN"/>
              </w:rPr>
              <w:t>，</w:t>
            </w:r>
            <w:r>
              <w:rPr>
                <w:rFonts w:hint="eastAsia" w:ascii="Times New Roman" w:hAnsi="宋体" w:eastAsia="宋体" w:cs="Times New Roman"/>
                <w:b w:val="0"/>
                <w:bCs/>
                <w:color w:val="000000"/>
                <w:kern w:val="0"/>
                <w:highlight w:val="none"/>
                <w:lang w:val="en-US" w:eastAsia="zh-CN"/>
              </w:rPr>
              <w:t>主要防洪工程包括行洪通道清理、堤防工程、河道疏浚工程、生物工程措施等，以此逐步形成并完善防泄结合的防洪工程体系，从而达到兼顾经济、社会和生态环境的目标</w:t>
            </w:r>
            <w:r>
              <w:rPr>
                <w:rFonts w:hint="eastAsia" w:hAnsi="宋体" w:cs="Times New Roman"/>
                <w:b w:val="0"/>
                <w:bCs/>
                <w:color w:val="000000"/>
                <w:kern w:val="0"/>
                <w:highlight w:val="none"/>
                <w:lang w:val="en-US" w:eastAsia="zh-CN"/>
              </w:rPr>
              <w:t>；白杨河防洪规划工程保护对象是白杨河</w:t>
            </w:r>
            <w:r>
              <w:rPr>
                <w:rFonts w:hint="eastAsia" w:ascii="Times New Roman" w:hAnsi="宋体" w:eastAsia="宋体" w:cs="Times New Roman"/>
                <w:b w:val="0"/>
                <w:bCs/>
                <w:color w:val="000000"/>
                <w:kern w:val="0"/>
                <w:highlight w:val="none"/>
                <w:lang w:val="en-US" w:eastAsia="zh-CN"/>
              </w:rPr>
              <w:t>两岸的城镇、企业水利设施、交通系统的安全，保护两岸农田村庄安全、两岸人民生命财产的安全为保护白杨河流域生态环境及白杨河绿洲内部的生态环境增加保障。”</w:t>
            </w:r>
          </w:p>
          <w:p>
            <w:pPr>
              <w:autoSpaceDE w:val="0"/>
              <w:autoSpaceDN w:val="0"/>
              <w:adjustRightInd w:val="0"/>
              <w:snapToGrid w:val="0"/>
              <w:spacing w:line="360" w:lineRule="auto"/>
              <w:ind w:firstLine="480" w:firstLineChars="200"/>
              <w:jc w:val="both"/>
              <w:rPr>
                <w:rFonts w:hint="default"/>
                <w:lang w:val="en-US" w:eastAsia="zh-CN"/>
              </w:rPr>
            </w:pPr>
            <w:r>
              <w:rPr>
                <w:rFonts w:hint="eastAsia" w:ascii="Times New Roman" w:hAnsi="宋体" w:eastAsia="宋体" w:cs="Times New Roman"/>
                <w:b w:val="0"/>
                <w:bCs/>
                <w:color w:val="000000"/>
                <w:kern w:val="0"/>
                <w:highlight w:val="none"/>
                <w:lang w:val="en-US" w:eastAsia="zh-CN"/>
              </w:rPr>
              <w:t>本项目</w:t>
            </w:r>
            <w:r>
              <w:rPr>
                <w:rFonts w:hint="default" w:ascii="Times New Roman" w:hAnsi="Times New Roman" w:eastAsia="宋体" w:cs="Times New Roman"/>
                <w:b w:val="0"/>
                <w:bCs w:val="0"/>
                <w:color w:val="000000"/>
                <w:kern w:val="0"/>
                <w:sz w:val="24"/>
                <w:szCs w:val="24"/>
                <w:lang w:val="en-US" w:eastAsia="zh-CN" w:bidi="ar-SA"/>
              </w:rPr>
              <w:t>以保障行洪通道的畅通和保障河道正常行洪能力为根本任务，</w:t>
            </w:r>
            <w:r>
              <w:rPr>
                <w:rFonts w:hint="eastAsia" w:ascii="Times New Roman" w:hAnsi="Times New Roman" w:eastAsia="宋体" w:cs="Times New Roman"/>
                <w:b w:val="0"/>
                <w:bCs w:val="0"/>
                <w:color w:val="000000"/>
                <w:kern w:val="0"/>
                <w:sz w:val="24"/>
                <w:szCs w:val="24"/>
                <w:lang w:val="en-US" w:eastAsia="zh-CN" w:bidi="ar-SA"/>
              </w:rPr>
              <w:t>对桩号0+000～1+880</w:t>
            </w:r>
            <w:r>
              <w:rPr>
                <w:rFonts w:hint="eastAsia" w:ascii="宋体" w:hAnsi="宋体" w:cs="宋体"/>
                <w:b w:val="0"/>
                <w:bCs/>
                <w:color w:val="000000"/>
              </w:rPr>
              <w:t>（</w:t>
            </w:r>
            <w:r>
              <w:rPr>
                <w:rFonts w:hint="eastAsia" w:ascii="Times New Roman" w:hAnsi="Times New Roman" w:eastAsia="宋体" w:cs="Times New Roman"/>
                <w:b w:val="0"/>
                <w:bCs w:val="0"/>
                <w:color w:val="000000"/>
                <w:kern w:val="0"/>
                <w:sz w:val="24"/>
                <w:szCs w:val="24"/>
                <w:lang w:val="en-US" w:eastAsia="zh-CN" w:bidi="ar-SA"/>
              </w:rPr>
              <w:t>五圣宫水文站</w:t>
            </w:r>
            <w:r>
              <w:rPr>
                <w:rFonts w:hint="eastAsia" w:ascii="宋体" w:hAnsi="宋体" w:cs="宋体"/>
                <w:b w:val="0"/>
                <w:bCs/>
                <w:color w:val="000000"/>
              </w:rPr>
              <w:t>）</w:t>
            </w:r>
            <w:r>
              <w:rPr>
                <w:rFonts w:hint="eastAsia" w:ascii="Times New Roman" w:hAnsi="Times New Roman" w:eastAsia="宋体" w:cs="Times New Roman"/>
                <w:b w:val="0"/>
                <w:bCs w:val="0"/>
                <w:color w:val="000000"/>
                <w:kern w:val="0"/>
                <w:sz w:val="24"/>
                <w:szCs w:val="24"/>
                <w:lang w:val="en-US" w:eastAsia="zh-CN" w:bidi="ar-SA"/>
              </w:rPr>
              <w:t>段、4+100～21+900</w:t>
            </w:r>
            <w:r>
              <w:rPr>
                <w:rFonts w:hint="eastAsia" w:ascii="宋体" w:hAnsi="宋体" w:cs="宋体"/>
                <w:b w:val="0"/>
                <w:bCs/>
                <w:color w:val="000000"/>
              </w:rPr>
              <w:t>（</w:t>
            </w:r>
            <w:r>
              <w:rPr>
                <w:rFonts w:hint="eastAsia" w:ascii="Times New Roman" w:hAnsi="Times New Roman" w:eastAsia="宋体" w:cs="Times New Roman"/>
                <w:b w:val="0"/>
                <w:bCs w:val="0"/>
                <w:color w:val="000000"/>
                <w:kern w:val="0"/>
                <w:sz w:val="24"/>
                <w:szCs w:val="24"/>
                <w:lang w:val="en-US" w:eastAsia="zh-CN" w:bidi="ar-SA"/>
              </w:rPr>
              <w:t>白杨河水库至林区公路</w:t>
            </w:r>
            <w:r>
              <w:rPr>
                <w:rFonts w:hint="eastAsia" w:ascii="宋体" w:hAnsi="宋体" w:cs="宋体"/>
                <w:b w:val="0"/>
                <w:bCs/>
                <w:color w:val="000000"/>
              </w:rPr>
              <w:t>）</w:t>
            </w:r>
            <w:r>
              <w:rPr>
                <w:rFonts w:hint="eastAsia" w:ascii="Times New Roman" w:hAnsi="Times New Roman" w:eastAsia="宋体" w:cs="Times New Roman"/>
                <w:b w:val="0"/>
                <w:bCs w:val="0"/>
                <w:color w:val="000000"/>
                <w:kern w:val="0"/>
                <w:sz w:val="24"/>
                <w:szCs w:val="24"/>
                <w:lang w:val="en-US" w:eastAsia="zh-CN" w:bidi="ar-SA"/>
              </w:rPr>
              <w:t>段和26+750～29+160</w:t>
            </w:r>
            <w:r>
              <w:rPr>
                <w:rFonts w:hint="eastAsia" w:ascii="宋体" w:hAnsi="宋体" w:cs="宋体"/>
                <w:b w:val="0"/>
                <w:bCs/>
                <w:color w:val="000000"/>
              </w:rPr>
              <w:t>（</w:t>
            </w:r>
            <w:r>
              <w:rPr>
                <w:rFonts w:hint="eastAsia" w:ascii="Times New Roman" w:hAnsi="Times New Roman" w:eastAsia="宋体" w:cs="Times New Roman"/>
                <w:b w:val="0"/>
                <w:bCs w:val="0"/>
                <w:color w:val="000000"/>
                <w:kern w:val="0"/>
                <w:sz w:val="24"/>
                <w:szCs w:val="24"/>
                <w:lang w:val="en-US" w:eastAsia="zh-CN" w:bidi="ar-SA"/>
              </w:rPr>
              <w:t>魏家村至S303省道</w:t>
            </w:r>
            <w:r>
              <w:rPr>
                <w:rFonts w:hint="eastAsia" w:ascii="宋体" w:hAnsi="宋体" w:cs="宋体"/>
                <w:b w:val="0"/>
                <w:bCs/>
                <w:color w:val="000000"/>
              </w:rPr>
              <w:t>）</w:t>
            </w:r>
            <w:r>
              <w:rPr>
                <w:rFonts w:hint="eastAsia" w:ascii="Times New Roman" w:hAnsi="Times New Roman" w:eastAsia="宋体" w:cs="Times New Roman"/>
                <w:b w:val="0"/>
                <w:bCs w:val="0"/>
                <w:color w:val="000000"/>
                <w:kern w:val="0"/>
                <w:sz w:val="24"/>
                <w:szCs w:val="24"/>
                <w:lang w:val="en-US" w:eastAsia="zh-CN" w:bidi="ar-SA"/>
              </w:rPr>
              <w:t>段需保护村庄和农田的22.09km河道进行治理</w:t>
            </w:r>
            <w:r>
              <w:rPr>
                <w:rFonts w:hint="eastAsia" w:cs="Times New Roman"/>
                <w:b w:val="0"/>
                <w:bCs w:val="0"/>
                <w:color w:val="000000"/>
                <w:kern w:val="0"/>
                <w:sz w:val="24"/>
                <w:szCs w:val="24"/>
                <w:lang w:val="en-US" w:eastAsia="zh-CN" w:bidi="ar-SA"/>
              </w:rPr>
              <w:t>，建设防洪堤，</w:t>
            </w:r>
            <w:r>
              <w:rPr>
                <w:rFonts w:hint="default" w:ascii="Times New Roman" w:hAnsi="Times New Roman" w:eastAsia="宋体" w:cs="Times New Roman"/>
                <w:b w:val="0"/>
                <w:bCs w:val="0"/>
                <w:color w:val="000000"/>
                <w:kern w:val="0"/>
                <w:sz w:val="24"/>
                <w:szCs w:val="24"/>
                <w:lang w:val="en-US" w:eastAsia="zh-CN" w:bidi="ar-SA"/>
              </w:rPr>
              <w:t>河道治理河段总长度22.09km，其中2.41km河道为双侧护砌，其余19.68km河道为单侧护砌</w:t>
            </w:r>
            <w:r>
              <w:rPr>
                <w:rFonts w:hint="eastAsia" w:cs="Times New Roman"/>
                <w:b w:val="0"/>
                <w:bCs w:val="0"/>
                <w:color w:val="000000"/>
                <w:kern w:val="0"/>
                <w:sz w:val="24"/>
                <w:szCs w:val="24"/>
                <w:lang w:val="en-US" w:eastAsia="zh-CN" w:bidi="ar-SA"/>
              </w:rPr>
              <w:t>，</w:t>
            </w:r>
            <w:r>
              <w:rPr>
                <w:rFonts w:hint="eastAsia" w:ascii="Times New Roman" w:hAnsi="Times New Roman" w:eastAsia="宋体" w:cs="Times New Roman"/>
                <w:b w:val="0"/>
                <w:bCs w:val="0"/>
                <w:color w:val="000000"/>
                <w:kern w:val="0"/>
                <w:sz w:val="24"/>
                <w:szCs w:val="24"/>
                <w:lang w:val="en-US" w:eastAsia="zh-CN" w:bidi="ar-SA"/>
              </w:rPr>
              <w:t>确保沿岸村庄、农田及交通安全</w:t>
            </w:r>
            <w:r>
              <w:rPr>
                <w:rFonts w:hint="eastAsia" w:cs="Times New Roman"/>
                <w:b w:val="0"/>
                <w:bCs w:val="0"/>
                <w:color w:val="000000"/>
                <w:kern w:val="0"/>
                <w:sz w:val="24"/>
                <w:szCs w:val="24"/>
                <w:lang w:val="en-US" w:eastAsia="zh-CN" w:bidi="ar-SA"/>
              </w:rPr>
              <w:t>，与</w:t>
            </w:r>
            <w:r>
              <w:rPr>
                <w:rFonts w:hint="eastAsia" w:hAnsi="宋体" w:cs="Times New Roman"/>
                <w:b w:val="0"/>
                <w:bCs/>
                <w:color w:val="000000"/>
                <w:kern w:val="0"/>
                <w:highlight w:val="none"/>
                <w:lang w:val="en-US" w:eastAsia="zh-CN"/>
              </w:rPr>
              <w:t>《</w:t>
            </w:r>
            <w:r>
              <w:rPr>
                <w:rFonts w:hint="default" w:ascii="Times New Roman" w:hAnsi="宋体" w:eastAsia="宋体" w:cs="Times New Roman"/>
                <w:b w:val="0"/>
                <w:bCs/>
                <w:color w:val="000000"/>
                <w:kern w:val="0"/>
                <w:highlight w:val="none"/>
                <w:lang w:val="en-US" w:eastAsia="zh-CN"/>
              </w:rPr>
              <w:t>新疆奇台县</w:t>
            </w:r>
            <w:r>
              <w:rPr>
                <w:rFonts w:hint="eastAsia" w:ascii="Times New Roman" w:hAnsi="宋体" w:eastAsia="宋体" w:cs="Times New Roman"/>
                <w:b w:val="0"/>
                <w:bCs/>
                <w:color w:val="000000"/>
                <w:kern w:val="0"/>
                <w:highlight w:val="none"/>
                <w:lang w:val="en-US" w:eastAsia="zh-CN"/>
              </w:rPr>
              <w:t>白</w:t>
            </w:r>
            <w:r>
              <w:rPr>
                <w:rFonts w:hint="default" w:ascii="Times New Roman" w:hAnsi="宋体" w:eastAsia="宋体" w:cs="Times New Roman"/>
                <w:b w:val="0"/>
                <w:bCs/>
                <w:color w:val="000000"/>
                <w:kern w:val="0"/>
                <w:highlight w:val="none"/>
                <w:lang w:val="en-US" w:eastAsia="zh-CN"/>
              </w:rPr>
              <w:t>杨河防洪规划报告</w:t>
            </w:r>
            <w:r>
              <w:rPr>
                <w:rFonts w:hint="eastAsia" w:ascii="Times New Roman" w:hAnsi="宋体" w:eastAsia="宋体" w:cs="Times New Roman"/>
                <w:b w:val="0"/>
                <w:bCs/>
                <w:color w:val="000000"/>
                <w:kern w:val="0"/>
                <w:highlight w:val="none"/>
                <w:lang w:val="en-US" w:eastAsia="zh-CN"/>
              </w:rPr>
              <w:t>》</w:t>
            </w:r>
            <w:r>
              <w:rPr>
                <w:rFonts w:hint="eastAsia" w:hAnsi="宋体" w:cs="Times New Roman"/>
                <w:b w:val="0"/>
                <w:bCs/>
                <w:color w:val="000000"/>
                <w:kern w:val="0"/>
                <w:highlight w:val="none"/>
                <w:lang w:val="en-US" w:eastAsia="zh-CN"/>
              </w:rPr>
              <w:t>中的相关内容相符。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0" w:hRule="atLeast"/>
          <w:jc w:val="center"/>
        </w:trPr>
        <w:tc>
          <w:tcPr>
            <w:tcW w:w="1000" w:type="pct"/>
            <w:vAlign w:val="center"/>
          </w:tcPr>
          <w:p>
            <w:pPr>
              <w:autoSpaceDE w:val="0"/>
              <w:autoSpaceDN w:val="0"/>
              <w:adjustRightInd w:val="0"/>
              <w:snapToGrid w:val="0"/>
              <w:spacing w:line="240" w:lineRule="auto"/>
              <w:ind w:firstLine="0" w:firstLineChars="0"/>
              <w:jc w:val="center"/>
              <w:rPr>
                <w:rFonts w:hAnsi="宋体"/>
                <w:b/>
                <w:bCs w:val="0"/>
                <w:color w:val="000000"/>
                <w:kern w:val="0"/>
              </w:rPr>
            </w:pPr>
            <w:r>
              <w:rPr>
                <w:rFonts w:hint="eastAsia" w:hAnsi="宋体"/>
                <w:b/>
                <w:bCs w:val="0"/>
                <w:color w:val="000000"/>
                <w:kern w:val="0"/>
              </w:rPr>
              <w:t>其他符合</w:t>
            </w:r>
          </w:p>
          <w:p>
            <w:pPr>
              <w:autoSpaceDE w:val="0"/>
              <w:autoSpaceDN w:val="0"/>
              <w:adjustRightInd w:val="0"/>
              <w:snapToGrid w:val="0"/>
              <w:spacing w:line="240" w:lineRule="auto"/>
              <w:ind w:firstLine="0" w:firstLineChars="0"/>
              <w:jc w:val="center"/>
              <w:rPr>
                <w:rFonts w:hAnsi="宋体"/>
                <w:b/>
                <w:color w:val="000000"/>
                <w:kern w:val="0"/>
              </w:rPr>
            </w:pPr>
            <w:r>
              <w:rPr>
                <w:rFonts w:hint="eastAsia" w:hAnsi="宋体"/>
                <w:b/>
                <w:bCs w:val="0"/>
                <w:color w:val="000000"/>
                <w:kern w:val="0"/>
              </w:rPr>
              <w:t>性分析</w:t>
            </w:r>
          </w:p>
        </w:tc>
        <w:tc>
          <w:tcPr>
            <w:tcW w:w="3999" w:type="pct"/>
            <w:gridSpan w:val="3"/>
            <w:vAlign w:val="center"/>
          </w:tcPr>
          <w:p>
            <w:pPr>
              <w:adjustRightInd w:val="0"/>
              <w:snapToGrid w:val="0"/>
              <w:spacing w:line="360" w:lineRule="auto"/>
              <w:ind w:firstLine="0" w:firstLineChars="0"/>
              <w:rPr>
                <w:rFonts w:hint="eastAsia" w:ascii="宋体" w:hAnsi="Times New Roman" w:cs="Times New Roman"/>
                <w:b w:val="0"/>
                <w:bCs w:val="0"/>
                <w:kern w:val="0"/>
                <w:szCs w:val="20"/>
                <w:highlight w:val="none"/>
              </w:rPr>
            </w:pPr>
            <w:r>
              <w:rPr>
                <w:rFonts w:hint="default" w:ascii="Times New Roman" w:hAnsi="Times New Roman" w:cs="Times New Roman"/>
                <w:b/>
                <w:bCs/>
              </w:rPr>
              <w:t>1、产业政策符合性分析</w:t>
            </w:r>
          </w:p>
          <w:p>
            <w:pPr>
              <w:pStyle w:val="31"/>
              <w:snapToGrid w:val="0"/>
              <w:spacing w:beforeAutospacing="0" w:afterAutospacing="0" w:line="360" w:lineRule="auto"/>
              <w:ind w:firstLine="31680"/>
              <w:jc w:val="both"/>
              <w:rPr>
                <w:rFonts w:hint="default" w:ascii="Times New Roman" w:hAnsi="Times New Roman" w:eastAsia="宋体" w:cs="Times New Roman"/>
                <w:highlight w:val="none"/>
                <w:lang w:val="en-US" w:eastAsia="zh-CN"/>
              </w:rPr>
            </w:pPr>
            <w:r>
              <w:rPr>
                <w:rFonts w:hint="default" w:ascii="Times New Roman" w:hAnsi="Times New Roman" w:cs="Times New Roman"/>
                <w:highlight w:val="none"/>
              </w:rPr>
              <w:t>本项目</w:t>
            </w:r>
            <w:r>
              <w:rPr>
                <w:rFonts w:hint="default" w:ascii="Times New Roman" w:hAnsi="Times New Roman" w:cs="Times New Roman"/>
                <w:highlight w:val="none"/>
                <w:lang w:val="en-US" w:eastAsia="zh-CN"/>
              </w:rPr>
              <w:t>属于中小河流治理工程，</w:t>
            </w:r>
            <w:r>
              <w:rPr>
                <w:rFonts w:hint="default" w:ascii="Times New Roman" w:hAnsi="Times New Roman" w:cs="Times New Roman"/>
                <w:b w:val="0"/>
                <w:bCs/>
                <w:color w:val="000000"/>
                <w:lang w:val="en-US" w:eastAsia="zh-CN"/>
              </w:rPr>
              <w:t>根据</w:t>
            </w:r>
            <w:r>
              <w:rPr>
                <w:rFonts w:hint="default" w:ascii="Times New Roman" w:hAnsi="Times New Roman" w:cs="Times New Roman"/>
                <w:highlight w:val="none"/>
              </w:rPr>
              <w:t>《产业结构调整指导目录（</w:t>
            </w:r>
            <w:r>
              <w:rPr>
                <w:rFonts w:hint="default" w:ascii="Times New Roman" w:hAnsi="Times New Roman" w:cs="Times New Roman"/>
                <w:highlight w:val="none"/>
                <w:lang w:val="en-US" w:eastAsia="zh-CN"/>
              </w:rPr>
              <w:t>2024</w:t>
            </w:r>
            <w:r>
              <w:rPr>
                <w:rFonts w:hint="default" w:ascii="Times New Roman" w:hAnsi="Times New Roman" w:cs="Times New Roman"/>
                <w:highlight w:val="none"/>
              </w:rPr>
              <w:t>年本）</w:t>
            </w:r>
            <w:r>
              <w:rPr>
                <w:rFonts w:hint="default" w:ascii="Times New Roman" w:hAnsi="Times New Roman" w:cs="Times New Roman"/>
                <w:highlight w:val="none"/>
                <w:lang w:val="en-US" w:eastAsia="zh-CN"/>
              </w:rPr>
              <w:t>》可知，本项目属于</w:t>
            </w:r>
            <w:r>
              <w:rPr>
                <w:rFonts w:hint="default" w:ascii="Times New Roman" w:hAnsi="Times New Roman" w:cs="Times New Roman"/>
                <w:highlight w:val="none"/>
              </w:rPr>
              <w:t>《产业结构调整指导目录（</w:t>
            </w:r>
            <w:r>
              <w:rPr>
                <w:rFonts w:hint="default" w:ascii="Times New Roman" w:hAnsi="Times New Roman" w:cs="Times New Roman"/>
                <w:highlight w:val="none"/>
                <w:lang w:val="en-US" w:eastAsia="zh-CN"/>
              </w:rPr>
              <w:t>2024</w:t>
            </w:r>
            <w:r>
              <w:rPr>
                <w:rFonts w:hint="default" w:ascii="Times New Roman" w:hAnsi="Times New Roman" w:cs="Times New Roman"/>
                <w:highlight w:val="none"/>
              </w:rPr>
              <w:t>年本）</w:t>
            </w:r>
            <w:r>
              <w:rPr>
                <w:rFonts w:hint="default" w:ascii="Times New Roman" w:hAnsi="Times New Roman" w:cs="Times New Roman"/>
                <w:highlight w:val="none"/>
                <w:lang w:val="en-US" w:eastAsia="zh-CN"/>
              </w:rPr>
              <w:t>》中</w:t>
            </w:r>
            <w:r>
              <w:rPr>
                <w:rFonts w:hint="default" w:ascii="Times New Roman" w:hAnsi="Times New Roman" w:cs="Times New Roman"/>
                <w:highlight w:val="none"/>
              </w:rPr>
              <w:t>鼓励类中第二条“水利”中第</w:t>
            </w:r>
            <w:r>
              <w:rPr>
                <w:rFonts w:hint="default" w:ascii="Times New Roman" w:hAnsi="Times New Roman" w:cs="Times New Roman"/>
                <w:highlight w:val="none"/>
                <w:lang w:val="en-US" w:eastAsia="zh-CN"/>
              </w:rPr>
              <w:t>3</w:t>
            </w:r>
            <w:r>
              <w:rPr>
                <w:rFonts w:hint="default" w:ascii="Times New Roman" w:hAnsi="Times New Roman" w:cs="Times New Roman"/>
                <w:highlight w:val="none"/>
              </w:rPr>
              <w:t>条“江河湖海堤防建设及河道治理工程”</w:t>
            </w:r>
            <w:r>
              <w:rPr>
                <w:rFonts w:hint="eastAsia" w:ascii="Times New Roman" w:cs="Times New Roman"/>
                <w:highlight w:val="none"/>
                <w:lang w:eastAsia="zh-CN"/>
              </w:rPr>
              <w:t>；</w:t>
            </w:r>
            <w:r>
              <w:rPr>
                <w:rFonts w:hint="eastAsia" w:ascii="Times New Roman" w:cs="Times New Roman"/>
                <w:highlight w:val="none"/>
                <w:lang w:val="en-US" w:eastAsia="zh-CN"/>
              </w:rPr>
              <w:t>本项目属于《</w:t>
            </w:r>
            <w:r>
              <w:rPr>
                <w:rFonts w:ascii="宋体" w:hAnsi="宋体" w:eastAsia="宋体" w:cs="宋体"/>
                <w:sz w:val="24"/>
                <w:szCs w:val="24"/>
              </w:rPr>
              <w:t>建设项目环境影响评价分类管理名录（2021年版）</w:t>
            </w:r>
            <w:r>
              <w:rPr>
                <w:rFonts w:hint="eastAsia" w:ascii="Times New Roman" w:cs="Times New Roman"/>
                <w:highlight w:val="none"/>
                <w:lang w:val="en-US" w:eastAsia="zh-CN"/>
              </w:rPr>
              <w:t>》中的“</w:t>
            </w:r>
            <w:r>
              <w:rPr>
                <w:rFonts w:ascii="宋体" w:hAnsi="宋体" w:eastAsia="宋体" w:cs="宋体"/>
                <w:sz w:val="24"/>
                <w:szCs w:val="24"/>
              </w:rPr>
              <w:t>五十一、水利</w:t>
            </w:r>
            <w:r>
              <w:rPr>
                <w:rFonts w:hint="eastAsia" w:ascii="宋体" w:hAnsi="宋体" w:eastAsia="宋体" w:cs="宋体"/>
                <w:sz w:val="24"/>
                <w:szCs w:val="24"/>
                <w:lang w:val="en-US" w:eastAsia="zh-CN"/>
              </w:rPr>
              <w:t xml:space="preserve"> 127</w:t>
            </w:r>
            <w:r>
              <w:rPr>
                <w:rFonts w:hint="eastAsia" w:ascii="Times New Roman" w:cs="Times New Roman"/>
                <w:highlight w:val="none"/>
                <w:lang w:val="en-US" w:eastAsia="zh-CN"/>
              </w:rPr>
              <w:t xml:space="preserve"> </w:t>
            </w:r>
            <w:r>
              <w:rPr>
                <w:rFonts w:ascii="宋体" w:hAnsi="宋体" w:eastAsia="宋体" w:cs="宋体"/>
                <w:sz w:val="24"/>
                <w:szCs w:val="24"/>
              </w:rPr>
              <w:t>防洪除涝工程</w:t>
            </w:r>
            <w:r>
              <w:rPr>
                <w:rFonts w:hint="eastAsia" w:ascii="宋体" w:hAnsi="宋体" w:eastAsia="宋体" w:cs="宋体"/>
                <w:sz w:val="24"/>
                <w:szCs w:val="24"/>
                <w:lang w:val="en-US" w:eastAsia="zh-CN"/>
              </w:rPr>
              <w:t>-</w:t>
            </w:r>
            <w:r>
              <w:rPr>
                <w:rFonts w:ascii="宋体" w:hAnsi="宋体" w:eastAsia="宋体" w:cs="宋体"/>
                <w:sz w:val="24"/>
                <w:szCs w:val="24"/>
              </w:rPr>
              <w:t>其他（小型沟渠的护坡除外；城镇排涝河流水闸、排涝泵站除外）</w:t>
            </w:r>
            <w:r>
              <w:rPr>
                <w:rFonts w:hint="eastAsia" w:ascii="Times New Roman" w:cs="Times New Roman"/>
                <w:highlight w:val="none"/>
                <w:lang w:val="en-US" w:eastAsia="zh-CN"/>
              </w:rPr>
              <w:t>”，应当编制环境影响评价报告表。</w:t>
            </w:r>
          </w:p>
          <w:p>
            <w:pPr>
              <w:pStyle w:val="31"/>
              <w:snapToGrid w:val="0"/>
              <w:spacing w:beforeAutospacing="0" w:afterAutospacing="0" w:line="360" w:lineRule="auto"/>
              <w:ind w:firstLine="31680"/>
              <w:jc w:val="both"/>
              <w:rPr>
                <w:rFonts w:hint="default" w:ascii="Times New Roman" w:hAnsi="Times New Roman" w:cs="Times New Roman"/>
              </w:rPr>
            </w:pPr>
            <w:r>
              <w:rPr>
                <w:rFonts w:hint="default" w:ascii="Times New Roman" w:hAnsi="Times New Roman" w:cs="Times New Roman"/>
                <w:highlight w:val="none"/>
              </w:rPr>
              <w:t>因此，该项目建设符合国家现行的产业政策</w:t>
            </w:r>
            <w:r>
              <w:rPr>
                <w:rFonts w:hint="default" w:ascii="Times New Roman" w:hAnsi="Times New Roman" w:cs="Times New Roman"/>
              </w:rPr>
              <w:t>。</w:t>
            </w:r>
          </w:p>
          <w:p>
            <w:pPr>
              <w:adjustRightInd w:val="0"/>
              <w:snapToGrid w:val="0"/>
              <w:spacing w:line="360" w:lineRule="auto"/>
              <w:ind w:firstLine="0" w:firstLineChars="0"/>
              <w:rPr>
                <w:rFonts w:hint="eastAsia" w:ascii="Times New Roman" w:hAnsi="Times New Roman" w:cs="Times New Roman"/>
                <w:b/>
                <w:bCs/>
                <w:lang w:val="en-US" w:eastAsia="zh-CN"/>
              </w:rPr>
            </w:pPr>
            <w:r>
              <w:rPr>
                <w:rFonts w:hint="default" w:ascii="Times New Roman" w:hAnsi="Times New Roman" w:cs="Times New Roman"/>
                <w:b/>
                <w:bCs/>
              </w:rPr>
              <w:t>2</w:t>
            </w:r>
            <w:r>
              <w:rPr>
                <w:rFonts w:hint="eastAsia" w:ascii="Times New Roman" w:hAnsi="Times New Roman" w:cs="Times New Roman"/>
                <w:b/>
                <w:bCs/>
              </w:rPr>
              <w:t>、</w:t>
            </w:r>
            <w:r>
              <w:rPr>
                <w:rFonts w:hint="eastAsia" w:ascii="Times New Roman" w:hAnsi="Times New Roman" w:cs="Times New Roman"/>
                <w:b/>
                <w:bCs/>
                <w:lang w:val="en-US" w:eastAsia="zh-CN"/>
              </w:rPr>
              <w:t>与《新疆维吾尔自治区“三线一单</w:t>
            </w:r>
            <w:r>
              <w:rPr>
                <w:rFonts w:hint="default" w:ascii="Times New Roman" w:hAnsi="Times New Roman" w:cs="Times New Roman"/>
                <w:b/>
                <w:bCs/>
                <w:lang w:val="en-US" w:eastAsia="zh-CN"/>
              </w:rPr>
              <w:t>”</w:t>
            </w:r>
            <w:r>
              <w:rPr>
                <w:rFonts w:hint="eastAsia" w:ascii="Times New Roman" w:hAnsi="Times New Roman" w:cs="Times New Roman"/>
                <w:b/>
                <w:bCs/>
                <w:lang w:val="en-US" w:eastAsia="zh-CN"/>
              </w:rPr>
              <w:t>生态环境分区管控方案》（新政发</w:t>
            </w:r>
            <w:r>
              <w:rPr>
                <w:rFonts w:hint="default" w:ascii="Times New Roman" w:hAnsi="Times New Roman" w:cs="Times New Roman"/>
                <w:b/>
                <w:bCs/>
                <w:lang w:val="en-US" w:eastAsia="zh-CN"/>
              </w:rPr>
              <w:t>〔2021〕18</w:t>
            </w:r>
            <w:r>
              <w:rPr>
                <w:rFonts w:hint="eastAsia" w:ascii="Times New Roman" w:hAnsi="Times New Roman" w:cs="Times New Roman"/>
                <w:b/>
                <w:bCs/>
                <w:lang w:val="en-US" w:eastAsia="zh-CN"/>
              </w:rPr>
              <w:t>号）符合性分析</w:t>
            </w:r>
          </w:p>
          <w:p>
            <w:pPr>
              <w:pStyle w:val="15"/>
              <w:adjustRightInd w:val="0"/>
              <w:spacing w:before="0" w:after="0" w:line="360" w:lineRule="auto"/>
              <w:ind w:left="0" w:leftChars="0" w:right="0" w:firstLine="480" w:firstLineChars="200"/>
              <w:jc w:val="left"/>
              <w:rPr>
                <w:rFonts w:hint="default" w:ascii="Times New Roman" w:hAnsi="Times New Roman" w:cs="Times New Roman"/>
                <w:sz w:val="24"/>
                <w:szCs w:val="24"/>
                <w:lang w:val="en-US" w:eastAsia="zh-CN"/>
              </w:rPr>
            </w:pPr>
            <w:r>
              <w:rPr>
                <w:rFonts w:hint="default" w:ascii="Times New Roman" w:hAnsi="Times New Roman" w:cs="Times New Roman"/>
                <w:sz w:val="24"/>
                <w:szCs w:val="24"/>
              </w:rPr>
              <w:t>根据《关于以改善环境质量为核心加强环境影响评价管理的通知》（环环评</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2016</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150号）和《新疆维吾尔自治区“三线一单”生态环境分区管控方案》（新政发</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2021</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18号）要求，落实“生态保护红线、环境质量底线、资源利用上线和生态环境准入清单”（简称“三线一单”）约束，更好地发挥环评制度从源头防范环境污染和生态破坏的作用，加快推进改善环境质量本项目建设与新疆维吾尔自治区“三线一单”的符合性分析见表1-</w:t>
            </w:r>
            <w:r>
              <w:rPr>
                <w:rFonts w:hint="default" w:ascii="Times New Roman" w:hAnsi="Times New Roman" w:cs="Times New Roman"/>
                <w:sz w:val="24"/>
                <w:szCs w:val="24"/>
                <w:lang w:val="en-US" w:eastAsia="zh-CN"/>
              </w:rPr>
              <w:t>1</w:t>
            </w:r>
            <w:r>
              <w:rPr>
                <w:rFonts w:hint="default" w:ascii="Times New Roman" w:hAnsi="Times New Roman" w:cs="Times New Roman"/>
                <w:sz w:val="24"/>
                <w:szCs w:val="24"/>
              </w:rPr>
              <w:t>。</w:t>
            </w:r>
          </w:p>
          <w:p>
            <w:pPr>
              <w:spacing w:line="240" w:lineRule="auto"/>
              <w:ind w:firstLine="0" w:firstLineChars="0"/>
              <w:jc w:val="center"/>
            </w:pPr>
            <w:r>
              <w:rPr>
                <w:rFonts w:hint="default" w:ascii="Times New Roman" w:hAnsi="Times New Roman" w:cs="Times New Roman"/>
                <w:b/>
                <w:bCs/>
                <w:sz w:val="21"/>
                <w:szCs w:val="21"/>
              </w:rPr>
              <w:t>表1-</w:t>
            </w:r>
            <w:r>
              <w:rPr>
                <w:rFonts w:hint="default" w:ascii="Times New Roman" w:hAnsi="Times New Roman" w:cs="Times New Roman"/>
                <w:b/>
                <w:bCs/>
                <w:sz w:val="21"/>
                <w:szCs w:val="21"/>
                <w:lang w:val="en-US" w:eastAsia="zh-CN"/>
              </w:rPr>
              <w:t xml:space="preserve">1   </w:t>
            </w:r>
            <w:r>
              <w:rPr>
                <w:rFonts w:hint="eastAsia" w:ascii="Times New Roman" w:hAnsi="Times New Roman" w:cs="Times New Roman"/>
                <w:b/>
                <w:bCs/>
                <w:sz w:val="21"/>
                <w:szCs w:val="21"/>
                <w:lang w:val="en-US" w:eastAsia="zh-CN"/>
              </w:rPr>
              <w:t xml:space="preserve"> </w:t>
            </w:r>
            <w:r>
              <w:rPr>
                <w:rFonts w:hint="default" w:ascii="Times New Roman" w:hAnsi="Times New Roman" w:cs="Times New Roman"/>
                <w:b/>
                <w:bCs/>
                <w:sz w:val="21"/>
                <w:szCs w:val="21"/>
                <w:lang w:val="en-US" w:eastAsia="zh-CN"/>
              </w:rPr>
              <w:t xml:space="preserve"> </w:t>
            </w:r>
            <w:r>
              <w:rPr>
                <w:rFonts w:hint="default" w:ascii="Times New Roman" w:hAnsi="Times New Roman" w:cs="Times New Roman"/>
                <w:b/>
                <w:bCs/>
                <w:sz w:val="21"/>
                <w:szCs w:val="21"/>
              </w:rPr>
              <w:t xml:space="preserve"> 新疆维吾尔自治区“三线一单”符合性分析一览表</w:t>
            </w:r>
          </w:p>
          <w:tbl>
            <w:tblPr>
              <w:tblStyle w:val="3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2556"/>
              <w:gridCol w:w="2749"/>
              <w:gridCol w:w="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44" w:type="pct"/>
                  <w:gridSpan w:val="2"/>
                  <w:noWrap w:val="0"/>
                  <w:vAlign w:val="top"/>
                </w:tcPr>
                <w:p>
                  <w:pPr>
                    <w:spacing w:line="240" w:lineRule="auto"/>
                    <w:ind w:firstLine="0" w:firstLineChars="0"/>
                    <w:jc w:val="center"/>
                    <w:rPr>
                      <w:sz w:val="21"/>
                      <w:szCs w:val="21"/>
                    </w:rPr>
                  </w:pPr>
                  <w:r>
                    <w:rPr>
                      <w:sz w:val="21"/>
                      <w:szCs w:val="21"/>
                    </w:rPr>
                    <w:t>内容</w:t>
                  </w:r>
                </w:p>
              </w:tc>
              <w:tc>
                <w:tcPr>
                  <w:tcW w:w="2027" w:type="pct"/>
                  <w:noWrap w:val="0"/>
                  <w:vAlign w:val="top"/>
                </w:tcPr>
                <w:p>
                  <w:pPr>
                    <w:spacing w:line="240" w:lineRule="auto"/>
                    <w:ind w:firstLine="0" w:firstLineChars="0"/>
                    <w:jc w:val="center"/>
                    <w:rPr>
                      <w:sz w:val="21"/>
                      <w:szCs w:val="21"/>
                    </w:rPr>
                  </w:pPr>
                  <w:r>
                    <w:rPr>
                      <w:sz w:val="21"/>
                      <w:szCs w:val="21"/>
                    </w:rPr>
                    <w:t>本项目工程概况</w:t>
                  </w:r>
                </w:p>
              </w:tc>
              <w:tc>
                <w:tcPr>
                  <w:tcW w:w="527" w:type="pct"/>
                  <w:noWrap w:val="0"/>
                  <w:vAlign w:val="top"/>
                </w:tcPr>
                <w:p>
                  <w:pPr>
                    <w:spacing w:line="240" w:lineRule="auto"/>
                    <w:ind w:firstLine="0" w:firstLineChars="0"/>
                    <w:jc w:val="center"/>
                    <w:rPr>
                      <w:sz w:val="21"/>
                      <w:szCs w:val="21"/>
                    </w:rPr>
                  </w:pPr>
                  <w:r>
                    <w:rPr>
                      <w:sz w:val="21"/>
                      <w:szCs w:val="21"/>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9" w:type="pct"/>
                  <w:noWrap w:val="0"/>
                  <w:vAlign w:val="top"/>
                </w:tcPr>
                <w:p>
                  <w:pPr>
                    <w:spacing w:line="240" w:lineRule="auto"/>
                    <w:ind w:firstLine="0" w:firstLineChars="0"/>
                    <w:jc w:val="center"/>
                    <w:rPr>
                      <w:sz w:val="21"/>
                      <w:szCs w:val="21"/>
                    </w:rPr>
                  </w:pPr>
                </w:p>
                <w:p>
                  <w:pPr>
                    <w:spacing w:line="240" w:lineRule="auto"/>
                    <w:ind w:firstLine="0" w:firstLineChars="0"/>
                    <w:jc w:val="center"/>
                    <w:rPr>
                      <w:sz w:val="21"/>
                      <w:szCs w:val="21"/>
                    </w:rPr>
                  </w:pPr>
                  <w:r>
                    <w:rPr>
                      <w:sz w:val="21"/>
                      <w:szCs w:val="21"/>
                    </w:rPr>
                    <w:t>生态保护红线</w:t>
                  </w:r>
                </w:p>
              </w:tc>
              <w:tc>
                <w:tcPr>
                  <w:tcW w:w="1884" w:type="pct"/>
                  <w:noWrap w:val="0"/>
                  <w:vAlign w:val="top"/>
                </w:tcPr>
                <w:p>
                  <w:pPr>
                    <w:spacing w:line="240" w:lineRule="auto"/>
                    <w:ind w:firstLine="0" w:firstLineChars="0"/>
                    <w:jc w:val="center"/>
                    <w:rPr>
                      <w:sz w:val="21"/>
                      <w:szCs w:val="21"/>
                    </w:rPr>
                  </w:pPr>
                  <w:r>
                    <w:rPr>
                      <w:sz w:val="21"/>
                      <w:szCs w:val="21"/>
                    </w:rPr>
                    <w:t>按照“生态功能不降低、面积不减少、性质不改变”的基本要求</w:t>
                  </w:r>
                  <w:r>
                    <w:rPr>
                      <w:rFonts w:hint="eastAsia"/>
                      <w:sz w:val="21"/>
                      <w:szCs w:val="21"/>
                      <w:lang w:eastAsia="zh-CN"/>
                    </w:rPr>
                    <w:t>，</w:t>
                  </w:r>
                  <w:r>
                    <w:rPr>
                      <w:sz w:val="21"/>
                      <w:szCs w:val="21"/>
                    </w:rPr>
                    <w:t>对划定的生</w:t>
                  </w:r>
                </w:p>
                <w:p>
                  <w:pPr>
                    <w:spacing w:line="240" w:lineRule="auto"/>
                    <w:ind w:firstLine="0" w:firstLineChars="0"/>
                    <w:jc w:val="center"/>
                    <w:rPr>
                      <w:rFonts w:hint="eastAsia"/>
                      <w:sz w:val="21"/>
                      <w:szCs w:val="21"/>
                      <w:lang w:eastAsia="zh-CN"/>
                    </w:rPr>
                  </w:pPr>
                  <w:r>
                    <w:rPr>
                      <w:sz w:val="21"/>
                      <w:szCs w:val="21"/>
                    </w:rPr>
                    <w:t>态保护红线实施严格管控，保障和维护国家生态安全的底线和生命线</w:t>
                  </w:r>
                  <w:r>
                    <w:rPr>
                      <w:rFonts w:hint="eastAsia"/>
                      <w:sz w:val="21"/>
                      <w:szCs w:val="21"/>
                      <w:lang w:eastAsia="zh-CN"/>
                    </w:rPr>
                    <w:t>。</w:t>
                  </w:r>
                </w:p>
              </w:tc>
              <w:tc>
                <w:tcPr>
                  <w:tcW w:w="2027" w:type="pct"/>
                  <w:noWrap w:val="0"/>
                  <w:vAlign w:val="top"/>
                </w:tcPr>
                <w:p>
                  <w:pPr>
                    <w:spacing w:line="240" w:lineRule="auto"/>
                    <w:ind w:firstLine="0" w:firstLineChars="0"/>
                    <w:jc w:val="center"/>
                    <w:rPr>
                      <w:rFonts w:hint="default" w:eastAsia="宋体"/>
                      <w:sz w:val="21"/>
                      <w:szCs w:val="21"/>
                      <w:lang w:val="en-US" w:eastAsia="zh-CN"/>
                    </w:rPr>
                  </w:pPr>
                  <w:r>
                    <w:rPr>
                      <w:rFonts w:hint="eastAsia"/>
                      <w:sz w:val="21"/>
                      <w:szCs w:val="21"/>
                    </w:rPr>
                    <w:t>本项目为</w:t>
                  </w:r>
                  <w:r>
                    <w:rPr>
                      <w:rFonts w:hint="default"/>
                      <w:sz w:val="21"/>
                      <w:szCs w:val="21"/>
                      <w:lang w:val="en-US" w:eastAsia="zh-CN"/>
                    </w:rPr>
                    <w:t>中小河流治理工程</w:t>
                  </w:r>
                  <w:r>
                    <w:rPr>
                      <w:rFonts w:hint="eastAsia"/>
                      <w:sz w:val="21"/>
                      <w:szCs w:val="21"/>
                    </w:rPr>
                    <w:t>，</w:t>
                  </w:r>
                  <w:r>
                    <w:rPr>
                      <w:rFonts w:hint="eastAsia"/>
                      <w:sz w:val="21"/>
                      <w:szCs w:val="21"/>
                      <w:lang w:val="en-US" w:eastAsia="zh-CN"/>
                    </w:rPr>
                    <w:t>位于</w:t>
                  </w:r>
                  <w:r>
                    <w:rPr>
                      <w:rFonts w:hint="default"/>
                      <w:sz w:val="21"/>
                      <w:szCs w:val="21"/>
                      <w:lang w:val="en-US" w:eastAsia="zh-CN"/>
                    </w:rPr>
                    <w:t>白杨河五圣宫水文站至S303省道29.15km范围的河段</w:t>
                  </w:r>
                  <w:r>
                    <w:rPr>
                      <w:rFonts w:hint="eastAsia"/>
                      <w:sz w:val="21"/>
                      <w:szCs w:val="21"/>
                      <w:lang w:val="en-US" w:eastAsia="zh-CN"/>
                    </w:rPr>
                    <w:t>，建设地址不涉及生态保护红线、项目区不占用公益林、建设区域内无</w:t>
                  </w:r>
                  <w:r>
                    <w:rPr>
                      <w:rFonts w:hint="default"/>
                      <w:sz w:val="21"/>
                      <w:szCs w:val="21"/>
                      <w:lang w:val="en-US" w:eastAsia="zh-CN"/>
                    </w:rPr>
                    <w:t>重点保护野生动物栖息地</w:t>
                  </w:r>
                  <w:r>
                    <w:rPr>
                      <w:rFonts w:hint="eastAsia"/>
                      <w:sz w:val="21"/>
                      <w:szCs w:val="21"/>
                      <w:lang w:val="en-US" w:eastAsia="zh-CN"/>
                    </w:rPr>
                    <w:t>、</w:t>
                  </w:r>
                  <w:r>
                    <w:rPr>
                      <w:rFonts w:hint="default"/>
                      <w:sz w:val="21"/>
                      <w:szCs w:val="21"/>
                      <w:lang w:val="en-US" w:eastAsia="zh-CN"/>
                    </w:rPr>
                    <w:t>重点保护野生植物生长繁殖地，重要水生生物的自然产卵场、索饵场、越冬场和洄游通道</w:t>
                  </w:r>
                  <w:r>
                    <w:rPr>
                      <w:rFonts w:hint="eastAsia"/>
                      <w:sz w:val="21"/>
                      <w:szCs w:val="21"/>
                      <w:lang w:val="en-US" w:eastAsia="zh-CN"/>
                    </w:rPr>
                    <w:t>，</w:t>
                  </w:r>
                  <w:r>
                    <w:rPr>
                      <w:rFonts w:hint="eastAsia"/>
                      <w:sz w:val="21"/>
                      <w:szCs w:val="21"/>
                    </w:rPr>
                    <w:t>本项目建设符合生态保护红线要求</w:t>
                  </w:r>
                  <w:r>
                    <w:rPr>
                      <w:rFonts w:hint="eastAsia"/>
                      <w:sz w:val="21"/>
                      <w:szCs w:val="21"/>
                      <w:lang w:eastAsia="zh-CN"/>
                    </w:rPr>
                    <w:t>，</w:t>
                  </w:r>
                  <w:r>
                    <w:rPr>
                      <w:rFonts w:hint="eastAsia"/>
                      <w:sz w:val="21"/>
                      <w:szCs w:val="21"/>
                      <w:lang w:val="en-US" w:eastAsia="zh-CN"/>
                    </w:rPr>
                    <w:t>详见附图1项目区与生态保护红线关系位置图。</w:t>
                  </w:r>
                </w:p>
              </w:tc>
              <w:tc>
                <w:tcPr>
                  <w:tcW w:w="527" w:type="pct"/>
                  <w:noWrap w:val="0"/>
                  <w:vAlign w:val="top"/>
                </w:tcPr>
                <w:p>
                  <w:pPr>
                    <w:spacing w:line="240" w:lineRule="auto"/>
                    <w:ind w:firstLine="0" w:firstLineChars="0"/>
                    <w:jc w:val="center"/>
                    <w:rPr>
                      <w:sz w:val="21"/>
                      <w:szCs w:val="21"/>
                    </w:rPr>
                  </w:pPr>
                </w:p>
                <w:p>
                  <w:pPr>
                    <w:spacing w:line="240" w:lineRule="auto"/>
                    <w:ind w:firstLine="0" w:firstLineChars="0"/>
                    <w:jc w:val="center"/>
                    <w:rPr>
                      <w:sz w:val="21"/>
                      <w:szCs w:val="21"/>
                    </w:rPr>
                  </w:pPr>
                  <w:r>
                    <w:rPr>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9" w:type="pct"/>
                  <w:noWrap w:val="0"/>
                  <w:vAlign w:val="top"/>
                </w:tcPr>
                <w:p>
                  <w:pPr>
                    <w:spacing w:line="240" w:lineRule="auto"/>
                    <w:ind w:firstLine="0" w:firstLineChars="0"/>
                    <w:jc w:val="center"/>
                    <w:rPr>
                      <w:rFonts w:hint="default" w:ascii="Times New Roman" w:hAnsi="Times New Roman" w:cs="Times New Roman"/>
                      <w:sz w:val="21"/>
                      <w:szCs w:val="21"/>
                    </w:rPr>
                  </w:pPr>
                </w:p>
                <w:p>
                  <w:pPr>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资源利用上线</w:t>
                  </w:r>
                </w:p>
              </w:tc>
              <w:tc>
                <w:tcPr>
                  <w:tcW w:w="1884" w:type="pct"/>
                  <w:noWrap w:val="0"/>
                  <w:vAlign w:val="top"/>
                </w:tcPr>
                <w:p>
                  <w:pPr>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强化节约集约利用，持续提升资源能源利用效率，水资源</w:t>
                  </w:r>
                  <w:r>
                    <w:rPr>
                      <w:rFonts w:hint="default" w:ascii="Times New Roman" w:hAnsi="Times New Roman" w:cs="Times New Roman"/>
                      <w:sz w:val="21"/>
                      <w:szCs w:val="21"/>
                      <w:lang w:eastAsia="zh-CN"/>
                    </w:rPr>
                    <w:t>、</w:t>
                  </w:r>
                  <w:r>
                    <w:rPr>
                      <w:rFonts w:hint="default" w:ascii="Times New Roman" w:hAnsi="Times New Roman" w:cs="Times New Roman"/>
                      <w:sz w:val="21"/>
                      <w:szCs w:val="21"/>
                    </w:rPr>
                    <w:t>土地资源、能源消耗等达到国家、自治区下达的总量和强度控制目标</w:t>
                  </w:r>
                  <w:r>
                    <w:rPr>
                      <w:rFonts w:hint="default" w:ascii="Times New Roman" w:hAnsi="Times New Roman" w:cs="Times New Roman"/>
                      <w:sz w:val="21"/>
                      <w:szCs w:val="21"/>
                      <w:lang w:eastAsia="zh-CN"/>
                    </w:rPr>
                    <w:t>，</w:t>
                  </w:r>
                  <w:r>
                    <w:rPr>
                      <w:rFonts w:hint="default" w:ascii="Times New Roman" w:hAnsi="Times New Roman" w:cs="Times New Roman"/>
                      <w:sz w:val="21"/>
                      <w:szCs w:val="21"/>
                    </w:rPr>
                    <w:t>加快区域低碳发展</w:t>
                  </w:r>
                  <w:r>
                    <w:rPr>
                      <w:rFonts w:hint="default" w:ascii="Times New Roman" w:hAnsi="Times New Roman" w:cs="Times New Roman"/>
                      <w:sz w:val="21"/>
                      <w:szCs w:val="21"/>
                      <w:lang w:eastAsia="zh-CN"/>
                    </w:rPr>
                    <w:t>，</w:t>
                  </w:r>
                  <w:r>
                    <w:rPr>
                      <w:rFonts w:hint="default" w:ascii="Times New Roman" w:hAnsi="Times New Roman" w:cs="Times New Roman"/>
                      <w:sz w:val="21"/>
                      <w:szCs w:val="21"/>
                    </w:rPr>
                    <w:t>积极推动乌鲁木齐市、昌吉市、伊宁市</w:t>
                  </w:r>
                  <w:r>
                    <w:rPr>
                      <w:rFonts w:hint="default" w:ascii="Times New Roman" w:hAnsi="Times New Roman" w:cs="Times New Roman"/>
                      <w:sz w:val="21"/>
                      <w:szCs w:val="21"/>
                      <w:lang w:eastAsia="zh-CN"/>
                    </w:rPr>
                    <w:t>、</w:t>
                  </w:r>
                  <w:r>
                    <w:rPr>
                      <w:rFonts w:hint="default" w:ascii="Times New Roman" w:hAnsi="Times New Roman" w:cs="Times New Roman"/>
                      <w:sz w:val="21"/>
                      <w:szCs w:val="21"/>
                    </w:rPr>
                    <w:t>和田市等4个国家级低碳试点城市发挥低碳试点示范和引领作用。</w:t>
                  </w:r>
                </w:p>
              </w:tc>
              <w:tc>
                <w:tcPr>
                  <w:tcW w:w="2027" w:type="pct"/>
                  <w:noWrap w:val="0"/>
                  <w:vAlign w:val="top"/>
                </w:tcPr>
                <w:p>
                  <w:pPr>
                    <w:spacing w:line="240" w:lineRule="auto"/>
                    <w:ind w:firstLine="0" w:firstLine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本项目为</w:t>
                  </w:r>
                  <w:r>
                    <w:rPr>
                      <w:rFonts w:hint="default"/>
                      <w:sz w:val="21"/>
                      <w:szCs w:val="21"/>
                      <w:lang w:val="en-US" w:eastAsia="zh-CN"/>
                    </w:rPr>
                    <w:t>中小河流治理工程</w:t>
                  </w:r>
                  <w:r>
                    <w:rPr>
                      <w:rFonts w:hint="default" w:ascii="Times New Roman" w:hAnsi="Times New Roman" w:cs="Times New Roman"/>
                      <w:sz w:val="21"/>
                      <w:szCs w:val="21"/>
                      <w:lang w:val="en-US" w:eastAsia="zh-CN"/>
                    </w:rPr>
                    <w:t>，属于生态类项目，工程运行期本身并不消耗资源和能源，不产生和排放污染物，不会对项目区环境质量产生影响，在严格落实相关规划确定引水总量及生态流量的基础下，项目的建设对能源、水、土地等资源影响不大，符合资源利用上线要求。</w:t>
                  </w:r>
                </w:p>
              </w:tc>
              <w:tc>
                <w:tcPr>
                  <w:tcW w:w="527" w:type="pct"/>
                  <w:noWrap w:val="0"/>
                  <w:vAlign w:val="top"/>
                </w:tcPr>
                <w:p>
                  <w:pPr>
                    <w:spacing w:line="240" w:lineRule="auto"/>
                    <w:ind w:firstLine="0" w:firstLineChars="0"/>
                    <w:jc w:val="center"/>
                    <w:rPr>
                      <w:rFonts w:hint="default" w:ascii="Times New Roman" w:hAnsi="Times New Roman" w:cs="Times New Roman"/>
                      <w:sz w:val="21"/>
                      <w:szCs w:val="21"/>
                    </w:rPr>
                  </w:pPr>
                </w:p>
                <w:p>
                  <w:pPr>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9" w:type="pct"/>
                  <w:noWrap w:val="0"/>
                  <w:vAlign w:val="top"/>
                </w:tcPr>
                <w:p>
                  <w:pPr>
                    <w:spacing w:line="240" w:lineRule="auto"/>
                    <w:ind w:firstLine="0" w:firstLineChars="0"/>
                    <w:jc w:val="center"/>
                    <w:rPr>
                      <w:rFonts w:hint="default" w:ascii="Times New Roman" w:hAnsi="Times New Roman" w:cs="Times New Roman"/>
                      <w:sz w:val="21"/>
                      <w:szCs w:val="21"/>
                    </w:rPr>
                  </w:pPr>
                </w:p>
                <w:p>
                  <w:pPr>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环境质量底线</w:t>
                  </w:r>
                </w:p>
              </w:tc>
              <w:tc>
                <w:tcPr>
                  <w:tcW w:w="1884" w:type="pct"/>
                  <w:noWrap w:val="0"/>
                  <w:vAlign w:val="top"/>
                </w:tcPr>
                <w:p>
                  <w:pPr>
                    <w:spacing w:line="240" w:lineRule="auto"/>
                    <w:ind w:firstLine="0" w:firstLineChars="0"/>
                    <w:jc w:val="both"/>
                    <w:rPr>
                      <w:rFonts w:hint="default" w:ascii="Times New Roman" w:hAnsi="Times New Roman" w:cs="Times New Roman"/>
                      <w:sz w:val="21"/>
                      <w:szCs w:val="21"/>
                    </w:rPr>
                  </w:pPr>
                  <w:r>
                    <w:rPr>
                      <w:rFonts w:hint="default" w:ascii="Times New Roman" w:hAnsi="Times New Roman" w:cs="Times New Roman"/>
                      <w:sz w:val="21"/>
                      <w:szCs w:val="21"/>
                    </w:rPr>
                    <w:t>全区水环境质量持续改善，受污染地表水体得到有效治理，饮用水安全保障水平持续提升，地下水超采得到严格控制，地下水水质保持稳定；全区环境空气质量有所提升，重污染天数持续减少，已达标城市环境空气质量保持稳定，未达标城市环境空气质量持续改善，沙尘影响严重地区做好防风固沙、生态环境保护修复等工作；全区土壤环境质量保持稳定，污染地块安全利用水平稳中有升，土壤环境风险得到进一步管控。</w:t>
                  </w:r>
                </w:p>
              </w:tc>
              <w:tc>
                <w:tcPr>
                  <w:tcW w:w="2027" w:type="pct"/>
                  <w:noWrap w:val="0"/>
                  <w:vAlign w:val="top"/>
                </w:tcPr>
                <w:p>
                  <w:pPr>
                    <w:pStyle w:val="167"/>
                    <w:spacing w:line="240" w:lineRule="auto"/>
                    <w:ind w:left="0" w:leftChars="0"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本项目为</w:t>
                  </w:r>
                  <w:r>
                    <w:rPr>
                      <w:rFonts w:hint="default"/>
                      <w:sz w:val="21"/>
                      <w:szCs w:val="21"/>
                      <w:lang w:val="en-US" w:eastAsia="zh-CN"/>
                    </w:rPr>
                    <w:t>中小</w:t>
                  </w:r>
                  <w:r>
                    <w:rPr>
                      <w:rFonts w:hint="default" w:ascii="Times New Roman" w:hAnsi="Times New Roman" w:eastAsia="宋体" w:cs="Times New Roman"/>
                      <w:kern w:val="2"/>
                      <w:sz w:val="21"/>
                      <w:szCs w:val="21"/>
                      <w:lang w:val="en-US" w:eastAsia="zh-CN" w:bidi="ar-SA"/>
                    </w:rPr>
                    <w:t>河流治理工程，运营期无废气、废水、噪声和固废等污染物产生，项目建成后不会突破所在地环境质量底线，因此，项目建设符合环境质量底线要求。</w:t>
                  </w:r>
                </w:p>
                <w:p>
                  <w:pPr>
                    <w:pStyle w:val="167"/>
                    <w:spacing w:line="240" w:lineRule="auto"/>
                    <w:ind w:left="0" w:leftChars="0" w:firstLine="0" w:firstLineChars="0"/>
                    <w:jc w:val="center"/>
                    <w:rPr>
                      <w:rFonts w:hint="default" w:ascii="Times New Roman" w:hAnsi="Times New Roman" w:cs="Times New Roman"/>
                      <w:sz w:val="21"/>
                      <w:szCs w:val="21"/>
                      <w:lang w:val="en-US" w:eastAsia="zh-CN"/>
                    </w:rPr>
                  </w:pPr>
                </w:p>
              </w:tc>
              <w:tc>
                <w:tcPr>
                  <w:tcW w:w="527" w:type="pct"/>
                  <w:noWrap w:val="0"/>
                  <w:vAlign w:val="top"/>
                </w:tcPr>
                <w:p>
                  <w:pPr>
                    <w:spacing w:line="240" w:lineRule="auto"/>
                    <w:ind w:firstLine="0" w:firstLineChars="0"/>
                    <w:jc w:val="center"/>
                    <w:rPr>
                      <w:rFonts w:hint="default" w:ascii="Times New Roman" w:hAnsi="Times New Roman" w:cs="Times New Roman"/>
                      <w:sz w:val="21"/>
                      <w:szCs w:val="21"/>
                    </w:rPr>
                  </w:pPr>
                </w:p>
                <w:p>
                  <w:pPr>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44" w:type="pct"/>
                  <w:gridSpan w:val="2"/>
                  <w:noWrap w:val="0"/>
                  <w:vAlign w:val="top"/>
                </w:tcPr>
                <w:p>
                  <w:pPr>
                    <w:spacing w:line="240" w:lineRule="auto"/>
                    <w:ind w:firstLine="0" w:firstLineChars="0"/>
                    <w:jc w:val="center"/>
                    <w:rPr>
                      <w:rFonts w:hint="default" w:ascii="Times New Roman" w:hAnsi="Times New Roman" w:cs="Times New Roman"/>
                      <w:sz w:val="21"/>
                      <w:szCs w:val="21"/>
                    </w:rPr>
                  </w:pPr>
                </w:p>
                <w:p>
                  <w:pPr>
                    <w:spacing w:line="240" w:lineRule="auto"/>
                    <w:ind w:firstLine="0" w:firstLineChars="0"/>
                    <w:jc w:val="center"/>
                    <w:rPr>
                      <w:rFonts w:hint="default" w:ascii="Times New Roman" w:hAnsi="Times New Roman" w:cs="Times New Roman"/>
                      <w:sz w:val="21"/>
                      <w:szCs w:val="21"/>
                    </w:rPr>
                  </w:pPr>
                </w:p>
                <w:p>
                  <w:pPr>
                    <w:spacing w:line="240" w:lineRule="auto"/>
                    <w:ind w:firstLine="0" w:firstLineChars="0"/>
                    <w:jc w:val="center"/>
                    <w:rPr>
                      <w:rFonts w:hint="default" w:ascii="Times New Roman" w:hAnsi="Times New Roman" w:cs="Times New Roman"/>
                      <w:sz w:val="21"/>
                      <w:szCs w:val="21"/>
                    </w:rPr>
                  </w:pPr>
                </w:p>
                <w:p>
                  <w:pPr>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生态环境准入清单</w:t>
                  </w:r>
                </w:p>
              </w:tc>
              <w:tc>
                <w:tcPr>
                  <w:tcW w:w="2027" w:type="pct"/>
                  <w:noWrap w:val="0"/>
                  <w:vAlign w:val="top"/>
                </w:tcPr>
                <w:p>
                  <w:pPr>
                    <w:adjustRightInd w:val="0"/>
                    <w:snapToGrid w:val="0"/>
                    <w:spacing w:line="240" w:lineRule="auto"/>
                    <w:ind w:left="0" w:leftChars="0" w:firstLine="0" w:firstLine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本项目不在《新疆维吾尔自治区28个国家重点生态功能区县（市）产业准入负面清单（试行）》和《新疆维吾尔自治区17个新增纳入国家重点生态功能区县（市）产业准入负面清单（试行）》中限制类和禁止类区域。</w:t>
                  </w:r>
                </w:p>
              </w:tc>
              <w:tc>
                <w:tcPr>
                  <w:tcW w:w="527" w:type="pct"/>
                  <w:noWrap w:val="0"/>
                  <w:vAlign w:val="top"/>
                </w:tcPr>
                <w:p>
                  <w:pPr>
                    <w:spacing w:line="240" w:lineRule="auto"/>
                    <w:ind w:firstLine="0" w:firstLineChars="0"/>
                    <w:jc w:val="center"/>
                    <w:rPr>
                      <w:rFonts w:hint="default" w:ascii="Times New Roman" w:hAnsi="Times New Roman" w:cs="Times New Roman"/>
                      <w:sz w:val="21"/>
                      <w:szCs w:val="21"/>
                    </w:rPr>
                  </w:pPr>
                </w:p>
                <w:p>
                  <w:pPr>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符合</w:t>
                  </w:r>
                </w:p>
              </w:tc>
            </w:tr>
          </w:tbl>
          <w:p>
            <w:pPr>
              <w:pStyle w:val="167"/>
              <w:spacing w:line="360" w:lineRule="auto"/>
              <w:ind w:left="0" w:leftChars="0" w:firstLine="0" w:firstLineChars="0"/>
              <w:rPr>
                <w:rFonts w:hint="default" w:ascii="Times New Roman" w:hAnsi="Times New Roman" w:cs="Times New Roman"/>
                <w:b/>
                <w:bCs/>
                <w:lang w:val="en-US" w:eastAsia="zh-CN"/>
              </w:rPr>
            </w:pPr>
            <w:r>
              <w:rPr>
                <w:rFonts w:hint="default" w:ascii="Times New Roman" w:hAnsi="Times New Roman" w:cs="Times New Roman"/>
                <w:b/>
                <w:bCs/>
                <w:lang w:val="en-US" w:eastAsia="zh-CN"/>
              </w:rPr>
              <w:t>3、</w:t>
            </w:r>
            <w:r>
              <w:rPr>
                <w:rFonts w:hint="default" w:ascii="Times New Roman" w:hAnsi="Times New Roman" w:cs="Times New Roman"/>
                <w:b/>
                <w:bCs/>
              </w:rPr>
              <w:t>本项目建设与《新疆维吾尔自治区七大片区“三线一单”生态环境分区管控要求》（新政发</w:t>
            </w:r>
            <w:r>
              <w:rPr>
                <w:rFonts w:hint="default" w:ascii="Times New Roman" w:hAnsi="Times New Roman" w:cs="Times New Roman"/>
                <w:b/>
                <w:bCs/>
                <w:lang w:val="en-US" w:eastAsia="zh-CN"/>
              </w:rPr>
              <w:t>〔</w:t>
            </w:r>
            <w:r>
              <w:rPr>
                <w:rFonts w:hint="default" w:ascii="Times New Roman" w:hAnsi="Times New Roman" w:cs="Times New Roman"/>
                <w:b/>
                <w:bCs/>
              </w:rPr>
              <w:t>2021</w:t>
            </w:r>
            <w:r>
              <w:rPr>
                <w:rFonts w:hint="default" w:ascii="Times New Roman" w:hAnsi="Times New Roman" w:cs="Times New Roman"/>
                <w:b/>
                <w:bCs/>
                <w:lang w:val="en-US" w:eastAsia="zh-CN"/>
              </w:rPr>
              <w:t>〕</w:t>
            </w:r>
            <w:r>
              <w:rPr>
                <w:rFonts w:hint="default" w:ascii="Times New Roman" w:hAnsi="Times New Roman" w:cs="Times New Roman"/>
                <w:b/>
                <w:bCs/>
              </w:rPr>
              <w:t>162号）的符合性分析见表</w:t>
            </w:r>
            <w:r>
              <w:rPr>
                <w:rFonts w:hint="default" w:ascii="Times New Roman" w:hAnsi="Times New Roman" w:cs="Times New Roman"/>
                <w:b/>
                <w:bCs/>
                <w:lang w:val="en-US" w:eastAsia="zh-CN"/>
              </w:rPr>
              <w:t>1</w:t>
            </w:r>
            <w:r>
              <w:rPr>
                <w:rFonts w:hint="default" w:ascii="Times New Roman" w:hAnsi="Times New Roman" w:cs="Times New Roman"/>
                <w:b/>
                <w:bCs/>
              </w:rPr>
              <w:t>-</w:t>
            </w:r>
            <w:r>
              <w:rPr>
                <w:rFonts w:hint="default" w:ascii="Times New Roman" w:hAnsi="Times New Roman" w:cs="Times New Roman"/>
                <w:b/>
                <w:bCs/>
                <w:lang w:val="en-US" w:eastAsia="zh-CN"/>
              </w:rPr>
              <w:t>2</w:t>
            </w:r>
            <w:r>
              <w:rPr>
                <w:rFonts w:hint="default" w:ascii="Times New Roman" w:hAnsi="Times New Roman" w:cs="Times New Roman"/>
                <w:b/>
                <w:bCs/>
              </w:rPr>
              <w:t>。</w:t>
            </w:r>
          </w:p>
          <w:p>
            <w:pPr>
              <w:spacing w:line="240" w:lineRule="auto"/>
              <w:ind w:firstLine="0" w:firstLineChars="0"/>
              <w:jc w:val="center"/>
              <w:rPr>
                <w:rFonts w:hint="default" w:ascii="Times New Roman" w:hAnsi="Times New Roman" w:cs="Times New Roman"/>
              </w:rPr>
            </w:pPr>
            <w:r>
              <w:rPr>
                <w:rFonts w:hint="default" w:ascii="Times New Roman" w:hAnsi="Times New Roman" w:cs="Times New Roman"/>
                <w:b/>
                <w:bCs/>
                <w:sz w:val="21"/>
                <w:szCs w:val="21"/>
              </w:rPr>
              <w:t>表1-</w:t>
            </w:r>
            <w:r>
              <w:rPr>
                <w:rFonts w:hint="default" w:ascii="Times New Roman" w:hAnsi="Times New Roman" w:cs="Times New Roman"/>
                <w:b/>
                <w:bCs/>
                <w:sz w:val="21"/>
                <w:szCs w:val="21"/>
                <w:lang w:val="en-US" w:eastAsia="zh-CN"/>
              </w:rPr>
              <w:t xml:space="preserve">2    </w:t>
            </w:r>
            <w:r>
              <w:rPr>
                <w:rFonts w:hint="default" w:ascii="Times New Roman" w:hAnsi="Times New Roman" w:cs="Times New Roman"/>
                <w:b/>
                <w:bCs/>
                <w:sz w:val="21"/>
                <w:szCs w:val="21"/>
              </w:rPr>
              <w:t xml:space="preserve"> 新疆维吾尔自治区七大片区“三线一单”符合性分析一览表</w:t>
            </w:r>
          </w:p>
          <w:tbl>
            <w:tblPr>
              <w:tblStyle w:val="3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2542"/>
              <w:gridCol w:w="2750"/>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32" w:type="pct"/>
                  <w:gridSpan w:val="2"/>
                  <w:noWrap w:val="0"/>
                  <w:vAlign w:val="top"/>
                </w:tcPr>
                <w:p>
                  <w:pPr>
                    <w:spacing w:line="240" w:lineRule="auto"/>
                    <w:ind w:firstLine="0" w:firstLineChars="0"/>
                    <w:jc w:val="center"/>
                    <w:rPr>
                      <w:sz w:val="21"/>
                      <w:szCs w:val="21"/>
                    </w:rPr>
                  </w:pPr>
                  <w:r>
                    <w:rPr>
                      <w:sz w:val="21"/>
                      <w:szCs w:val="21"/>
                    </w:rPr>
                    <w:t>内容</w:t>
                  </w:r>
                </w:p>
              </w:tc>
              <w:tc>
                <w:tcPr>
                  <w:tcW w:w="2028" w:type="pct"/>
                  <w:noWrap w:val="0"/>
                  <w:vAlign w:val="top"/>
                </w:tcPr>
                <w:p>
                  <w:pPr>
                    <w:spacing w:line="240" w:lineRule="auto"/>
                    <w:ind w:firstLine="0" w:firstLineChars="0"/>
                    <w:jc w:val="center"/>
                    <w:rPr>
                      <w:sz w:val="21"/>
                      <w:szCs w:val="21"/>
                    </w:rPr>
                  </w:pPr>
                  <w:r>
                    <w:rPr>
                      <w:sz w:val="21"/>
                      <w:szCs w:val="21"/>
                    </w:rPr>
                    <w:t>本项目工程概况</w:t>
                  </w:r>
                </w:p>
              </w:tc>
              <w:tc>
                <w:tcPr>
                  <w:tcW w:w="538" w:type="pct"/>
                  <w:noWrap w:val="0"/>
                  <w:vAlign w:val="top"/>
                </w:tcPr>
                <w:p>
                  <w:pPr>
                    <w:spacing w:line="240" w:lineRule="auto"/>
                    <w:ind w:firstLine="0" w:firstLineChars="0"/>
                    <w:jc w:val="center"/>
                    <w:rPr>
                      <w:sz w:val="21"/>
                      <w:szCs w:val="21"/>
                    </w:rPr>
                  </w:pPr>
                  <w:r>
                    <w:rPr>
                      <w:sz w:val="21"/>
                      <w:szCs w:val="21"/>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8" w:type="pct"/>
                  <w:noWrap w:val="0"/>
                  <w:vAlign w:val="top"/>
                </w:tcPr>
                <w:p>
                  <w:pPr>
                    <w:spacing w:line="240" w:lineRule="auto"/>
                    <w:ind w:firstLine="0" w:firstLineChars="0"/>
                    <w:jc w:val="center"/>
                    <w:rPr>
                      <w:sz w:val="21"/>
                      <w:szCs w:val="21"/>
                    </w:rPr>
                  </w:pPr>
                </w:p>
                <w:p>
                  <w:pPr>
                    <w:spacing w:line="240" w:lineRule="auto"/>
                    <w:ind w:firstLine="0" w:firstLineChars="0"/>
                    <w:jc w:val="center"/>
                    <w:rPr>
                      <w:sz w:val="21"/>
                      <w:szCs w:val="21"/>
                    </w:rPr>
                  </w:pPr>
                  <w:r>
                    <w:rPr>
                      <w:sz w:val="21"/>
                      <w:szCs w:val="21"/>
                    </w:rPr>
                    <w:t>空间布局约束</w:t>
                  </w:r>
                </w:p>
              </w:tc>
              <w:tc>
                <w:tcPr>
                  <w:tcW w:w="1874" w:type="pct"/>
                  <w:noWrap w:val="0"/>
                  <w:vAlign w:val="top"/>
                </w:tcPr>
                <w:p>
                  <w:pPr>
                    <w:spacing w:line="240" w:lineRule="auto"/>
                    <w:ind w:firstLine="0" w:firstLineChars="0"/>
                    <w:jc w:val="center"/>
                    <w:rPr>
                      <w:rFonts w:hint="eastAsia"/>
                      <w:sz w:val="21"/>
                      <w:szCs w:val="21"/>
                      <w:lang w:eastAsia="zh-CN"/>
                    </w:rPr>
                  </w:pPr>
                  <w:r>
                    <w:rPr>
                      <w:sz w:val="21"/>
                      <w:szCs w:val="21"/>
                    </w:rPr>
                    <w:t>严格执行国家、自治区产业政策和环境准入要求，严禁“三高”项目进新疆，坚决遏制“两高”项目盲目发展</w:t>
                  </w:r>
                  <w:r>
                    <w:rPr>
                      <w:rFonts w:hint="eastAsia"/>
                      <w:sz w:val="21"/>
                      <w:szCs w:val="21"/>
                      <w:lang w:eastAsia="zh-CN"/>
                    </w:rPr>
                    <w:t>，</w:t>
                  </w:r>
                  <w:r>
                    <w:rPr>
                      <w:sz w:val="21"/>
                      <w:szCs w:val="21"/>
                    </w:rPr>
                    <w:t>不得在水源涵养区、饮用水水源保护区内和河流、湖泊、水库周围建设重化工、涉重金属等工业污染项目。</w:t>
                  </w:r>
                </w:p>
              </w:tc>
              <w:tc>
                <w:tcPr>
                  <w:tcW w:w="2028" w:type="pct"/>
                  <w:noWrap w:val="0"/>
                  <w:vAlign w:val="top"/>
                </w:tcPr>
                <w:p>
                  <w:pPr>
                    <w:spacing w:line="240" w:lineRule="auto"/>
                    <w:ind w:firstLine="0" w:firstLineChars="0"/>
                    <w:jc w:val="center"/>
                    <w:rPr>
                      <w:rFonts w:hint="eastAsia"/>
                      <w:sz w:val="21"/>
                      <w:szCs w:val="21"/>
                      <w:lang w:eastAsia="zh-CN"/>
                    </w:rPr>
                  </w:pPr>
                  <w:r>
                    <w:rPr>
                      <w:rFonts w:hint="eastAsia"/>
                      <w:sz w:val="21"/>
                      <w:szCs w:val="21"/>
                    </w:rPr>
                    <w:t>本项目不涉及高污染、高环境风险产品，不占用耕地</w:t>
                  </w:r>
                  <w:r>
                    <w:rPr>
                      <w:rFonts w:hint="eastAsia"/>
                      <w:sz w:val="21"/>
                      <w:szCs w:val="21"/>
                      <w:lang w:eastAsia="zh-CN"/>
                    </w:rPr>
                    <w:t>，</w:t>
                  </w:r>
                  <w:r>
                    <w:rPr>
                      <w:rFonts w:hint="eastAsia"/>
                      <w:sz w:val="21"/>
                      <w:szCs w:val="21"/>
                    </w:rPr>
                    <w:t>且项目区不涉及水源涵养区、地下水源、饮用水源、各类自然保护区、自然生态良好区、风景名胜区及人口密集区等敏感区域，满足空间布局约束要求。</w:t>
                  </w:r>
                </w:p>
              </w:tc>
              <w:tc>
                <w:tcPr>
                  <w:tcW w:w="538" w:type="pct"/>
                  <w:noWrap w:val="0"/>
                  <w:vAlign w:val="top"/>
                </w:tcPr>
                <w:p>
                  <w:pPr>
                    <w:spacing w:line="240" w:lineRule="auto"/>
                    <w:ind w:firstLine="0" w:firstLineChars="0"/>
                    <w:jc w:val="center"/>
                    <w:rPr>
                      <w:sz w:val="21"/>
                      <w:szCs w:val="21"/>
                    </w:rPr>
                  </w:pPr>
                </w:p>
                <w:p>
                  <w:pPr>
                    <w:spacing w:line="240" w:lineRule="auto"/>
                    <w:ind w:firstLine="0" w:firstLineChars="0"/>
                    <w:jc w:val="center"/>
                    <w:rPr>
                      <w:sz w:val="21"/>
                      <w:szCs w:val="21"/>
                    </w:rPr>
                  </w:pPr>
                  <w:r>
                    <w:rPr>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8" w:type="pct"/>
                  <w:noWrap w:val="0"/>
                  <w:vAlign w:val="top"/>
                </w:tcPr>
                <w:p>
                  <w:pPr>
                    <w:spacing w:line="240" w:lineRule="auto"/>
                    <w:ind w:firstLine="0" w:firstLineChars="0"/>
                    <w:jc w:val="center"/>
                    <w:rPr>
                      <w:sz w:val="21"/>
                      <w:szCs w:val="21"/>
                    </w:rPr>
                  </w:pPr>
                </w:p>
                <w:p>
                  <w:pPr>
                    <w:spacing w:line="240" w:lineRule="auto"/>
                    <w:ind w:firstLine="0" w:firstLineChars="0"/>
                    <w:jc w:val="center"/>
                    <w:rPr>
                      <w:sz w:val="21"/>
                      <w:szCs w:val="21"/>
                    </w:rPr>
                  </w:pPr>
                  <w:r>
                    <w:rPr>
                      <w:sz w:val="21"/>
                      <w:szCs w:val="21"/>
                    </w:rPr>
                    <w:t>污染物排放管控</w:t>
                  </w:r>
                </w:p>
              </w:tc>
              <w:tc>
                <w:tcPr>
                  <w:tcW w:w="1874" w:type="pct"/>
                  <w:noWrap w:val="0"/>
                  <w:vAlign w:val="top"/>
                </w:tcPr>
                <w:p>
                  <w:pPr>
                    <w:spacing w:line="240" w:lineRule="auto"/>
                    <w:ind w:firstLine="0" w:firstLineChars="0"/>
                    <w:jc w:val="center"/>
                    <w:rPr>
                      <w:rFonts w:hint="default"/>
                      <w:sz w:val="21"/>
                      <w:szCs w:val="21"/>
                    </w:rPr>
                  </w:pPr>
                  <w:r>
                    <w:rPr>
                      <w:sz w:val="21"/>
                      <w:szCs w:val="21"/>
                    </w:rPr>
                    <w:t>深入开展燃煤锅炉污染综合整治，深化工业炉窑综合治理</w:t>
                  </w:r>
                  <w:r>
                    <w:rPr>
                      <w:rFonts w:hint="eastAsia"/>
                      <w:sz w:val="21"/>
                      <w:szCs w:val="21"/>
                      <w:lang w:eastAsia="zh-CN"/>
                    </w:rPr>
                    <w:t>，</w:t>
                  </w:r>
                  <w:r>
                    <w:rPr>
                      <w:sz w:val="21"/>
                      <w:szCs w:val="21"/>
                    </w:rPr>
                    <w:t>加强“散乱污”企业综合整治</w:t>
                  </w:r>
                  <w:r>
                    <w:rPr>
                      <w:rFonts w:hint="eastAsia"/>
                      <w:sz w:val="21"/>
                      <w:szCs w:val="21"/>
                      <w:lang w:eastAsia="zh-CN"/>
                    </w:rPr>
                    <w:t>，</w:t>
                  </w:r>
                  <w:r>
                    <w:rPr>
                      <w:sz w:val="21"/>
                      <w:szCs w:val="21"/>
                    </w:rPr>
                    <w:t>减少水污染物排放，持续改善水环境质量</w:t>
                  </w:r>
                  <w:r>
                    <w:rPr>
                      <w:rFonts w:hint="eastAsia"/>
                      <w:sz w:val="21"/>
                      <w:szCs w:val="21"/>
                      <w:lang w:eastAsia="zh-CN"/>
                    </w:rPr>
                    <w:t>，</w:t>
                  </w:r>
                  <w:r>
                    <w:rPr>
                      <w:sz w:val="21"/>
                      <w:szCs w:val="21"/>
                    </w:rPr>
                    <w:t>不断提高工业用水重复利用率。</w:t>
                  </w:r>
                </w:p>
              </w:tc>
              <w:tc>
                <w:tcPr>
                  <w:tcW w:w="2028" w:type="pct"/>
                  <w:noWrap w:val="0"/>
                  <w:vAlign w:val="top"/>
                </w:tcPr>
                <w:p>
                  <w:pPr>
                    <w:keepNext w:val="0"/>
                    <w:keepLines w:val="0"/>
                    <w:widowControl/>
                    <w:suppressLineNumbers w:val="0"/>
                    <w:spacing w:line="240" w:lineRule="auto"/>
                    <w:ind w:left="0" w:leftChars="0" w:firstLine="0" w:firstLineChars="0"/>
                    <w:jc w:val="center"/>
                    <w:rPr>
                      <w:rFonts w:hint="eastAsia"/>
                      <w:sz w:val="21"/>
                      <w:szCs w:val="21"/>
                      <w:lang w:eastAsia="zh-CN"/>
                    </w:rPr>
                  </w:pPr>
                  <w:r>
                    <w:rPr>
                      <w:rFonts w:hint="eastAsia"/>
                      <w:sz w:val="21"/>
                      <w:szCs w:val="21"/>
                    </w:rPr>
                    <w:t>项目所在地区环境空气质量为不达标区域，项目仅为施工期对环境影响较大，但施工期短，随着施工期结束，环境污染也将结束。</w:t>
                  </w:r>
                </w:p>
              </w:tc>
              <w:tc>
                <w:tcPr>
                  <w:tcW w:w="538" w:type="pct"/>
                  <w:noWrap w:val="0"/>
                  <w:vAlign w:val="top"/>
                </w:tcPr>
                <w:p>
                  <w:pPr>
                    <w:spacing w:line="240" w:lineRule="auto"/>
                    <w:ind w:firstLine="0" w:firstLineChars="0"/>
                    <w:jc w:val="center"/>
                    <w:rPr>
                      <w:sz w:val="21"/>
                      <w:szCs w:val="21"/>
                    </w:rPr>
                  </w:pPr>
                </w:p>
                <w:p>
                  <w:pPr>
                    <w:spacing w:line="240" w:lineRule="auto"/>
                    <w:ind w:firstLine="0" w:firstLineChars="0"/>
                    <w:jc w:val="center"/>
                    <w:rPr>
                      <w:sz w:val="21"/>
                      <w:szCs w:val="21"/>
                    </w:rPr>
                  </w:pPr>
                  <w:r>
                    <w:rPr>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8" w:type="pct"/>
                  <w:noWrap w:val="0"/>
                  <w:vAlign w:val="top"/>
                </w:tcPr>
                <w:p>
                  <w:pPr>
                    <w:spacing w:line="240" w:lineRule="auto"/>
                    <w:ind w:firstLine="0" w:firstLineChars="0"/>
                    <w:jc w:val="center"/>
                    <w:rPr>
                      <w:sz w:val="21"/>
                      <w:szCs w:val="21"/>
                    </w:rPr>
                  </w:pPr>
                </w:p>
                <w:p>
                  <w:pPr>
                    <w:spacing w:line="240" w:lineRule="auto"/>
                    <w:ind w:firstLine="0" w:firstLineChars="0"/>
                    <w:jc w:val="center"/>
                    <w:rPr>
                      <w:sz w:val="21"/>
                      <w:szCs w:val="21"/>
                    </w:rPr>
                  </w:pPr>
                  <w:r>
                    <w:rPr>
                      <w:sz w:val="21"/>
                      <w:szCs w:val="21"/>
                    </w:rPr>
                    <w:t>环境风险防控</w:t>
                  </w:r>
                </w:p>
              </w:tc>
              <w:tc>
                <w:tcPr>
                  <w:tcW w:w="1874" w:type="pct"/>
                  <w:noWrap w:val="0"/>
                  <w:vAlign w:val="top"/>
                </w:tcPr>
                <w:p>
                  <w:pPr>
                    <w:spacing w:line="240" w:lineRule="auto"/>
                    <w:ind w:firstLine="0" w:firstLineChars="0"/>
                    <w:jc w:val="center"/>
                    <w:rPr>
                      <w:rFonts w:hint="eastAsia"/>
                      <w:sz w:val="21"/>
                      <w:szCs w:val="21"/>
                      <w:lang w:eastAsia="zh-CN"/>
                    </w:rPr>
                  </w:pPr>
                  <w:r>
                    <w:rPr>
                      <w:sz w:val="21"/>
                      <w:szCs w:val="21"/>
                    </w:rPr>
                    <w:t>禁止在化工园区外新建、扩建危险化学品生产项目</w:t>
                  </w:r>
                  <w:r>
                    <w:rPr>
                      <w:rFonts w:hint="eastAsia"/>
                      <w:sz w:val="21"/>
                      <w:szCs w:val="21"/>
                      <w:lang w:eastAsia="zh-CN"/>
                    </w:rPr>
                    <w:t>，</w:t>
                  </w:r>
                  <w:r>
                    <w:rPr>
                      <w:sz w:val="21"/>
                      <w:szCs w:val="21"/>
                    </w:rPr>
                    <w:t>严格落实危险废物处置相关要求</w:t>
                  </w:r>
                  <w:r>
                    <w:rPr>
                      <w:rFonts w:hint="eastAsia"/>
                      <w:sz w:val="21"/>
                      <w:szCs w:val="21"/>
                      <w:lang w:eastAsia="zh-CN"/>
                    </w:rPr>
                    <w:t>，</w:t>
                  </w:r>
                  <w:r>
                    <w:rPr>
                      <w:sz w:val="21"/>
                      <w:szCs w:val="21"/>
                    </w:rPr>
                    <w:t>加强重点流域水环境风险管控，保障水环境安全</w:t>
                  </w:r>
                  <w:r>
                    <w:rPr>
                      <w:rFonts w:hint="eastAsia"/>
                      <w:sz w:val="21"/>
                      <w:szCs w:val="21"/>
                      <w:lang w:eastAsia="zh-CN"/>
                    </w:rPr>
                    <w:t>。</w:t>
                  </w:r>
                </w:p>
              </w:tc>
              <w:tc>
                <w:tcPr>
                  <w:tcW w:w="2028" w:type="pct"/>
                  <w:noWrap w:val="0"/>
                  <w:vAlign w:val="top"/>
                </w:tcPr>
                <w:p>
                  <w:pPr>
                    <w:spacing w:line="240" w:lineRule="auto"/>
                    <w:ind w:firstLine="0" w:firstLineChars="0"/>
                    <w:jc w:val="center"/>
                    <w:rPr>
                      <w:rFonts w:hint="eastAsia"/>
                      <w:sz w:val="21"/>
                      <w:szCs w:val="21"/>
                    </w:rPr>
                  </w:pPr>
                </w:p>
                <w:p>
                  <w:pPr>
                    <w:spacing w:line="240" w:lineRule="auto"/>
                    <w:ind w:firstLine="0" w:firstLineChars="0"/>
                    <w:jc w:val="center"/>
                    <w:rPr>
                      <w:rFonts w:hint="eastAsia"/>
                      <w:sz w:val="21"/>
                      <w:szCs w:val="21"/>
                      <w:lang w:eastAsia="zh-CN"/>
                    </w:rPr>
                  </w:pPr>
                  <w:r>
                    <w:rPr>
                      <w:rFonts w:hint="eastAsia"/>
                      <w:sz w:val="21"/>
                      <w:szCs w:val="21"/>
                    </w:rPr>
                    <w:t>项目不涉及重金属</w:t>
                  </w:r>
                  <w:r>
                    <w:rPr>
                      <w:rFonts w:hint="eastAsia"/>
                      <w:sz w:val="21"/>
                      <w:szCs w:val="21"/>
                      <w:highlight w:val="none"/>
                    </w:rPr>
                    <w:t>、</w:t>
                  </w:r>
                  <w:r>
                    <w:rPr>
                      <w:rFonts w:hint="eastAsia"/>
                      <w:sz w:val="21"/>
                      <w:szCs w:val="21"/>
                      <w:highlight w:val="none"/>
                      <w:lang w:val="en-US" w:eastAsia="zh-CN"/>
                    </w:rPr>
                    <w:t>不排放</w:t>
                  </w:r>
                  <w:r>
                    <w:rPr>
                      <w:rFonts w:hint="eastAsia"/>
                      <w:sz w:val="21"/>
                      <w:szCs w:val="21"/>
                    </w:rPr>
                    <w:t>其他有毒有害物质含量超标的污水、污泥</w:t>
                  </w:r>
                  <w:r>
                    <w:rPr>
                      <w:rFonts w:hint="eastAsia"/>
                      <w:sz w:val="21"/>
                      <w:szCs w:val="21"/>
                      <w:lang w:eastAsia="zh-CN"/>
                    </w:rPr>
                    <w:t>。</w:t>
                  </w:r>
                </w:p>
              </w:tc>
              <w:tc>
                <w:tcPr>
                  <w:tcW w:w="538" w:type="pct"/>
                  <w:noWrap w:val="0"/>
                  <w:vAlign w:val="top"/>
                </w:tcPr>
                <w:p>
                  <w:pPr>
                    <w:spacing w:line="240" w:lineRule="auto"/>
                    <w:ind w:firstLine="0" w:firstLineChars="0"/>
                    <w:jc w:val="center"/>
                    <w:rPr>
                      <w:sz w:val="21"/>
                      <w:szCs w:val="21"/>
                    </w:rPr>
                  </w:pPr>
                </w:p>
                <w:p>
                  <w:pPr>
                    <w:spacing w:line="240" w:lineRule="auto"/>
                    <w:ind w:firstLine="0" w:firstLineChars="0"/>
                    <w:jc w:val="center"/>
                    <w:rPr>
                      <w:sz w:val="21"/>
                      <w:szCs w:val="21"/>
                    </w:rPr>
                  </w:pPr>
                </w:p>
                <w:p>
                  <w:pPr>
                    <w:spacing w:line="240" w:lineRule="auto"/>
                    <w:ind w:firstLine="0" w:firstLineChars="0"/>
                    <w:jc w:val="center"/>
                    <w:rPr>
                      <w:sz w:val="21"/>
                      <w:szCs w:val="21"/>
                    </w:rPr>
                  </w:pPr>
                </w:p>
                <w:p>
                  <w:pPr>
                    <w:spacing w:line="240" w:lineRule="auto"/>
                    <w:ind w:firstLine="0" w:firstLineChars="0"/>
                    <w:jc w:val="center"/>
                    <w:rPr>
                      <w:sz w:val="21"/>
                      <w:szCs w:val="21"/>
                    </w:rPr>
                  </w:pPr>
                  <w:r>
                    <w:rPr>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8" w:type="pct"/>
                  <w:noWrap w:val="0"/>
                  <w:vAlign w:val="top"/>
                </w:tcPr>
                <w:p>
                  <w:pPr>
                    <w:spacing w:line="240" w:lineRule="auto"/>
                    <w:ind w:firstLine="0" w:firstLineChars="0"/>
                    <w:jc w:val="center"/>
                    <w:rPr>
                      <w:sz w:val="21"/>
                      <w:szCs w:val="21"/>
                    </w:rPr>
                  </w:pPr>
                </w:p>
                <w:p>
                  <w:pPr>
                    <w:spacing w:line="240" w:lineRule="auto"/>
                    <w:ind w:firstLine="0" w:firstLineChars="0"/>
                    <w:jc w:val="center"/>
                    <w:rPr>
                      <w:sz w:val="21"/>
                      <w:szCs w:val="21"/>
                    </w:rPr>
                  </w:pPr>
                  <w:r>
                    <w:rPr>
                      <w:sz w:val="21"/>
                      <w:szCs w:val="21"/>
                    </w:rPr>
                    <w:t>资源利用效率要求</w:t>
                  </w:r>
                </w:p>
              </w:tc>
              <w:tc>
                <w:tcPr>
                  <w:tcW w:w="1874" w:type="pct"/>
                  <w:noWrap w:val="0"/>
                  <w:vAlign w:val="top"/>
                </w:tcPr>
                <w:p>
                  <w:pPr>
                    <w:spacing w:line="240" w:lineRule="auto"/>
                    <w:ind w:firstLine="0" w:firstLineChars="0"/>
                    <w:jc w:val="center"/>
                    <w:rPr>
                      <w:sz w:val="21"/>
                      <w:szCs w:val="21"/>
                    </w:rPr>
                  </w:pPr>
                  <w:r>
                    <w:rPr>
                      <w:sz w:val="21"/>
                      <w:szCs w:val="21"/>
                    </w:rPr>
                    <w:t>优化能源结构，控制煤炭等化石能源使用量，鼓励使用清洁能源，协同推进减污降碳</w:t>
                  </w:r>
                  <w:r>
                    <w:rPr>
                      <w:rFonts w:hint="eastAsia"/>
                      <w:sz w:val="21"/>
                      <w:szCs w:val="21"/>
                      <w:lang w:eastAsia="zh-CN"/>
                    </w:rPr>
                    <w:t>，</w:t>
                  </w:r>
                  <w:r>
                    <w:rPr>
                      <w:sz w:val="21"/>
                      <w:szCs w:val="21"/>
                    </w:rPr>
                    <w:t>全面实施节水工程，合理开发利用水资源，提升水资源利用效率，保障生态用水，严防地下水超采。</w:t>
                  </w:r>
                </w:p>
              </w:tc>
              <w:tc>
                <w:tcPr>
                  <w:tcW w:w="2028" w:type="pct"/>
                  <w:noWrap w:val="0"/>
                  <w:vAlign w:val="top"/>
                </w:tcPr>
                <w:p>
                  <w:pPr>
                    <w:spacing w:line="240" w:lineRule="auto"/>
                    <w:ind w:firstLine="0" w:firstLineChars="0"/>
                    <w:jc w:val="center"/>
                    <w:rPr>
                      <w:rFonts w:hint="default"/>
                      <w:sz w:val="21"/>
                      <w:szCs w:val="21"/>
                      <w:lang w:eastAsia="zh-CN"/>
                    </w:rPr>
                  </w:pPr>
                  <w:r>
                    <w:rPr>
                      <w:rFonts w:hint="default"/>
                      <w:sz w:val="21"/>
                      <w:szCs w:val="21"/>
                      <w:lang w:eastAsia="zh-CN"/>
                    </w:rPr>
                    <w:t>工程运行期本身并不消耗资源和能源，不产生和排放污染物，不会对项目区环境质量产生影响，在严格落实相关规划的基础下，项目的建设对能源、水、土地等资源影响不大。</w:t>
                  </w:r>
                </w:p>
              </w:tc>
              <w:tc>
                <w:tcPr>
                  <w:tcW w:w="538" w:type="pct"/>
                  <w:noWrap w:val="0"/>
                  <w:vAlign w:val="top"/>
                </w:tcPr>
                <w:p>
                  <w:pPr>
                    <w:spacing w:line="240" w:lineRule="auto"/>
                    <w:ind w:left="0" w:leftChars="0" w:firstLine="0" w:firstLineChars="0"/>
                    <w:jc w:val="center"/>
                    <w:rPr>
                      <w:sz w:val="21"/>
                      <w:szCs w:val="21"/>
                    </w:rPr>
                  </w:pPr>
                </w:p>
                <w:p>
                  <w:pPr>
                    <w:spacing w:line="240" w:lineRule="auto"/>
                    <w:ind w:left="0" w:leftChars="0" w:firstLine="0" w:firstLineChars="0"/>
                    <w:jc w:val="center"/>
                    <w:rPr>
                      <w:sz w:val="21"/>
                      <w:szCs w:val="21"/>
                    </w:rPr>
                  </w:pPr>
                  <w:r>
                    <w:rPr>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8" w:type="pct"/>
                  <w:noWrap w:val="0"/>
                  <w:vAlign w:val="top"/>
                </w:tcPr>
                <w:p>
                  <w:pPr>
                    <w:spacing w:line="240" w:lineRule="auto"/>
                    <w:ind w:firstLine="0" w:firstLineChars="0"/>
                    <w:jc w:val="center"/>
                    <w:rPr>
                      <w:sz w:val="21"/>
                      <w:szCs w:val="21"/>
                    </w:rPr>
                  </w:pPr>
                </w:p>
                <w:p>
                  <w:pPr>
                    <w:spacing w:line="240" w:lineRule="auto"/>
                    <w:ind w:firstLine="0" w:firstLineChars="0"/>
                    <w:jc w:val="center"/>
                    <w:rPr>
                      <w:sz w:val="21"/>
                      <w:szCs w:val="21"/>
                    </w:rPr>
                  </w:pPr>
                </w:p>
                <w:p>
                  <w:pPr>
                    <w:spacing w:line="240" w:lineRule="auto"/>
                    <w:ind w:firstLine="0" w:firstLineChars="0"/>
                    <w:jc w:val="center"/>
                    <w:rPr>
                      <w:sz w:val="21"/>
                      <w:szCs w:val="21"/>
                    </w:rPr>
                  </w:pPr>
                </w:p>
                <w:p>
                  <w:pPr>
                    <w:spacing w:line="240" w:lineRule="auto"/>
                    <w:ind w:firstLine="0" w:firstLineChars="0"/>
                    <w:jc w:val="center"/>
                    <w:rPr>
                      <w:sz w:val="21"/>
                      <w:szCs w:val="21"/>
                    </w:rPr>
                  </w:pPr>
                  <w:r>
                    <w:rPr>
                      <w:sz w:val="21"/>
                      <w:szCs w:val="21"/>
                    </w:rPr>
                    <w:t>乌昌石片区管控要求</w:t>
                  </w:r>
                </w:p>
              </w:tc>
              <w:tc>
                <w:tcPr>
                  <w:tcW w:w="1874" w:type="pct"/>
                  <w:noWrap w:val="0"/>
                  <w:vAlign w:val="top"/>
                </w:tcPr>
                <w:p>
                  <w:pPr>
                    <w:spacing w:line="240" w:lineRule="auto"/>
                    <w:ind w:firstLine="0" w:firstLineChars="0"/>
                    <w:jc w:val="center"/>
                    <w:rPr>
                      <w:sz w:val="21"/>
                      <w:szCs w:val="21"/>
                    </w:rPr>
                  </w:pPr>
                  <w:r>
                    <w:rPr>
                      <w:sz w:val="21"/>
                      <w:szCs w:val="21"/>
                    </w:rPr>
                    <w:t>坚持属地负责与区域大</w:t>
                  </w:r>
                </w:p>
                <w:p>
                  <w:pPr>
                    <w:spacing w:line="240" w:lineRule="auto"/>
                    <w:ind w:firstLine="0" w:firstLineChars="0"/>
                    <w:jc w:val="both"/>
                    <w:rPr>
                      <w:sz w:val="21"/>
                      <w:szCs w:val="21"/>
                    </w:rPr>
                  </w:pPr>
                  <w:r>
                    <w:rPr>
                      <w:sz w:val="21"/>
                      <w:szCs w:val="21"/>
                    </w:rPr>
                    <w:t>气污染联防联控相结合，以明显降低细颗粒物浓度为重点，协同推进“乌-昌</w:t>
                  </w:r>
                  <w:r>
                    <w:rPr>
                      <w:rFonts w:hint="default"/>
                      <w:sz w:val="21"/>
                      <w:szCs w:val="21"/>
                    </w:rPr>
                    <w:t>-</w:t>
                  </w:r>
                  <w:r>
                    <w:rPr>
                      <w:sz w:val="21"/>
                      <w:szCs w:val="21"/>
                    </w:rPr>
                    <w:t>石”同防同治区域大气环境治理</w:t>
                  </w:r>
                  <w:r>
                    <w:rPr>
                      <w:rFonts w:hint="eastAsia"/>
                      <w:sz w:val="21"/>
                      <w:szCs w:val="21"/>
                      <w:lang w:eastAsia="zh-CN"/>
                    </w:rPr>
                    <w:t>，</w:t>
                  </w:r>
                  <w:r>
                    <w:rPr>
                      <w:sz w:val="21"/>
                      <w:szCs w:val="21"/>
                    </w:rPr>
                    <w:t>强化与生产建设兵团第六师、第八师、第十一师、第十二师的同防同治，所有新建、改建、扩建工业项目执行最严格的大气污染物排放标准，强化氮氧化物深度治理，确保区域环境空气质量持续改善。</w:t>
                  </w:r>
                </w:p>
              </w:tc>
              <w:tc>
                <w:tcPr>
                  <w:tcW w:w="2028" w:type="pct"/>
                  <w:noWrap w:val="0"/>
                  <w:vAlign w:val="top"/>
                </w:tcPr>
                <w:p>
                  <w:pPr>
                    <w:spacing w:line="240" w:lineRule="auto"/>
                    <w:ind w:firstLine="0" w:firstLineChars="0"/>
                    <w:jc w:val="center"/>
                    <w:rPr>
                      <w:rFonts w:hint="default"/>
                      <w:sz w:val="21"/>
                      <w:szCs w:val="21"/>
                      <w:lang w:eastAsia="zh-CN"/>
                    </w:rPr>
                  </w:pPr>
                </w:p>
                <w:p>
                  <w:pPr>
                    <w:spacing w:line="240" w:lineRule="auto"/>
                    <w:ind w:firstLine="0" w:firstLineChars="0"/>
                    <w:jc w:val="center"/>
                    <w:rPr>
                      <w:rFonts w:hint="default"/>
                      <w:sz w:val="21"/>
                      <w:szCs w:val="21"/>
                      <w:lang w:eastAsia="zh-CN"/>
                    </w:rPr>
                  </w:pPr>
                  <w:r>
                    <w:rPr>
                      <w:rFonts w:hint="default"/>
                      <w:sz w:val="21"/>
                      <w:szCs w:val="21"/>
                      <w:lang w:val="en-US" w:eastAsia="zh-CN"/>
                    </w:rPr>
                    <w:t>本工程</w:t>
                  </w:r>
                  <w:r>
                    <w:rPr>
                      <w:rFonts w:hint="eastAsia"/>
                      <w:sz w:val="21"/>
                      <w:szCs w:val="21"/>
                      <w:lang w:val="en-US" w:eastAsia="zh-CN"/>
                    </w:rPr>
                    <w:t>位于</w:t>
                  </w:r>
                  <w:r>
                    <w:rPr>
                      <w:rFonts w:hint="default"/>
                      <w:sz w:val="21"/>
                      <w:szCs w:val="21"/>
                      <w:lang w:val="en-US" w:eastAsia="zh-CN"/>
                    </w:rPr>
                    <w:t>白杨河五圣宫水文站至S303省道29.15km范围的河段，</w:t>
                  </w:r>
                  <w:r>
                    <w:rPr>
                      <w:rFonts w:hint="default"/>
                      <w:sz w:val="21"/>
                      <w:szCs w:val="21"/>
                      <w:lang w:eastAsia="zh-CN"/>
                    </w:rPr>
                    <w:t>工程运行期本身并不消耗资源和能源，不产生和排放污染物，不会对项目区环境质量产生影响。</w:t>
                  </w:r>
                </w:p>
                <w:p>
                  <w:pPr>
                    <w:spacing w:line="240" w:lineRule="auto"/>
                    <w:ind w:firstLine="0" w:firstLineChars="0"/>
                    <w:jc w:val="center"/>
                    <w:rPr>
                      <w:rFonts w:hint="default"/>
                      <w:sz w:val="21"/>
                      <w:szCs w:val="21"/>
                      <w:lang w:eastAsia="zh-CN"/>
                    </w:rPr>
                  </w:pPr>
                </w:p>
                <w:p>
                  <w:pPr>
                    <w:ind w:left="0" w:leftChars="0" w:firstLine="0" w:firstLineChars="0"/>
                    <w:rPr>
                      <w:rFonts w:hint="default"/>
                      <w:sz w:val="21"/>
                      <w:szCs w:val="21"/>
                      <w:lang w:val="en-US" w:eastAsia="zh-CN"/>
                    </w:rPr>
                  </w:pPr>
                </w:p>
              </w:tc>
              <w:tc>
                <w:tcPr>
                  <w:tcW w:w="538" w:type="pct"/>
                  <w:noWrap w:val="0"/>
                  <w:vAlign w:val="top"/>
                </w:tcPr>
                <w:p>
                  <w:pPr>
                    <w:spacing w:line="240" w:lineRule="auto"/>
                    <w:ind w:left="0" w:leftChars="0" w:firstLine="0" w:firstLineChars="0"/>
                    <w:jc w:val="center"/>
                    <w:rPr>
                      <w:sz w:val="21"/>
                      <w:szCs w:val="21"/>
                    </w:rPr>
                  </w:pPr>
                </w:p>
                <w:p>
                  <w:pPr>
                    <w:spacing w:line="240" w:lineRule="auto"/>
                    <w:ind w:left="0" w:leftChars="0" w:firstLine="0" w:firstLineChars="0"/>
                    <w:jc w:val="center"/>
                    <w:rPr>
                      <w:sz w:val="21"/>
                      <w:szCs w:val="21"/>
                    </w:rPr>
                  </w:pPr>
                </w:p>
                <w:p>
                  <w:pPr>
                    <w:spacing w:line="240" w:lineRule="auto"/>
                    <w:ind w:left="0" w:leftChars="0" w:firstLine="0" w:firstLineChars="0"/>
                    <w:jc w:val="center"/>
                    <w:rPr>
                      <w:sz w:val="21"/>
                      <w:szCs w:val="21"/>
                    </w:rPr>
                  </w:pPr>
                </w:p>
                <w:p>
                  <w:pPr>
                    <w:spacing w:line="240" w:lineRule="auto"/>
                    <w:ind w:left="0" w:leftChars="0" w:firstLine="0" w:firstLineChars="0"/>
                    <w:jc w:val="center"/>
                    <w:rPr>
                      <w:sz w:val="21"/>
                      <w:szCs w:val="21"/>
                    </w:rPr>
                  </w:pPr>
                  <w:r>
                    <w:rPr>
                      <w:sz w:val="21"/>
                      <w:szCs w:val="21"/>
                    </w:rPr>
                    <w:t>符合</w:t>
                  </w:r>
                </w:p>
              </w:tc>
            </w:tr>
          </w:tbl>
          <w:p>
            <w:pPr>
              <w:pStyle w:val="167"/>
              <w:numPr>
                <w:ilvl w:val="0"/>
                <w:numId w:val="0"/>
              </w:numPr>
              <w:spacing w:line="360" w:lineRule="auto"/>
              <w:ind w:leftChars="0"/>
              <w:rPr>
                <w:rFonts w:hint="default"/>
                <w:b/>
                <w:bCs/>
              </w:rPr>
            </w:pPr>
            <w:r>
              <w:rPr>
                <w:rFonts w:hint="eastAsia"/>
                <w:b/>
                <w:bCs/>
                <w:lang w:val="en-US" w:eastAsia="zh-CN"/>
              </w:rPr>
              <w:t>4、</w:t>
            </w:r>
            <w:r>
              <w:rPr>
                <w:rFonts w:hint="default"/>
                <w:b/>
                <w:bCs/>
              </w:rPr>
              <w:t>本项目建设与《</w:t>
            </w:r>
            <w:r>
              <w:rPr>
                <w:rFonts w:hint="eastAsia"/>
                <w:b/>
                <w:bCs/>
              </w:rPr>
              <w:t>昌吉回族自治州“三线一单”生态环境分区管控方案及生态环境准入清单</w:t>
            </w:r>
            <w:r>
              <w:rPr>
                <w:rFonts w:hint="default"/>
                <w:b/>
                <w:bCs/>
              </w:rPr>
              <w:t>》符合性分析</w:t>
            </w:r>
          </w:p>
          <w:p>
            <w:pPr>
              <w:pStyle w:val="167"/>
              <w:numPr>
                <w:ilvl w:val="0"/>
                <w:numId w:val="0"/>
              </w:numPr>
              <w:spacing w:line="360" w:lineRule="auto"/>
              <w:ind w:firstLine="480" w:firstLineChars="200"/>
              <w:jc w:val="both"/>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本工程</w:t>
            </w:r>
            <w:r>
              <w:rPr>
                <w:rFonts w:hint="eastAsia" w:ascii="Times New Roman" w:hAnsi="Times New Roman" w:eastAsia="宋体" w:cs="Times New Roman"/>
                <w:sz w:val="24"/>
                <w:szCs w:val="24"/>
                <w:highlight w:val="none"/>
                <w:lang w:val="en-US" w:eastAsia="zh-CN"/>
              </w:rPr>
              <w:t>位于</w:t>
            </w:r>
            <w:r>
              <w:rPr>
                <w:rFonts w:hint="default" w:ascii="Times New Roman" w:hAnsi="Times New Roman" w:eastAsia="宋体" w:cs="Times New Roman"/>
                <w:sz w:val="24"/>
                <w:szCs w:val="24"/>
                <w:highlight w:val="none"/>
                <w:lang w:val="en-US" w:eastAsia="zh-CN"/>
              </w:rPr>
              <w:t>白杨河五圣宫水文站至S303省道29.15km范围的河段</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根据《昌吉回族自治州“三线一单”生态环境分区管控方案》本项目所属为文件中“吉木萨</w:t>
            </w:r>
            <w:r>
              <w:rPr>
                <w:rFonts w:hint="default" w:ascii="Times New Roman" w:hAnsi="Times New Roman" w:eastAsia="宋体" w:cs="Times New Roman"/>
                <w:sz w:val="24"/>
                <w:szCs w:val="24"/>
                <w:highlight w:val="none"/>
              </w:rPr>
              <w:t>尔县一般管控单元”，环境管控单元编码：ZH65232730001</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本项目与其符合情况见下表1-</w:t>
            </w:r>
            <w:r>
              <w:rPr>
                <w:rFonts w:hint="default" w:ascii="Times New Roman" w:hAnsi="Times New Roman" w:eastAsia="宋体" w:cs="Times New Roman"/>
                <w:sz w:val="24"/>
                <w:szCs w:val="24"/>
                <w:highlight w:val="none"/>
                <w:lang w:val="en-US" w:eastAsia="zh-CN"/>
              </w:rPr>
              <w:t>3</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lang w:val="en-US" w:eastAsia="zh-CN"/>
              </w:rPr>
              <w:t>详见</w:t>
            </w:r>
            <w:r>
              <w:rPr>
                <w:rFonts w:hint="default" w:ascii="Times New Roman" w:hAnsi="Times New Roman" w:eastAsia="宋体" w:cs="Times New Roman"/>
                <w:sz w:val="24"/>
                <w:szCs w:val="24"/>
                <w:highlight w:val="none"/>
              </w:rPr>
              <w:t>附图</w:t>
            </w:r>
            <w:r>
              <w:rPr>
                <w:rFonts w:hint="eastAsia" w:ascii="Times New Roman" w:cs="Times New Roman"/>
                <w:sz w:val="24"/>
                <w:szCs w:val="24"/>
                <w:highlight w:val="none"/>
                <w:lang w:val="en-US" w:eastAsia="zh-CN"/>
              </w:rPr>
              <w:t>2</w:t>
            </w:r>
            <w:r>
              <w:rPr>
                <w:rFonts w:hint="default" w:ascii="Times New Roman" w:hAnsi="Times New Roman" w:eastAsia="宋体" w:cs="Times New Roman"/>
                <w:sz w:val="24"/>
                <w:szCs w:val="24"/>
                <w:highlight w:val="none"/>
                <w:lang w:val="en-US" w:eastAsia="zh-CN"/>
              </w:rPr>
              <w:t>昌吉回族自治州</w:t>
            </w:r>
            <w:r>
              <w:rPr>
                <w:rFonts w:hint="default" w:ascii="Times New Roman" w:hAnsi="Times New Roman" w:eastAsia="宋体" w:cs="Times New Roman"/>
                <w:sz w:val="24"/>
                <w:szCs w:val="24"/>
                <w:highlight w:val="none"/>
              </w:rPr>
              <w:t>“三线一单”环境管控单元分类图。</w:t>
            </w:r>
          </w:p>
          <w:p>
            <w:pPr>
              <w:spacing w:line="240" w:lineRule="auto"/>
              <w:ind w:left="0" w:leftChars="0" w:firstLine="0" w:firstLineChars="0"/>
              <w:jc w:val="center"/>
              <w:outlineLvl w:val="9"/>
              <w:rPr>
                <w:rFonts w:hint="default" w:ascii="Times New Roman" w:hAnsi="Times New Roman" w:eastAsia="宋体" w:cs="Times New Roman"/>
                <w:b/>
                <w:bCs/>
                <w:sz w:val="21"/>
                <w:szCs w:val="21"/>
                <w:highlight w:val="none"/>
              </w:rPr>
            </w:pPr>
            <w:bookmarkStart w:id="1" w:name="_Toc8408"/>
            <w:r>
              <w:rPr>
                <w:rFonts w:hint="default" w:ascii="Times New Roman" w:hAnsi="Times New Roman" w:eastAsia="宋体" w:cs="Times New Roman"/>
                <w:b/>
                <w:bCs/>
                <w:sz w:val="21"/>
                <w:szCs w:val="21"/>
              </w:rPr>
              <w:t>表</w:t>
            </w:r>
            <w:r>
              <w:rPr>
                <w:rFonts w:hint="default" w:ascii="Times New Roman" w:hAnsi="Times New Roman" w:eastAsia="宋体" w:cs="Times New Roman"/>
                <w:b/>
                <w:bCs/>
                <w:sz w:val="21"/>
                <w:szCs w:val="21"/>
                <w:lang w:val="en-US" w:eastAsia="zh-CN"/>
              </w:rPr>
              <w:t>1-3  与《昌吉回族自治州“三线一单”生态环境分区管控方案</w:t>
            </w:r>
            <w:r>
              <w:rPr>
                <w:rFonts w:hint="default" w:ascii="Times New Roman" w:hAnsi="Times New Roman" w:eastAsia="宋体" w:cs="Times New Roman"/>
                <w:b/>
                <w:bCs/>
                <w:sz w:val="21"/>
                <w:szCs w:val="21"/>
                <w:highlight w:val="none"/>
                <w:lang w:val="en-US" w:eastAsia="zh-CN"/>
              </w:rPr>
              <w:t>》符合性分析</w:t>
            </w:r>
            <w:bookmarkEnd w:id="1"/>
          </w:p>
          <w:tbl>
            <w:tblPr>
              <w:tblStyle w:val="3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3087"/>
              <w:gridCol w:w="2230"/>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34" w:type="pct"/>
                  <w:gridSpan w:val="2"/>
                  <w:noWrap w:val="0"/>
                  <w:vAlign w:val="top"/>
                </w:tcPr>
                <w:p>
                  <w:pPr>
                    <w:spacing w:line="240" w:lineRule="auto"/>
                    <w:ind w:firstLine="0" w:firstLineChars="0"/>
                    <w:jc w:val="center"/>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管控要求</w:t>
                  </w:r>
                </w:p>
              </w:tc>
              <w:tc>
                <w:tcPr>
                  <w:tcW w:w="1645" w:type="pct"/>
                  <w:noWrap w:val="0"/>
                  <w:vAlign w:val="top"/>
                </w:tcPr>
                <w:p>
                  <w:pPr>
                    <w:spacing w:line="240" w:lineRule="auto"/>
                    <w:ind w:firstLine="0" w:firstLineChars="0"/>
                    <w:jc w:val="center"/>
                    <w:outlineLvl w:val="9"/>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本项目工程概况</w:t>
                  </w:r>
                </w:p>
              </w:tc>
              <w:tc>
                <w:tcPr>
                  <w:tcW w:w="520" w:type="pct"/>
                  <w:noWrap w:val="0"/>
                  <w:vAlign w:val="top"/>
                </w:tcPr>
                <w:p>
                  <w:pPr>
                    <w:spacing w:line="240" w:lineRule="auto"/>
                    <w:ind w:firstLine="0" w:firstLineChars="0"/>
                    <w:jc w:val="center"/>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7" w:type="pct"/>
                  <w:noWrap w:val="0"/>
                  <w:vAlign w:val="top"/>
                </w:tcPr>
                <w:p>
                  <w:pPr>
                    <w:spacing w:line="240" w:lineRule="auto"/>
                    <w:ind w:firstLine="0" w:firstLineChars="0"/>
                    <w:jc w:val="center"/>
                    <w:outlineLvl w:val="9"/>
                    <w:rPr>
                      <w:rFonts w:hint="default" w:ascii="Times New Roman" w:hAnsi="Times New Roman" w:eastAsia="宋体" w:cs="Times New Roman"/>
                      <w:sz w:val="21"/>
                      <w:szCs w:val="21"/>
                    </w:rPr>
                  </w:pPr>
                </w:p>
                <w:p>
                  <w:pPr>
                    <w:spacing w:line="240" w:lineRule="auto"/>
                    <w:ind w:firstLine="0" w:firstLineChars="0"/>
                    <w:jc w:val="center"/>
                    <w:outlineLvl w:val="9"/>
                    <w:rPr>
                      <w:rFonts w:hint="default" w:ascii="Times New Roman" w:hAnsi="Times New Roman" w:eastAsia="宋体" w:cs="Times New Roman"/>
                      <w:sz w:val="21"/>
                      <w:szCs w:val="21"/>
                    </w:rPr>
                  </w:pPr>
                </w:p>
                <w:p>
                  <w:pPr>
                    <w:spacing w:line="240" w:lineRule="auto"/>
                    <w:ind w:firstLine="0" w:firstLineChars="0"/>
                    <w:jc w:val="center"/>
                    <w:outlineLvl w:val="9"/>
                    <w:rPr>
                      <w:rFonts w:hint="default" w:ascii="Times New Roman" w:hAnsi="Times New Roman" w:eastAsia="宋体" w:cs="Times New Roman"/>
                      <w:sz w:val="21"/>
                      <w:szCs w:val="21"/>
                    </w:rPr>
                  </w:pPr>
                </w:p>
                <w:p>
                  <w:pPr>
                    <w:spacing w:line="240" w:lineRule="auto"/>
                    <w:ind w:firstLine="0" w:firstLineChars="0"/>
                    <w:jc w:val="center"/>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空间布局约束</w:t>
                  </w:r>
                </w:p>
              </w:tc>
              <w:tc>
                <w:tcPr>
                  <w:tcW w:w="2276" w:type="pct"/>
                  <w:noWrap w:val="0"/>
                  <w:vAlign w:val="top"/>
                </w:tcPr>
                <w:p>
                  <w:pPr>
                    <w:spacing w:line="240" w:lineRule="auto"/>
                    <w:ind w:firstLine="0" w:firstLineChars="0"/>
                    <w:jc w:val="center"/>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1、执行自治区总体准入要求中关于重点管控单元空间布局约束的准入要求A6.1-2、A6.1-4。</w:t>
                  </w:r>
                </w:p>
                <w:p>
                  <w:pPr>
                    <w:spacing w:line="240" w:lineRule="auto"/>
                    <w:ind w:firstLine="0" w:firstLineChars="0"/>
                    <w:jc w:val="both"/>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2、产业园区严格按照自治区严禁‘三高’项目进新疆的实施意见，严禁‘三高’项目进昌吉的实施意见要求和吉木萨尔县工业园区产业发展规划，推进主导产业发展，延伸产业链。</w:t>
                  </w:r>
                </w:p>
                <w:p>
                  <w:pPr>
                    <w:numPr>
                      <w:ilvl w:val="0"/>
                      <w:numId w:val="0"/>
                    </w:numPr>
                    <w:spacing w:line="240" w:lineRule="auto"/>
                    <w:jc w:val="both"/>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3、离水源地较近的企业需做好环境保护工作，禁止污染水源地。</w:t>
                  </w:r>
                </w:p>
                <w:p>
                  <w:pPr>
                    <w:numPr>
                      <w:ilvl w:val="0"/>
                      <w:numId w:val="0"/>
                    </w:numPr>
                    <w:spacing w:line="240" w:lineRule="auto"/>
                    <w:ind w:leftChars="0"/>
                    <w:jc w:val="both"/>
                    <w:outlineLvl w:val="9"/>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4、入园企业必须严格“三废”的管理，对严重污染环境且不能稳定达标的企业责令提标改造或关停。</w:t>
                  </w:r>
                </w:p>
              </w:tc>
              <w:tc>
                <w:tcPr>
                  <w:tcW w:w="1645" w:type="pct"/>
                  <w:noWrap w:val="0"/>
                  <w:vAlign w:val="top"/>
                </w:tcPr>
                <w:p>
                  <w:pPr>
                    <w:pStyle w:val="167"/>
                    <w:numPr>
                      <w:ilvl w:val="0"/>
                      <w:numId w:val="0"/>
                    </w:numPr>
                    <w:spacing w:line="240" w:lineRule="auto"/>
                    <w:jc w:val="center"/>
                    <w:outlineLvl w:val="9"/>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kern w:val="2"/>
                      <w:sz w:val="21"/>
                      <w:szCs w:val="21"/>
                      <w:lang w:val="en-US" w:eastAsia="zh-CN" w:bidi="ar-SA"/>
                    </w:rPr>
                    <w:t>本项目</w:t>
                  </w:r>
                  <w:r>
                    <w:rPr>
                      <w:rFonts w:hint="default" w:ascii="Times New Roman" w:hAnsi="Times New Roman" w:cs="Times New Roman"/>
                      <w:kern w:val="2"/>
                      <w:sz w:val="21"/>
                      <w:szCs w:val="21"/>
                      <w:lang w:val="en-US" w:eastAsia="zh-CN" w:bidi="ar-SA"/>
                    </w:rPr>
                    <w:t>属于中小</w:t>
                  </w:r>
                  <w:r>
                    <w:rPr>
                      <w:rFonts w:hint="default" w:ascii="Times New Roman" w:hAnsi="Times New Roman" w:cs="Times New Roman"/>
                      <w:sz w:val="21"/>
                      <w:szCs w:val="21"/>
                      <w:lang w:val="en-US" w:eastAsia="zh-CN"/>
                    </w:rPr>
                    <w:t>河流治</w:t>
                  </w:r>
                  <w:r>
                    <w:rPr>
                      <w:rFonts w:hint="default" w:ascii="Times New Roman" w:hAnsi="Times New Roman" w:eastAsia="宋体" w:cs="Times New Roman"/>
                      <w:kern w:val="2"/>
                      <w:sz w:val="21"/>
                      <w:szCs w:val="21"/>
                      <w:lang w:val="en-US" w:eastAsia="zh-CN" w:bidi="ar-SA"/>
                    </w:rPr>
                    <w:t>理工程，非“三高”项目，</w:t>
                  </w:r>
                  <w:r>
                    <w:rPr>
                      <w:rFonts w:hint="default" w:ascii="Times New Roman" w:hAnsi="Times New Roman" w:cs="Times New Roman"/>
                      <w:sz w:val="21"/>
                      <w:szCs w:val="21"/>
                      <w:lang w:val="en-US" w:eastAsia="zh-CN"/>
                    </w:rPr>
                    <w:t>位于白杨河五圣宫水文站至S303省道29.15km范围的河段</w:t>
                  </w:r>
                  <w:r>
                    <w:rPr>
                      <w:rFonts w:hint="default" w:ascii="Times New Roman" w:hAnsi="Times New Roman" w:eastAsia="宋体" w:cs="Times New Roman"/>
                      <w:kern w:val="2"/>
                      <w:sz w:val="21"/>
                      <w:szCs w:val="21"/>
                      <w:lang w:val="en-US" w:eastAsia="zh-CN" w:bidi="ar-SA"/>
                    </w:rPr>
                    <w:t>，建设地址非工业园区，项目区不涉及水源涵养</w:t>
                  </w:r>
                  <w:r>
                    <w:rPr>
                      <w:rFonts w:hint="default" w:ascii="Times New Roman" w:hAnsi="Times New Roman" w:eastAsia="宋体" w:cs="Times New Roman"/>
                      <w:sz w:val="21"/>
                      <w:szCs w:val="21"/>
                      <w:lang w:val="en-US" w:eastAsia="zh-CN" w:bidi="ar-SA"/>
                    </w:rPr>
                    <w:t>区、地下水源、饮用水源。</w:t>
                  </w:r>
                </w:p>
              </w:tc>
              <w:tc>
                <w:tcPr>
                  <w:tcW w:w="520" w:type="pct"/>
                  <w:noWrap w:val="0"/>
                  <w:vAlign w:val="top"/>
                </w:tcPr>
                <w:p>
                  <w:pPr>
                    <w:spacing w:line="240" w:lineRule="auto"/>
                    <w:ind w:firstLine="0" w:firstLineChars="0"/>
                    <w:jc w:val="center"/>
                    <w:outlineLvl w:val="9"/>
                    <w:rPr>
                      <w:rFonts w:hint="default" w:ascii="Times New Roman" w:hAnsi="Times New Roman" w:eastAsia="宋体" w:cs="Times New Roman"/>
                      <w:sz w:val="21"/>
                      <w:szCs w:val="21"/>
                    </w:rPr>
                  </w:pPr>
                </w:p>
                <w:p>
                  <w:pPr>
                    <w:spacing w:line="240" w:lineRule="auto"/>
                    <w:ind w:firstLine="0" w:firstLineChars="0"/>
                    <w:jc w:val="center"/>
                    <w:outlineLvl w:val="9"/>
                    <w:rPr>
                      <w:rFonts w:hint="default" w:ascii="Times New Roman" w:hAnsi="Times New Roman" w:eastAsia="宋体" w:cs="Times New Roman"/>
                      <w:sz w:val="21"/>
                      <w:szCs w:val="21"/>
                    </w:rPr>
                  </w:pPr>
                </w:p>
                <w:p>
                  <w:pPr>
                    <w:spacing w:line="240" w:lineRule="auto"/>
                    <w:ind w:firstLine="0" w:firstLineChars="0"/>
                    <w:jc w:val="center"/>
                    <w:outlineLvl w:val="9"/>
                    <w:rPr>
                      <w:rFonts w:hint="default" w:ascii="Times New Roman" w:hAnsi="Times New Roman" w:eastAsia="宋体" w:cs="Times New Roman"/>
                      <w:sz w:val="21"/>
                      <w:szCs w:val="21"/>
                    </w:rPr>
                  </w:pPr>
                </w:p>
                <w:p>
                  <w:pPr>
                    <w:spacing w:line="240" w:lineRule="auto"/>
                    <w:ind w:firstLine="0" w:firstLineChars="0"/>
                    <w:jc w:val="center"/>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7" w:type="pct"/>
                  <w:noWrap w:val="0"/>
                  <w:vAlign w:val="top"/>
                </w:tcPr>
                <w:p>
                  <w:pPr>
                    <w:spacing w:line="240" w:lineRule="auto"/>
                    <w:ind w:firstLine="0" w:firstLineChars="0"/>
                    <w:jc w:val="center"/>
                    <w:outlineLvl w:val="9"/>
                    <w:rPr>
                      <w:rFonts w:hint="default" w:ascii="Times New Roman" w:hAnsi="Times New Roman" w:eastAsia="宋体" w:cs="Times New Roman"/>
                      <w:sz w:val="21"/>
                      <w:szCs w:val="21"/>
                    </w:rPr>
                  </w:pPr>
                </w:p>
                <w:p>
                  <w:pPr>
                    <w:spacing w:line="240" w:lineRule="auto"/>
                    <w:ind w:firstLine="0" w:firstLineChars="0"/>
                    <w:jc w:val="center"/>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污染物排放管控</w:t>
                  </w:r>
                </w:p>
              </w:tc>
              <w:tc>
                <w:tcPr>
                  <w:tcW w:w="2276" w:type="pct"/>
                  <w:noWrap w:val="0"/>
                  <w:vAlign w:val="top"/>
                </w:tcPr>
                <w:p>
                  <w:pPr>
                    <w:spacing w:line="240" w:lineRule="auto"/>
                    <w:ind w:firstLine="0" w:firstLineChars="0"/>
                    <w:jc w:val="center"/>
                    <w:outlineLvl w:val="9"/>
                    <w:rPr>
                      <w:rFonts w:hint="default" w:ascii="Times New Roman" w:hAnsi="Times New Roman" w:eastAsia="宋体" w:cs="Times New Roman"/>
                      <w:sz w:val="21"/>
                      <w:szCs w:val="21"/>
                    </w:rPr>
                  </w:pPr>
                </w:p>
                <w:p>
                  <w:pPr>
                    <w:spacing w:line="240" w:lineRule="auto"/>
                    <w:ind w:firstLine="0" w:firstLineChars="0"/>
                    <w:jc w:val="center"/>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执行自治区总体准入要求中关于重点管控单元污染物排放管控的准入要求A6.2。</w:t>
                  </w:r>
                </w:p>
              </w:tc>
              <w:tc>
                <w:tcPr>
                  <w:tcW w:w="1645" w:type="pct"/>
                  <w:noWrap w:val="0"/>
                  <w:vAlign w:val="top"/>
                </w:tcPr>
                <w:p>
                  <w:pPr>
                    <w:spacing w:line="240" w:lineRule="auto"/>
                    <w:ind w:firstLine="0" w:firstLineChars="0"/>
                    <w:jc w:val="center"/>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施工期对</w:t>
                  </w:r>
                  <w:r>
                    <w:rPr>
                      <w:rFonts w:hint="eastAsia" w:ascii="Times New Roman" w:hAnsi="Times New Roman" w:eastAsia="宋体" w:cs="Times New Roman"/>
                      <w:sz w:val="21"/>
                      <w:szCs w:val="21"/>
                      <w:lang w:val="en-US" w:eastAsia="zh-CN"/>
                    </w:rPr>
                    <w:t>周围</w:t>
                  </w:r>
                  <w:r>
                    <w:rPr>
                      <w:rFonts w:hint="default" w:ascii="Times New Roman" w:hAnsi="Times New Roman" w:eastAsia="宋体" w:cs="Times New Roman"/>
                      <w:sz w:val="21"/>
                      <w:szCs w:val="21"/>
                      <w:lang w:val="en-US" w:eastAsia="zh-CN"/>
                    </w:rPr>
                    <w:t>环境影响较大，施工期短，随着施工期结束，环境污染也将结束</w:t>
                  </w:r>
                  <w:r>
                    <w:rPr>
                      <w:rFonts w:hint="eastAsia" w:ascii="Times New Roman" w:hAnsi="Times New Roman" w:eastAsia="宋体" w:cs="Times New Roman"/>
                      <w:sz w:val="21"/>
                      <w:szCs w:val="21"/>
                      <w:lang w:val="en-US" w:eastAsia="zh-CN"/>
                    </w:rPr>
                    <w:t>，对周围大气环境影响不大；</w:t>
                  </w:r>
                  <w:r>
                    <w:rPr>
                      <w:rFonts w:hint="default" w:ascii="Times New Roman" w:hAnsi="Times New Roman" w:eastAsia="宋体" w:cs="Times New Roman"/>
                      <w:sz w:val="21"/>
                      <w:szCs w:val="21"/>
                      <w:lang w:val="en-US" w:eastAsia="zh-CN"/>
                    </w:rPr>
                    <w:t>运行期</w:t>
                  </w:r>
                  <w:r>
                    <w:rPr>
                      <w:rFonts w:hint="eastAsia" w:ascii="Times New Roman" w:hAnsi="Times New Roman" w:eastAsia="宋体" w:cs="Times New Roman"/>
                      <w:sz w:val="21"/>
                      <w:szCs w:val="21"/>
                      <w:lang w:val="en-US" w:eastAsia="zh-CN"/>
                    </w:rPr>
                    <w:t>不产生污染物，</w:t>
                  </w:r>
                  <w:r>
                    <w:rPr>
                      <w:rFonts w:hint="default" w:ascii="Times New Roman" w:hAnsi="Times New Roman" w:eastAsia="宋体" w:cs="Times New Roman"/>
                      <w:sz w:val="21"/>
                      <w:szCs w:val="21"/>
                      <w:lang w:val="en-US" w:eastAsia="zh-CN"/>
                    </w:rPr>
                    <w:t>满足污染物排放管控要求。</w:t>
                  </w:r>
                </w:p>
              </w:tc>
              <w:tc>
                <w:tcPr>
                  <w:tcW w:w="520" w:type="pct"/>
                  <w:noWrap w:val="0"/>
                  <w:vAlign w:val="top"/>
                </w:tcPr>
                <w:p>
                  <w:pPr>
                    <w:spacing w:line="240" w:lineRule="auto"/>
                    <w:ind w:firstLine="0" w:firstLineChars="0"/>
                    <w:jc w:val="center"/>
                    <w:outlineLvl w:val="9"/>
                    <w:rPr>
                      <w:rFonts w:hint="default" w:ascii="Times New Roman" w:hAnsi="Times New Roman" w:eastAsia="宋体" w:cs="Times New Roman"/>
                      <w:sz w:val="21"/>
                      <w:szCs w:val="21"/>
                    </w:rPr>
                  </w:pPr>
                </w:p>
                <w:p>
                  <w:pPr>
                    <w:spacing w:line="240" w:lineRule="auto"/>
                    <w:ind w:firstLine="0" w:firstLineChars="0"/>
                    <w:jc w:val="center"/>
                    <w:outlineLvl w:val="9"/>
                    <w:rPr>
                      <w:rFonts w:hint="default" w:ascii="Times New Roman" w:hAnsi="Times New Roman" w:eastAsia="宋体" w:cs="Times New Roman"/>
                      <w:sz w:val="21"/>
                      <w:szCs w:val="21"/>
                    </w:rPr>
                  </w:pPr>
                </w:p>
                <w:p>
                  <w:pPr>
                    <w:spacing w:line="240" w:lineRule="auto"/>
                    <w:ind w:firstLine="0" w:firstLineChars="0"/>
                    <w:jc w:val="center"/>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7" w:type="pct"/>
                  <w:noWrap w:val="0"/>
                  <w:vAlign w:val="top"/>
                </w:tcPr>
                <w:p>
                  <w:pPr>
                    <w:spacing w:line="240" w:lineRule="auto"/>
                    <w:ind w:firstLine="0" w:firstLineChars="0"/>
                    <w:jc w:val="center"/>
                    <w:outlineLvl w:val="9"/>
                    <w:rPr>
                      <w:rFonts w:hint="default" w:ascii="Times New Roman" w:hAnsi="Times New Roman" w:eastAsia="宋体" w:cs="Times New Roman"/>
                      <w:sz w:val="21"/>
                      <w:szCs w:val="21"/>
                    </w:rPr>
                  </w:pPr>
                </w:p>
                <w:p>
                  <w:pPr>
                    <w:spacing w:line="240" w:lineRule="auto"/>
                    <w:ind w:firstLine="0" w:firstLineChars="0"/>
                    <w:jc w:val="center"/>
                    <w:outlineLvl w:val="9"/>
                    <w:rPr>
                      <w:rFonts w:hint="default" w:ascii="Times New Roman" w:hAnsi="Times New Roman" w:eastAsia="宋体" w:cs="Times New Roman"/>
                      <w:sz w:val="21"/>
                      <w:szCs w:val="21"/>
                    </w:rPr>
                  </w:pPr>
                </w:p>
                <w:p>
                  <w:pPr>
                    <w:spacing w:line="240" w:lineRule="auto"/>
                    <w:ind w:firstLine="0" w:firstLineChars="0"/>
                    <w:jc w:val="center"/>
                    <w:outlineLvl w:val="9"/>
                    <w:rPr>
                      <w:rFonts w:hint="default" w:ascii="Times New Roman" w:hAnsi="Times New Roman" w:eastAsia="宋体" w:cs="Times New Roman"/>
                      <w:sz w:val="21"/>
                      <w:szCs w:val="21"/>
                    </w:rPr>
                  </w:pPr>
                </w:p>
                <w:p>
                  <w:pPr>
                    <w:spacing w:line="240" w:lineRule="auto"/>
                    <w:ind w:firstLine="0" w:firstLineChars="0"/>
                    <w:jc w:val="center"/>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环境风险防控</w:t>
                  </w:r>
                </w:p>
              </w:tc>
              <w:tc>
                <w:tcPr>
                  <w:tcW w:w="2276" w:type="pct"/>
                  <w:noWrap w:val="0"/>
                  <w:vAlign w:val="top"/>
                </w:tcPr>
                <w:p>
                  <w:pPr>
                    <w:spacing w:line="240" w:lineRule="auto"/>
                    <w:ind w:firstLine="0" w:firstLineChars="0"/>
                    <w:jc w:val="center"/>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1、执行自治区总体准入要求中关于重点管控单元环境风险管控的准入要求A6.3。</w:t>
                  </w:r>
                </w:p>
                <w:p>
                  <w:pPr>
                    <w:spacing w:line="240" w:lineRule="auto"/>
                    <w:ind w:firstLine="0" w:firstLineChars="0"/>
                    <w:jc w:val="center"/>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建立园区危险性物质动态管理信息库，将园区危险物质分成易燃易爆类、有毒有害类和兼具易燃易爆有毒有害类三类，分类管理，按各类危险物质危险级别及使用量，建立各园区重点监控管理的危险物质管理程序，加强对这些物质的贮量、加工量、流向进行严格监控。</w:t>
                  </w:r>
                </w:p>
              </w:tc>
              <w:tc>
                <w:tcPr>
                  <w:tcW w:w="1645" w:type="pct"/>
                  <w:noWrap w:val="0"/>
                  <w:vAlign w:val="top"/>
                </w:tcPr>
                <w:p>
                  <w:pPr>
                    <w:spacing w:line="240" w:lineRule="auto"/>
                    <w:ind w:firstLine="0" w:firstLineChars="0"/>
                    <w:jc w:val="both"/>
                    <w:outlineLvl w:val="9"/>
                    <w:rPr>
                      <w:rFonts w:hint="default"/>
                      <w:sz w:val="21"/>
                      <w:szCs w:val="21"/>
                      <w:lang w:val="en-US" w:eastAsia="zh-CN"/>
                    </w:rPr>
                  </w:pPr>
                </w:p>
                <w:p>
                  <w:pPr>
                    <w:spacing w:line="240" w:lineRule="auto"/>
                    <w:ind w:firstLine="0" w:firstLineChars="0"/>
                    <w:jc w:val="both"/>
                    <w:outlineLvl w:val="9"/>
                    <w:rPr>
                      <w:rFonts w:hint="default" w:ascii="Times New Roman" w:hAnsi="Times New Roman" w:eastAsia="宋体" w:cs="Times New Roman"/>
                      <w:sz w:val="21"/>
                      <w:szCs w:val="21"/>
                      <w:lang w:val="en-US" w:eastAsia="zh-CN"/>
                    </w:rPr>
                  </w:pPr>
                  <w:r>
                    <w:rPr>
                      <w:rFonts w:hint="default"/>
                      <w:sz w:val="21"/>
                      <w:szCs w:val="21"/>
                      <w:lang w:val="en-US" w:eastAsia="zh-CN"/>
                    </w:rPr>
                    <w:t>本工程</w:t>
                  </w:r>
                  <w:r>
                    <w:rPr>
                      <w:rFonts w:hint="eastAsia"/>
                      <w:sz w:val="21"/>
                      <w:szCs w:val="21"/>
                      <w:lang w:val="en-US" w:eastAsia="zh-CN"/>
                    </w:rPr>
                    <w:t>位于</w:t>
                  </w:r>
                  <w:r>
                    <w:rPr>
                      <w:rFonts w:hint="default"/>
                      <w:sz w:val="21"/>
                      <w:szCs w:val="21"/>
                      <w:lang w:val="en-US" w:eastAsia="zh-CN"/>
                    </w:rPr>
                    <w:t>白杨河五圣宫水文站至S303省道29.15km范围的河段</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建设地</w:t>
                  </w:r>
                  <w:r>
                    <w:rPr>
                      <w:rFonts w:hint="eastAsia" w:ascii="Times New Roman" w:hAnsi="Times New Roman" w:eastAsia="宋体" w:cs="Times New Roman"/>
                      <w:sz w:val="21"/>
                      <w:szCs w:val="21"/>
                      <w:lang w:val="en-US" w:eastAsia="zh-CN"/>
                    </w:rPr>
                    <w:t>属于</w:t>
                  </w:r>
                  <w:r>
                    <w:rPr>
                      <w:rFonts w:hint="default" w:ascii="Times New Roman" w:hAnsi="Times New Roman" w:eastAsia="宋体" w:cs="Times New Roman"/>
                      <w:sz w:val="21"/>
                      <w:szCs w:val="21"/>
                      <w:lang w:val="en-US" w:eastAsia="zh-CN"/>
                    </w:rPr>
                    <w:t>非工业园区。</w:t>
                  </w:r>
                </w:p>
                <w:p>
                  <w:pPr>
                    <w:spacing w:line="240" w:lineRule="auto"/>
                    <w:ind w:firstLine="0" w:firstLineChars="0"/>
                    <w:jc w:val="center"/>
                    <w:outlineLvl w:val="9"/>
                    <w:rPr>
                      <w:rFonts w:hint="default" w:ascii="Times New Roman" w:hAnsi="Times New Roman" w:eastAsia="宋体" w:cs="Times New Roman"/>
                      <w:sz w:val="21"/>
                      <w:szCs w:val="21"/>
                      <w:lang w:val="en-US" w:eastAsia="zh-CN"/>
                    </w:rPr>
                  </w:pPr>
                </w:p>
              </w:tc>
              <w:tc>
                <w:tcPr>
                  <w:tcW w:w="520" w:type="pct"/>
                  <w:noWrap w:val="0"/>
                  <w:vAlign w:val="top"/>
                </w:tcPr>
                <w:p>
                  <w:pPr>
                    <w:spacing w:line="240" w:lineRule="auto"/>
                    <w:ind w:firstLine="0" w:firstLineChars="0"/>
                    <w:jc w:val="center"/>
                    <w:outlineLvl w:val="9"/>
                    <w:rPr>
                      <w:rFonts w:hint="default" w:ascii="Times New Roman" w:hAnsi="Times New Roman" w:eastAsia="宋体" w:cs="Times New Roman"/>
                      <w:sz w:val="21"/>
                      <w:szCs w:val="21"/>
                    </w:rPr>
                  </w:pPr>
                </w:p>
                <w:p>
                  <w:pPr>
                    <w:spacing w:line="240" w:lineRule="auto"/>
                    <w:ind w:firstLine="0" w:firstLineChars="0"/>
                    <w:jc w:val="center"/>
                    <w:outlineLvl w:val="9"/>
                    <w:rPr>
                      <w:rFonts w:hint="default" w:ascii="Times New Roman" w:hAnsi="Times New Roman" w:eastAsia="宋体" w:cs="Times New Roman"/>
                      <w:sz w:val="21"/>
                      <w:szCs w:val="21"/>
                    </w:rPr>
                  </w:pPr>
                </w:p>
                <w:p>
                  <w:pPr>
                    <w:spacing w:line="240" w:lineRule="auto"/>
                    <w:ind w:firstLine="0" w:firstLineChars="0"/>
                    <w:jc w:val="center"/>
                    <w:outlineLvl w:val="9"/>
                    <w:rPr>
                      <w:rFonts w:hint="default" w:ascii="Times New Roman" w:hAnsi="Times New Roman" w:eastAsia="宋体" w:cs="Times New Roman"/>
                      <w:sz w:val="21"/>
                      <w:szCs w:val="21"/>
                    </w:rPr>
                  </w:pPr>
                </w:p>
                <w:p>
                  <w:pPr>
                    <w:spacing w:line="240" w:lineRule="auto"/>
                    <w:ind w:firstLine="0" w:firstLineChars="0"/>
                    <w:jc w:val="center"/>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7" w:type="pct"/>
                  <w:noWrap w:val="0"/>
                  <w:vAlign w:val="top"/>
                </w:tcPr>
                <w:p>
                  <w:pPr>
                    <w:spacing w:line="240" w:lineRule="auto"/>
                    <w:ind w:firstLine="0" w:firstLineChars="0"/>
                    <w:jc w:val="center"/>
                    <w:outlineLvl w:val="9"/>
                    <w:rPr>
                      <w:rFonts w:hint="default" w:ascii="Times New Roman" w:hAnsi="Times New Roman" w:eastAsia="宋体" w:cs="Times New Roman"/>
                      <w:sz w:val="21"/>
                      <w:szCs w:val="21"/>
                      <w:lang w:val="en-US" w:eastAsia="zh-CN"/>
                    </w:rPr>
                  </w:pPr>
                </w:p>
                <w:p>
                  <w:pPr>
                    <w:spacing w:line="240" w:lineRule="auto"/>
                    <w:ind w:firstLine="0" w:firstLineChars="0"/>
                    <w:jc w:val="center"/>
                    <w:outlineLvl w:val="9"/>
                    <w:rPr>
                      <w:rFonts w:hint="default" w:ascii="Times New Roman" w:hAnsi="Times New Roman" w:eastAsia="宋体" w:cs="Times New Roman"/>
                      <w:sz w:val="21"/>
                      <w:szCs w:val="21"/>
                      <w:lang w:val="en-US" w:eastAsia="zh-CN"/>
                    </w:rPr>
                  </w:pPr>
                </w:p>
                <w:p>
                  <w:pPr>
                    <w:spacing w:line="240" w:lineRule="auto"/>
                    <w:ind w:firstLine="0" w:firstLineChars="0"/>
                    <w:jc w:val="center"/>
                    <w:outlineLvl w:val="9"/>
                    <w:rPr>
                      <w:rFonts w:hint="default" w:ascii="Times New Roman" w:hAnsi="Times New Roman" w:eastAsia="宋体" w:cs="Times New Roman"/>
                      <w:sz w:val="21"/>
                      <w:szCs w:val="21"/>
                      <w:lang w:val="en-US" w:eastAsia="zh-CN"/>
                    </w:rPr>
                  </w:pPr>
                </w:p>
                <w:p>
                  <w:pPr>
                    <w:spacing w:line="240" w:lineRule="auto"/>
                    <w:ind w:firstLine="0" w:firstLineChars="0"/>
                    <w:jc w:val="center"/>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资源利用效率要求</w:t>
                  </w:r>
                </w:p>
              </w:tc>
              <w:tc>
                <w:tcPr>
                  <w:tcW w:w="2276" w:type="pct"/>
                  <w:noWrap w:val="0"/>
                  <w:vAlign w:val="top"/>
                </w:tcPr>
                <w:p>
                  <w:pPr>
                    <w:numPr>
                      <w:ilvl w:val="0"/>
                      <w:numId w:val="0"/>
                    </w:numPr>
                    <w:spacing w:line="240" w:lineRule="auto"/>
                    <w:jc w:val="both"/>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1、执行自治区总体准入要求中关于重点管控单元资源利用效</w:t>
                  </w:r>
                </w:p>
                <w:p>
                  <w:pPr>
                    <w:numPr>
                      <w:ilvl w:val="0"/>
                      <w:numId w:val="0"/>
                    </w:numPr>
                    <w:spacing w:line="240" w:lineRule="auto"/>
                    <w:jc w:val="both"/>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率的准入要求A6.4。</w:t>
                  </w:r>
                </w:p>
                <w:p>
                  <w:pPr>
                    <w:spacing w:line="240" w:lineRule="auto"/>
                    <w:ind w:firstLine="0" w:firstLineChars="0"/>
                    <w:jc w:val="center"/>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2、工业用水重复利用率和中水（生产和生活）回用率参照相关标准执行。鼓励中水利用，严格限制使用地下水，最大限度提高水的复用率，减少外排量或实现全部回用。</w:t>
                  </w:r>
                </w:p>
                <w:p>
                  <w:pPr>
                    <w:spacing w:line="240" w:lineRule="auto"/>
                    <w:ind w:firstLine="0" w:firstLineChars="0"/>
                    <w:jc w:val="center"/>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3、除了生活饮用水以外，禁止任何形式的新增取用地下水，确保地下水开采量只减不增。</w:t>
                  </w:r>
                </w:p>
                <w:p>
                  <w:pPr>
                    <w:spacing w:line="240" w:lineRule="auto"/>
                    <w:ind w:firstLine="0" w:firstLineChars="0"/>
                    <w:jc w:val="center"/>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4、水资源开发总量、土地开发强度、能耗消费增量指标在州上每年下达的指标之内（不包含准东及兵团）。</w:t>
                  </w:r>
                </w:p>
              </w:tc>
              <w:tc>
                <w:tcPr>
                  <w:tcW w:w="1645" w:type="pct"/>
                  <w:noWrap w:val="0"/>
                  <w:vAlign w:val="top"/>
                </w:tcPr>
                <w:p>
                  <w:pPr>
                    <w:spacing w:line="240" w:lineRule="auto"/>
                    <w:ind w:firstLine="0" w:firstLineChars="0"/>
                    <w:jc w:val="center"/>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本项目</w:t>
                  </w:r>
                  <w:r>
                    <w:rPr>
                      <w:rFonts w:hint="eastAsia" w:ascii="Times New Roman" w:hAnsi="Times New Roman" w:eastAsia="宋体" w:cs="Times New Roman"/>
                      <w:sz w:val="21"/>
                      <w:szCs w:val="21"/>
                      <w:lang w:val="en-US" w:eastAsia="zh-CN"/>
                    </w:rPr>
                    <w:t>施工期</w:t>
                  </w:r>
                  <w:r>
                    <w:rPr>
                      <w:rFonts w:hint="default" w:ascii="Times New Roman" w:hAnsi="Times New Roman" w:eastAsia="宋体" w:cs="Times New Roman"/>
                      <w:sz w:val="21"/>
                      <w:szCs w:val="21"/>
                      <w:lang w:val="en-US" w:eastAsia="zh-CN"/>
                    </w:rPr>
                    <w:t>用水水源为</w:t>
                  </w:r>
                  <w:r>
                    <w:rPr>
                      <w:rFonts w:hint="eastAsia" w:cs="Times New Roman"/>
                      <w:sz w:val="21"/>
                      <w:szCs w:val="21"/>
                      <w:highlight w:val="none"/>
                      <w:lang w:val="en-US" w:eastAsia="zh-CN"/>
                    </w:rPr>
                    <w:t>白杨河</w:t>
                  </w:r>
                  <w:r>
                    <w:rPr>
                      <w:rFonts w:hint="eastAsia" w:ascii="Times New Roman" w:hAnsi="Times New Roman" w:eastAsia="宋体" w:cs="Times New Roman"/>
                      <w:sz w:val="21"/>
                      <w:szCs w:val="21"/>
                      <w:highlight w:val="none"/>
                      <w:lang w:val="en-US" w:eastAsia="zh-CN"/>
                    </w:rPr>
                    <w:t>，</w:t>
                  </w:r>
                  <w:r>
                    <w:rPr>
                      <w:rFonts w:hint="eastAsia" w:ascii="Times New Roman" w:hAnsi="Times New Roman" w:eastAsia="宋体" w:cs="Times New Roman"/>
                      <w:sz w:val="21"/>
                      <w:szCs w:val="21"/>
                      <w:lang w:val="en-US" w:eastAsia="zh-CN"/>
                    </w:rPr>
                    <w:t>不对项目区地下水进行开采，与资源利用效率符合。</w:t>
                  </w:r>
                </w:p>
              </w:tc>
              <w:tc>
                <w:tcPr>
                  <w:tcW w:w="520" w:type="pct"/>
                  <w:noWrap w:val="0"/>
                  <w:vAlign w:val="top"/>
                </w:tcPr>
                <w:p>
                  <w:pPr>
                    <w:spacing w:line="240" w:lineRule="auto"/>
                    <w:ind w:firstLine="0" w:firstLineChars="0"/>
                    <w:jc w:val="center"/>
                    <w:outlineLvl w:val="9"/>
                    <w:rPr>
                      <w:rFonts w:hint="default" w:ascii="Times New Roman" w:hAnsi="Times New Roman" w:eastAsia="宋体" w:cs="Times New Roman"/>
                      <w:sz w:val="21"/>
                      <w:szCs w:val="21"/>
                    </w:rPr>
                  </w:pPr>
                </w:p>
                <w:p>
                  <w:pPr>
                    <w:spacing w:line="240" w:lineRule="auto"/>
                    <w:ind w:firstLine="0" w:firstLineChars="0"/>
                    <w:jc w:val="center"/>
                    <w:outlineLvl w:val="9"/>
                    <w:rPr>
                      <w:rFonts w:hint="default" w:ascii="Times New Roman" w:hAnsi="Times New Roman" w:eastAsia="宋体" w:cs="Times New Roman"/>
                      <w:sz w:val="21"/>
                      <w:szCs w:val="21"/>
                    </w:rPr>
                  </w:pPr>
                </w:p>
                <w:p>
                  <w:pPr>
                    <w:spacing w:line="240" w:lineRule="auto"/>
                    <w:ind w:firstLine="0" w:firstLineChars="0"/>
                    <w:jc w:val="center"/>
                    <w:outlineLvl w:val="9"/>
                    <w:rPr>
                      <w:rFonts w:hint="default" w:ascii="Times New Roman" w:hAnsi="Times New Roman" w:eastAsia="宋体" w:cs="Times New Roman"/>
                      <w:sz w:val="21"/>
                      <w:szCs w:val="21"/>
                    </w:rPr>
                  </w:pPr>
                </w:p>
                <w:p>
                  <w:pPr>
                    <w:spacing w:line="240" w:lineRule="auto"/>
                    <w:ind w:firstLine="0" w:firstLineChars="0"/>
                    <w:jc w:val="center"/>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符合</w:t>
                  </w:r>
                </w:p>
              </w:tc>
            </w:tr>
          </w:tbl>
          <w:p>
            <w:pPr>
              <w:spacing w:line="240" w:lineRule="auto"/>
              <w:ind w:left="0" w:leftChars="0" w:firstLine="0" w:firstLineChars="0"/>
              <w:jc w:val="center"/>
              <w:outlineLvl w:val="9"/>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表1-4</w:t>
            </w:r>
            <w:r>
              <w:rPr>
                <w:rFonts w:hint="default" w:ascii="Times New Roman" w:hAnsi="Times New Roman" w:eastAsia="宋体" w:cs="Times New Roman"/>
                <w:b/>
                <w:sz w:val="21"/>
                <w:szCs w:val="21"/>
                <w:lang w:val="en-US" w:eastAsia="zh-CN"/>
              </w:rPr>
              <w:t xml:space="preserve">  </w:t>
            </w:r>
            <w:r>
              <w:rPr>
                <w:rFonts w:hint="default" w:ascii="Times New Roman" w:hAnsi="Times New Roman" w:eastAsia="宋体" w:cs="Times New Roman"/>
                <w:b/>
                <w:kern w:val="24"/>
                <w:sz w:val="21"/>
                <w:szCs w:val="21"/>
              </w:rPr>
              <w:t>与“吉木萨尔县环境管控单元生态环境准入清单”符合性分析</w:t>
            </w:r>
          </w:p>
          <w:tbl>
            <w:tblPr>
              <w:tblStyle w:val="36"/>
              <w:tblW w:w="49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2046"/>
              <w:gridCol w:w="3319"/>
              <w:gridCol w:w="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60" w:type="pct"/>
                  <w:gridSpan w:val="2"/>
                  <w:noWrap w:val="0"/>
                  <w:vAlign w:val="top"/>
                </w:tcPr>
                <w:p>
                  <w:pPr>
                    <w:spacing w:line="240" w:lineRule="auto"/>
                    <w:jc w:val="center"/>
                    <w:outlineLvl w:val="9"/>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管控要求</w:t>
                  </w:r>
                </w:p>
              </w:tc>
              <w:tc>
                <w:tcPr>
                  <w:tcW w:w="2452" w:type="pct"/>
                  <w:noWrap w:val="0"/>
                  <w:vAlign w:val="top"/>
                </w:tcPr>
                <w:p>
                  <w:pPr>
                    <w:spacing w:line="240" w:lineRule="auto"/>
                    <w:jc w:val="both"/>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本项目工程概况</w:t>
                  </w:r>
                </w:p>
              </w:tc>
              <w:tc>
                <w:tcPr>
                  <w:tcW w:w="487" w:type="pct"/>
                  <w:noWrap w:val="0"/>
                  <w:vAlign w:val="top"/>
                </w:tcPr>
                <w:p>
                  <w:pPr>
                    <w:spacing w:line="240" w:lineRule="auto"/>
                    <w:ind w:left="0" w:leftChars="0" w:firstLine="0" w:firstLineChars="0"/>
                    <w:jc w:val="center"/>
                    <w:outlineLvl w:val="9"/>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48" w:type="pct"/>
                  <w:noWrap w:val="0"/>
                  <w:vAlign w:val="top"/>
                </w:tcPr>
                <w:p>
                  <w:pPr>
                    <w:spacing w:line="240" w:lineRule="auto"/>
                    <w:ind w:left="0" w:leftChars="0" w:firstLine="0" w:firstLineChars="0"/>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空间布局约束</w:t>
                  </w:r>
                </w:p>
              </w:tc>
              <w:tc>
                <w:tcPr>
                  <w:tcW w:w="1511" w:type="pct"/>
                  <w:noWrap w:val="0"/>
                  <w:vAlign w:val="center"/>
                </w:tcPr>
                <w:p>
                  <w:pPr>
                    <w:widowControl/>
                    <w:spacing w:line="240" w:lineRule="auto"/>
                    <w:ind w:left="0" w:leftChars="0" w:firstLine="0" w:firstLineChars="0"/>
                    <w:jc w:val="center"/>
                    <w:outlineLvl w:val="9"/>
                    <w:rPr>
                      <w:rFonts w:hint="default" w:ascii="Times New Roman" w:hAnsi="Times New Roman" w:eastAsia="宋体" w:cs="Times New Roman"/>
                      <w:sz w:val="21"/>
                      <w:szCs w:val="21"/>
                    </w:rPr>
                  </w:pPr>
                  <w:r>
                    <w:rPr>
                      <w:rFonts w:hint="default" w:ascii="Times New Roman" w:hAnsi="Times New Roman" w:eastAsia="宋体" w:cs="Times New Roman"/>
                      <w:color w:val="000000" w:themeColor="text1"/>
                      <w:kern w:val="0"/>
                      <w:sz w:val="21"/>
                      <w:szCs w:val="21"/>
                      <w14:textFill>
                        <w14:solidFill>
                          <w14:schemeClr w14:val="tx1"/>
                        </w14:solidFill>
                      </w14:textFill>
                    </w:rPr>
                    <w:t>1、执行自治区总体准入要求中关于一般环境管控单元的准入要求（表2-4A7.1）。</w:t>
                  </w:r>
                </w:p>
              </w:tc>
              <w:tc>
                <w:tcPr>
                  <w:tcW w:w="2452" w:type="pct"/>
                  <w:noWrap w:val="0"/>
                  <w:vAlign w:val="top"/>
                </w:tcPr>
                <w:p>
                  <w:pPr>
                    <w:spacing w:line="240" w:lineRule="auto"/>
                    <w:ind w:left="0" w:leftChars="0" w:firstLine="0" w:firstLineChars="0"/>
                    <w:jc w:val="center"/>
                    <w:outlineLvl w:val="9"/>
                    <w:rPr>
                      <w:rFonts w:hint="default" w:ascii="Times New Roman" w:hAnsi="Times New Roman" w:eastAsia="宋体" w:cs="Times New Roman"/>
                    </w:rPr>
                  </w:pPr>
                  <w:r>
                    <w:rPr>
                      <w:rFonts w:hint="default" w:ascii="Times New Roman" w:hAnsi="Times New Roman" w:eastAsia="宋体" w:cs="Times New Roman"/>
                      <w:b w:val="0"/>
                      <w:color w:val="000000" w:themeColor="text1"/>
                      <w:kern w:val="0"/>
                      <w:sz w:val="21"/>
                      <w:szCs w:val="21"/>
                      <w:lang w:val="en-US" w:eastAsia="zh-CN" w:bidi="ar-SA"/>
                      <w14:textFill>
                        <w14:solidFill>
                          <w14:schemeClr w14:val="tx1"/>
                        </w14:solidFill>
                      </w14:textFill>
                    </w:rPr>
                    <w:t>本项目区不涉及水源涵养区、地下水源、饮用水源、各类自然保护区、自然生态良好区、风景名胜区及人口密集区等敏感区域。</w:t>
                  </w:r>
                </w:p>
              </w:tc>
              <w:tc>
                <w:tcPr>
                  <w:tcW w:w="487" w:type="pct"/>
                  <w:noWrap w:val="0"/>
                  <w:vAlign w:val="top"/>
                </w:tcPr>
                <w:p>
                  <w:pPr>
                    <w:spacing w:line="240" w:lineRule="auto"/>
                    <w:jc w:val="center"/>
                    <w:outlineLvl w:val="9"/>
                    <w:rPr>
                      <w:rFonts w:hint="default" w:ascii="Times New Roman" w:hAnsi="Times New Roman" w:eastAsia="宋体" w:cs="Times New Roman"/>
                      <w:color w:val="000000"/>
                      <w:sz w:val="21"/>
                      <w:szCs w:val="21"/>
                    </w:rPr>
                  </w:pPr>
                </w:p>
                <w:p>
                  <w:pPr>
                    <w:spacing w:line="240" w:lineRule="auto"/>
                    <w:ind w:left="0" w:leftChars="0" w:firstLine="0" w:firstLineChars="0"/>
                    <w:jc w:val="center"/>
                    <w:outlineLvl w:val="9"/>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548" w:type="pct"/>
                  <w:noWrap w:val="0"/>
                  <w:vAlign w:val="top"/>
                </w:tcPr>
                <w:p>
                  <w:pPr>
                    <w:spacing w:line="240" w:lineRule="auto"/>
                    <w:ind w:left="0" w:leftChars="0" w:firstLine="0" w:firstLineChars="0"/>
                    <w:jc w:val="center"/>
                    <w:outlineLvl w:val="9"/>
                    <w:rPr>
                      <w:rFonts w:hint="default" w:ascii="Times New Roman" w:hAnsi="Times New Roman" w:eastAsia="宋体" w:cs="Times New Roman"/>
                      <w:color w:val="000000" w:themeColor="text1"/>
                      <w:kern w:val="0"/>
                      <w:sz w:val="21"/>
                      <w:szCs w:val="21"/>
                      <w14:textFill>
                        <w14:solidFill>
                          <w14:schemeClr w14:val="tx1"/>
                        </w14:solidFill>
                      </w14:textFill>
                    </w:rPr>
                  </w:pPr>
                </w:p>
                <w:p>
                  <w:pPr>
                    <w:spacing w:line="240" w:lineRule="auto"/>
                    <w:ind w:left="0" w:leftChars="0" w:firstLine="0" w:firstLineChars="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themeColor="text1"/>
                      <w:kern w:val="0"/>
                      <w:sz w:val="21"/>
                      <w:szCs w:val="21"/>
                      <w14:textFill>
                        <w14:solidFill>
                          <w14:schemeClr w14:val="tx1"/>
                        </w14:solidFill>
                      </w14:textFill>
                    </w:rPr>
                    <w:t>污染物排放管控</w:t>
                  </w:r>
                </w:p>
              </w:tc>
              <w:tc>
                <w:tcPr>
                  <w:tcW w:w="1511" w:type="pct"/>
                  <w:noWrap w:val="0"/>
                  <w:vAlign w:val="center"/>
                </w:tcPr>
                <w:p>
                  <w:pPr>
                    <w:widowControl/>
                    <w:spacing w:line="240" w:lineRule="auto"/>
                    <w:ind w:left="0" w:leftChars="0" w:firstLine="0" w:firstLineChars="0"/>
                    <w:jc w:val="center"/>
                    <w:outlineLvl w:val="9"/>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1、执行自治区总体准入要求中关于一般环境管控单元的准入要求（表2-4A7.2）。</w:t>
                  </w:r>
                </w:p>
              </w:tc>
              <w:tc>
                <w:tcPr>
                  <w:tcW w:w="2452" w:type="pct"/>
                  <w:noWrap w:val="0"/>
                  <w:vAlign w:val="top"/>
                </w:tcPr>
                <w:p>
                  <w:pPr>
                    <w:widowControl/>
                    <w:spacing w:line="240" w:lineRule="auto"/>
                    <w:ind w:left="0" w:leftChars="0" w:firstLine="0" w:firstLineChars="0"/>
                    <w:jc w:val="center"/>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项目施工期对环境影响较大，但施工期短，随着施工期结束，环境污染也将结束</w:t>
                  </w:r>
                  <w:r>
                    <w:rPr>
                      <w:rFonts w:hint="eastAsia" w:cs="Times New Roman"/>
                      <w:sz w:val="21"/>
                      <w:szCs w:val="21"/>
                      <w:lang w:val="en-US" w:eastAsia="zh-CN"/>
                    </w:rPr>
                    <w:t>，不会对周围大气环境产生影响；运营期不产生污染物；</w:t>
                  </w:r>
                  <w:r>
                    <w:rPr>
                      <w:rFonts w:hint="default" w:ascii="Times New Roman" w:hAnsi="Times New Roman" w:eastAsia="宋体" w:cs="Times New Roman"/>
                      <w:sz w:val="21"/>
                      <w:szCs w:val="21"/>
                      <w:lang w:val="en-US" w:eastAsia="zh-CN"/>
                    </w:rPr>
                    <w:t>满足污染物排放管控要求。</w:t>
                  </w:r>
                </w:p>
              </w:tc>
              <w:tc>
                <w:tcPr>
                  <w:tcW w:w="487" w:type="pct"/>
                  <w:noWrap w:val="0"/>
                  <w:vAlign w:val="top"/>
                </w:tcPr>
                <w:p>
                  <w:pPr>
                    <w:spacing w:line="240" w:lineRule="auto"/>
                    <w:ind w:left="0" w:leftChars="0" w:firstLine="0" w:firstLineChars="0"/>
                    <w:jc w:val="center"/>
                    <w:outlineLvl w:val="9"/>
                    <w:rPr>
                      <w:rFonts w:hint="default" w:ascii="Times New Roman" w:hAnsi="Times New Roman" w:eastAsia="宋体" w:cs="Times New Roman"/>
                      <w:color w:val="000000"/>
                      <w:sz w:val="21"/>
                      <w:szCs w:val="21"/>
                    </w:rPr>
                  </w:pPr>
                </w:p>
                <w:p>
                  <w:pPr>
                    <w:spacing w:line="240" w:lineRule="auto"/>
                    <w:ind w:left="0" w:leftChars="0" w:firstLine="0" w:firstLineChars="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548" w:type="pct"/>
                  <w:noWrap w:val="0"/>
                  <w:vAlign w:val="top"/>
                </w:tcPr>
                <w:p>
                  <w:pPr>
                    <w:spacing w:line="240" w:lineRule="auto"/>
                    <w:ind w:left="0" w:leftChars="0" w:firstLine="0" w:firstLineChars="0"/>
                    <w:jc w:val="center"/>
                    <w:outlineLvl w:val="9"/>
                    <w:rPr>
                      <w:rFonts w:hint="default" w:ascii="Times New Roman" w:hAnsi="Times New Roman" w:eastAsia="宋体" w:cs="Times New Roman"/>
                      <w:color w:val="000000" w:themeColor="text1"/>
                      <w:kern w:val="0"/>
                      <w:sz w:val="21"/>
                      <w:szCs w:val="21"/>
                      <w14:textFill>
                        <w14:solidFill>
                          <w14:schemeClr w14:val="tx1"/>
                        </w14:solidFill>
                      </w14:textFill>
                    </w:rPr>
                  </w:pPr>
                </w:p>
                <w:p>
                  <w:pPr>
                    <w:spacing w:line="240" w:lineRule="auto"/>
                    <w:ind w:left="0" w:leftChars="0" w:firstLine="0" w:firstLineChars="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themeColor="text1"/>
                      <w:kern w:val="0"/>
                      <w:sz w:val="21"/>
                      <w:szCs w:val="21"/>
                      <w14:textFill>
                        <w14:solidFill>
                          <w14:schemeClr w14:val="tx1"/>
                        </w14:solidFill>
                      </w14:textFill>
                    </w:rPr>
                    <w:t>环境风险防控</w:t>
                  </w:r>
                </w:p>
              </w:tc>
              <w:tc>
                <w:tcPr>
                  <w:tcW w:w="1511" w:type="pct"/>
                  <w:noWrap w:val="0"/>
                  <w:vAlign w:val="center"/>
                </w:tcPr>
                <w:p>
                  <w:pPr>
                    <w:widowControl/>
                    <w:spacing w:line="240" w:lineRule="auto"/>
                    <w:ind w:left="0" w:leftChars="0" w:firstLine="0" w:firstLineChars="0"/>
                    <w:jc w:val="center"/>
                    <w:outlineLvl w:val="9"/>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1、执行自治区总体准入要求中关于一般环境管控单元的准入要求（表2-4A7.3）。</w:t>
                  </w:r>
                </w:p>
              </w:tc>
              <w:tc>
                <w:tcPr>
                  <w:tcW w:w="2452" w:type="pct"/>
                  <w:noWrap w:val="0"/>
                  <w:vAlign w:val="top"/>
                </w:tcPr>
                <w:p>
                  <w:pPr>
                    <w:widowControl/>
                    <w:spacing w:line="240" w:lineRule="auto"/>
                    <w:ind w:left="0" w:leftChars="0" w:firstLine="0" w:firstLineChars="0"/>
                    <w:jc w:val="center"/>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本项目</w:t>
                  </w:r>
                  <w:r>
                    <w:rPr>
                      <w:rFonts w:hint="eastAsia" w:ascii="Times New Roman" w:hAnsi="Times New Roman" w:cs="Times New Roman"/>
                      <w:sz w:val="21"/>
                      <w:szCs w:val="21"/>
                      <w:lang w:val="en-US" w:eastAsia="zh-CN"/>
                    </w:rPr>
                    <w:t>施工期、运营期均不产生危险物质。</w:t>
                  </w:r>
                </w:p>
              </w:tc>
              <w:tc>
                <w:tcPr>
                  <w:tcW w:w="487" w:type="pct"/>
                  <w:noWrap w:val="0"/>
                  <w:vAlign w:val="top"/>
                </w:tcPr>
                <w:p>
                  <w:pPr>
                    <w:spacing w:line="240" w:lineRule="auto"/>
                    <w:ind w:left="0" w:leftChars="0" w:firstLine="0" w:firstLineChars="0"/>
                    <w:jc w:val="center"/>
                    <w:outlineLvl w:val="9"/>
                    <w:rPr>
                      <w:rFonts w:hint="default" w:ascii="Times New Roman" w:hAnsi="Times New Roman" w:eastAsia="宋体" w:cs="Times New Roman"/>
                      <w:color w:val="000000"/>
                      <w:sz w:val="21"/>
                      <w:szCs w:val="21"/>
                    </w:rPr>
                  </w:pPr>
                </w:p>
                <w:p>
                  <w:pPr>
                    <w:spacing w:line="240" w:lineRule="auto"/>
                    <w:ind w:left="0" w:leftChars="0" w:firstLine="0" w:firstLineChars="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548" w:type="pct"/>
                  <w:noWrap w:val="0"/>
                  <w:vAlign w:val="top"/>
                </w:tcPr>
                <w:p>
                  <w:pPr>
                    <w:spacing w:line="240" w:lineRule="auto"/>
                    <w:ind w:left="0" w:leftChars="0" w:firstLine="0" w:firstLineChars="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themeColor="text1"/>
                      <w:kern w:val="0"/>
                      <w:sz w:val="21"/>
                      <w:szCs w:val="21"/>
                      <w14:textFill>
                        <w14:solidFill>
                          <w14:schemeClr w14:val="tx1"/>
                        </w14:solidFill>
                      </w14:textFill>
                    </w:rPr>
                    <w:t>资源利用效率</w:t>
                  </w:r>
                </w:p>
              </w:tc>
              <w:tc>
                <w:tcPr>
                  <w:tcW w:w="1511" w:type="pct"/>
                  <w:noWrap w:val="0"/>
                  <w:vAlign w:val="center"/>
                </w:tcPr>
                <w:p>
                  <w:pPr>
                    <w:widowControl/>
                    <w:spacing w:line="240" w:lineRule="auto"/>
                    <w:ind w:left="0" w:leftChars="0" w:firstLine="0" w:firstLineChars="0"/>
                    <w:jc w:val="center"/>
                    <w:outlineLvl w:val="9"/>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1、执行自治区总体准入要求中关于一般环境管控单元的准入要求（表2-4A7.4）。</w:t>
                  </w:r>
                </w:p>
              </w:tc>
              <w:tc>
                <w:tcPr>
                  <w:tcW w:w="2452" w:type="pct"/>
                  <w:noWrap w:val="0"/>
                  <w:vAlign w:val="top"/>
                </w:tcPr>
                <w:p>
                  <w:pPr>
                    <w:widowControl/>
                    <w:spacing w:line="240" w:lineRule="auto"/>
                    <w:ind w:left="0" w:leftChars="0" w:firstLine="0" w:firstLineChars="0"/>
                    <w:jc w:val="center"/>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本项目</w:t>
                  </w:r>
                  <w:r>
                    <w:rPr>
                      <w:rFonts w:hint="eastAsia" w:ascii="Times New Roman" w:hAnsi="Times New Roman" w:cs="Times New Roman"/>
                      <w:sz w:val="21"/>
                      <w:szCs w:val="21"/>
                      <w:lang w:val="en-US" w:eastAsia="zh-CN"/>
                    </w:rPr>
                    <w:t>施工期</w:t>
                  </w:r>
                  <w:r>
                    <w:rPr>
                      <w:rFonts w:hint="default" w:ascii="Times New Roman" w:hAnsi="Times New Roman" w:cs="Times New Roman"/>
                      <w:sz w:val="21"/>
                      <w:szCs w:val="21"/>
                      <w:lang w:val="en-US" w:eastAsia="zh-CN"/>
                    </w:rPr>
                    <w:t>用水水源为</w:t>
                  </w:r>
                  <w:r>
                    <w:rPr>
                      <w:rFonts w:hint="eastAsia" w:cs="Times New Roman"/>
                      <w:sz w:val="21"/>
                      <w:szCs w:val="21"/>
                      <w:lang w:val="en-US" w:eastAsia="zh-CN"/>
                    </w:rPr>
                    <w:t>白杨河</w:t>
                  </w:r>
                  <w:r>
                    <w:rPr>
                      <w:rFonts w:hint="eastAsia" w:ascii="Times New Roman" w:hAnsi="Times New Roman" w:cs="Times New Roman"/>
                      <w:sz w:val="21"/>
                      <w:szCs w:val="21"/>
                      <w:lang w:val="en-US" w:eastAsia="zh-CN"/>
                    </w:rPr>
                    <w:t>，不对项目区地下水进行开采，与资源利用效率符合。</w:t>
                  </w:r>
                </w:p>
              </w:tc>
              <w:tc>
                <w:tcPr>
                  <w:tcW w:w="487" w:type="pct"/>
                  <w:noWrap w:val="0"/>
                  <w:vAlign w:val="top"/>
                </w:tcPr>
                <w:p>
                  <w:pPr>
                    <w:spacing w:line="240" w:lineRule="auto"/>
                    <w:ind w:left="0" w:leftChars="0" w:firstLine="0" w:firstLineChars="0"/>
                    <w:jc w:val="center"/>
                    <w:outlineLvl w:val="9"/>
                    <w:rPr>
                      <w:rFonts w:hint="default" w:ascii="Times New Roman" w:hAnsi="Times New Roman" w:eastAsia="宋体" w:cs="Times New Roman"/>
                      <w:color w:val="000000"/>
                      <w:sz w:val="21"/>
                      <w:szCs w:val="21"/>
                    </w:rPr>
                  </w:pPr>
                </w:p>
                <w:p>
                  <w:pPr>
                    <w:spacing w:line="240" w:lineRule="auto"/>
                    <w:ind w:left="0" w:leftChars="0" w:firstLine="0" w:firstLineChars="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符合</w:t>
                  </w:r>
                </w:p>
              </w:tc>
            </w:tr>
          </w:tbl>
          <w:p>
            <w:pPr>
              <w:autoSpaceDE w:val="0"/>
              <w:autoSpaceDN w:val="0"/>
              <w:adjustRightInd w:val="0"/>
              <w:snapToGrid w:val="0"/>
              <w:spacing w:line="360" w:lineRule="auto"/>
              <w:ind w:left="0" w:leftChars="0" w:firstLine="0" w:firstLineChars="0"/>
              <w:rPr>
                <w:rFonts w:hint="default"/>
                <w:b/>
                <w:bCs/>
                <w:lang w:val="en-US" w:eastAsia="zh-CN"/>
              </w:rPr>
            </w:pPr>
            <w:r>
              <w:rPr>
                <w:rFonts w:hint="default"/>
                <w:b/>
                <w:bCs/>
                <w:lang w:val="en-US" w:eastAsia="zh-CN"/>
              </w:rPr>
              <w:t>5、</w:t>
            </w:r>
            <w:r>
              <w:rPr>
                <w:rFonts w:hint="default"/>
                <w:b/>
                <w:bCs/>
              </w:rPr>
              <w:t>与《新疆生态环境保护“十四五”规划》的符合性分析</w:t>
            </w:r>
          </w:p>
          <w:p>
            <w:pPr>
              <w:adjustRightInd w:val="0"/>
              <w:snapToGrid w:val="0"/>
              <w:spacing w:line="360" w:lineRule="auto"/>
              <w:ind w:firstLine="31680"/>
              <w:rPr>
                <w:rFonts w:hint="default"/>
              </w:rPr>
            </w:pPr>
            <w:r>
              <w:rPr>
                <w:rFonts w:hint="default"/>
              </w:rPr>
              <w:t>根据《新疆生态环境保护</w:t>
            </w:r>
            <w:r>
              <w:rPr>
                <w:rFonts w:hint="eastAsia"/>
              </w:rPr>
              <w:t>“</w:t>
            </w:r>
            <w:r>
              <w:rPr>
                <w:rFonts w:hint="default"/>
              </w:rPr>
              <w:t>十四五</w:t>
            </w:r>
            <w:r>
              <w:rPr>
                <w:rFonts w:hint="eastAsia"/>
              </w:rPr>
              <w:t>”</w:t>
            </w:r>
            <w:r>
              <w:rPr>
                <w:rFonts w:hint="default"/>
              </w:rPr>
              <w:t>规划》中加强水资源、水生态、水环境系统管理</w:t>
            </w:r>
            <w:r>
              <w:rPr>
                <w:rFonts w:hint="eastAsia"/>
                <w:lang w:eastAsia="zh-CN"/>
              </w:rPr>
              <w:t>，</w:t>
            </w:r>
            <w:r>
              <w:rPr>
                <w:rFonts w:hint="default"/>
              </w:rPr>
              <w:t>强化水资源刚性约束，深入推进最严格水资源管理制度，严格实行区域用水总量和强度控制，强化节水约束性指标管理</w:t>
            </w:r>
            <w:r>
              <w:rPr>
                <w:rFonts w:hint="eastAsia"/>
                <w:lang w:eastAsia="zh-CN"/>
              </w:rPr>
              <w:t>，</w:t>
            </w:r>
            <w:r>
              <w:rPr>
                <w:rFonts w:hint="default"/>
              </w:rPr>
              <w:t>严格河湖生态流量管理，增加生态用水保障，促进水生态恢复。</w:t>
            </w:r>
          </w:p>
          <w:p>
            <w:pPr>
              <w:adjustRightInd w:val="0"/>
              <w:snapToGrid w:val="0"/>
              <w:spacing w:line="360" w:lineRule="auto"/>
              <w:ind w:firstLine="31680"/>
              <w:outlineLvl w:val="9"/>
              <w:rPr>
                <w:rFonts w:hint="default" w:ascii="Times New Roman" w:hAnsi="Times New Roman" w:eastAsia="宋体" w:cs="Times New Roman"/>
                <w:b w:val="0"/>
                <w:bCs w:val="0"/>
                <w:color w:val="000000"/>
                <w:kern w:val="0"/>
                <w:sz w:val="24"/>
                <w:szCs w:val="24"/>
                <w:lang w:val="en-US" w:eastAsia="zh-CN" w:bidi="ar-SA"/>
              </w:rPr>
            </w:pPr>
            <w:r>
              <w:rPr>
                <w:rFonts w:hint="default" w:ascii="Times New Roman" w:hAnsi="Times New Roman" w:eastAsia="宋体" w:cs="Times New Roman"/>
                <w:sz w:val="24"/>
                <w:szCs w:val="24"/>
                <w:highlight w:val="none"/>
              </w:rPr>
              <w:t>本</w:t>
            </w:r>
            <w:r>
              <w:rPr>
                <w:rFonts w:hint="default" w:ascii="Times New Roman" w:hAnsi="Times New Roman" w:cs="Times New Roman"/>
                <w:sz w:val="24"/>
                <w:szCs w:val="24"/>
                <w:highlight w:val="none"/>
                <w:lang w:val="en-US" w:eastAsia="zh-CN"/>
              </w:rPr>
              <w:t>项目为</w:t>
            </w:r>
            <w:r>
              <w:rPr>
                <w:rFonts w:hint="default" w:ascii="Times New Roman" w:hAnsi="Times New Roman" w:cs="Times New Roman"/>
                <w:b w:val="0"/>
                <w:bCs/>
                <w:color w:val="000000"/>
                <w:highlight w:val="none"/>
                <w:lang w:val="en-US" w:eastAsia="zh-CN"/>
              </w:rPr>
              <w:t>中小河流治理工程，工程任务</w:t>
            </w:r>
            <w:r>
              <w:rPr>
                <w:rFonts w:hint="default"/>
                <w:lang w:val="en-US" w:eastAsia="zh-CN"/>
              </w:rPr>
              <w:t>：“</w:t>
            </w:r>
            <w:r>
              <w:rPr>
                <w:rFonts w:hint="default" w:ascii="Times New Roman" w:hAnsi="Times New Roman" w:eastAsia="宋体" w:cs="Times New Roman"/>
                <w:b w:val="0"/>
                <w:bCs w:val="0"/>
                <w:color w:val="000000"/>
                <w:kern w:val="0"/>
                <w:sz w:val="24"/>
                <w:szCs w:val="24"/>
                <w:lang w:val="en-US" w:eastAsia="zh-CN" w:bidi="ar-SA"/>
              </w:rPr>
              <w:t>以保障行洪通道的畅通和保障河道正常行洪能力为根本任务，急需</w:t>
            </w:r>
            <w:r>
              <w:rPr>
                <w:rFonts w:hint="eastAsia" w:ascii="Times New Roman" w:hAnsi="Times New Roman" w:eastAsia="宋体" w:cs="Times New Roman"/>
                <w:b w:val="0"/>
                <w:bCs w:val="0"/>
                <w:color w:val="000000"/>
                <w:kern w:val="0"/>
                <w:sz w:val="24"/>
                <w:szCs w:val="24"/>
                <w:lang w:val="en-US" w:eastAsia="zh-CN" w:bidi="ar-SA"/>
              </w:rPr>
              <w:t>对桩号0+000～1+880</w:t>
            </w:r>
            <w:r>
              <w:rPr>
                <w:rFonts w:hint="eastAsia" w:ascii="宋体" w:hAnsi="宋体" w:cs="宋体"/>
                <w:b w:val="0"/>
                <w:bCs/>
                <w:color w:val="000000"/>
              </w:rPr>
              <w:t>（</w:t>
            </w:r>
            <w:r>
              <w:rPr>
                <w:rFonts w:hint="eastAsia" w:ascii="Times New Roman" w:hAnsi="Times New Roman" w:eastAsia="宋体" w:cs="Times New Roman"/>
                <w:b w:val="0"/>
                <w:bCs w:val="0"/>
                <w:color w:val="000000"/>
                <w:kern w:val="0"/>
                <w:sz w:val="24"/>
                <w:szCs w:val="24"/>
                <w:lang w:val="en-US" w:eastAsia="zh-CN" w:bidi="ar-SA"/>
              </w:rPr>
              <w:t>五圣宫水文站</w:t>
            </w:r>
            <w:r>
              <w:rPr>
                <w:rFonts w:hint="eastAsia" w:ascii="宋体" w:hAnsi="宋体" w:cs="宋体"/>
                <w:b w:val="0"/>
                <w:bCs/>
                <w:color w:val="000000"/>
              </w:rPr>
              <w:t>）</w:t>
            </w:r>
            <w:r>
              <w:rPr>
                <w:rFonts w:hint="eastAsia" w:ascii="Times New Roman" w:hAnsi="Times New Roman" w:eastAsia="宋体" w:cs="Times New Roman"/>
                <w:b w:val="0"/>
                <w:bCs w:val="0"/>
                <w:color w:val="000000"/>
                <w:kern w:val="0"/>
                <w:sz w:val="24"/>
                <w:szCs w:val="24"/>
                <w:lang w:val="en-US" w:eastAsia="zh-CN" w:bidi="ar-SA"/>
              </w:rPr>
              <w:t>段、4+100～21+900</w:t>
            </w:r>
            <w:r>
              <w:rPr>
                <w:rFonts w:hint="eastAsia" w:ascii="宋体" w:hAnsi="宋体" w:cs="宋体"/>
                <w:b w:val="0"/>
                <w:bCs/>
                <w:color w:val="000000"/>
              </w:rPr>
              <w:t>（</w:t>
            </w:r>
            <w:r>
              <w:rPr>
                <w:rFonts w:hint="eastAsia" w:ascii="Times New Roman" w:hAnsi="Times New Roman" w:eastAsia="宋体" w:cs="Times New Roman"/>
                <w:b w:val="0"/>
                <w:bCs w:val="0"/>
                <w:color w:val="000000"/>
                <w:kern w:val="0"/>
                <w:sz w:val="24"/>
                <w:szCs w:val="24"/>
                <w:lang w:val="en-US" w:eastAsia="zh-CN" w:bidi="ar-SA"/>
              </w:rPr>
              <w:t>白杨河水库至林区公路</w:t>
            </w:r>
            <w:r>
              <w:rPr>
                <w:rFonts w:hint="eastAsia" w:ascii="宋体" w:hAnsi="宋体" w:cs="宋体"/>
                <w:b w:val="0"/>
                <w:bCs/>
                <w:color w:val="000000"/>
              </w:rPr>
              <w:t>）</w:t>
            </w:r>
            <w:r>
              <w:rPr>
                <w:rFonts w:hint="eastAsia" w:ascii="Times New Roman" w:hAnsi="Times New Roman" w:eastAsia="宋体" w:cs="Times New Roman"/>
                <w:b w:val="0"/>
                <w:bCs w:val="0"/>
                <w:color w:val="000000"/>
                <w:kern w:val="0"/>
                <w:sz w:val="24"/>
                <w:szCs w:val="24"/>
                <w:lang w:val="en-US" w:eastAsia="zh-CN" w:bidi="ar-SA"/>
              </w:rPr>
              <w:t>段和26+750～29+160</w:t>
            </w:r>
            <w:r>
              <w:rPr>
                <w:rFonts w:hint="eastAsia" w:ascii="宋体" w:hAnsi="宋体" w:cs="宋体"/>
                <w:b w:val="0"/>
                <w:bCs/>
                <w:color w:val="000000"/>
              </w:rPr>
              <w:t>（</w:t>
            </w:r>
            <w:r>
              <w:rPr>
                <w:rFonts w:hint="eastAsia" w:ascii="Times New Roman" w:hAnsi="Times New Roman" w:eastAsia="宋体" w:cs="Times New Roman"/>
                <w:b w:val="0"/>
                <w:bCs w:val="0"/>
                <w:color w:val="000000"/>
                <w:kern w:val="0"/>
                <w:sz w:val="24"/>
                <w:szCs w:val="24"/>
                <w:lang w:val="en-US" w:eastAsia="zh-CN" w:bidi="ar-SA"/>
              </w:rPr>
              <w:t>魏家村至S303省道</w:t>
            </w:r>
            <w:r>
              <w:rPr>
                <w:rFonts w:hint="eastAsia" w:ascii="宋体" w:hAnsi="宋体" w:cs="宋体"/>
                <w:b w:val="0"/>
                <w:bCs/>
                <w:color w:val="000000"/>
              </w:rPr>
              <w:t>）</w:t>
            </w:r>
            <w:r>
              <w:rPr>
                <w:rFonts w:hint="eastAsia" w:ascii="Times New Roman" w:hAnsi="Times New Roman" w:eastAsia="宋体" w:cs="Times New Roman"/>
                <w:b w:val="0"/>
                <w:bCs w:val="0"/>
                <w:color w:val="000000"/>
                <w:kern w:val="0"/>
                <w:sz w:val="24"/>
                <w:szCs w:val="24"/>
                <w:lang w:val="en-US" w:eastAsia="zh-CN" w:bidi="ar-SA"/>
              </w:rPr>
              <w:t>段需保护村庄和农田的22.09km河道进行治理，对该段河道进行防治，确保沿岸村庄、农田及交通安全</w:t>
            </w:r>
            <w:r>
              <w:rPr>
                <w:rFonts w:hint="default" w:ascii="Times New Roman" w:hAnsi="Times New Roman" w:eastAsia="宋体" w:cs="Times New Roman"/>
                <w:b w:val="0"/>
                <w:bCs w:val="0"/>
                <w:color w:val="000000"/>
                <w:kern w:val="0"/>
                <w:sz w:val="24"/>
                <w:szCs w:val="24"/>
                <w:lang w:val="en-US" w:eastAsia="zh-CN" w:bidi="ar-SA"/>
              </w:rPr>
              <w:t>”，与《新疆生态环境保护“十四五”规划》是相符的。</w:t>
            </w:r>
          </w:p>
          <w:p>
            <w:pPr>
              <w:adjustRightInd w:val="0"/>
              <w:snapToGrid w:val="0"/>
              <w:spacing w:line="360" w:lineRule="auto"/>
              <w:ind w:left="0" w:leftChars="0" w:firstLine="0" w:firstLineChars="0"/>
              <w:outlineLvl w:val="9"/>
              <w:rPr>
                <w:rFonts w:hint="default"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6、</w:t>
            </w:r>
            <w:r>
              <w:rPr>
                <w:rFonts w:hint="default" w:ascii="Times New Roman" w:hAnsi="Times New Roman" w:eastAsia="宋体" w:cs="Times New Roman"/>
                <w:b/>
                <w:bCs/>
                <w:kern w:val="2"/>
                <w:sz w:val="24"/>
                <w:szCs w:val="24"/>
                <w:lang w:val="en-US" w:eastAsia="zh-CN" w:bidi="ar-SA"/>
              </w:rPr>
              <w:t>与</w:t>
            </w:r>
            <w:r>
              <w:rPr>
                <w:rFonts w:hint="eastAsia" w:ascii="Times New Roman" w:hAnsi="Times New Roman" w:eastAsia="宋体" w:cs="Times New Roman"/>
                <w:b/>
                <w:bCs/>
                <w:kern w:val="2"/>
                <w:sz w:val="24"/>
                <w:szCs w:val="24"/>
                <w:lang w:val="en-US" w:eastAsia="zh-CN" w:bidi="ar-SA"/>
              </w:rPr>
              <w:t>《昌吉回族自治州国民经济和社会发展第十四个五年规划和二〇三五年远景目标纲要》</w:t>
            </w:r>
            <w:r>
              <w:rPr>
                <w:rFonts w:hint="default" w:ascii="Times New Roman" w:hAnsi="Times New Roman" w:eastAsia="宋体" w:cs="Times New Roman"/>
                <w:b/>
                <w:bCs/>
                <w:kern w:val="2"/>
                <w:sz w:val="24"/>
                <w:szCs w:val="24"/>
                <w:lang w:val="en-US" w:eastAsia="zh-CN" w:bidi="ar-SA"/>
              </w:rPr>
              <w:t>的符合性分析</w:t>
            </w:r>
          </w:p>
          <w:p>
            <w:pPr>
              <w:adjustRightInd w:val="0"/>
              <w:snapToGrid w:val="0"/>
              <w:spacing w:line="360" w:lineRule="auto"/>
              <w:ind w:firstLine="31680"/>
              <w:outlineLvl w:val="9"/>
              <w:rPr>
                <w:rFonts w:hint="default" w:ascii="Times New Roman" w:hAnsi="Times New Roman" w:eastAsia="宋体" w:cs="Times New Roman"/>
                <w:b w:val="0"/>
                <w:bCs w:val="0"/>
                <w:color w:val="000000"/>
                <w:kern w:val="0"/>
                <w:sz w:val="24"/>
                <w:szCs w:val="24"/>
                <w:lang w:val="en-US" w:eastAsia="zh-CN" w:bidi="ar-SA"/>
              </w:rPr>
            </w:pPr>
            <w:r>
              <w:rPr>
                <w:rFonts w:hint="eastAsia" w:ascii="Times New Roman" w:hAnsi="Times New Roman" w:eastAsia="宋体" w:cs="Times New Roman"/>
                <w:b w:val="0"/>
                <w:bCs w:val="0"/>
                <w:color w:val="000000"/>
                <w:kern w:val="0"/>
                <w:sz w:val="24"/>
                <w:szCs w:val="24"/>
                <w:lang w:val="en-US" w:eastAsia="zh-CN" w:bidi="ar-SA"/>
              </w:rPr>
              <w:t>《昌吉回族自治州国民经济和社会发展第十四个五年规划和二〇三五年远景目标纲要》中“四、基础设施建设日趋完善：水利基础设施建设不断加强。奇台县</w:t>
            </w:r>
            <w:r>
              <w:rPr>
                <w:rFonts w:hint="default" w:ascii="Times New Roman" w:hAnsi="Times New Roman" w:eastAsia="宋体" w:cs="Times New Roman"/>
                <w:b w:val="0"/>
                <w:bCs w:val="0"/>
                <w:color w:val="000000"/>
                <w:kern w:val="0"/>
                <w:sz w:val="24"/>
                <w:szCs w:val="24"/>
                <w:lang w:val="en-US" w:eastAsia="zh-CN" w:bidi="ar-SA"/>
              </w:rPr>
              <w:t>碧流河、呼图壁县齐古、吉木萨尔县小龙口、阜康市白杨河4座水库建成投运，改善灌溉面积33.78万亩，实施了奇台县河湖水系连通（一期）、玛纳斯县北六灌区、木垒县白杨河灌区、奇台县农村中心水厂等引调水工程，有效增强了水资源调控和供水保障能力</w:t>
            </w:r>
            <w:r>
              <w:rPr>
                <w:rFonts w:hint="eastAsia" w:ascii="Times New Roman" w:hAnsi="Times New Roman" w:eastAsia="宋体" w:cs="Times New Roman"/>
                <w:b w:val="0"/>
                <w:bCs w:val="0"/>
                <w:color w:val="000000"/>
                <w:kern w:val="0"/>
                <w:sz w:val="24"/>
                <w:szCs w:val="24"/>
                <w:lang w:val="en-US" w:eastAsia="zh-CN" w:bidi="ar-SA"/>
              </w:rPr>
              <w:t>。”</w:t>
            </w:r>
          </w:p>
          <w:p>
            <w:pPr>
              <w:adjustRightInd w:val="0"/>
              <w:snapToGrid w:val="0"/>
              <w:spacing w:line="360" w:lineRule="auto"/>
              <w:ind w:firstLine="31680"/>
              <w:outlineLvl w:val="9"/>
              <w:rPr>
                <w:rFonts w:hint="default" w:ascii="Times New Roman" w:hAnsi="Times New Roman" w:eastAsia="宋体" w:cs="Times New Roman"/>
                <w:b w:val="0"/>
                <w:bCs w:val="0"/>
                <w:color w:val="000000"/>
                <w:kern w:val="0"/>
                <w:sz w:val="24"/>
                <w:szCs w:val="24"/>
                <w:lang w:val="en-US" w:eastAsia="zh-CN" w:bidi="ar-SA"/>
              </w:rPr>
            </w:pPr>
            <w:r>
              <w:rPr>
                <w:rFonts w:hint="eastAsia" w:ascii="Times New Roman" w:hAnsi="Times New Roman" w:eastAsia="宋体" w:cs="Times New Roman"/>
                <w:b w:val="0"/>
                <w:bCs w:val="0"/>
                <w:color w:val="000000"/>
                <w:kern w:val="0"/>
                <w:sz w:val="24"/>
                <w:szCs w:val="24"/>
                <w:lang w:val="en-US" w:eastAsia="zh-CN" w:bidi="ar-SA"/>
              </w:rPr>
              <w:t>本项目为</w:t>
            </w:r>
            <w:r>
              <w:rPr>
                <w:rFonts w:hint="eastAsia" w:hAnsi="宋体"/>
                <w:b w:val="0"/>
                <w:bCs/>
                <w:color w:val="000000"/>
                <w:lang w:val="en-US" w:eastAsia="zh-CN"/>
              </w:rPr>
              <w:t>白杨河段河流治理工程，属于水利工程，与</w:t>
            </w:r>
            <w:r>
              <w:rPr>
                <w:rFonts w:hint="eastAsia" w:ascii="Times New Roman" w:hAnsi="Times New Roman" w:eastAsia="宋体" w:cs="Times New Roman"/>
                <w:b w:val="0"/>
                <w:bCs w:val="0"/>
                <w:color w:val="000000"/>
                <w:kern w:val="0"/>
                <w:sz w:val="24"/>
                <w:szCs w:val="24"/>
                <w:lang w:val="en-US" w:eastAsia="zh-CN" w:bidi="ar-SA"/>
              </w:rPr>
              <w:t>《昌吉回族自治州国民经济和社会发展第十四个五年规划和二〇三五年远景目标纲要》中</w:t>
            </w:r>
            <w:r>
              <w:rPr>
                <w:rFonts w:hint="eastAsia" w:cs="Times New Roman"/>
                <w:b w:val="0"/>
                <w:bCs w:val="0"/>
                <w:color w:val="000000"/>
                <w:kern w:val="0"/>
                <w:sz w:val="24"/>
                <w:szCs w:val="24"/>
                <w:lang w:val="en-US" w:eastAsia="zh-CN" w:bidi="ar-SA"/>
              </w:rPr>
              <w:t>“</w:t>
            </w:r>
            <w:r>
              <w:rPr>
                <w:rFonts w:hint="eastAsia" w:ascii="Times New Roman" w:hAnsi="Times New Roman" w:eastAsia="宋体" w:cs="Times New Roman"/>
                <w:b w:val="0"/>
                <w:bCs w:val="0"/>
                <w:color w:val="000000"/>
                <w:kern w:val="0"/>
                <w:sz w:val="24"/>
                <w:szCs w:val="24"/>
                <w:lang w:val="en-US" w:eastAsia="zh-CN" w:bidi="ar-SA"/>
              </w:rPr>
              <w:t>四、基础设施建设日趋完善：水利基础设施建设不断加强</w:t>
            </w:r>
            <w:r>
              <w:rPr>
                <w:rFonts w:hint="eastAsia" w:cs="Times New Roman"/>
                <w:b w:val="0"/>
                <w:bCs w:val="0"/>
                <w:color w:val="000000"/>
                <w:kern w:val="0"/>
                <w:sz w:val="24"/>
                <w:szCs w:val="24"/>
                <w:lang w:val="en-US" w:eastAsia="zh-CN" w:bidi="ar-SA"/>
              </w:rPr>
              <w:t>”相关要求相符。</w:t>
            </w:r>
          </w:p>
          <w:p>
            <w:pPr>
              <w:keepNext w:val="0"/>
              <w:keepLines w:val="0"/>
              <w:widowControl/>
              <w:suppressLineNumbers w:val="0"/>
              <w:spacing w:line="360" w:lineRule="auto"/>
              <w:ind w:left="0" w:leftChars="0" w:firstLine="0" w:firstLineChars="0"/>
              <w:jc w:val="left"/>
              <w:rPr>
                <w:rFonts w:hint="eastAsia"/>
                <w:b/>
                <w:bCs/>
                <w:lang w:val="en-US" w:eastAsia="zh-CN"/>
              </w:rPr>
            </w:pPr>
            <w:r>
              <w:rPr>
                <w:rFonts w:hint="eastAsia"/>
                <w:b/>
                <w:bCs/>
                <w:lang w:val="en-US" w:eastAsia="zh-CN"/>
              </w:rPr>
              <w:t>7、与《新疆维吾尔自治区主体功能区规划》相符性分析</w:t>
            </w:r>
          </w:p>
          <w:p>
            <w:pPr>
              <w:adjustRightInd w:val="0"/>
              <w:snapToGrid w:val="0"/>
              <w:spacing w:line="360" w:lineRule="auto"/>
              <w:ind w:firstLine="31680"/>
              <w:jc w:val="both"/>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新疆维吾尔自治区主体功能区规划》（2012年12月27日起实施），形成主体功能区的主要目的为：统筹谋划人口分布、经济布局、国土利用和城镇化格局，确定不同区域的主体功能，逐步形成人口、经济、资源环境相协调的国土空间开发格局按开发方式，将我国国土空间分为：</w:t>
            </w:r>
          </w:p>
          <w:p>
            <w:pPr>
              <w:adjustRightInd w:val="0"/>
              <w:snapToGrid w:val="0"/>
              <w:spacing w:line="360" w:lineRule="auto"/>
              <w:ind w:firstLine="31680"/>
              <w:jc w:val="both"/>
              <w:outlineLvl w:val="9"/>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sz w:val="24"/>
                <w:szCs w:val="24"/>
              </w:rPr>
              <w:t>优化开发区域：是优化进行工业化城镇化开发的城市化地区；</w:t>
            </w:r>
          </w:p>
          <w:p>
            <w:pPr>
              <w:adjustRightInd w:val="0"/>
              <w:snapToGrid w:val="0"/>
              <w:spacing w:line="360" w:lineRule="auto"/>
              <w:ind w:firstLine="31680"/>
              <w:jc w:val="both"/>
              <w:outlineLvl w:val="9"/>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sz w:val="24"/>
                <w:szCs w:val="24"/>
              </w:rPr>
              <w:t>重点开发区域：是重点进行工业化城镇化开发的城市化地区；</w:t>
            </w:r>
          </w:p>
          <w:p>
            <w:pPr>
              <w:adjustRightInd w:val="0"/>
              <w:snapToGrid w:val="0"/>
              <w:spacing w:line="360" w:lineRule="auto"/>
              <w:ind w:firstLine="31680"/>
              <w:jc w:val="both"/>
              <w:outlineLvl w:val="9"/>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sz w:val="24"/>
                <w:szCs w:val="24"/>
              </w:rPr>
              <w:t>限制开发区域（农产品主产区）：是限制进行大规模高强度工业化城镇化开发的农产品主产区；</w:t>
            </w:r>
          </w:p>
          <w:p>
            <w:pPr>
              <w:adjustRightInd w:val="0"/>
              <w:snapToGrid w:val="0"/>
              <w:spacing w:line="360" w:lineRule="auto"/>
              <w:ind w:firstLine="31680"/>
              <w:jc w:val="both"/>
              <w:outlineLvl w:val="9"/>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sz w:val="24"/>
                <w:szCs w:val="24"/>
              </w:rPr>
              <w:t>限制开发区域（重点生态功能区）：限制进行大规模高强度工业化城镇化开发，以保持并提高生态产品供给能力的区域；</w:t>
            </w:r>
          </w:p>
          <w:p>
            <w:pPr>
              <w:adjustRightInd w:val="0"/>
              <w:snapToGrid w:val="0"/>
              <w:spacing w:line="360" w:lineRule="auto"/>
              <w:ind w:firstLine="31680"/>
              <w:jc w:val="both"/>
              <w:outlineLvl w:val="9"/>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sz w:val="24"/>
                <w:szCs w:val="24"/>
              </w:rPr>
              <w:t>禁止开发区域：是禁止进行工业化城镇化开发的重点生态功能区。</w:t>
            </w:r>
          </w:p>
          <w:p>
            <w:pPr>
              <w:adjustRightInd w:val="0"/>
              <w:snapToGrid w:val="0"/>
              <w:spacing w:line="360" w:lineRule="auto"/>
              <w:ind w:firstLine="31680"/>
              <w:jc w:val="both"/>
              <w:outlineLvl w:val="9"/>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val="en-US" w:eastAsia="zh-CN"/>
              </w:rPr>
              <w:t>本工程</w:t>
            </w:r>
            <w:r>
              <w:rPr>
                <w:rFonts w:hint="eastAsia" w:ascii="Times New Roman" w:hAnsi="Times New Roman" w:eastAsia="宋体" w:cs="Times New Roman"/>
                <w:sz w:val="24"/>
                <w:szCs w:val="24"/>
                <w:lang w:val="en-US" w:eastAsia="zh-CN"/>
              </w:rPr>
              <w:t>位于</w:t>
            </w:r>
            <w:r>
              <w:rPr>
                <w:rFonts w:hint="default" w:ascii="Times New Roman" w:hAnsi="Times New Roman" w:eastAsia="宋体" w:cs="Times New Roman"/>
                <w:sz w:val="24"/>
                <w:szCs w:val="24"/>
                <w:lang w:val="en-US" w:eastAsia="zh-CN"/>
              </w:rPr>
              <w:t>白杨河五圣宫水文站至S303省道29.15km范围的河段，</w:t>
            </w:r>
            <w:r>
              <w:rPr>
                <w:rFonts w:hint="default" w:ascii="Times New Roman" w:hAnsi="Times New Roman" w:eastAsia="宋体" w:cs="Times New Roman"/>
                <w:sz w:val="24"/>
                <w:szCs w:val="24"/>
              </w:rPr>
              <w:t>对照全国、新疆主体功能区划，</w:t>
            </w:r>
            <w:r>
              <w:rPr>
                <w:rFonts w:hint="eastAsia" w:ascii="Times New Roman" w:hAnsi="Times New Roman" w:eastAsia="宋体" w:cs="Times New Roman"/>
                <w:sz w:val="24"/>
                <w:szCs w:val="24"/>
                <w:lang w:val="en-US" w:eastAsia="zh-CN"/>
              </w:rPr>
              <w:t>本项目区</w:t>
            </w:r>
            <w:r>
              <w:rPr>
                <w:rFonts w:hint="default" w:ascii="Times New Roman" w:hAnsi="Times New Roman" w:eastAsia="宋体" w:cs="Times New Roman"/>
                <w:sz w:val="24"/>
                <w:szCs w:val="24"/>
              </w:rPr>
              <w:t>无禁止开发区域</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重点开发区，本工程涉及限制开发区域（农产品主产区）—天山北坡主产区</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不在禁止开发区域中。本区的功能定位是：“保障农牧产品供给安全的重要区域，农牧民安居乐业的美好家园，社会主义农村建设的示范区</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w:t>
            </w:r>
          </w:p>
          <w:p>
            <w:pPr>
              <w:adjustRightInd w:val="0"/>
              <w:snapToGrid w:val="0"/>
              <w:spacing w:line="360" w:lineRule="auto"/>
              <w:ind w:firstLine="31680"/>
              <w:jc w:val="both"/>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rPr>
              <w:t>限制开发区域（农产品主产区）主要发展方向为：“</w:t>
            </w:r>
            <w:r>
              <w:rPr>
                <w:rFonts w:hint="default" w:ascii="Times New Roman" w:hAnsi="Times New Roman" w:eastAsia="宋体" w:cs="Times New Roman"/>
                <w:sz w:val="24"/>
                <w:szCs w:val="24"/>
                <w:highlight w:val="none"/>
              </w:rPr>
              <w:t>…加强水利设施建设，加快水源工程、大中型灌区配套和水改造工程建设。加快高效节水农业建设，大力发展旱作节水农业，建立标准化、规范化高效节水示范区。高效节水，加快改革耕作制度，优化栽培模式，调整种植结构，大幅度提高土地产出率和资源利用率…</w:t>
            </w:r>
            <w:r>
              <w:rPr>
                <w:rFonts w:hint="eastAsia" w:cs="Times New Roman"/>
                <w:sz w:val="24"/>
                <w:szCs w:val="24"/>
                <w:highlight w:val="none"/>
                <w:lang w:eastAsia="zh-CN"/>
              </w:rPr>
              <w:t>。</w:t>
            </w:r>
            <w:r>
              <w:rPr>
                <w:rFonts w:hint="default" w:ascii="Times New Roman" w:hAnsi="Times New Roman" w:eastAsia="宋体" w:cs="Times New Roman"/>
                <w:sz w:val="24"/>
                <w:szCs w:val="24"/>
                <w:highlight w:val="none"/>
              </w:rPr>
              <w:t>”</w:t>
            </w:r>
          </w:p>
          <w:p>
            <w:pPr>
              <w:adjustRightInd w:val="0"/>
              <w:snapToGrid w:val="0"/>
              <w:spacing w:line="360" w:lineRule="auto"/>
              <w:ind w:firstLine="31680"/>
              <w:jc w:val="both"/>
              <w:outlineLvl w:val="9"/>
              <w:rPr>
                <w:rFonts w:hint="eastAsia" w:ascii="Times New Roman" w:hAnsi="Times New Roman" w:eastAsia="宋体" w:cs="Times New Roman"/>
                <w:b w:val="0"/>
                <w:bCs w:val="0"/>
                <w:color w:val="000000"/>
                <w:kern w:val="0"/>
                <w:sz w:val="24"/>
                <w:szCs w:val="24"/>
                <w:highlight w:val="yellow"/>
                <w:lang w:val="en-US" w:eastAsia="zh-CN" w:bidi="ar-SA"/>
              </w:rPr>
            </w:pPr>
            <w:r>
              <w:rPr>
                <w:rFonts w:hint="default" w:ascii="Times New Roman" w:hAnsi="Times New Roman" w:eastAsia="宋体" w:cs="Times New Roman"/>
                <w:sz w:val="24"/>
                <w:szCs w:val="24"/>
                <w:highlight w:val="none"/>
              </w:rPr>
              <w:t>本</w:t>
            </w:r>
            <w:r>
              <w:rPr>
                <w:rFonts w:hint="eastAsia" w:ascii="Times New Roman" w:hAnsi="Times New Roman" w:eastAsia="宋体" w:cs="Times New Roman"/>
                <w:sz w:val="24"/>
                <w:szCs w:val="24"/>
                <w:highlight w:val="none"/>
                <w:lang w:val="en-US" w:eastAsia="zh-CN"/>
              </w:rPr>
              <w:t>项目为</w:t>
            </w:r>
            <w:r>
              <w:rPr>
                <w:rFonts w:hint="default" w:ascii="Times New Roman" w:hAnsi="Times New Roman" w:eastAsia="宋体" w:cs="Times New Roman"/>
                <w:sz w:val="24"/>
                <w:szCs w:val="24"/>
                <w:highlight w:val="none"/>
                <w:lang w:val="en-US" w:eastAsia="zh-CN"/>
              </w:rPr>
              <w:t>中小河流治理工程</w:t>
            </w:r>
            <w:r>
              <w:rPr>
                <w:rFonts w:hint="eastAsia" w:ascii="Times New Roman" w:hAnsi="Times New Roman" w:eastAsia="宋体" w:cs="Times New Roman"/>
                <w:sz w:val="24"/>
                <w:szCs w:val="24"/>
                <w:highlight w:val="none"/>
                <w:lang w:val="en-US" w:eastAsia="zh-CN"/>
              </w:rPr>
              <w:t>，工程任务：“</w:t>
            </w:r>
            <w:r>
              <w:rPr>
                <w:rFonts w:hint="default" w:ascii="Times New Roman" w:hAnsi="Times New Roman" w:eastAsia="宋体" w:cs="Times New Roman"/>
                <w:b w:val="0"/>
                <w:bCs w:val="0"/>
                <w:color w:val="000000"/>
                <w:kern w:val="0"/>
                <w:sz w:val="24"/>
                <w:szCs w:val="24"/>
                <w:lang w:val="en-US" w:eastAsia="zh-CN" w:bidi="ar-SA"/>
              </w:rPr>
              <w:t>以保障行洪通道的畅通和保障河道正常行洪能力为根本任务，急需</w:t>
            </w:r>
            <w:r>
              <w:rPr>
                <w:rFonts w:hint="eastAsia" w:ascii="Times New Roman" w:hAnsi="Times New Roman" w:eastAsia="宋体" w:cs="Times New Roman"/>
                <w:b w:val="0"/>
                <w:bCs w:val="0"/>
                <w:color w:val="000000"/>
                <w:kern w:val="0"/>
                <w:sz w:val="24"/>
                <w:szCs w:val="24"/>
                <w:lang w:val="en-US" w:eastAsia="zh-CN" w:bidi="ar-SA"/>
              </w:rPr>
              <w:t>对桩号0+000～1+880</w:t>
            </w:r>
            <w:r>
              <w:rPr>
                <w:rFonts w:hint="eastAsia" w:ascii="宋体" w:hAnsi="宋体" w:cs="宋体"/>
                <w:b w:val="0"/>
                <w:bCs/>
                <w:color w:val="000000"/>
              </w:rPr>
              <w:t>（</w:t>
            </w:r>
            <w:r>
              <w:rPr>
                <w:rFonts w:hint="eastAsia" w:ascii="Times New Roman" w:hAnsi="Times New Roman" w:eastAsia="宋体" w:cs="Times New Roman"/>
                <w:b w:val="0"/>
                <w:bCs w:val="0"/>
                <w:color w:val="000000"/>
                <w:kern w:val="0"/>
                <w:sz w:val="24"/>
                <w:szCs w:val="24"/>
                <w:lang w:val="en-US" w:eastAsia="zh-CN" w:bidi="ar-SA"/>
              </w:rPr>
              <w:t>五圣宫水文站</w:t>
            </w:r>
            <w:r>
              <w:rPr>
                <w:rFonts w:hint="eastAsia" w:ascii="宋体" w:hAnsi="宋体" w:cs="宋体"/>
                <w:b w:val="0"/>
                <w:bCs/>
                <w:color w:val="000000"/>
              </w:rPr>
              <w:t>）</w:t>
            </w:r>
            <w:r>
              <w:rPr>
                <w:rFonts w:hint="eastAsia" w:ascii="Times New Roman" w:hAnsi="Times New Roman" w:eastAsia="宋体" w:cs="Times New Roman"/>
                <w:b w:val="0"/>
                <w:bCs w:val="0"/>
                <w:color w:val="000000"/>
                <w:kern w:val="0"/>
                <w:sz w:val="24"/>
                <w:szCs w:val="24"/>
                <w:lang w:val="en-US" w:eastAsia="zh-CN" w:bidi="ar-SA"/>
              </w:rPr>
              <w:t>段、4+100～21+900</w:t>
            </w:r>
            <w:r>
              <w:rPr>
                <w:rFonts w:hint="eastAsia" w:ascii="宋体" w:hAnsi="宋体" w:cs="宋体"/>
                <w:b w:val="0"/>
                <w:bCs/>
                <w:color w:val="000000"/>
              </w:rPr>
              <w:t>（</w:t>
            </w:r>
            <w:r>
              <w:rPr>
                <w:rFonts w:hint="eastAsia" w:ascii="Times New Roman" w:hAnsi="Times New Roman" w:eastAsia="宋体" w:cs="Times New Roman"/>
                <w:b w:val="0"/>
                <w:bCs w:val="0"/>
                <w:color w:val="000000"/>
                <w:kern w:val="0"/>
                <w:sz w:val="24"/>
                <w:szCs w:val="24"/>
                <w:lang w:val="en-US" w:eastAsia="zh-CN" w:bidi="ar-SA"/>
              </w:rPr>
              <w:t>白杨河水库至林区公路</w:t>
            </w:r>
            <w:r>
              <w:rPr>
                <w:rFonts w:hint="eastAsia" w:ascii="宋体" w:hAnsi="宋体" w:cs="宋体"/>
                <w:b w:val="0"/>
                <w:bCs/>
                <w:color w:val="000000"/>
              </w:rPr>
              <w:t>）</w:t>
            </w:r>
            <w:r>
              <w:rPr>
                <w:rFonts w:hint="eastAsia" w:ascii="Times New Roman" w:hAnsi="Times New Roman" w:eastAsia="宋体" w:cs="Times New Roman"/>
                <w:b w:val="0"/>
                <w:bCs w:val="0"/>
                <w:color w:val="000000"/>
                <w:kern w:val="0"/>
                <w:sz w:val="24"/>
                <w:szCs w:val="24"/>
                <w:lang w:val="en-US" w:eastAsia="zh-CN" w:bidi="ar-SA"/>
              </w:rPr>
              <w:t>段和26+750～29+160</w:t>
            </w:r>
            <w:r>
              <w:rPr>
                <w:rFonts w:hint="eastAsia" w:ascii="宋体" w:hAnsi="宋体" w:cs="宋体"/>
                <w:b w:val="0"/>
                <w:bCs/>
                <w:color w:val="000000"/>
              </w:rPr>
              <w:t>（</w:t>
            </w:r>
            <w:r>
              <w:rPr>
                <w:rFonts w:hint="eastAsia" w:ascii="Times New Roman" w:hAnsi="Times New Roman" w:eastAsia="宋体" w:cs="Times New Roman"/>
                <w:b w:val="0"/>
                <w:bCs w:val="0"/>
                <w:color w:val="000000"/>
                <w:kern w:val="0"/>
                <w:sz w:val="24"/>
                <w:szCs w:val="24"/>
                <w:lang w:val="en-US" w:eastAsia="zh-CN" w:bidi="ar-SA"/>
              </w:rPr>
              <w:t>魏家村至S303省道</w:t>
            </w:r>
            <w:r>
              <w:rPr>
                <w:rFonts w:hint="eastAsia" w:ascii="宋体" w:hAnsi="宋体" w:cs="宋体"/>
                <w:b w:val="0"/>
                <w:bCs/>
                <w:color w:val="000000"/>
              </w:rPr>
              <w:t>）</w:t>
            </w:r>
            <w:r>
              <w:rPr>
                <w:rFonts w:hint="eastAsia" w:ascii="Times New Roman" w:hAnsi="Times New Roman" w:eastAsia="宋体" w:cs="Times New Roman"/>
                <w:b w:val="0"/>
                <w:bCs w:val="0"/>
                <w:color w:val="000000"/>
                <w:kern w:val="0"/>
                <w:sz w:val="24"/>
                <w:szCs w:val="24"/>
                <w:lang w:val="en-US" w:eastAsia="zh-CN" w:bidi="ar-SA"/>
              </w:rPr>
              <w:t>段需保护村庄和农田的22.09km河道进行治理，对该段河道进行防治，确保沿岸村庄、农田及交通安全”，与</w:t>
            </w:r>
            <w:r>
              <w:rPr>
                <w:rFonts w:hint="default" w:ascii="Times New Roman" w:hAnsi="Times New Roman" w:eastAsia="宋体" w:cs="Times New Roman"/>
                <w:b w:val="0"/>
                <w:bCs w:val="0"/>
                <w:color w:val="000000"/>
                <w:kern w:val="0"/>
                <w:sz w:val="24"/>
                <w:szCs w:val="24"/>
                <w:lang w:val="en-US" w:eastAsia="zh-CN" w:bidi="ar-SA"/>
              </w:rPr>
              <w:t>《新疆维吾尔自治区主体功能区规划》</w:t>
            </w:r>
            <w:r>
              <w:rPr>
                <w:rFonts w:hint="eastAsia" w:ascii="Times New Roman" w:hAnsi="Times New Roman" w:eastAsia="宋体" w:cs="Times New Roman"/>
                <w:b w:val="0"/>
                <w:bCs w:val="0"/>
                <w:color w:val="000000"/>
                <w:kern w:val="0"/>
                <w:sz w:val="24"/>
                <w:szCs w:val="24"/>
                <w:lang w:val="en-US" w:eastAsia="zh-CN" w:bidi="ar-SA"/>
              </w:rPr>
              <w:t>中的</w:t>
            </w:r>
            <w:r>
              <w:rPr>
                <w:rFonts w:hint="default" w:ascii="Times New Roman" w:hAnsi="Times New Roman" w:eastAsia="宋体" w:cs="Times New Roman"/>
                <w:b w:val="0"/>
                <w:bCs w:val="0"/>
                <w:color w:val="000000"/>
                <w:kern w:val="0"/>
                <w:sz w:val="24"/>
                <w:szCs w:val="24"/>
                <w:lang w:val="en-US" w:eastAsia="zh-CN" w:bidi="ar-SA"/>
              </w:rPr>
              <w:t>限制开发区域（农产品主产区）主要发展方向</w:t>
            </w:r>
            <w:r>
              <w:rPr>
                <w:rFonts w:hint="eastAsia" w:ascii="Times New Roman" w:hAnsi="Times New Roman" w:eastAsia="宋体" w:cs="Times New Roman"/>
                <w:b w:val="0"/>
                <w:bCs w:val="0"/>
                <w:color w:val="000000"/>
                <w:kern w:val="0"/>
                <w:sz w:val="24"/>
                <w:szCs w:val="24"/>
                <w:lang w:val="en-US" w:eastAsia="zh-CN" w:bidi="ar-SA"/>
              </w:rPr>
              <w:t>一致，与</w:t>
            </w:r>
            <w:r>
              <w:rPr>
                <w:rFonts w:hint="default" w:ascii="Times New Roman" w:hAnsi="Times New Roman" w:eastAsia="宋体" w:cs="Times New Roman"/>
                <w:b w:val="0"/>
                <w:bCs w:val="0"/>
                <w:color w:val="000000"/>
                <w:kern w:val="0"/>
                <w:sz w:val="24"/>
                <w:szCs w:val="24"/>
                <w:lang w:val="en-US" w:eastAsia="zh-CN" w:bidi="ar-SA"/>
              </w:rPr>
              <w:t>《新疆维吾尔自治区主体功能区规划》</w:t>
            </w:r>
            <w:r>
              <w:rPr>
                <w:rFonts w:hint="eastAsia" w:ascii="Times New Roman" w:hAnsi="Times New Roman" w:eastAsia="宋体" w:cs="Times New Roman"/>
                <w:b w:val="0"/>
                <w:bCs w:val="0"/>
                <w:color w:val="000000"/>
                <w:kern w:val="0"/>
                <w:sz w:val="24"/>
                <w:szCs w:val="24"/>
                <w:lang w:val="en-US" w:eastAsia="zh-CN" w:bidi="ar-SA"/>
              </w:rPr>
              <w:t>相符。</w:t>
            </w:r>
          </w:p>
          <w:p>
            <w:pPr>
              <w:adjustRightInd w:val="0"/>
              <w:snapToGrid w:val="0"/>
              <w:spacing w:line="360" w:lineRule="auto"/>
              <w:ind w:firstLine="0" w:firstLineChars="0"/>
              <w:rPr>
                <w:b/>
                <w:bCs/>
              </w:rPr>
            </w:pPr>
            <w:r>
              <w:rPr>
                <w:rFonts w:hint="eastAsia"/>
                <w:b/>
                <w:bCs/>
                <w:lang w:val="en-US" w:eastAsia="zh-CN"/>
              </w:rPr>
              <w:t>8</w:t>
            </w:r>
            <w:r>
              <w:rPr>
                <w:rFonts w:hint="eastAsia"/>
                <w:b/>
                <w:bCs/>
              </w:rPr>
              <w:t>、与《新疆生态功能区划》的符合性分析</w:t>
            </w:r>
          </w:p>
          <w:p>
            <w:pPr>
              <w:adjustRightInd w:val="0"/>
              <w:snapToGrid w:val="0"/>
              <w:spacing w:line="360" w:lineRule="auto"/>
              <w:ind w:firstLine="31680"/>
              <w:rPr>
                <w:rFonts w:hint="eastAsia"/>
                <w:lang w:eastAsia="zh-CN"/>
              </w:rPr>
            </w:pPr>
            <w:r>
              <w:rPr>
                <w:rFonts w:hint="eastAsia"/>
              </w:rPr>
              <w:t>根据《新疆生态功能区划》（</w:t>
            </w:r>
            <w:r>
              <w:t>2005</w:t>
            </w:r>
            <w:r>
              <w:rPr>
                <w:rFonts w:hint="eastAsia"/>
              </w:rPr>
              <w:t>年本），本项目所在区域属于准噶尔盆地温带干旱荒漠与绿洲生态功能区（Ⅱ）</w:t>
            </w:r>
            <w:r>
              <w:t>-</w:t>
            </w:r>
            <w:r>
              <w:rPr>
                <w:rFonts w:hint="eastAsia"/>
              </w:rPr>
              <w:t>准噶尔盆地南部灌木半灌木荒漠绿洲农业生态亚区（Ⅱ</w:t>
            </w:r>
            <w:r>
              <w:t>5</w:t>
            </w:r>
            <w:r>
              <w:rPr>
                <w:rFonts w:hint="eastAsia"/>
              </w:rPr>
              <w:t>）</w:t>
            </w:r>
            <w:r>
              <w:t>-</w:t>
            </w:r>
            <w:r>
              <w:rPr>
                <w:rFonts w:hint="eastAsia"/>
              </w:rPr>
              <w:t>阜康</w:t>
            </w:r>
            <w:r>
              <w:t>-</w:t>
            </w:r>
            <w:r>
              <w:rPr>
                <w:rFonts w:hint="eastAsia"/>
              </w:rPr>
              <w:t>木垒绿洲农业、荒漠草地保护生态功能区。项目所在功能区的主要生态服务功能为农牧产品生产、人居环境、荒漠化控制</w:t>
            </w:r>
            <w:r>
              <w:rPr>
                <w:rFonts w:hint="eastAsia"/>
                <w:lang w:eastAsia="zh-CN"/>
              </w:rPr>
              <w:t>。</w:t>
            </w:r>
          </w:p>
          <w:p>
            <w:pPr>
              <w:adjustRightInd w:val="0"/>
              <w:snapToGrid w:val="0"/>
              <w:spacing w:line="360" w:lineRule="auto"/>
              <w:ind w:firstLine="31680"/>
            </w:pPr>
            <w:r>
              <w:rPr>
                <w:rFonts w:hint="default" w:ascii="Times New Roman" w:hAnsi="Times New Roman" w:eastAsia="宋体" w:cs="Times New Roman"/>
                <w:sz w:val="24"/>
                <w:szCs w:val="24"/>
                <w:highlight w:val="none"/>
              </w:rPr>
              <w:t>本</w:t>
            </w:r>
            <w:r>
              <w:rPr>
                <w:rFonts w:hint="eastAsia" w:cs="Times New Roman"/>
                <w:sz w:val="24"/>
                <w:szCs w:val="24"/>
                <w:highlight w:val="none"/>
                <w:lang w:val="en-US" w:eastAsia="zh-CN"/>
              </w:rPr>
              <w:t>项目为</w:t>
            </w:r>
            <w:r>
              <w:rPr>
                <w:rFonts w:hint="default" w:ascii="Times New Roman" w:hAnsi="Times New Roman" w:cs="Times New Roman"/>
                <w:b w:val="0"/>
                <w:bCs/>
                <w:color w:val="000000"/>
                <w:lang w:val="en-US" w:eastAsia="zh-CN"/>
              </w:rPr>
              <w:t>中小河流治理工程</w:t>
            </w:r>
            <w:r>
              <w:rPr>
                <w:rFonts w:hint="eastAsia" w:cs="Times New Roman"/>
                <w:b w:val="0"/>
                <w:bCs/>
                <w:color w:val="000000"/>
                <w:lang w:val="en-US" w:eastAsia="zh-CN"/>
              </w:rPr>
              <w:t>，工程任务：“</w:t>
            </w:r>
            <w:r>
              <w:rPr>
                <w:rFonts w:hint="default" w:ascii="Times New Roman" w:hAnsi="Times New Roman" w:eastAsia="宋体" w:cs="Times New Roman"/>
                <w:b w:val="0"/>
                <w:bCs w:val="0"/>
                <w:color w:val="000000"/>
                <w:kern w:val="0"/>
                <w:sz w:val="24"/>
                <w:szCs w:val="24"/>
                <w:lang w:val="en-US" w:eastAsia="zh-CN" w:bidi="ar-SA"/>
              </w:rPr>
              <w:t>以保障行洪通道的畅通和保障河道正常行洪能力为根本任务，急需</w:t>
            </w:r>
            <w:r>
              <w:rPr>
                <w:rFonts w:hint="eastAsia" w:ascii="Times New Roman" w:hAnsi="Times New Roman" w:eastAsia="宋体" w:cs="Times New Roman"/>
                <w:b w:val="0"/>
                <w:bCs w:val="0"/>
                <w:color w:val="000000"/>
                <w:kern w:val="0"/>
                <w:sz w:val="24"/>
                <w:szCs w:val="24"/>
                <w:lang w:val="en-US" w:eastAsia="zh-CN" w:bidi="ar-SA"/>
              </w:rPr>
              <w:t>对桩号0+000～1+880</w:t>
            </w:r>
            <w:r>
              <w:rPr>
                <w:rFonts w:hint="eastAsia" w:ascii="宋体" w:hAnsi="宋体" w:cs="宋体"/>
                <w:b w:val="0"/>
                <w:bCs/>
                <w:color w:val="000000"/>
              </w:rPr>
              <w:t>（</w:t>
            </w:r>
            <w:r>
              <w:rPr>
                <w:rFonts w:hint="eastAsia" w:ascii="Times New Roman" w:hAnsi="Times New Roman" w:eastAsia="宋体" w:cs="Times New Roman"/>
                <w:b w:val="0"/>
                <w:bCs w:val="0"/>
                <w:color w:val="000000"/>
                <w:kern w:val="0"/>
                <w:sz w:val="24"/>
                <w:szCs w:val="24"/>
                <w:lang w:val="en-US" w:eastAsia="zh-CN" w:bidi="ar-SA"/>
              </w:rPr>
              <w:t>五圣宫水文站</w:t>
            </w:r>
            <w:r>
              <w:rPr>
                <w:rFonts w:hint="eastAsia" w:ascii="宋体" w:hAnsi="宋体" w:cs="宋体"/>
                <w:b w:val="0"/>
                <w:bCs/>
                <w:color w:val="000000"/>
              </w:rPr>
              <w:t>）</w:t>
            </w:r>
            <w:r>
              <w:rPr>
                <w:rFonts w:hint="eastAsia" w:ascii="Times New Roman" w:hAnsi="Times New Roman" w:eastAsia="宋体" w:cs="Times New Roman"/>
                <w:b w:val="0"/>
                <w:bCs w:val="0"/>
                <w:color w:val="000000"/>
                <w:kern w:val="0"/>
                <w:sz w:val="24"/>
                <w:szCs w:val="24"/>
                <w:lang w:val="en-US" w:eastAsia="zh-CN" w:bidi="ar-SA"/>
              </w:rPr>
              <w:t>段、4+100～21+900</w:t>
            </w:r>
            <w:r>
              <w:rPr>
                <w:rFonts w:hint="eastAsia" w:ascii="宋体" w:hAnsi="宋体" w:cs="宋体"/>
                <w:b w:val="0"/>
                <w:bCs/>
                <w:color w:val="000000"/>
              </w:rPr>
              <w:t>（</w:t>
            </w:r>
            <w:r>
              <w:rPr>
                <w:rFonts w:hint="eastAsia" w:ascii="Times New Roman" w:hAnsi="Times New Roman" w:eastAsia="宋体" w:cs="Times New Roman"/>
                <w:b w:val="0"/>
                <w:bCs w:val="0"/>
                <w:color w:val="000000"/>
                <w:kern w:val="0"/>
                <w:sz w:val="24"/>
                <w:szCs w:val="24"/>
                <w:lang w:val="en-US" w:eastAsia="zh-CN" w:bidi="ar-SA"/>
              </w:rPr>
              <w:t>白杨河水库至林区公路</w:t>
            </w:r>
            <w:r>
              <w:rPr>
                <w:rFonts w:hint="eastAsia" w:ascii="宋体" w:hAnsi="宋体" w:cs="宋体"/>
                <w:b w:val="0"/>
                <w:bCs/>
                <w:color w:val="000000"/>
              </w:rPr>
              <w:t>）</w:t>
            </w:r>
            <w:r>
              <w:rPr>
                <w:rFonts w:hint="eastAsia" w:ascii="Times New Roman" w:hAnsi="Times New Roman" w:eastAsia="宋体" w:cs="Times New Roman"/>
                <w:b w:val="0"/>
                <w:bCs w:val="0"/>
                <w:color w:val="000000"/>
                <w:kern w:val="0"/>
                <w:sz w:val="24"/>
                <w:szCs w:val="24"/>
                <w:lang w:val="en-US" w:eastAsia="zh-CN" w:bidi="ar-SA"/>
              </w:rPr>
              <w:t>段和26+750～29+160</w:t>
            </w:r>
            <w:r>
              <w:rPr>
                <w:rFonts w:hint="eastAsia" w:ascii="宋体" w:hAnsi="宋体" w:cs="宋体"/>
                <w:b w:val="0"/>
                <w:bCs/>
                <w:color w:val="000000"/>
              </w:rPr>
              <w:t>（</w:t>
            </w:r>
            <w:r>
              <w:rPr>
                <w:rFonts w:hint="eastAsia" w:ascii="Times New Roman" w:hAnsi="Times New Roman" w:eastAsia="宋体" w:cs="Times New Roman"/>
                <w:b w:val="0"/>
                <w:bCs w:val="0"/>
                <w:color w:val="000000"/>
                <w:kern w:val="0"/>
                <w:sz w:val="24"/>
                <w:szCs w:val="24"/>
                <w:lang w:val="en-US" w:eastAsia="zh-CN" w:bidi="ar-SA"/>
              </w:rPr>
              <w:t>魏家村至S303省道</w:t>
            </w:r>
            <w:r>
              <w:rPr>
                <w:rFonts w:hint="eastAsia" w:ascii="宋体" w:hAnsi="宋体" w:cs="宋体"/>
                <w:b w:val="0"/>
                <w:bCs/>
                <w:color w:val="000000"/>
              </w:rPr>
              <w:t>）</w:t>
            </w:r>
            <w:r>
              <w:rPr>
                <w:rFonts w:hint="eastAsia" w:ascii="Times New Roman" w:hAnsi="Times New Roman" w:eastAsia="宋体" w:cs="Times New Roman"/>
                <w:b w:val="0"/>
                <w:bCs w:val="0"/>
                <w:color w:val="000000"/>
                <w:kern w:val="0"/>
                <w:sz w:val="24"/>
                <w:szCs w:val="24"/>
                <w:lang w:val="en-US" w:eastAsia="zh-CN" w:bidi="ar-SA"/>
              </w:rPr>
              <w:t>段需保护村庄和农田的22.09km河道进行治理，对该段河道进行防治，确保沿岸村庄、农田及交通安全</w:t>
            </w:r>
            <w:r>
              <w:rPr>
                <w:rFonts w:hint="eastAsia" w:cs="Times New Roman"/>
                <w:b w:val="0"/>
                <w:bCs/>
                <w:color w:val="000000"/>
                <w:lang w:val="en-US" w:eastAsia="zh-CN"/>
              </w:rPr>
              <w:t>”，属于</w:t>
            </w:r>
            <w:r>
              <w:rPr>
                <w:rFonts w:hint="default" w:ascii="Times New Roman" w:hAnsi="Times New Roman" w:eastAsia="宋体" w:cs="Times New Roman"/>
                <w:sz w:val="24"/>
                <w:szCs w:val="24"/>
              </w:rPr>
              <w:t>《新疆维吾尔自治区主体功能区规划》</w:t>
            </w:r>
            <w:r>
              <w:rPr>
                <w:rFonts w:hint="eastAsia" w:cs="Times New Roman"/>
                <w:sz w:val="24"/>
                <w:szCs w:val="24"/>
                <w:lang w:val="en-US" w:eastAsia="zh-CN"/>
              </w:rPr>
              <w:t>中的</w:t>
            </w:r>
            <w:r>
              <w:rPr>
                <w:rFonts w:hint="default" w:ascii="Times New Roman" w:hAnsi="Times New Roman" w:eastAsia="宋体" w:cs="Times New Roman"/>
                <w:sz w:val="24"/>
                <w:szCs w:val="24"/>
              </w:rPr>
              <w:t>限制开发区域（农产品主产区）</w:t>
            </w:r>
            <w:r>
              <w:rPr>
                <w:rFonts w:hint="eastAsia" w:cs="Times New Roman"/>
                <w:sz w:val="24"/>
                <w:szCs w:val="24"/>
                <w:lang w:eastAsia="zh-CN"/>
              </w:rPr>
              <w:t>，</w:t>
            </w:r>
            <w:r>
              <w:rPr>
                <w:rFonts w:hint="eastAsia" w:cs="Times New Roman"/>
                <w:sz w:val="24"/>
                <w:szCs w:val="24"/>
                <w:lang w:val="en-US" w:eastAsia="zh-CN"/>
              </w:rPr>
              <w:t>本项目的建设</w:t>
            </w:r>
            <w:r>
              <w:rPr>
                <w:rFonts w:hint="eastAsia"/>
              </w:rPr>
              <w:t>与《新疆生态功能区划》</w:t>
            </w:r>
            <w:r>
              <w:rPr>
                <w:rFonts w:hint="eastAsia"/>
                <w:lang w:val="en-US" w:eastAsia="zh-CN"/>
              </w:rPr>
              <w:t>中的</w:t>
            </w:r>
            <w:r>
              <w:rPr>
                <w:rFonts w:hint="eastAsia"/>
              </w:rPr>
              <w:t>保护开发要求相符。</w:t>
            </w:r>
          </w:p>
          <w:p>
            <w:pPr>
              <w:pStyle w:val="160"/>
              <w:snapToGrid w:val="0"/>
              <w:spacing w:line="360" w:lineRule="auto"/>
              <w:ind w:firstLine="0" w:firstLineChars="0"/>
              <w:rPr>
                <w:rFonts w:hint="default" w:ascii="Times New Roman" w:hAnsi="Times New Roman" w:cs="Times New Roman"/>
                <w:b/>
                <w:bCs/>
              </w:rPr>
            </w:pPr>
            <w:r>
              <w:rPr>
                <w:rFonts w:hint="eastAsia" w:ascii="Times New Roman" w:cs="Times New Roman"/>
                <w:b/>
                <w:bCs/>
                <w:lang w:val="en-US" w:eastAsia="zh-CN"/>
              </w:rPr>
              <w:t>9</w:t>
            </w:r>
            <w:r>
              <w:rPr>
                <w:rFonts w:hint="default" w:ascii="Times New Roman" w:hAnsi="Times New Roman" w:cs="Times New Roman"/>
                <w:b/>
                <w:bCs/>
                <w:lang w:val="en-US" w:eastAsia="zh-CN"/>
              </w:rPr>
              <w:t>、</w:t>
            </w:r>
            <w:r>
              <w:rPr>
                <w:rFonts w:hint="default" w:ascii="Times New Roman" w:hAnsi="Times New Roman" w:cs="Times New Roman"/>
                <w:b/>
                <w:bCs/>
              </w:rPr>
              <w:t>与《中华人民共和国河道管理条例》（2018年修订）符合性分析</w:t>
            </w:r>
          </w:p>
          <w:p>
            <w:pPr>
              <w:pStyle w:val="160"/>
              <w:snapToGrid w:val="0"/>
              <w:spacing w:line="360" w:lineRule="auto"/>
              <w:ind w:firstLine="3168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根据《中华人民共和国河道管理条例》中第二章第十条“河道的整治与建设，应当服从流域综合规划，符合国家规定的防洪标准、通航标准和其他有关技术要求，维护堤防安全，保持河势稳定和行洪、航运通畅。”</w:t>
            </w:r>
          </w:p>
          <w:p>
            <w:pPr>
              <w:pStyle w:val="160"/>
              <w:snapToGrid w:val="0"/>
              <w:spacing w:line="360" w:lineRule="auto"/>
              <w:ind w:firstLine="31680"/>
              <w:rPr>
                <w:rFonts w:hint="default" w:ascii="Times New Roman" w:hAnsi="Times New Roman" w:eastAsia="宋体" w:cs="Times New Roman"/>
              </w:rPr>
            </w:pPr>
            <w:r>
              <w:rPr>
                <w:rFonts w:hint="eastAsia"/>
                <w:lang w:val="en-US" w:eastAsia="zh-CN"/>
              </w:rPr>
              <w:t>本项目</w:t>
            </w:r>
            <w:r>
              <w:rPr>
                <w:rFonts w:hint="eastAsia"/>
              </w:rPr>
              <w:t>属于</w:t>
            </w:r>
            <w:r>
              <w:rPr>
                <w:rFonts w:hint="default" w:ascii="Times New Roman" w:hAnsi="Times New Roman" w:cs="Times New Roman"/>
                <w:b w:val="0"/>
                <w:bCs/>
                <w:color w:val="000000"/>
                <w:lang w:val="en-US" w:eastAsia="zh-CN"/>
              </w:rPr>
              <w:t>中小河流治理工程</w:t>
            </w:r>
            <w:r>
              <w:rPr>
                <w:rFonts w:hint="eastAsia"/>
              </w:rPr>
              <w:t>，</w:t>
            </w:r>
            <w:r>
              <w:rPr>
                <w:rFonts w:hint="default" w:ascii="Times New Roman" w:hAnsi="Times New Roman" w:eastAsia="宋体" w:cs="Times New Roman"/>
                <w:b w:val="0"/>
                <w:bCs w:val="0"/>
                <w:color w:val="000000"/>
                <w:kern w:val="0"/>
                <w:sz w:val="24"/>
                <w:szCs w:val="24"/>
                <w:lang w:val="en-US" w:eastAsia="zh-CN" w:bidi="ar-SA"/>
              </w:rPr>
              <w:t>依据《堤防工程设计规范》</w:t>
            </w:r>
            <w:r>
              <w:rPr>
                <w:rFonts w:hint="eastAsia" w:ascii="Times New Roman" w:hAnsi="Times New Roman" w:eastAsia="宋体" w:cs="Times New Roman"/>
                <w:b w:val="0"/>
                <w:bCs w:val="0"/>
                <w:color w:val="000000"/>
                <w:kern w:val="0"/>
                <w:sz w:val="24"/>
                <w:szCs w:val="24"/>
                <w:lang w:val="en-US" w:eastAsia="zh-CN" w:bidi="ar-SA"/>
              </w:rPr>
              <w:t>（</w:t>
            </w:r>
            <w:r>
              <w:rPr>
                <w:rFonts w:hint="default" w:ascii="Times New Roman" w:hAnsi="Times New Roman" w:eastAsia="宋体" w:cs="Times New Roman"/>
                <w:b w:val="0"/>
                <w:bCs w:val="0"/>
                <w:color w:val="000000"/>
                <w:kern w:val="0"/>
                <w:sz w:val="24"/>
                <w:szCs w:val="24"/>
                <w:lang w:val="en-US" w:eastAsia="zh-CN" w:bidi="ar-SA"/>
              </w:rPr>
              <w:t>GB50286-2013</w:t>
            </w:r>
            <w:r>
              <w:rPr>
                <w:rFonts w:hint="eastAsia" w:ascii="Times New Roman" w:hAnsi="Times New Roman" w:eastAsia="宋体" w:cs="Times New Roman"/>
                <w:b w:val="0"/>
                <w:bCs w:val="0"/>
                <w:color w:val="000000"/>
                <w:kern w:val="0"/>
                <w:sz w:val="24"/>
                <w:szCs w:val="24"/>
                <w:lang w:val="en-US" w:eastAsia="zh-CN" w:bidi="ar-SA"/>
              </w:rPr>
              <w:t>）</w:t>
            </w:r>
            <w:r>
              <w:rPr>
                <w:rFonts w:hint="default" w:ascii="Times New Roman" w:hAnsi="Times New Roman" w:eastAsia="宋体" w:cs="Times New Roman"/>
                <w:b w:val="0"/>
                <w:bCs w:val="0"/>
                <w:color w:val="000000"/>
                <w:kern w:val="0"/>
                <w:sz w:val="24"/>
                <w:szCs w:val="24"/>
                <w:lang w:val="en-US" w:eastAsia="zh-CN" w:bidi="ar-SA"/>
              </w:rPr>
              <w:t>的</w:t>
            </w:r>
            <w:r>
              <w:rPr>
                <w:rFonts w:hint="eastAsia" w:ascii="Times New Roman" w:cs="Times New Roman"/>
                <w:b w:val="0"/>
                <w:bCs w:val="0"/>
                <w:color w:val="000000"/>
                <w:kern w:val="0"/>
                <w:sz w:val="24"/>
                <w:szCs w:val="24"/>
                <w:lang w:val="en-US" w:eastAsia="zh-CN" w:bidi="ar-SA"/>
              </w:rPr>
              <w:t>相关规定</w:t>
            </w:r>
            <w:r>
              <w:rPr>
                <w:rFonts w:hint="default" w:ascii="Times New Roman" w:hAnsi="Times New Roman" w:eastAsia="宋体" w:cs="Times New Roman"/>
                <w:b w:val="0"/>
                <w:bCs w:val="0"/>
                <w:color w:val="000000"/>
                <w:kern w:val="0"/>
                <w:sz w:val="24"/>
                <w:szCs w:val="24"/>
                <w:lang w:val="en-US" w:eastAsia="zh-CN" w:bidi="ar-SA"/>
              </w:rPr>
              <w:t>，本次拟建堤防工程的设计防洪标准为10年一遇</w:t>
            </w:r>
            <w:r>
              <w:rPr>
                <w:rFonts w:hint="eastAsia" w:ascii="Times New Roman" w:cs="Times New Roman"/>
                <w:b w:val="0"/>
                <w:bCs w:val="0"/>
                <w:color w:val="000000"/>
                <w:kern w:val="0"/>
                <w:sz w:val="24"/>
                <w:szCs w:val="24"/>
                <w:lang w:val="en-US" w:eastAsia="zh-CN" w:bidi="ar-SA"/>
              </w:rPr>
              <w:t>，</w:t>
            </w:r>
            <w:r>
              <w:rPr>
                <w:rFonts w:hint="default" w:ascii="Times New Roman" w:hAnsi="Times New Roman" w:eastAsia="宋体" w:cs="Times New Roman"/>
                <w:b w:val="0"/>
                <w:bCs w:val="0"/>
                <w:color w:val="000000"/>
                <w:kern w:val="0"/>
                <w:sz w:val="24"/>
                <w:szCs w:val="24"/>
                <w:lang w:val="en-US" w:eastAsia="zh-CN" w:bidi="ar-SA"/>
              </w:rPr>
              <w:t>堤防工程级别5级，</w:t>
            </w:r>
          </w:p>
          <w:p>
            <w:pPr>
              <w:pStyle w:val="160"/>
              <w:snapToGrid w:val="0"/>
              <w:spacing w:line="360" w:lineRule="auto"/>
              <w:ind w:left="0" w:leftChars="0" w:firstLine="480" w:firstLineChars="200"/>
            </w:pPr>
            <w:r>
              <w:rPr>
                <w:rFonts w:hint="default" w:ascii="Times New Roman" w:hAnsi="Times New Roman" w:eastAsia="宋体" w:cs="Times New Roman"/>
              </w:rPr>
              <w:t>与《中华人民共和国河道管理条例》</w:t>
            </w:r>
            <w:r>
              <w:rPr>
                <w:rFonts w:hint="default" w:ascii="Times New Roman" w:hAnsi="Times New Roman" w:eastAsia="宋体" w:cs="Times New Roman"/>
                <w:b w:val="0"/>
                <w:bCs w:val="0"/>
                <w:color w:val="000000"/>
                <w:kern w:val="0"/>
                <w:sz w:val="24"/>
                <w:szCs w:val="24"/>
                <w:lang w:val="en-US" w:eastAsia="zh-CN" w:bidi="ar-SA"/>
              </w:rPr>
              <w:t>（</w:t>
            </w:r>
            <w:r>
              <w:rPr>
                <w:rFonts w:hint="default" w:ascii="Times New Roman" w:hAnsi="Times New Roman" w:eastAsia="宋体" w:cs="Times New Roman"/>
              </w:rPr>
              <w:t>2018年修</w:t>
            </w:r>
            <w:r>
              <w:rPr>
                <w:rFonts w:hint="eastAsia"/>
              </w:rPr>
              <w:t>订</w:t>
            </w:r>
            <w:r>
              <w:rPr>
                <w:rFonts w:hint="eastAsia" w:ascii="Times New Roman" w:hAnsi="Times New Roman" w:eastAsia="宋体" w:cs="Times New Roman"/>
                <w:b w:val="0"/>
                <w:bCs w:val="0"/>
                <w:color w:val="000000"/>
                <w:kern w:val="0"/>
                <w:sz w:val="24"/>
                <w:szCs w:val="24"/>
                <w:lang w:val="en-US" w:eastAsia="zh-CN" w:bidi="ar-SA"/>
              </w:rPr>
              <w:t>）</w:t>
            </w:r>
            <w:r>
              <w:rPr>
                <w:rFonts w:hint="eastAsia"/>
              </w:rPr>
              <w:t>基本符合。</w:t>
            </w:r>
          </w:p>
          <w:p>
            <w:pPr>
              <w:pStyle w:val="160"/>
              <w:numPr>
                <w:ilvl w:val="0"/>
                <w:numId w:val="0"/>
              </w:numPr>
              <w:snapToGrid w:val="0"/>
              <w:spacing w:line="360" w:lineRule="auto"/>
              <w:rPr>
                <w:rFonts w:hint="default" w:ascii="Times New Roman" w:hAnsi="Times New Roman" w:cs="Times New Roman"/>
                <w:b/>
                <w:bCs/>
                <w:highlight w:val="none"/>
              </w:rPr>
            </w:pPr>
            <w:r>
              <w:rPr>
                <w:rFonts w:hint="eastAsia" w:ascii="Times New Roman" w:cs="Times New Roman"/>
                <w:b/>
                <w:bCs/>
                <w:highlight w:val="none"/>
                <w:lang w:val="en-US" w:eastAsia="zh-CN"/>
              </w:rPr>
              <w:t>10、</w:t>
            </w:r>
            <w:r>
              <w:rPr>
                <w:rFonts w:hint="default" w:ascii="Times New Roman" w:hAnsi="Times New Roman" w:cs="Times New Roman"/>
                <w:b/>
                <w:bCs/>
                <w:highlight w:val="none"/>
              </w:rPr>
              <w:t>与《</w:t>
            </w:r>
            <w:r>
              <w:rPr>
                <w:rFonts w:hint="default" w:ascii="Times New Roman" w:hAnsi="Times New Roman" w:cs="Times New Roman"/>
                <w:b/>
                <w:bCs/>
                <w:highlight w:val="none"/>
                <w:lang w:val="en-US" w:eastAsia="zh-CN"/>
              </w:rPr>
              <w:t>新疆维吾尔自治区水土保持规划</w:t>
            </w:r>
            <w:r>
              <w:rPr>
                <w:rFonts w:hint="default" w:ascii="Times New Roman" w:hAnsi="Times New Roman" w:cs="Times New Roman"/>
                <w:b/>
                <w:bCs/>
                <w:highlight w:val="none"/>
              </w:rPr>
              <w:t>》</w:t>
            </w:r>
            <w:r>
              <w:rPr>
                <w:rFonts w:hint="default" w:ascii="Times New Roman" w:hAnsi="Times New Roman" w:cs="Times New Roman"/>
                <w:b/>
                <w:bCs/>
                <w:highlight w:val="none"/>
                <w:lang w:val="en-US" w:eastAsia="zh-CN"/>
              </w:rPr>
              <w:t>（2018-2030）</w:t>
            </w:r>
            <w:r>
              <w:rPr>
                <w:rFonts w:hint="default" w:ascii="Times New Roman" w:hAnsi="Times New Roman" w:cs="Times New Roman"/>
                <w:b/>
                <w:bCs/>
                <w:highlight w:val="none"/>
              </w:rPr>
              <w:t>符合性分析</w:t>
            </w:r>
          </w:p>
          <w:p>
            <w:pPr>
              <w:pStyle w:val="160"/>
              <w:widowControl w:val="0"/>
              <w:numPr>
                <w:ilvl w:val="0"/>
                <w:numId w:val="0"/>
              </w:numPr>
              <w:snapToGrid w:val="0"/>
              <w:spacing w:line="360" w:lineRule="auto"/>
              <w:ind w:firstLine="480" w:firstLineChars="200"/>
              <w:jc w:val="both"/>
              <w:rPr>
                <w:rFonts w:hint="default" w:ascii="Times New Roman" w:hAnsi="Times New Roman" w:eastAsia="宋体" w:cs="Times New Roman"/>
                <w:b w:val="0"/>
                <w:bCs w:val="0"/>
                <w:kern w:val="2"/>
                <w:sz w:val="24"/>
                <w:szCs w:val="24"/>
                <w:lang w:val="en-US" w:eastAsia="zh-CN" w:bidi="ar-SA"/>
              </w:rPr>
            </w:pPr>
            <w:r>
              <w:rPr>
                <w:rFonts w:hint="default" w:ascii="Times New Roman" w:hAnsi="Times New Roman" w:eastAsia="宋体" w:cs="Times New Roman"/>
                <w:b w:val="0"/>
                <w:bCs w:val="0"/>
                <w:kern w:val="2"/>
                <w:sz w:val="24"/>
                <w:szCs w:val="24"/>
                <w:lang w:val="en-US" w:eastAsia="zh-CN" w:bidi="ar-SA"/>
              </w:rPr>
              <w:t>《新疆维吾尔自治区水土保持规划（2018-2030年）》中“开展好植树造林、防沙治沙、退耕还林还草、高标准农田建设、基本农田保护与管理、山地灾害防治、土地整治等相关工作，形成全疆水土保持工作齐抓共管齐抓共促的良好工作局面。”</w:t>
            </w:r>
          </w:p>
          <w:p>
            <w:pPr>
              <w:rPr>
                <w:rFonts w:hint="default" w:ascii="Times New Roman" w:hAnsi="Times New Roman" w:eastAsia="宋体" w:cs="Times New Roman"/>
                <w:b w:val="0"/>
                <w:bCs w:val="0"/>
                <w:kern w:val="0"/>
                <w:sz w:val="24"/>
                <w:szCs w:val="20"/>
                <w:highlight w:val="none"/>
                <w:lang w:val="en-US" w:eastAsia="zh-CN" w:bidi="ar-SA"/>
              </w:rPr>
            </w:pPr>
            <w:r>
              <w:rPr>
                <w:rFonts w:hint="default" w:ascii="Times New Roman" w:hAnsi="Times New Roman" w:eastAsia="宋体" w:cs="Times New Roman"/>
                <w:sz w:val="24"/>
                <w:szCs w:val="24"/>
                <w:highlight w:val="none"/>
              </w:rPr>
              <w:t>本</w:t>
            </w:r>
            <w:r>
              <w:rPr>
                <w:rFonts w:hint="eastAsia" w:cs="Times New Roman"/>
                <w:sz w:val="24"/>
                <w:szCs w:val="24"/>
                <w:highlight w:val="none"/>
                <w:lang w:val="en-US" w:eastAsia="zh-CN"/>
              </w:rPr>
              <w:t>项目</w:t>
            </w:r>
            <w:r>
              <w:rPr>
                <w:rFonts w:hint="eastAsia" w:cs="Times New Roman"/>
                <w:b w:val="0"/>
                <w:bCs/>
                <w:color w:val="000000"/>
                <w:lang w:val="en-US" w:eastAsia="zh-CN"/>
              </w:rPr>
              <w:t>工程任务：“</w:t>
            </w:r>
            <w:r>
              <w:rPr>
                <w:rFonts w:hint="default" w:ascii="Times New Roman" w:hAnsi="Times New Roman" w:eastAsia="宋体" w:cs="Times New Roman"/>
                <w:b w:val="0"/>
                <w:bCs w:val="0"/>
                <w:color w:val="000000"/>
                <w:kern w:val="0"/>
                <w:sz w:val="24"/>
                <w:szCs w:val="24"/>
                <w:lang w:val="en-US" w:eastAsia="zh-CN" w:bidi="ar-SA"/>
              </w:rPr>
              <w:t>以保障行洪通道的畅通和保障河道正常行洪能力为根本任务，急需</w:t>
            </w:r>
            <w:r>
              <w:rPr>
                <w:rFonts w:hint="eastAsia" w:ascii="Times New Roman" w:hAnsi="Times New Roman" w:eastAsia="宋体" w:cs="Times New Roman"/>
                <w:b w:val="0"/>
                <w:bCs w:val="0"/>
                <w:color w:val="000000"/>
                <w:kern w:val="0"/>
                <w:sz w:val="24"/>
                <w:szCs w:val="24"/>
                <w:lang w:val="en-US" w:eastAsia="zh-CN" w:bidi="ar-SA"/>
              </w:rPr>
              <w:t>对桩号0+000～1+880</w:t>
            </w:r>
            <w:r>
              <w:rPr>
                <w:rFonts w:hint="eastAsia" w:ascii="宋体" w:hAnsi="宋体" w:cs="宋体"/>
                <w:b w:val="0"/>
                <w:bCs/>
                <w:color w:val="000000"/>
              </w:rPr>
              <w:t>（</w:t>
            </w:r>
            <w:r>
              <w:rPr>
                <w:rFonts w:hint="eastAsia" w:ascii="Times New Roman" w:hAnsi="Times New Roman" w:eastAsia="宋体" w:cs="Times New Roman"/>
                <w:b w:val="0"/>
                <w:bCs w:val="0"/>
                <w:color w:val="000000"/>
                <w:kern w:val="0"/>
                <w:sz w:val="24"/>
                <w:szCs w:val="24"/>
                <w:lang w:val="en-US" w:eastAsia="zh-CN" w:bidi="ar-SA"/>
              </w:rPr>
              <w:t>五圣宫水文站</w:t>
            </w:r>
            <w:r>
              <w:rPr>
                <w:rFonts w:hint="eastAsia" w:ascii="宋体" w:hAnsi="宋体" w:cs="宋体"/>
                <w:b w:val="0"/>
                <w:bCs/>
                <w:color w:val="000000"/>
              </w:rPr>
              <w:t>）</w:t>
            </w:r>
            <w:r>
              <w:rPr>
                <w:rFonts w:hint="eastAsia" w:ascii="Times New Roman" w:hAnsi="Times New Roman" w:eastAsia="宋体" w:cs="Times New Roman"/>
                <w:b w:val="0"/>
                <w:bCs w:val="0"/>
                <w:color w:val="000000"/>
                <w:kern w:val="0"/>
                <w:sz w:val="24"/>
                <w:szCs w:val="24"/>
                <w:lang w:val="en-US" w:eastAsia="zh-CN" w:bidi="ar-SA"/>
              </w:rPr>
              <w:t>段、4+100～21+900</w:t>
            </w:r>
            <w:r>
              <w:rPr>
                <w:rFonts w:hint="eastAsia" w:ascii="宋体" w:hAnsi="宋体" w:cs="宋体"/>
                <w:b w:val="0"/>
                <w:bCs/>
                <w:color w:val="000000"/>
              </w:rPr>
              <w:t>（</w:t>
            </w:r>
            <w:r>
              <w:rPr>
                <w:rFonts w:hint="eastAsia" w:ascii="Times New Roman" w:hAnsi="Times New Roman" w:eastAsia="宋体" w:cs="Times New Roman"/>
                <w:b w:val="0"/>
                <w:bCs w:val="0"/>
                <w:color w:val="000000"/>
                <w:kern w:val="0"/>
                <w:sz w:val="24"/>
                <w:szCs w:val="24"/>
                <w:lang w:val="en-US" w:eastAsia="zh-CN" w:bidi="ar-SA"/>
              </w:rPr>
              <w:t>白杨河水库至林区公路</w:t>
            </w:r>
            <w:r>
              <w:rPr>
                <w:rFonts w:hint="eastAsia" w:ascii="宋体" w:hAnsi="宋体" w:cs="宋体"/>
                <w:b w:val="0"/>
                <w:bCs/>
                <w:color w:val="000000"/>
              </w:rPr>
              <w:t>）</w:t>
            </w:r>
            <w:r>
              <w:rPr>
                <w:rFonts w:hint="eastAsia" w:ascii="Times New Roman" w:hAnsi="Times New Roman" w:eastAsia="宋体" w:cs="Times New Roman"/>
                <w:b w:val="0"/>
                <w:bCs w:val="0"/>
                <w:color w:val="000000"/>
                <w:kern w:val="0"/>
                <w:sz w:val="24"/>
                <w:szCs w:val="24"/>
                <w:lang w:val="en-US" w:eastAsia="zh-CN" w:bidi="ar-SA"/>
              </w:rPr>
              <w:t>段和26+750～29+160</w:t>
            </w:r>
            <w:r>
              <w:rPr>
                <w:rFonts w:hint="eastAsia" w:ascii="宋体" w:hAnsi="宋体" w:cs="宋体"/>
                <w:b w:val="0"/>
                <w:bCs/>
                <w:color w:val="000000"/>
              </w:rPr>
              <w:t>（</w:t>
            </w:r>
            <w:r>
              <w:rPr>
                <w:rFonts w:hint="eastAsia" w:ascii="Times New Roman" w:hAnsi="Times New Roman" w:eastAsia="宋体" w:cs="Times New Roman"/>
                <w:b w:val="0"/>
                <w:bCs w:val="0"/>
                <w:color w:val="000000"/>
                <w:kern w:val="0"/>
                <w:sz w:val="24"/>
                <w:szCs w:val="24"/>
                <w:lang w:val="en-US" w:eastAsia="zh-CN" w:bidi="ar-SA"/>
              </w:rPr>
              <w:t>魏家村至S303省道</w:t>
            </w:r>
            <w:r>
              <w:rPr>
                <w:rFonts w:hint="eastAsia" w:ascii="宋体" w:hAnsi="宋体" w:cs="宋体"/>
                <w:b w:val="0"/>
                <w:bCs/>
                <w:color w:val="000000"/>
              </w:rPr>
              <w:t>）</w:t>
            </w:r>
            <w:r>
              <w:rPr>
                <w:rFonts w:hint="eastAsia" w:ascii="Times New Roman" w:hAnsi="Times New Roman" w:eastAsia="宋体" w:cs="Times New Roman"/>
                <w:b w:val="0"/>
                <w:bCs w:val="0"/>
                <w:color w:val="000000"/>
                <w:kern w:val="0"/>
                <w:sz w:val="24"/>
                <w:szCs w:val="24"/>
                <w:lang w:val="en-US" w:eastAsia="zh-CN" w:bidi="ar-SA"/>
              </w:rPr>
              <w:t>段需保护村庄和农田的22.09km河道进行治理，对该段河道进行防治，确保沿岸村庄、农田及交通安全</w:t>
            </w:r>
            <w:r>
              <w:rPr>
                <w:rFonts w:hint="eastAsia" w:cs="Times New Roman"/>
                <w:b w:val="0"/>
                <w:bCs/>
                <w:color w:val="000000"/>
                <w:lang w:val="en-US" w:eastAsia="zh-CN"/>
              </w:rPr>
              <w:t>”，</w:t>
            </w:r>
            <w:r>
              <w:rPr>
                <w:rFonts w:hint="default" w:ascii="Times New Roman" w:hAnsi="Times New Roman" w:eastAsia="宋体" w:cs="Times New Roman"/>
                <w:b w:val="0"/>
                <w:bCs w:val="0"/>
                <w:kern w:val="2"/>
                <w:sz w:val="24"/>
                <w:szCs w:val="24"/>
                <w:lang w:val="en-US" w:eastAsia="zh-CN" w:bidi="ar-SA"/>
              </w:rPr>
              <w:t>本项目的建设</w:t>
            </w:r>
            <w:r>
              <w:rPr>
                <w:rFonts w:hint="default" w:ascii="Times New Roman" w:hAnsi="Times New Roman" w:eastAsia="宋体" w:cs="Times New Roman"/>
                <w:b w:val="0"/>
                <w:bCs w:val="0"/>
                <w:kern w:val="0"/>
                <w:sz w:val="24"/>
                <w:szCs w:val="20"/>
                <w:highlight w:val="none"/>
                <w:lang w:val="en-US" w:eastAsia="zh-CN" w:bidi="ar-SA"/>
              </w:rPr>
              <w:t>符合《新疆维吾尔自治区水土保持规划》（2018-2030）。</w:t>
            </w:r>
          </w:p>
          <w:p>
            <w:pPr>
              <w:pStyle w:val="160"/>
              <w:snapToGrid w:val="0"/>
              <w:spacing w:line="360" w:lineRule="auto"/>
              <w:ind w:firstLine="0" w:firstLineChars="0"/>
              <w:rPr>
                <w:rFonts w:hint="default" w:ascii="Times New Roman" w:hAnsi="Times New Roman" w:cs="Times New Roman"/>
                <w:b/>
                <w:bCs/>
              </w:rPr>
            </w:pPr>
            <w:r>
              <w:rPr>
                <w:rFonts w:hint="eastAsia"/>
                <w:b/>
                <w:bCs/>
                <w:lang w:val="en-US" w:eastAsia="zh-CN"/>
              </w:rPr>
              <w:t>11、</w:t>
            </w:r>
            <w:r>
              <w:rPr>
                <w:rFonts w:hint="eastAsia"/>
                <w:b/>
                <w:bCs/>
              </w:rPr>
              <w:t>与《吉木萨尔县水土</w:t>
            </w:r>
            <w:r>
              <w:rPr>
                <w:rFonts w:hint="default" w:ascii="Times New Roman" w:hAnsi="Times New Roman" w:cs="Times New Roman"/>
                <w:b/>
                <w:bCs/>
              </w:rPr>
              <w:t>保持规划》（2020-2030）符合性分析</w:t>
            </w:r>
          </w:p>
          <w:p>
            <w:pPr>
              <w:pStyle w:val="160"/>
              <w:widowControl w:val="0"/>
              <w:numPr>
                <w:ilvl w:val="0"/>
                <w:numId w:val="0"/>
              </w:numPr>
              <w:overflowPunct w:val="0"/>
              <w:autoSpaceDE w:val="0"/>
              <w:autoSpaceDN w:val="0"/>
              <w:adjustRightInd w:val="0"/>
              <w:snapToGrid w:val="0"/>
              <w:spacing w:line="360" w:lineRule="auto"/>
              <w:ind w:firstLine="480" w:firstLineChars="200"/>
              <w:jc w:val="both"/>
              <w:outlineLvl w:val="9"/>
              <w:rPr>
                <w:rFonts w:hint="default" w:ascii="Times New Roman" w:hAnsi="Times New Roman" w:eastAsia="宋体" w:cs="Times New Roman"/>
                <w:sz w:val="24"/>
                <w:szCs w:val="24"/>
                <w:highlight w:val="yellow"/>
                <w:lang w:val="en-US" w:eastAsia="zh-CN"/>
              </w:rPr>
            </w:pPr>
            <w:r>
              <w:rPr>
                <w:rFonts w:hint="default" w:ascii="Times New Roman" w:hAnsi="Times New Roman" w:eastAsia="宋体" w:cs="Times New Roman"/>
                <w:sz w:val="24"/>
                <w:szCs w:val="24"/>
                <w:lang w:val="en-US" w:eastAsia="zh-CN"/>
              </w:rPr>
              <w:t>根据《吉木萨尔县水土保持规划》（2020-2030）中提出的近期目标：</w:t>
            </w:r>
            <w:r>
              <w:rPr>
                <w:rFonts w:hint="default" w:ascii="Times New Roman" w:hAnsi="Times New Roman" w:eastAsia="宋体" w:cs="Times New Roman"/>
                <w:sz w:val="24"/>
                <w:szCs w:val="24"/>
                <w:highlight w:val="none"/>
                <w:lang w:val="en-US" w:eastAsia="zh-CN"/>
              </w:rPr>
              <w:t>2020年至2025年，基本建成与吉木萨尔县经济社会发展相适应的水土流失综合防治体系，基本实现预防保护、重点防治地区的水土流失得到有效治理，生态进一步趋向好转；新增水土流失治理面积135.41km</w:t>
            </w:r>
            <w:r>
              <w:rPr>
                <w:rFonts w:hint="default" w:ascii="Times New Roman" w:hAnsi="Times New Roman" w:eastAsia="宋体" w:cs="Times New Roman"/>
                <w:sz w:val="24"/>
                <w:szCs w:val="24"/>
                <w:highlight w:val="none"/>
                <w:vertAlign w:val="superscript"/>
                <w:lang w:val="en-US" w:eastAsia="zh-CN"/>
              </w:rPr>
              <w:t>2</w:t>
            </w:r>
            <w:r>
              <w:rPr>
                <w:rFonts w:hint="default" w:ascii="Times New Roman" w:hAnsi="Times New Roman" w:eastAsia="宋体" w:cs="Times New Roman"/>
                <w:sz w:val="24"/>
                <w:szCs w:val="24"/>
                <w:highlight w:val="none"/>
                <w:lang w:val="en-US" w:eastAsia="zh-CN"/>
              </w:rPr>
              <w:t>，水土流失面积和侵蚀强度有所下降，人为水土流失得到有效控制；林草植被得到有效保护与恢复，林草覆盖面积有所增加，新增减少土壤流失量67.7万t，本工程的实施有助于近期目标的实现，本项目的建设和实施与《吉木萨尔县水土保持规划》（2020-2030）相符。</w:t>
            </w:r>
          </w:p>
          <w:p>
            <w:pPr>
              <w:pStyle w:val="160"/>
              <w:widowControl w:val="0"/>
              <w:numPr>
                <w:ilvl w:val="0"/>
                <w:numId w:val="0"/>
              </w:numPr>
              <w:overflowPunct w:val="0"/>
              <w:autoSpaceDE w:val="0"/>
              <w:autoSpaceDN w:val="0"/>
              <w:adjustRightInd w:val="0"/>
              <w:snapToGrid w:val="0"/>
              <w:spacing w:line="360" w:lineRule="auto"/>
              <w:jc w:val="both"/>
              <w:outlineLvl w:val="9"/>
              <w:rPr>
                <w:rFonts w:hint="default" w:ascii="Times New Roman" w:hAnsi="Times New Roman" w:eastAsia="宋体" w:cs="Times New Roman"/>
                <w:b/>
                <w:bCs/>
                <w:sz w:val="24"/>
                <w:szCs w:val="24"/>
                <w:lang w:val="en-US" w:eastAsia="zh-CN"/>
              </w:rPr>
            </w:pPr>
            <w:r>
              <w:rPr>
                <w:rFonts w:hint="default" w:ascii="Times New Roman" w:hAnsi="Times New Roman" w:cs="Times New Roman"/>
                <w:b/>
                <w:bCs/>
                <w:lang w:val="en-US" w:eastAsia="zh-CN"/>
              </w:rPr>
              <w:t>12、</w:t>
            </w:r>
            <w:r>
              <w:rPr>
                <w:rFonts w:hint="default" w:ascii="Times New Roman" w:hAnsi="Times New Roman" w:eastAsia="宋体" w:cs="Times New Roman"/>
                <w:b/>
                <w:bCs/>
                <w:sz w:val="24"/>
                <w:szCs w:val="24"/>
                <w:lang w:val="en-US" w:eastAsia="zh-CN"/>
              </w:rPr>
              <w:t>与《吉木萨尔县国民经济和社会发展第十四个五年规划和二〇三五年远景目标纲要》相符性分析</w:t>
            </w:r>
          </w:p>
          <w:p>
            <w:pPr>
              <w:pStyle w:val="160"/>
              <w:widowControl w:val="0"/>
              <w:numPr>
                <w:ilvl w:val="0"/>
                <w:numId w:val="0"/>
              </w:numPr>
              <w:overflowPunct w:val="0"/>
              <w:autoSpaceDE w:val="0"/>
              <w:autoSpaceDN w:val="0"/>
              <w:adjustRightInd w:val="0"/>
              <w:snapToGrid w:val="0"/>
              <w:spacing w:line="360" w:lineRule="auto"/>
              <w:ind w:firstLine="480" w:firstLineChars="200"/>
              <w:jc w:val="both"/>
              <w:outlineLvl w:val="9"/>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bidi="ar-SA"/>
              </w:rPr>
              <w:t>《吉木萨尔县国民经济和社会发展第十四个五年规划和二〇三五年远景目标纲要》中“完善水利基础设施建设。加快重大水利基础设施建设。实施吉木萨尔县第二水源地建设项目，加快推进泉沟等小型水库建设、水库改扩建、塘坝除险加固。实施供水重大调配水工程和水源工程，合理配置水资源，提高供水能力，实施水资源优化配置和水系连通工程；加快推进灌区续建配套与节水改造。实施西大龙口、东大龙口、大有、泉子街和新地灌区续建配套与节水改造；提高用水效率和效益，全县农业灌溉水利用系数达到0.61，继续实施农村安全饮水巩固提升工程。加大饮用水水源地治理保护，提高农村饮水安全保障水平，全县农村自来水普及率达到95%以上，供水保证率达到95%以上，加大斗农渠渠道防渗改造力度，强化乡村渠道清淤疏浚治理，渠道防渗率达到76％，实施西大龙口河、东大龙口河、二工河、水溪沟、白杨河等一批中小河流治理工程和水溪沟、石油沟等山洪沟治理工程。”</w:t>
            </w:r>
          </w:p>
          <w:p>
            <w:pPr>
              <w:pStyle w:val="160"/>
              <w:widowControl w:val="0"/>
              <w:numPr>
                <w:ilvl w:val="0"/>
                <w:numId w:val="0"/>
              </w:numPr>
              <w:overflowPunct w:val="0"/>
              <w:autoSpaceDE w:val="0"/>
              <w:autoSpaceDN w:val="0"/>
              <w:adjustRightInd w:val="0"/>
              <w:snapToGrid w:val="0"/>
              <w:spacing w:line="360" w:lineRule="auto"/>
              <w:ind w:firstLine="480" w:firstLineChars="200"/>
              <w:jc w:val="both"/>
              <w:outlineLvl w:val="9"/>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bidi="ar-SA"/>
              </w:rPr>
              <w:t>本项目为中小河流治理工程，位于白杨河五圣宫水文站至S303省道29.15km范围的河段，与《吉木萨尔县国民经济和社会发展第十四个五年规划和二〇三五年远景目标纲要》</w:t>
            </w:r>
            <w:r>
              <w:rPr>
                <w:rFonts w:hint="eastAsia" w:ascii="Times New Roman" w:hAnsi="Times New Roman" w:eastAsia="宋体" w:cs="Times New Roman"/>
                <w:kern w:val="0"/>
                <w:sz w:val="24"/>
                <w:szCs w:val="24"/>
                <w:lang w:val="en-US" w:eastAsia="zh-CN" w:bidi="ar-SA"/>
              </w:rPr>
              <w:t>中的“</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kern w:val="0"/>
                <w:sz w:val="24"/>
                <w:szCs w:val="24"/>
                <w:lang w:val="en-US" w:eastAsia="zh-CN" w:bidi="ar-SA"/>
              </w:rPr>
              <w:t>实施西大龙口河、东大龙口河、二工河、水溪沟、白杨河等一批中小河流治理工程和水溪沟、石油沟等山洪沟治理工程</w:t>
            </w:r>
            <w:r>
              <w:rPr>
                <w:rFonts w:hint="eastAsia" w:ascii="Times New Roman" w:hAnsi="Times New Roman" w:eastAsia="宋体" w:cs="Times New Roman"/>
                <w:kern w:val="0"/>
                <w:sz w:val="24"/>
                <w:szCs w:val="24"/>
                <w:lang w:val="en-US" w:eastAsia="zh-CN" w:bidi="ar-SA"/>
              </w:rPr>
              <w:t>”</w:t>
            </w:r>
            <w:r>
              <w:rPr>
                <w:rFonts w:hint="eastAsia" w:cs="Times New Roman"/>
                <w:kern w:val="0"/>
                <w:sz w:val="24"/>
                <w:szCs w:val="24"/>
                <w:lang w:val="en-US" w:eastAsia="zh-CN" w:bidi="ar-SA"/>
              </w:rPr>
              <w:t>相符。</w:t>
            </w:r>
          </w:p>
          <w:p>
            <w:pPr>
              <w:keepNext w:val="0"/>
              <w:keepLines w:val="0"/>
              <w:widowControl/>
              <w:suppressLineNumbers w:val="0"/>
              <w:spacing w:line="360" w:lineRule="auto"/>
              <w:ind w:left="0" w:leftChars="0" w:firstLine="0" w:firstLineChars="0"/>
              <w:jc w:val="left"/>
              <w:rPr>
                <w:rFonts w:hint="default"/>
                <w:b/>
                <w:bCs/>
                <w:lang w:val="en-US" w:eastAsia="zh-CN"/>
              </w:rPr>
            </w:pPr>
            <w:r>
              <w:rPr>
                <w:rFonts w:hint="eastAsia" w:ascii="Times New Roman" w:hAnsi="Times New Roman" w:eastAsia="宋体" w:cs="Times New Roman"/>
                <w:b/>
                <w:bCs/>
                <w:lang w:val="en-US" w:eastAsia="zh-CN"/>
              </w:rPr>
              <w:t>1</w:t>
            </w:r>
            <w:r>
              <w:rPr>
                <w:rFonts w:hint="eastAsia" w:cs="Times New Roman"/>
                <w:b/>
                <w:bCs/>
                <w:lang w:val="en-US" w:eastAsia="zh-CN"/>
              </w:rPr>
              <w:t>3</w:t>
            </w:r>
            <w:r>
              <w:rPr>
                <w:rFonts w:hint="default" w:ascii="Times New Roman" w:hAnsi="Times New Roman" w:eastAsia="宋体" w:cs="Times New Roman"/>
                <w:b/>
                <w:bCs/>
                <w:lang w:val="en-US" w:eastAsia="zh-CN"/>
              </w:rPr>
              <w:t>、与《吉木萨尔县“十四五”水利发展（水安全保障）规划》</w:t>
            </w:r>
            <w:r>
              <w:rPr>
                <w:rFonts w:hint="default"/>
                <w:b/>
                <w:bCs/>
                <w:lang w:val="en-US" w:eastAsia="zh-CN"/>
              </w:rPr>
              <w:t>相符性分析</w:t>
            </w:r>
          </w:p>
          <w:p>
            <w:pPr>
              <w:keepNext w:val="0"/>
              <w:keepLines w:val="0"/>
              <w:widowControl/>
              <w:suppressLineNumbers w:val="0"/>
              <w:spacing w:line="360" w:lineRule="auto"/>
              <w:ind w:left="0" w:leftChars="0" w:firstLine="480" w:firstLineChars="200"/>
              <w:jc w:val="left"/>
              <w:rPr>
                <w:rFonts w:hint="default"/>
                <w:lang w:val="en-US" w:eastAsia="zh-CN"/>
              </w:rPr>
            </w:pPr>
            <w:r>
              <w:rPr>
                <w:rFonts w:hint="default"/>
                <w:lang w:val="en-US" w:eastAsia="zh-CN"/>
              </w:rPr>
              <w:t>根据《吉木萨尔县“十四五”水利发展（水安全保障）规划》要求：</w:t>
            </w:r>
            <w:r>
              <w:rPr>
                <w:rFonts w:hint="eastAsia"/>
                <w:lang w:val="en-US" w:eastAsia="zh-CN"/>
              </w:rPr>
              <w:t>“</w:t>
            </w:r>
            <w:r>
              <w:rPr>
                <w:rFonts w:hint="default"/>
                <w:lang w:val="en-US" w:eastAsia="zh-CN"/>
              </w:rPr>
              <w:t>优化水生态空间布局，衔接</w:t>
            </w:r>
            <w:r>
              <w:rPr>
                <w:rFonts w:hint="eastAsia"/>
                <w:lang w:val="en-US" w:eastAsia="zh-CN"/>
              </w:rPr>
              <w:t>‘</w:t>
            </w:r>
            <w:r>
              <w:rPr>
                <w:rFonts w:hint="default"/>
                <w:lang w:val="en-US" w:eastAsia="zh-CN"/>
              </w:rPr>
              <w:t>多规合一</w:t>
            </w:r>
            <w:r>
              <w:rPr>
                <w:rFonts w:hint="eastAsia"/>
                <w:lang w:val="en-US" w:eastAsia="zh-CN"/>
              </w:rPr>
              <w:t>’</w:t>
            </w:r>
            <w:r>
              <w:rPr>
                <w:rFonts w:hint="default"/>
                <w:lang w:val="en-US" w:eastAsia="zh-CN"/>
              </w:rPr>
              <w:t>国土空间规划；以强化节水为优先方向</w:t>
            </w:r>
            <w:r>
              <w:rPr>
                <w:rFonts w:hint="eastAsia"/>
                <w:lang w:val="en-US" w:eastAsia="zh-CN"/>
              </w:rPr>
              <w:t>，</w:t>
            </w:r>
            <w:r>
              <w:rPr>
                <w:rFonts w:hint="default"/>
                <w:lang w:val="en-US" w:eastAsia="zh-CN"/>
              </w:rPr>
              <w:t>充分挖潜，科学高效配置水资源；着眼于生态文明建设对水治理体系和治理能力建设需求</w:t>
            </w:r>
            <w:r>
              <w:rPr>
                <w:rFonts w:hint="eastAsia"/>
                <w:lang w:val="en-US" w:eastAsia="zh-CN"/>
              </w:rPr>
              <w:t>，</w:t>
            </w:r>
            <w:r>
              <w:rPr>
                <w:rFonts w:hint="default"/>
                <w:lang w:val="en-US" w:eastAsia="zh-CN"/>
              </w:rPr>
              <w:t>以重大水利行动和项目为突破口，构建水安全保障基础设施网络体系、河湖生态健康安全保障体系、现代化的水治理能力与管理体系</w:t>
            </w:r>
            <w:r>
              <w:rPr>
                <w:rFonts w:hint="eastAsia"/>
                <w:lang w:val="en-US" w:eastAsia="zh-CN"/>
              </w:rPr>
              <w:t>。”</w:t>
            </w:r>
          </w:p>
          <w:p>
            <w:pPr>
              <w:keepNext w:val="0"/>
              <w:keepLines w:val="0"/>
              <w:widowControl/>
              <w:suppressLineNumbers w:val="0"/>
              <w:spacing w:line="360" w:lineRule="auto"/>
              <w:ind w:left="0" w:leftChars="0" w:firstLine="480" w:firstLineChars="200"/>
              <w:jc w:val="left"/>
              <w:rPr>
                <w:rFonts w:hint="default" w:cs="Times New Roman"/>
                <w:b w:val="0"/>
                <w:bCs/>
                <w:color w:val="000000"/>
                <w:lang w:val="en-US" w:eastAsia="zh-CN"/>
              </w:rPr>
            </w:pPr>
            <w:r>
              <w:rPr>
                <w:rFonts w:hint="default" w:ascii="Times New Roman" w:hAnsi="Times New Roman" w:eastAsia="宋体" w:cs="Times New Roman"/>
                <w:sz w:val="24"/>
                <w:szCs w:val="24"/>
                <w:highlight w:val="none"/>
              </w:rPr>
              <w:t>本</w:t>
            </w:r>
            <w:r>
              <w:rPr>
                <w:rFonts w:hint="eastAsia" w:cs="Times New Roman"/>
                <w:sz w:val="24"/>
                <w:szCs w:val="24"/>
                <w:highlight w:val="none"/>
                <w:lang w:val="en-US" w:eastAsia="zh-CN"/>
              </w:rPr>
              <w:t>项目为</w:t>
            </w:r>
            <w:r>
              <w:rPr>
                <w:rFonts w:hint="default" w:ascii="Times New Roman" w:hAnsi="Times New Roman" w:cs="Times New Roman"/>
                <w:b w:val="0"/>
                <w:bCs/>
                <w:color w:val="000000"/>
                <w:lang w:val="en-US" w:eastAsia="zh-CN"/>
              </w:rPr>
              <w:t>中小河流治理工程</w:t>
            </w:r>
            <w:r>
              <w:rPr>
                <w:rFonts w:hint="eastAsia" w:cs="Times New Roman"/>
                <w:b w:val="0"/>
                <w:bCs/>
                <w:color w:val="000000"/>
                <w:lang w:val="en-US" w:eastAsia="zh-CN"/>
              </w:rPr>
              <w:t>，工程任务：“</w:t>
            </w:r>
            <w:r>
              <w:rPr>
                <w:rFonts w:hint="default" w:ascii="Times New Roman" w:hAnsi="Times New Roman" w:eastAsia="宋体" w:cs="Times New Roman"/>
                <w:b w:val="0"/>
                <w:bCs w:val="0"/>
                <w:color w:val="000000"/>
                <w:kern w:val="0"/>
                <w:sz w:val="24"/>
                <w:szCs w:val="24"/>
                <w:lang w:val="en-US" w:eastAsia="zh-CN" w:bidi="ar-SA"/>
              </w:rPr>
              <w:t>以保障行洪通道的畅通和保障河道正常行洪能力为根本任务，急需</w:t>
            </w:r>
            <w:r>
              <w:rPr>
                <w:rFonts w:hint="eastAsia" w:ascii="Times New Roman" w:hAnsi="Times New Roman" w:eastAsia="宋体" w:cs="Times New Roman"/>
                <w:b w:val="0"/>
                <w:bCs w:val="0"/>
                <w:color w:val="000000"/>
                <w:kern w:val="0"/>
                <w:sz w:val="24"/>
                <w:szCs w:val="24"/>
                <w:lang w:val="en-US" w:eastAsia="zh-CN" w:bidi="ar-SA"/>
              </w:rPr>
              <w:t>对桩号0+000～1+880</w:t>
            </w:r>
            <w:r>
              <w:rPr>
                <w:rFonts w:hint="eastAsia" w:ascii="宋体" w:hAnsi="宋体" w:cs="宋体"/>
                <w:b w:val="0"/>
                <w:bCs/>
                <w:color w:val="000000"/>
              </w:rPr>
              <w:t>（</w:t>
            </w:r>
            <w:r>
              <w:rPr>
                <w:rFonts w:hint="eastAsia" w:ascii="Times New Roman" w:hAnsi="Times New Roman" w:eastAsia="宋体" w:cs="Times New Roman"/>
                <w:b w:val="0"/>
                <w:bCs w:val="0"/>
                <w:color w:val="000000"/>
                <w:kern w:val="0"/>
                <w:sz w:val="24"/>
                <w:szCs w:val="24"/>
                <w:lang w:val="en-US" w:eastAsia="zh-CN" w:bidi="ar-SA"/>
              </w:rPr>
              <w:t>五圣宫水文站</w:t>
            </w:r>
            <w:r>
              <w:rPr>
                <w:rFonts w:hint="eastAsia" w:ascii="宋体" w:hAnsi="宋体" w:cs="宋体"/>
                <w:b w:val="0"/>
                <w:bCs/>
                <w:color w:val="000000"/>
              </w:rPr>
              <w:t>）</w:t>
            </w:r>
            <w:r>
              <w:rPr>
                <w:rFonts w:hint="eastAsia" w:ascii="Times New Roman" w:hAnsi="Times New Roman" w:eastAsia="宋体" w:cs="Times New Roman"/>
                <w:b w:val="0"/>
                <w:bCs w:val="0"/>
                <w:color w:val="000000"/>
                <w:kern w:val="0"/>
                <w:sz w:val="24"/>
                <w:szCs w:val="24"/>
                <w:lang w:val="en-US" w:eastAsia="zh-CN" w:bidi="ar-SA"/>
              </w:rPr>
              <w:t>段、4+100～21+900</w:t>
            </w:r>
            <w:r>
              <w:rPr>
                <w:rFonts w:hint="eastAsia" w:ascii="宋体" w:hAnsi="宋体" w:cs="宋体"/>
                <w:b w:val="0"/>
                <w:bCs/>
                <w:color w:val="000000"/>
              </w:rPr>
              <w:t>（</w:t>
            </w:r>
            <w:r>
              <w:rPr>
                <w:rFonts w:hint="eastAsia" w:ascii="Times New Roman" w:hAnsi="Times New Roman" w:eastAsia="宋体" w:cs="Times New Roman"/>
                <w:b w:val="0"/>
                <w:bCs w:val="0"/>
                <w:color w:val="000000"/>
                <w:kern w:val="0"/>
                <w:sz w:val="24"/>
                <w:szCs w:val="24"/>
                <w:lang w:val="en-US" w:eastAsia="zh-CN" w:bidi="ar-SA"/>
              </w:rPr>
              <w:t>白杨河水库至林区公路</w:t>
            </w:r>
            <w:r>
              <w:rPr>
                <w:rFonts w:hint="eastAsia" w:ascii="宋体" w:hAnsi="宋体" w:cs="宋体"/>
                <w:b w:val="0"/>
                <w:bCs/>
                <w:color w:val="000000"/>
              </w:rPr>
              <w:t>）</w:t>
            </w:r>
            <w:r>
              <w:rPr>
                <w:rFonts w:hint="eastAsia" w:ascii="Times New Roman" w:hAnsi="Times New Roman" w:eastAsia="宋体" w:cs="Times New Roman"/>
                <w:b w:val="0"/>
                <w:bCs w:val="0"/>
                <w:color w:val="000000"/>
                <w:kern w:val="0"/>
                <w:sz w:val="24"/>
                <w:szCs w:val="24"/>
                <w:lang w:val="en-US" w:eastAsia="zh-CN" w:bidi="ar-SA"/>
              </w:rPr>
              <w:t>段和26+750～29+160</w:t>
            </w:r>
            <w:r>
              <w:rPr>
                <w:rFonts w:hint="eastAsia" w:ascii="宋体" w:hAnsi="宋体" w:cs="宋体"/>
                <w:b w:val="0"/>
                <w:bCs/>
                <w:color w:val="000000"/>
              </w:rPr>
              <w:t>（</w:t>
            </w:r>
            <w:r>
              <w:rPr>
                <w:rFonts w:hint="eastAsia" w:ascii="Times New Roman" w:hAnsi="Times New Roman" w:eastAsia="宋体" w:cs="Times New Roman"/>
                <w:b w:val="0"/>
                <w:bCs w:val="0"/>
                <w:color w:val="000000"/>
                <w:kern w:val="0"/>
                <w:sz w:val="24"/>
                <w:szCs w:val="24"/>
                <w:lang w:val="en-US" w:eastAsia="zh-CN" w:bidi="ar-SA"/>
              </w:rPr>
              <w:t>魏家村至S303省道</w:t>
            </w:r>
            <w:r>
              <w:rPr>
                <w:rFonts w:hint="eastAsia" w:ascii="宋体" w:hAnsi="宋体" w:cs="宋体"/>
                <w:b w:val="0"/>
                <w:bCs/>
                <w:color w:val="000000"/>
              </w:rPr>
              <w:t>）</w:t>
            </w:r>
            <w:r>
              <w:rPr>
                <w:rFonts w:hint="eastAsia" w:ascii="Times New Roman" w:hAnsi="Times New Roman" w:eastAsia="宋体" w:cs="Times New Roman"/>
                <w:b w:val="0"/>
                <w:bCs w:val="0"/>
                <w:color w:val="000000"/>
                <w:kern w:val="0"/>
                <w:sz w:val="24"/>
                <w:szCs w:val="24"/>
                <w:lang w:val="en-US" w:eastAsia="zh-CN" w:bidi="ar-SA"/>
              </w:rPr>
              <w:t>段需保护村庄和农田的22.09km河道进行治理，对该段河道进行防治，确保沿岸村庄、农田及交通安全”，</w:t>
            </w:r>
            <w:r>
              <w:rPr>
                <w:rFonts w:hint="eastAsia" w:cs="Times New Roman"/>
                <w:b w:val="0"/>
                <w:bCs/>
                <w:color w:val="000000"/>
                <w:lang w:val="en-US" w:eastAsia="zh-CN"/>
              </w:rPr>
              <w:t>与</w:t>
            </w:r>
            <w:r>
              <w:rPr>
                <w:rFonts w:hint="default"/>
                <w:lang w:val="en-US" w:eastAsia="zh-CN"/>
              </w:rPr>
              <w:t>《吉木萨尔县“十四五”水利发展（水安全保障）规划》</w:t>
            </w:r>
            <w:r>
              <w:rPr>
                <w:rFonts w:hint="eastAsia"/>
                <w:lang w:val="en-US" w:eastAsia="zh-CN"/>
              </w:rPr>
              <w:t>中的相关内容相符。</w:t>
            </w:r>
          </w:p>
          <w:p>
            <w:pPr>
              <w:numPr>
                <w:ilvl w:val="0"/>
                <w:numId w:val="0"/>
              </w:numPr>
              <w:adjustRightInd w:val="0"/>
              <w:snapToGrid w:val="0"/>
              <w:spacing w:line="360" w:lineRule="auto"/>
              <w:ind w:firstLine="0" w:firstLineChars="0"/>
              <w:rPr>
                <w:rFonts w:hint="eastAsia"/>
              </w:rPr>
            </w:pPr>
            <w:r>
              <w:rPr>
                <w:rFonts w:hint="eastAsia"/>
                <w:b/>
                <w:bCs/>
                <w:lang w:val="en-US" w:eastAsia="zh-CN"/>
              </w:rPr>
              <w:t>14、</w:t>
            </w:r>
            <w:r>
              <w:rPr>
                <w:rFonts w:hint="eastAsia"/>
                <w:b/>
                <w:bCs/>
              </w:rPr>
              <w:t>与</w:t>
            </w:r>
            <w:r>
              <w:rPr>
                <w:rFonts w:hint="eastAsia" w:ascii="Times New Roman" w:hAnsi="Times New Roman" w:eastAsia="宋体" w:cs="Times New Roman"/>
                <w:b/>
                <w:bCs/>
                <w:color w:val="333333"/>
                <w:kern w:val="0"/>
                <w:sz w:val="24"/>
                <w:szCs w:val="24"/>
                <w:lang w:val="en-US" w:eastAsia="zh-CN" w:bidi="ar"/>
              </w:rPr>
              <w:t>《水利建设项目（河湖整治与防洪除涝工程）环境影响评价文件审批原则（试行）》（环办环评〔2018〕2号）</w:t>
            </w:r>
            <w:r>
              <w:rPr>
                <w:rFonts w:hint="eastAsia"/>
                <w:b/>
                <w:bCs/>
              </w:rPr>
              <w:t>的符合性分析</w:t>
            </w:r>
          </w:p>
          <w:p>
            <w:pPr>
              <w:numPr>
                <w:ilvl w:val="0"/>
                <w:numId w:val="0"/>
              </w:numPr>
              <w:adjustRightInd w:val="0"/>
              <w:snapToGrid w:val="0"/>
              <w:spacing w:line="360" w:lineRule="auto"/>
              <w:ind w:firstLine="480" w:firstLineChars="200"/>
              <w:rPr>
                <w:rFonts w:hint="eastAsia" w:ascii="Times New Roman" w:hAnsi="Times New Roman" w:eastAsia="宋体" w:cs="Times New Roman"/>
                <w:b w:val="0"/>
                <w:bCs w:val="0"/>
                <w:color w:val="333333"/>
                <w:kern w:val="0"/>
                <w:sz w:val="24"/>
                <w:szCs w:val="24"/>
                <w:highlight w:val="none"/>
                <w:lang w:val="en-US" w:eastAsia="zh-CN" w:bidi="ar"/>
              </w:rPr>
            </w:pPr>
            <w:r>
              <w:rPr>
                <w:rFonts w:hint="eastAsia" w:ascii="Times New Roman" w:hAnsi="Times New Roman" w:eastAsia="宋体" w:cs="Times New Roman"/>
                <w:b w:val="0"/>
                <w:bCs w:val="0"/>
                <w:color w:val="333333"/>
                <w:kern w:val="0"/>
                <w:sz w:val="24"/>
                <w:szCs w:val="24"/>
                <w:highlight w:val="none"/>
                <w:lang w:val="en-US" w:eastAsia="zh-CN" w:bidi="ar"/>
              </w:rPr>
              <w:t>根据《水利建设项目（河湖整治与防洪除涝工程）环境影响评价文件审批原则（试行）》（环办环评〔2018〕2号）中：</w:t>
            </w:r>
          </w:p>
          <w:p>
            <w:pPr>
              <w:numPr>
                <w:ilvl w:val="0"/>
                <w:numId w:val="0"/>
              </w:numPr>
              <w:adjustRightInd w:val="0"/>
              <w:snapToGrid w:val="0"/>
              <w:spacing w:line="360" w:lineRule="auto"/>
              <w:ind w:firstLine="480" w:firstLineChars="200"/>
              <w:rPr>
                <w:rFonts w:hint="eastAsia" w:ascii="Times New Roman" w:hAnsi="Times New Roman" w:eastAsia="宋体" w:cs="Times New Roman"/>
                <w:b w:val="0"/>
                <w:bCs w:val="0"/>
                <w:color w:val="333333"/>
                <w:kern w:val="0"/>
                <w:sz w:val="24"/>
                <w:szCs w:val="24"/>
                <w:highlight w:val="none"/>
                <w:lang w:val="en-US" w:eastAsia="zh-CN" w:bidi="ar"/>
              </w:rPr>
            </w:pPr>
            <w:r>
              <w:rPr>
                <w:rFonts w:hint="eastAsia" w:ascii="Times New Roman" w:hAnsi="Times New Roman" w:eastAsia="宋体" w:cs="Times New Roman"/>
                <w:b w:val="0"/>
                <w:bCs w:val="0"/>
                <w:color w:val="333333"/>
                <w:kern w:val="0"/>
                <w:sz w:val="24"/>
                <w:szCs w:val="24"/>
                <w:highlight w:val="none"/>
                <w:lang w:val="en-US" w:eastAsia="zh-CN" w:bidi="ar"/>
              </w:rPr>
              <w:t>第一条 本原则适用于河湖整治与防洪除涝工程环境影响评价文件的审批，工程建设内容包括疏浚、堤防建设、闸坝闸站建设、岸线治理、水系连通、蓄（滞）洪区建设、排涝治理等（引调水、防洪水库等水利枢纽工程除外），其他类似工程可参照执行。</w:t>
            </w:r>
          </w:p>
          <w:p>
            <w:pPr>
              <w:numPr>
                <w:ilvl w:val="0"/>
                <w:numId w:val="0"/>
              </w:numPr>
              <w:adjustRightInd w:val="0"/>
              <w:snapToGrid w:val="0"/>
              <w:spacing w:line="360" w:lineRule="auto"/>
              <w:ind w:firstLine="480" w:firstLineChars="200"/>
              <w:rPr>
                <w:rFonts w:hint="default" w:ascii="Times New Roman" w:hAnsi="Times New Roman" w:eastAsia="宋体" w:cs="Times New Roman"/>
                <w:b w:val="0"/>
                <w:bCs w:val="0"/>
                <w:color w:val="333333"/>
                <w:kern w:val="0"/>
                <w:sz w:val="24"/>
                <w:szCs w:val="24"/>
                <w:highlight w:val="none"/>
                <w:lang w:val="en-US" w:eastAsia="zh-CN" w:bidi="ar"/>
              </w:rPr>
            </w:pPr>
            <w:r>
              <w:rPr>
                <w:rFonts w:hint="eastAsia" w:ascii="Times New Roman" w:hAnsi="Times New Roman" w:eastAsia="宋体" w:cs="Times New Roman"/>
                <w:b w:val="0"/>
                <w:bCs w:val="0"/>
                <w:color w:val="333333"/>
                <w:kern w:val="0"/>
                <w:sz w:val="24"/>
                <w:szCs w:val="24"/>
                <w:highlight w:val="none"/>
                <w:lang w:val="en-US" w:eastAsia="zh-CN" w:bidi="ar"/>
              </w:rPr>
              <w:t>本项目为白杨河五圣宫水文站至S303省道段中小河流治理工程，主要工程建设内容为</w:t>
            </w:r>
            <w:r>
              <w:rPr>
                <w:rFonts w:hint="default" w:ascii="Times New Roman" w:hAnsi="Times New Roman" w:eastAsia="宋体" w:cs="Times New Roman"/>
                <w:b w:val="0"/>
                <w:bCs w:val="0"/>
                <w:color w:val="333333"/>
                <w:kern w:val="0"/>
                <w:sz w:val="24"/>
                <w:szCs w:val="24"/>
                <w:highlight w:val="none"/>
                <w:lang w:val="zh-CN" w:eastAsia="zh-CN" w:bidi="ar"/>
              </w:rPr>
              <w:t>防洪堤工程区</w:t>
            </w:r>
            <w:r>
              <w:rPr>
                <w:rFonts w:hint="eastAsia" w:ascii="Times New Roman" w:hAnsi="Times New Roman" w:eastAsia="宋体" w:cs="Times New Roman"/>
                <w:b w:val="0"/>
                <w:bCs w:val="0"/>
                <w:color w:val="333333"/>
                <w:kern w:val="0"/>
                <w:sz w:val="24"/>
                <w:szCs w:val="24"/>
                <w:highlight w:val="none"/>
                <w:lang w:val="zh-CN" w:eastAsia="zh-CN" w:bidi="ar"/>
              </w:rPr>
              <w:t>、</w:t>
            </w:r>
            <w:r>
              <w:rPr>
                <w:rFonts w:hint="default" w:ascii="Times New Roman" w:hAnsi="Times New Roman" w:eastAsia="宋体" w:cs="Times New Roman"/>
                <w:b w:val="0"/>
                <w:bCs w:val="0"/>
                <w:color w:val="333333"/>
                <w:kern w:val="0"/>
                <w:sz w:val="24"/>
                <w:szCs w:val="24"/>
                <w:highlight w:val="none"/>
                <w:lang w:val="zh-CN" w:eastAsia="zh-CN" w:bidi="ar"/>
              </w:rPr>
              <w:t>防洪堤附属建筑物</w:t>
            </w:r>
            <w:r>
              <w:rPr>
                <w:rFonts w:hint="eastAsia" w:ascii="Times New Roman" w:hAnsi="Times New Roman" w:eastAsia="宋体" w:cs="Times New Roman"/>
                <w:b w:val="0"/>
                <w:bCs w:val="0"/>
                <w:color w:val="333333"/>
                <w:kern w:val="0"/>
                <w:sz w:val="24"/>
                <w:szCs w:val="24"/>
                <w:highlight w:val="none"/>
                <w:lang w:val="zh-CN" w:eastAsia="zh-CN" w:bidi="ar"/>
              </w:rPr>
              <w:t>、</w:t>
            </w:r>
            <w:r>
              <w:rPr>
                <w:rFonts w:hint="default" w:ascii="Times New Roman" w:hAnsi="Times New Roman" w:eastAsia="宋体" w:cs="Times New Roman"/>
                <w:b w:val="0"/>
                <w:bCs w:val="0"/>
                <w:color w:val="333333"/>
                <w:kern w:val="0"/>
                <w:sz w:val="24"/>
                <w:szCs w:val="24"/>
                <w:highlight w:val="none"/>
                <w:lang w:val="zh-CN" w:eastAsia="zh-CN" w:bidi="ar"/>
              </w:rPr>
              <w:t>排洪渠工程区</w:t>
            </w:r>
            <w:r>
              <w:rPr>
                <w:rFonts w:hint="eastAsia" w:ascii="Times New Roman" w:hAnsi="Times New Roman" w:eastAsia="宋体" w:cs="Times New Roman"/>
                <w:b w:val="0"/>
                <w:bCs w:val="0"/>
                <w:color w:val="333333"/>
                <w:kern w:val="0"/>
                <w:sz w:val="24"/>
                <w:szCs w:val="24"/>
                <w:highlight w:val="none"/>
                <w:lang w:val="zh-CN" w:eastAsia="zh-CN" w:bidi="ar"/>
              </w:rPr>
              <w:t>、</w:t>
            </w:r>
            <w:r>
              <w:rPr>
                <w:rFonts w:hint="default" w:ascii="Times New Roman" w:hAnsi="Times New Roman" w:eastAsia="宋体" w:cs="Times New Roman"/>
                <w:b w:val="0"/>
                <w:bCs w:val="0"/>
                <w:color w:val="333333"/>
                <w:kern w:val="0"/>
                <w:sz w:val="24"/>
                <w:szCs w:val="24"/>
                <w:highlight w:val="none"/>
                <w:lang w:val="zh-CN" w:eastAsia="zh-CN" w:bidi="ar"/>
              </w:rPr>
              <w:t>排洪渠附属建筑物工程区</w:t>
            </w:r>
            <w:r>
              <w:rPr>
                <w:rFonts w:hint="eastAsia" w:ascii="Times New Roman" w:hAnsi="Times New Roman" w:eastAsia="宋体" w:cs="Times New Roman"/>
                <w:b w:val="0"/>
                <w:bCs w:val="0"/>
                <w:color w:val="333333"/>
                <w:kern w:val="0"/>
                <w:sz w:val="24"/>
                <w:szCs w:val="24"/>
                <w:highlight w:val="none"/>
                <w:lang w:val="en-US" w:eastAsia="zh-CN" w:bidi="ar"/>
              </w:rPr>
              <w:t>等，与第一条中的相关内容相符。</w:t>
            </w:r>
          </w:p>
          <w:p>
            <w:pPr>
              <w:numPr>
                <w:ilvl w:val="0"/>
                <w:numId w:val="0"/>
              </w:numPr>
              <w:adjustRightInd w:val="0"/>
              <w:snapToGrid w:val="0"/>
              <w:spacing w:line="360" w:lineRule="auto"/>
              <w:ind w:firstLine="480" w:firstLineChars="200"/>
              <w:rPr>
                <w:rFonts w:hint="default" w:ascii="宋体" w:hAnsi="宋体" w:eastAsia="宋体" w:cs="宋体"/>
                <w:sz w:val="24"/>
                <w:szCs w:val="24"/>
                <w:lang w:val="en-US" w:eastAsia="zh-CN"/>
              </w:rPr>
            </w:pPr>
            <w:r>
              <w:rPr>
                <w:rFonts w:ascii="宋体" w:hAnsi="宋体" w:eastAsia="宋体" w:cs="宋体"/>
                <w:sz w:val="24"/>
                <w:szCs w:val="24"/>
              </w:rPr>
              <w:t>第二条 项目符合环境保护相关法律法规和政策要求，与主体功能区规划、生态功能区划、水环境功能区划、水功能区划、生态环境保护规划、流域综合规划、防洪规划等相协调，满足相关规划环评要求。工程涉及岸线调整（治导线变化）、裁弯取直、围垦水面和占用河湖滩地等建设内容的，充分论证了方案环境可行性，最大程度保持了河湖自然形态，最大限度维护了河湖健康、生态系统功能和生物多样性</w:t>
            </w:r>
            <w:r>
              <w:rPr>
                <w:rFonts w:hint="eastAsia" w:ascii="宋体" w:hAnsi="宋体" w:eastAsia="宋体" w:cs="宋体"/>
                <w:sz w:val="24"/>
                <w:szCs w:val="24"/>
                <w:lang w:eastAsia="zh-CN"/>
              </w:rPr>
              <w:t>，</w:t>
            </w:r>
            <w:r>
              <w:rPr>
                <w:rFonts w:hint="eastAsia" w:ascii="Times New Roman" w:hAnsi="Times New Roman" w:eastAsia="宋体" w:cs="Times New Roman"/>
                <w:b w:val="0"/>
                <w:bCs w:val="0"/>
                <w:color w:val="333333"/>
                <w:kern w:val="0"/>
                <w:sz w:val="24"/>
                <w:szCs w:val="24"/>
                <w:highlight w:val="none"/>
                <w:lang w:val="en-US" w:eastAsia="zh-CN" w:bidi="ar"/>
              </w:rPr>
              <w:t>与第二条中的相关内容相符。</w:t>
            </w:r>
          </w:p>
          <w:p>
            <w:pPr>
              <w:numPr>
                <w:ilvl w:val="0"/>
                <w:numId w:val="0"/>
              </w:numPr>
              <w:adjustRightInd w:val="0"/>
              <w:snapToGrid w:val="0"/>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本项目的建设与</w:t>
            </w:r>
            <w:r>
              <w:rPr>
                <w:rFonts w:hint="default" w:ascii="宋体" w:hAnsi="宋体" w:eastAsia="宋体" w:cs="宋体"/>
                <w:sz w:val="24"/>
                <w:szCs w:val="24"/>
              </w:rPr>
              <w:t>《新疆生态环境保护“十四五”规划》</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《新疆维吾尔自治区主体功能区规划》、《昌吉回族自治州国民经济和社会发展第十四个五年规划和二〇三五年远景目标纲要》、</w:t>
            </w:r>
            <w:r>
              <w:rPr>
                <w:rFonts w:hint="eastAsia" w:ascii="宋体" w:hAnsi="宋体" w:eastAsia="宋体" w:cs="宋体"/>
                <w:sz w:val="24"/>
                <w:szCs w:val="24"/>
              </w:rPr>
              <w:t>《新疆生态功能区划》</w:t>
            </w:r>
            <w:r>
              <w:rPr>
                <w:rFonts w:hint="eastAsia" w:ascii="宋体" w:hAnsi="宋体" w:eastAsia="宋体" w:cs="宋体"/>
                <w:sz w:val="24"/>
                <w:szCs w:val="24"/>
                <w:lang w:val="en-US" w:eastAsia="zh-CN"/>
              </w:rPr>
              <w:t>相符，</w:t>
            </w:r>
            <w:r>
              <w:rPr>
                <w:rFonts w:hint="eastAsia" w:ascii="Times New Roman" w:hAnsi="Times New Roman" w:eastAsia="宋体" w:cs="Times New Roman"/>
                <w:b w:val="0"/>
                <w:bCs w:val="0"/>
                <w:color w:val="333333"/>
                <w:kern w:val="0"/>
                <w:sz w:val="24"/>
                <w:szCs w:val="24"/>
                <w:highlight w:val="none"/>
                <w:lang w:val="en-US" w:eastAsia="zh-CN" w:bidi="ar"/>
              </w:rPr>
              <w:t>与第二条中的相关内容相符。</w:t>
            </w:r>
          </w:p>
          <w:p>
            <w:pPr>
              <w:numPr>
                <w:ilvl w:val="0"/>
                <w:numId w:val="0"/>
              </w:numPr>
              <w:adjustRightInd w:val="0"/>
              <w:snapToGrid w:val="0"/>
              <w:spacing w:line="360" w:lineRule="auto"/>
              <w:ind w:firstLine="480" w:firstLineChars="200"/>
              <w:rPr>
                <w:rFonts w:hint="eastAsia" w:cs="Times New Roman"/>
                <w:b w:val="0"/>
                <w:bCs w:val="0"/>
                <w:color w:val="333333"/>
                <w:kern w:val="0"/>
                <w:sz w:val="24"/>
                <w:szCs w:val="24"/>
                <w:highlight w:val="none"/>
                <w:lang w:val="en-US" w:eastAsia="zh-CN" w:bidi="ar"/>
              </w:rPr>
            </w:pPr>
            <w:r>
              <w:rPr>
                <w:rFonts w:ascii="宋体" w:hAnsi="宋体" w:eastAsia="宋体" w:cs="宋体"/>
                <w:sz w:val="24"/>
                <w:szCs w:val="24"/>
              </w:rPr>
              <w:t>第三条 工程选址选线、施工布置原则上不占用自然保护区、风景名胜区、世界文化和自然遗产地以及其他生态保护红线等环境敏感区中法律法规禁止占用的区域，并与饮用水水源保护区的保护要求相协调。法律法规、政策另有规定的从其规定。</w:t>
            </w:r>
          </w:p>
          <w:p>
            <w:pPr>
              <w:numPr>
                <w:ilvl w:val="0"/>
                <w:numId w:val="0"/>
              </w:numPr>
              <w:adjustRightInd w:val="0"/>
              <w:snapToGrid w:val="0"/>
              <w:spacing w:line="360" w:lineRule="auto"/>
              <w:ind w:firstLine="480" w:firstLineChars="200"/>
              <w:rPr>
                <w:rFonts w:hint="eastAsia"/>
                <w:highlight w:val="none"/>
                <w:lang w:val="en-US" w:eastAsia="zh-CN"/>
              </w:rPr>
            </w:pPr>
            <w:r>
              <w:rPr>
                <w:rFonts w:hint="eastAsia"/>
                <w:highlight w:val="none"/>
              </w:rPr>
              <w:t>本项</w:t>
            </w:r>
            <w:r>
              <w:rPr>
                <w:rFonts w:hint="eastAsia" w:ascii="宋体" w:hAnsi="宋体" w:eastAsia="宋体" w:cs="宋体"/>
                <w:sz w:val="24"/>
                <w:szCs w:val="24"/>
                <w:highlight w:val="none"/>
              </w:rPr>
              <w:t>目</w:t>
            </w:r>
            <w:r>
              <w:rPr>
                <w:rFonts w:hint="eastAsia" w:hAnsi="宋体"/>
                <w:b w:val="0"/>
                <w:bCs/>
                <w:color w:val="000000"/>
                <w:lang w:val="en-US" w:eastAsia="zh-CN"/>
              </w:rPr>
              <w:t>位于</w:t>
            </w:r>
            <w:r>
              <w:rPr>
                <w:rFonts w:hint="default" w:hAnsi="宋体"/>
                <w:b w:val="0"/>
                <w:bCs/>
                <w:color w:val="000000"/>
                <w:lang w:val="en-US" w:eastAsia="zh-CN"/>
              </w:rPr>
              <w:t>白杨河五圣宫水文站至S303省道29.15km范围的河段</w:t>
            </w:r>
            <w:r>
              <w:rPr>
                <w:rFonts w:hint="eastAsia" w:hAnsi="宋体"/>
                <w:b w:val="0"/>
                <w:bCs/>
                <w:color w:val="000000"/>
                <w:lang w:val="en-US" w:eastAsia="zh-CN"/>
              </w:rPr>
              <w:t>，</w:t>
            </w:r>
            <w:r>
              <w:rPr>
                <w:rFonts w:hint="eastAsia"/>
                <w:highlight w:val="none"/>
              </w:rPr>
              <w:t>工程选址选线不占用自然保护区、风景名胜区、世界文化和自然遗产地以及其他生态保护红线等环境敏感区中法律法规禁止占用的区域，不涉及饮用水水源保护区</w:t>
            </w:r>
            <w:r>
              <w:rPr>
                <w:rFonts w:hint="eastAsia"/>
                <w:highlight w:val="none"/>
                <w:lang w:eastAsia="zh-CN"/>
              </w:rPr>
              <w:t>，</w:t>
            </w:r>
            <w:r>
              <w:rPr>
                <w:rFonts w:hint="eastAsia" w:ascii="Times New Roman" w:hAnsi="Times New Roman" w:eastAsia="宋体" w:cs="Times New Roman"/>
                <w:b w:val="0"/>
                <w:bCs w:val="0"/>
                <w:color w:val="333333"/>
                <w:kern w:val="0"/>
                <w:sz w:val="24"/>
                <w:szCs w:val="24"/>
                <w:highlight w:val="none"/>
                <w:lang w:val="en-US" w:eastAsia="zh-CN" w:bidi="ar"/>
              </w:rPr>
              <w:t>与第三条中的相关内容相符。</w:t>
            </w:r>
          </w:p>
          <w:p>
            <w:pPr>
              <w:rPr>
                <w:rFonts w:hint="eastAsia" w:ascii="宋体" w:hAnsi="宋体" w:eastAsia="宋体" w:cs="宋体"/>
                <w:sz w:val="24"/>
                <w:szCs w:val="24"/>
                <w:lang w:val="en-US" w:eastAsia="zh-CN"/>
              </w:rPr>
            </w:pPr>
            <w:r>
              <w:rPr>
                <w:rFonts w:ascii="宋体" w:hAnsi="宋体" w:eastAsia="宋体" w:cs="宋体"/>
                <w:sz w:val="24"/>
                <w:szCs w:val="24"/>
              </w:rPr>
              <w:t>第七条 项目施工组织方案具有环境合理性，对料场、弃土（渣）场等施工场地提出了水土流失防治和生态修复等措施。根据环境保护相关标准和要求，对施工期各类废（污）水、扬尘、废气、噪声、固体废物等提出了防治或处置措施。其中涉水施工对鱼类等水生生物及其重要生境造成不利影响的，提出了避让、施工方案优化、控制施工噪声等措施。</w:t>
            </w:r>
          </w:p>
          <w:p>
            <w:pPr>
              <w:rPr>
                <w:rFonts w:hint="default" w:ascii="宋体" w:hAnsi="宋体" w:cs="宋体"/>
                <w:sz w:val="24"/>
                <w:szCs w:val="24"/>
                <w:lang w:val="en-US" w:eastAsia="zh-CN"/>
              </w:rPr>
            </w:pPr>
            <w:r>
              <w:rPr>
                <w:rFonts w:ascii="宋体" w:hAnsi="宋体" w:eastAsia="宋体" w:cs="宋体"/>
                <w:sz w:val="24"/>
                <w:szCs w:val="24"/>
              </w:rPr>
              <w:t>本工程不设置专用取土（石、料）场，工程建设所需的砂、石、级配碎石等材料，项目区所需的混凝土骨料从吉木萨尔县的砂石料场购买获得，</w:t>
            </w:r>
            <w:r>
              <w:rPr>
                <w:rFonts w:hint="eastAsia" w:ascii="宋体" w:hAnsi="宋体" w:cs="宋体"/>
                <w:sz w:val="24"/>
                <w:szCs w:val="24"/>
                <w:lang w:val="en-US" w:eastAsia="zh-CN"/>
              </w:rPr>
              <w:t>施工期提出了相应的水土流失防治措施，施工期结束后对施工区域按照水土保持方案中的相关要求进行生态恢复措施；施工过程中对废气、废水、固废、噪声等污染提出了合理的污染防治措施；施工过程中对水生生态提出了</w:t>
            </w:r>
            <w:r>
              <w:rPr>
                <w:rFonts w:ascii="宋体" w:hAnsi="宋体" w:eastAsia="宋体" w:cs="宋体"/>
                <w:sz w:val="24"/>
                <w:szCs w:val="24"/>
              </w:rPr>
              <w:t>避让、施工方案</w:t>
            </w:r>
            <w:r>
              <w:rPr>
                <w:rFonts w:hint="eastAsia" w:ascii="宋体" w:hAnsi="宋体" w:cs="宋体"/>
                <w:sz w:val="24"/>
                <w:szCs w:val="24"/>
                <w:lang w:val="en-US" w:eastAsia="zh-CN"/>
              </w:rPr>
              <w:t>优化、施工安排在枯水期、</w:t>
            </w:r>
            <w:r>
              <w:rPr>
                <w:rFonts w:hint="default" w:ascii="宋体" w:hAnsi="宋体" w:cs="宋体"/>
                <w:sz w:val="24"/>
                <w:szCs w:val="24"/>
                <w:lang w:val="en-US" w:eastAsia="zh-CN"/>
              </w:rPr>
              <w:t>避开各个鱼类的产卵期、洄游期及特别保护期</w:t>
            </w:r>
            <w:r>
              <w:rPr>
                <w:rFonts w:hint="eastAsia" w:ascii="宋体" w:hAnsi="宋体" w:cs="宋体"/>
                <w:sz w:val="24"/>
                <w:szCs w:val="24"/>
                <w:lang w:val="en-US" w:eastAsia="zh-CN"/>
              </w:rPr>
              <w:t>等相关措施。</w:t>
            </w:r>
          </w:p>
          <w:p>
            <w:pPr>
              <w:rPr>
                <w:rFonts w:hint="eastAsia" w:ascii="宋体" w:hAnsi="宋体" w:cs="宋体"/>
                <w:sz w:val="24"/>
                <w:szCs w:val="24"/>
                <w:lang w:val="en-US" w:eastAsia="zh-CN"/>
              </w:rPr>
            </w:pPr>
            <w:r>
              <w:rPr>
                <w:rFonts w:hint="eastAsia" w:ascii="宋体" w:hAnsi="宋体" w:cs="宋体"/>
                <w:sz w:val="24"/>
                <w:szCs w:val="24"/>
                <w:lang w:val="en-US" w:eastAsia="zh-CN"/>
              </w:rPr>
              <w:t>第十条 改、扩建项目在全面梳理了与项目有关的现有工程环境问题基础上，提出了与项目相适应的“以新带老”措施。</w:t>
            </w:r>
          </w:p>
          <w:p>
            <w:pPr>
              <w:rPr>
                <w:rFonts w:hint="default"/>
                <w:lang w:val="en-US" w:eastAsia="zh-CN"/>
              </w:rPr>
            </w:pPr>
            <w:r>
              <w:rPr>
                <w:rFonts w:hint="eastAsia" w:ascii="宋体" w:hAnsi="宋体" w:cs="宋体"/>
                <w:sz w:val="24"/>
                <w:szCs w:val="24"/>
                <w:lang w:val="en-US" w:eastAsia="zh-CN"/>
              </w:rPr>
              <w:t>本项目为改建项目，在原有老旧河道上的基础上进行改造，对桩号0+000～1+880（五圣宫水文站）段、4+100～21+900（白杨河水库至林区公路）段和26+750～29+160（魏家村至S303省道）段需保护村庄和农田的22.09km河道进行治理，</w:t>
            </w:r>
            <w:r>
              <w:rPr>
                <w:rFonts w:hint="default" w:ascii="宋体" w:hAnsi="宋体" w:cs="宋体"/>
                <w:sz w:val="24"/>
                <w:szCs w:val="24"/>
                <w:lang w:val="en-US" w:eastAsia="zh-CN"/>
              </w:rPr>
              <w:t>在白杨河河道修建22.09km的堤防工程，其中2.41km河道为双侧护砌，其余19.68km河道为单侧护砌，使其防洪标准达到10年一遇，</w:t>
            </w:r>
            <w:r>
              <w:rPr>
                <w:rFonts w:hint="eastAsia" w:ascii="宋体" w:hAnsi="宋体" w:cs="宋体"/>
                <w:sz w:val="24"/>
                <w:szCs w:val="24"/>
                <w:lang w:val="en-US" w:eastAsia="zh-CN"/>
              </w:rPr>
              <w:t>确保沿岸村庄、农田及交通安全</w:t>
            </w:r>
            <w:r>
              <w:rPr>
                <w:rFonts w:hint="eastAsia" w:cs="Times New Roman"/>
                <w:b w:val="0"/>
                <w:bCs w:val="0"/>
                <w:color w:val="000000"/>
                <w:kern w:val="0"/>
                <w:sz w:val="24"/>
                <w:szCs w:val="24"/>
                <w:lang w:val="en-US" w:eastAsia="zh-CN" w:bidi="ar-SA"/>
              </w:rPr>
              <w:t>。</w:t>
            </w:r>
          </w:p>
          <w:p>
            <w:pPr>
              <w:numPr>
                <w:ilvl w:val="0"/>
                <w:numId w:val="0"/>
              </w:numPr>
              <w:adjustRightInd w:val="0"/>
              <w:snapToGrid w:val="0"/>
              <w:spacing w:line="360" w:lineRule="auto"/>
              <w:ind w:firstLine="480" w:firstLineChars="200"/>
              <w:rPr>
                <w:rFonts w:hint="eastAsia" w:eastAsia="宋体"/>
                <w:highlight w:val="none"/>
                <w:lang w:val="en-US" w:eastAsia="zh-CN"/>
              </w:rPr>
            </w:pPr>
            <w:r>
              <w:rPr>
                <w:rFonts w:hint="eastAsia"/>
                <w:highlight w:val="none"/>
                <w:lang w:val="en-US" w:eastAsia="zh-CN"/>
              </w:rPr>
              <w:t>本项目的建设与</w:t>
            </w:r>
            <w:r>
              <w:rPr>
                <w:rFonts w:hint="eastAsia" w:ascii="Times New Roman" w:hAnsi="Times New Roman" w:eastAsia="宋体" w:cs="Times New Roman"/>
                <w:b w:val="0"/>
                <w:bCs w:val="0"/>
                <w:kern w:val="2"/>
                <w:sz w:val="24"/>
                <w:szCs w:val="24"/>
                <w:highlight w:val="none"/>
                <w:lang w:val="en-US" w:eastAsia="zh-CN" w:bidi="ar"/>
              </w:rPr>
              <w:t>《水利建设项目（河湖整治与防洪除涝工程）环境影响评价文件审批原则（试行）》（环办环评〔2018〕2号）</w:t>
            </w:r>
            <w:r>
              <w:rPr>
                <w:rFonts w:hint="eastAsia" w:cs="Times New Roman"/>
                <w:b w:val="0"/>
                <w:bCs w:val="0"/>
                <w:kern w:val="2"/>
                <w:sz w:val="24"/>
                <w:szCs w:val="24"/>
                <w:highlight w:val="none"/>
                <w:lang w:val="en-US" w:eastAsia="zh-CN" w:bidi="ar"/>
              </w:rPr>
              <w:t>相符。</w:t>
            </w:r>
          </w:p>
          <w:p>
            <w:pPr>
              <w:numPr>
                <w:ilvl w:val="0"/>
                <w:numId w:val="0"/>
              </w:numPr>
              <w:adjustRightInd w:val="0"/>
              <w:snapToGrid w:val="0"/>
              <w:spacing w:line="360" w:lineRule="auto"/>
              <w:ind w:firstLine="0" w:firstLineChars="0"/>
              <w:rPr>
                <w:rFonts w:hint="eastAsia"/>
                <w:b/>
                <w:bCs/>
                <w:color w:val="333333"/>
                <w:kern w:val="0"/>
                <w:lang w:bidi="ar"/>
              </w:rPr>
            </w:pPr>
            <w:r>
              <w:rPr>
                <w:rFonts w:hint="eastAsia"/>
                <w:b/>
                <w:bCs/>
                <w:color w:val="333333"/>
                <w:kern w:val="0"/>
                <w:lang w:val="en-US" w:eastAsia="zh-CN" w:bidi="ar"/>
              </w:rPr>
              <w:t>15、</w:t>
            </w:r>
            <w:r>
              <w:rPr>
                <w:rFonts w:hint="eastAsia"/>
                <w:b/>
                <w:bCs/>
                <w:color w:val="333333"/>
                <w:kern w:val="0"/>
                <w:lang w:bidi="ar"/>
              </w:rPr>
              <w:t>与</w:t>
            </w:r>
            <w:r>
              <w:rPr>
                <w:rFonts w:hint="eastAsia" w:ascii="Times New Roman" w:hAnsi="Times New Roman" w:eastAsia="宋体" w:cs="Times New Roman"/>
                <w:b/>
                <w:bCs/>
                <w:color w:val="333333"/>
                <w:kern w:val="0"/>
                <w:sz w:val="24"/>
                <w:szCs w:val="24"/>
                <w:lang w:val="en-US" w:eastAsia="zh-CN" w:bidi="ar"/>
              </w:rPr>
              <w:t>《国务院关于切实加强中小河流治理和山洪地质灾害防治的若干意见》</w:t>
            </w:r>
            <w:r>
              <w:rPr>
                <w:rFonts w:hint="eastAsia"/>
                <w:b/>
                <w:bCs/>
                <w:color w:val="333333"/>
                <w:kern w:val="0"/>
                <w:lang w:bidi="ar"/>
              </w:rPr>
              <w:t>的符合性分析</w:t>
            </w:r>
          </w:p>
          <w:p>
            <w:pPr>
              <w:numPr>
                <w:ilvl w:val="0"/>
                <w:numId w:val="0"/>
              </w:numPr>
              <w:adjustRightInd w:val="0"/>
              <w:snapToGrid w:val="0"/>
              <w:spacing w:line="360" w:lineRule="auto"/>
              <w:ind w:firstLine="480" w:firstLineChars="200"/>
              <w:rPr>
                <w:rFonts w:hint="eastAsia" w:ascii="Times New Roman" w:hAnsi="Times New Roman" w:eastAsia="宋体" w:cs="Times New Roman"/>
                <w:b w:val="0"/>
                <w:bCs w:val="0"/>
                <w:color w:val="000000"/>
                <w:kern w:val="0"/>
                <w:sz w:val="24"/>
                <w:szCs w:val="24"/>
                <w:lang w:val="en-US" w:eastAsia="zh-CN" w:bidi="ar-SA"/>
              </w:rPr>
            </w:pPr>
            <w:r>
              <w:rPr>
                <w:rFonts w:hint="eastAsia" w:ascii="Times New Roman" w:hAnsi="Times New Roman" w:eastAsia="宋体" w:cs="Times New Roman"/>
                <w:b w:val="0"/>
                <w:bCs w:val="0"/>
                <w:color w:val="000000"/>
                <w:kern w:val="0"/>
                <w:sz w:val="24"/>
                <w:szCs w:val="24"/>
                <w:lang w:val="en-US" w:eastAsia="zh-CN" w:bidi="ar-SA"/>
              </w:rPr>
              <w:t>根据《国务院关于切实加强中小河流治理和山洪地质灾害防治的若干意见》中“二</w:t>
            </w:r>
            <w:r>
              <w:rPr>
                <w:rFonts w:hint="default" w:ascii="Times New Roman" w:hAnsi="Times New Roman" w:eastAsia="宋体" w:cs="Times New Roman"/>
                <w:b w:val="0"/>
                <w:bCs w:val="0"/>
                <w:color w:val="000000"/>
                <w:kern w:val="0"/>
                <w:sz w:val="24"/>
                <w:szCs w:val="24"/>
                <w:lang w:val="en-US" w:eastAsia="zh-CN" w:bidi="ar-SA"/>
              </w:rPr>
              <w:t>、加快中小河流治理和中小水库除险加固：加大堤防建设和河道整治力度</w:t>
            </w:r>
            <w:r>
              <w:rPr>
                <w:rFonts w:hint="eastAsia" w:ascii="Times New Roman" w:hAnsi="Times New Roman" w:eastAsia="宋体" w:cs="Times New Roman"/>
                <w:b w:val="0"/>
                <w:bCs w:val="0"/>
                <w:color w:val="000000"/>
                <w:kern w:val="0"/>
                <w:sz w:val="24"/>
                <w:szCs w:val="24"/>
                <w:lang w:val="en-US" w:eastAsia="zh-CN" w:bidi="ar-SA"/>
              </w:rPr>
              <w:t>，</w:t>
            </w:r>
            <w:r>
              <w:rPr>
                <w:rFonts w:hint="default" w:ascii="Times New Roman" w:hAnsi="Times New Roman" w:eastAsia="宋体" w:cs="Times New Roman"/>
                <w:b w:val="0"/>
                <w:bCs w:val="0"/>
                <w:color w:val="000000"/>
                <w:kern w:val="0"/>
                <w:sz w:val="24"/>
                <w:szCs w:val="24"/>
                <w:lang w:val="en-US" w:eastAsia="zh-CN" w:bidi="ar-SA"/>
              </w:rPr>
              <w:t>统筹协调上下游、干支流、区域和流域的关系，优先治理洪涝灾害易发、保护区人口密集、保护对象重要的河流及河段</w:t>
            </w:r>
            <w:r>
              <w:rPr>
                <w:rFonts w:hint="eastAsia" w:ascii="Times New Roman" w:hAnsi="Times New Roman" w:eastAsia="宋体" w:cs="Times New Roman"/>
                <w:b w:val="0"/>
                <w:bCs w:val="0"/>
                <w:color w:val="000000"/>
                <w:kern w:val="0"/>
                <w:sz w:val="24"/>
                <w:szCs w:val="24"/>
                <w:lang w:val="en-US" w:eastAsia="zh-CN" w:bidi="ar-SA"/>
              </w:rPr>
              <w:t>，</w:t>
            </w:r>
            <w:r>
              <w:rPr>
                <w:rFonts w:hint="default" w:ascii="Times New Roman" w:hAnsi="Times New Roman" w:eastAsia="宋体" w:cs="Times New Roman"/>
                <w:b w:val="0"/>
                <w:bCs w:val="0"/>
                <w:color w:val="000000"/>
                <w:kern w:val="0"/>
                <w:sz w:val="24"/>
                <w:szCs w:val="24"/>
                <w:lang w:val="en-US" w:eastAsia="zh-CN" w:bidi="ar-SA"/>
              </w:rPr>
              <w:t>力争用5年时间，基本完成流域面积200平方公里以上有防洪任务的重点中小河流</w:t>
            </w:r>
            <w:r>
              <w:rPr>
                <w:rFonts w:hint="eastAsia" w:ascii="Times New Roman" w:hAnsi="Times New Roman" w:eastAsia="宋体" w:cs="Times New Roman"/>
                <w:b w:val="0"/>
                <w:bCs w:val="0"/>
                <w:color w:val="000000"/>
                <w:kern w:val="0"/>
                <w:sz w:val="24"/>
                <w:szCs w:val="24"/>
                <w:lang w:val="en-US" w:eastAsia="zh-CN" w:bidi="ar-SA"/>
              </w:rPr>
              <w:t>（</w:t>
            </w:r>
            <w:r>
              <w:rPr>
                <w:rFonts w:hint="default" w:ascii="Times New Roman" w:hAnsi="Times New Roman" w:eastAsia="宋体" w:cs="Times New Roman"/>
                <w:b w:val="0"/>
                <w:bCs w:val="0"/>
                <w:color w:val="000000"/>
                <w:kern w:val="0"/>
                <w:sz w:val="24"/>
                <w:szCs w:val="24"/>
                <w:lang w:val="en-US" w:eastAsia="zh-CN" w:bidi="ar-SA"/>
              </w:rPr>
              <w:t>包括大江大河支流、独流入海河流和内陆河流</w:t>
            </w:r>
            <w:r>
              <w:rPr>
                <w:rFonts w:hint="eastAsia" w:ascii="Times New Roman" w:hAnsi="Times New Roman" w:eastAsia="宋体" w:cs="Times New Roman"/>
                <w:b w:val="0"/>
                <w:bCs w:val="0"/>
                <w:color w:val="000000"/>
                <w:kern w:val="0"/>
                <w:sz w:val="24"/>
                <w:szCs w:val="24"/>
                <w:lang w:val="en-US" w:eastAsia="zh-CN" w:bidi="ar-SA"/>
              </w:rPr>
              <w:t>）</w:t>
            </w:r>
            <w:r>
              <w:rPr>
                <w:rFonts w:hint="default" w:ascii="Times New Roman" w:hAnsi="Times New Roman" w:eastAsia="宋体" w:cs="Times New Roman"/>
                <w:b w:val="0"/>
                <w:bCs w:val="0"/>
                <w:color w:val="000000"/>
                <w:kern w:val="0"/>
                <w:sz w:val="24"/>
                <w:szCs w:val="24"/>
                <w:lang w:val="en-US" w:eastAsia="zh-CN" w:bidi="ar-SA"/>
              </w:rPr>
              <w:t>治理，使治理河段基本达到国家确定的防洪标准</w:t>
            </w:r>
            <w:r>
              <w:rPr>
                <w:rFonts w:hint="eastAsia" w:ascii="Times New Roman" w:hAnsi="Times New Roman" w:eastAsia="宋体" w:cs="Times New Roman"/>
                <w:b w:val="0"/>
                <w:bCs w:val="0"/>
                <w:color w:val="000000"/>
                <w:kern w:val="0"/>
                <w:sz w:val="24"/>
                <w:szCs w:val="24"/>
                <w:lang w:val="en-US" w:eastAsia="zh-CN" w:bidi="ar-SA"/>
              </w:rPr>
              <w:t>，</w:t>
            </w:r>
            <w:r>
              <w:rPr>
                <w:rFonts w:hint="default" w:ascii="Times New Roman" w:hAnsi="Times New Roman" w:eastAsia="宋体" w:cs="Times New Roman"/>
                <w:b w:val="0"/>
                <w:bCs w:val="0"/>
                <w:color w:val="000000"/>
                <w:kern w:val="0"/>
                <w:sz w:val="24"/>
                <w:szCs w:val="24"/>
                <w:lang w:val="en-US" w:eastAsia="zh-CN" w:bidi="ar-SA"/>
              </w:rPr>
              <w:t>要按照流域防洪规划和有关规程规范，合理确定中小河流的防洪标准、治理范围和建设规模</w:t>
            </w:r>
            <w:r>
              <w:rPr>
                <w:rFonts w:hint="eastAsia" w:ascii="Times New Roman" w:hAnsi="Times New Roman" w:eastAsia="宋体" w:cs="Times New Roman"/>
                <w:b w:val="0"/>
                <w:bCs w:val="0"/>
                <w:color w:val="000000"/>
                <w:kern w:val="0"/>
                <w:sz w:val="24"/>
                <w:szCs w:val="24"/>
                <w:lang w:val="en-US" w:eastAsia="zh-CN" w:bidi="ar-SA"/>
              </w:rPr>
              <w:t>，</w:t>
            </w:r>
            <w:r>
              <w:rPr>
                <w:rFonts w:hint="default" w:ascii="Times New Roman" w:hAnsi="Times New Roman" w:eastAsia="宋体" w:cs="Times New Roman"/>
                <w:b w:val="0"/>
                <w:bCs w:val="0"/>
                <w:color w:val="000000"/>
                <w:kern w:val="0"/>
                <w:sz w:val="24"/>
                <w:szCs w:val="24"/>
                <w:lang w:val="en-US" w:eastAsia="zh-CN" w:bidi="ar-SA"/>
              </w:rPr>
              <w:t>针对中小河流的不同情况，科学设防、因势利导，因地制宜地采取加高加固和新建堤防、河道疏浚、河势控制、护岸护坡等措施，有计划、有步骤地推进工程建设。</w:t>
            </w:r>
          </w:p>
          <w:p>
            <w:pPr>
              <w:numPr>
                <w:ilvl w:val="0"/>
                <w:numId w:val="0"/>
              </w:numPr>
              <w:adjustRightInd w:val="0"/>
              <w:snapToGrid w:val="0"/>
              <w:spacing w:line="360" w:lineRule="auto"/>
              <w:ind w:firstLine="480" w:firstLineChars="200"/>
              <w:rPr>
                <w:rFonts w:hint="eastAsia" w:ascii="Times New Roman" w:hAnsi="Times New Roman" w:eastAsia="宋体" w:cs="Times New Roman"/>
                <w:b w:val="0"/>
                <w:bCs w:val="0"/>
                <w:color w:val="000000"/>
                <w:kern w:val="0"/>
                <w:sz w:val="24"/>
                <w:szCs w:val="24"/>
                <w:lang w:val="en-US" w:eastAsia="zh-CN" w:bidi="ar-SA"/>
              </w:rPr>
            </w:pPr>
            <w:r>
              <w:rPr>
                <w:rFonts w:hint="default" w:ascii="Times New Roman" w:hAnsi="Times New Roman" w:eastAsia="宋体" w:cs="Times New Roman"/>
                <w:b w:val="0"/>
                <w:bCs w:val="0"/>
                <w:color w:val="000000"/>
                <w:kern w:val="0"/>
                <w:sz w:val="24"/>
                <w:szCs w:val="24"/>
                <w:lang w:val="en-US" w:eastAsia="zh-CN" w:bidi="ar-SA"/>
              </w:rPr>
              <w:t>本</w:t>
            </w:r>
            <w:r>
              <w:rPr>
                <w:rFonts w:hint="eastAsia" w:ascii="Times New Roman" w:hAnsi="Times New Roman" w:eastAsia="宋体" w:cs="Times New Roman"/>
                <w:b w:val="0"/>
                <w:bCs w:val="0"/>
                <w:color w:val="000000"/>
                <w:kern w:val="0"/>
                <w:sz w:val="24"/>
                <w:szCs w:val="24"/>
                <w:lang w:val="en-US" w:eastAsia="zh-CN" w:bidi="ar-SA"/>
              </w:rPr>
              <w:t>项目为</w:t>
            </w:r>
            <w:r>
              <w:rPr>
                <w:rFonts w:hint="default" w:ascii="Times New Roman" w:hAnsi="Times New Roman" w:eastAsia="宋体" w:cs="Times New Roman"/>
                <w:b w:val="0"/>
                <w:bCs w:val="0"/>
                <w:color w:val="000000"/>
                <w:kern w:val="0"/>
                <w:sz w:val="24"/>
                <w:szCs w:val="24"/>
                <w:lang w:val="en-US" w:eastAsia="zh-CN" w:bidi="ar-SA"/>
              </w:rPr>
              <w:t>中小河流治理工程</w:t>
            </w:r>
            <w:r>
              <w:rPr>
                <w:rFonts w:hint="eastAsia" w:ascii="Times New Roman" w:hAnsi="Times New Roman" w:eastAsia="宋体" w:cs="Times New Roman"/>
                <w:b w:val="0"/>
                <w:bCs w:val="0"/>
                <w:color w:val="000000"/>
                <w:kern w:val="0"/>
                <w:sz w:val="24"/>
                <w:szCs w:val="24"/>
                <w:lang w:val="en-US" w:eastAsia="zh-CN" w:bidi="ar-SA"/>
              </w:rPr>
              <w:t>，工程任务：“</w:t>
            </w:r>
            <w:r>
              <w:rPr>
                <w:rFonts w:hint="default" w:ascii="Times New Roman" w:hAnsi="Times New Roman" w:eastAsia="宋体" w:cs="Times New Roman"/>
                <w:b w:val="0"/>
                <w:bCs w:val="0"/>
                <w:color w:val="000000"/>
                <w:kern w:val="0"/>
                <w:sz w:val="24"/>
                <w:szCs w:val="24"/>
                <w:lang w:val="en-US" w:eastAsia="zh-CN" w:bidi="ar-SA"/>
              </w:rPr>
              <w:t>以保障行洪通道的畅通和保障河道正常行洪能力为根本任务，急需</w:t>
            </w:r>
            <w:r>
              <w:rPr>
                <w:rFonts w:hint="eastAsia" w:ascii="Times New Roman" w:hAnsi="Times New Roman" w:eastAsia="宋体" w:cs="Times New Roman"/>
                <w:b w:val="0"/>
                <w:bCs w:val="0"/>
                <w:color w:val="000000"/>
                <w:kern w:val="0"/>
                <w:sz w:val="24"/>
                <w:szCs w:val="24"/>
                <w:lang w:val="en-US" w:eastAsia="zh-CN" w:bidi="ar-SA"/>
              </w:rPr>
              <w:t>对桩号0+000～1+880（五圣宫水文站）段、4+100～21+900（白杨河水库至林区公路）段和26+750～29+160（魏家村至S303省道）段需保护村庄和农田的22.09km河道进行治理，对该段河道进行防治，确保沿岸村庄、农田及交通安全”，本项目的建设与《国务院关于切实加强中小河流治理和山洪地质灾害防治的若干意见》相符。</w:t>
            </w:r>
          </w:p>
          <w:p>
            <w:pPr>
              <w:numPr>
                <w:ilvl w:val="0"/>
                <w:numId w:val="0"/>
              </w:numPr>
              <w:adjustRightInd w:val="0"/>
              <w:snapToGrid w:val="0"/>
              <w:spacing w:line="360" w:lineRule="auto"/>
              <w:rPr>
                <w:rFonts w:hint="eastAsia" w:ascii="Times New Roman" w:hAnsi="Times New Roman" w:eastAsia="宋体" w:cs="Times New Roman"/>
                <w:b/>
                <w:bCs/>
                <w:color w:val="000000"/>
                <w:kern w:val="0"/>
                <w:sz w:val="24"/>
                <w:szCs w:val="24"/>
                <w:highlight w:val="none"/>
                <w:lang w:val="en-US" w:eastAsia="zh-CN" w:bidi="ar-SA"/>
              </w:rPr>
            </w:pPr>
            <w:r>
              <w:rPr>
                <w:rFonts w:hint="eastAsia" w:ascii="Times New Roman" w:hAnsi="Times New Roman" w:eastAsia="宋体" w:cs="Times New Roman"/>
                <w:b/>
                <w:bCs/>
                <w:color w:val="000000"/>
                <w:kern w:val="0"/>
                <w:sz w:val="24"/>
                <w:szCs w:val="24"/>
                <w:highlight w:val="none"/>
                <w:lang w:val="en-US" w:eastAsia="zh-CN" w:bidi="ar-SA"/>
              </w:rPr>
              <w:t>16、与</w:t>
            </w:r>
            <w:r>
              <w:rPr>
                <w:rFonts w:hint="default" w:ascii="Times New Roman" w:hAnsi="Times New Roman" w:eastAsia="宋体" w:cs="Times New Roman"/>
                <w:b/>
                <w:bCs/>
                <w:color w:val="000000"/>
                <w:kern w:val="0"/>
                <w:sz w:val="24"/>
                <w:szCs w:val="24"/>
                <w:highlight w:val="none"/>
                <w:lang w:val="en-US" w:eastAsia="zh-CN" w:bidi="ar-SA"/>
              </w:rPr>
              <w:t>《国家级自然公园管理办法（试行）》</w:t>
            </w:r>
            <w:r>
              <w:rPr>
                <w:rFonts w:hint="eastAsia" w:ascii="Times New Roman" w:hAnsi="Times New Roman" w:eastAsia="宋体" w:cs="Times New Roman"/>
                <w:b/>
                <w:bCs/>
                <w:color w:val="000000"/>
                <w:kern w:val="0"/>
                <w:sz w:val="24"/>
                <w:szCs w:val="24"/>
                <w:highlight w:val="none"/>
                <w:lang w:val="en-US" w:eastAsia="zh-CN" w:bidi="ar-SA"/>
              </w:rPr>
              <w:t>符合性分析</w:t>
            </w:r>
          </w:p>
          <w:p>
            <w:pPr>
              <w:numPr>
                <w:ilvl w:val="0"/>
                <w:numId w:val="0"/>
              </w:numPr>
              <w:adjustRightInd w:val="0"/>
              <w:snapToGrid w:val="0"/>
              <w:spacing w:line="360" w:lineRule="auto"/>
              <w:ind w:firstLine="480" w:firstLineChars="200"/>
              <w:rPr>
                <w:rFonts w:hint="default" w:ascii="Times New Roman" w:hAnsi="Times New Roman" w:eastAsia="宋体" w:cs="Times New Roman"/>
                <w:b w:val="0"/>
                <w:bCs w:val="0"/>
                <w:color w:val="000000"/>
                <w:kern w:val="0"/>
                <w:sz w:val="24"/>
                <w:szCs w:val="24"/>
                <w:highlight w:val="none"/>
                <w:lang w:val="en-US" w:eastAsia="zh-CN" w:bidi="ar-SA"/>
              </w:rPr>
            </w:pPr>
            <w:r>
              <w:rPr>
                <w:rFonts w:hint="default" w:ascii="Times New Roman" w:hAnsi="Times New Roman" w:eastAsia="宋体" w:cs="Times New Roman"/>
                <w:b w:val="0"/>
                <w:bCs w:val="0"/>
                <w:color w:val="000000"/>
                <w:kern w:val="0"/>
                <w:sz w:val="24"/>
                <w:szCs w:val="24"/>
                <w:lang w:val="en-US" w:eastAsia="zh-CN" w:bidi="ar-SA"/>
              </w:rPr>
              <w:t>《国家级自然公园管理办法（试行）》</w:t>
            </w:r>
            <w:r>
              <w:rPr>
                <w:rFonts w:hint="eastAsia" w:ascii="Times New Roman" w:hAnsi="Times New Roman" w:eastAsia="宋体" w:cs="Times New Roman"/>
                <w:b w:val="0"/>
                <w:bCs w:val="0"/>
                <w:color w:val="000000"/>
                <w:kern w:val="0"/>
                <w:sz w:val="24"/>
                <w:szCs w:val="24"/>
                <w:highlight w:val="none"/>
                <w:lang w:val="en-US" w:eastAsia="zh-CN" w:bidi="ar-SA"/>
              </w:rPr>
              <w:t>中“第十八条 禁止擅自在国家级自然公园内从事采矿、房地产、开发区、高尔夫球场、风力光伏电场等不符合管控要求的开发活动。禁止违规侵占国家级自然公园，排放不符合水污染物排放标准的工业废水、生活污水及其他的废水、污水，倾倒、堆放、丢弃、遗撒固体废物等污染生态环境的行为</w:t>
            </w:r>
            <w:r>
              <w:rPr>
                <w:rFonts w:hint="eastAsia" w:ascii="宋体" w:hAnsi="宋体" w:eastAsia="宋体" w:cs="宋体"/>
                <w:i w:val="0"/>
                <w:iCs w:val="0"/>
                <w:caps w:val="0"/>
                <w:color w:val="333333"/>
                <w:spacing w:val="0"/>
                <w:sz w:val="16"/>
                <w:szCs w:val="16"/>
                <w:shd w:val="clear" w:fill="FFFFFF"/>
              </w:rPr>
              <w:t>。</w:t>
            </w:r>
            <w:r>
              <w:rPr>
                <w:rFonts w:hint="eastAsia" w:ascii="Times New Roman" w:hAnsi="Times New Roman" w:eastAsia="宋体" w:cs="Times New Roman"/>
                <w:b w:val="0"/>
                <w:bCs w:val="0"/>
                <w:color w:val="000000"/>
                <w:kern w:val="0"/>
                <w:sz w:val="24"/>
                <w:szCs w:val="24"/>
                <w:highlight w:val="none"/>
                <w:lang w:val="en-US" w:eastAsia="zh-CN" w:bidi="ar-SA"/>
              </w:rPr>
              <w:t>”</w:t>
            </w:r>
          </w:p>
          <w:p>
            <w:pPr>
              <w:numPr>
                <w:ilvl w:val="0"/>
                <w:numId w:val="0"/>
              </w:numPr>
              <w:adjustRightInd w:val="0"/>
              <w:snapToGrid w:val="0"/>
              <w:spacing w:line="360" w:lineRule="auto"/>
              <w:ind w:firstLine="480" w:firstLineChars="200"/>
              <w:rPr>
                <w:rFonts w:hint="default" w:ascii="Times New Roman" w:hAnsi="Times New Roman" w:eastAsia="宋体" w:cs="Times New Roman"/>
                <w:b w:val="0"/>
                <w:bCs w:val="0"/>
                <w:color w:val="000000"/>
                <w:kern w:val="0"/>
                <w:sz w:val="24"/>
                <w:szCs w:val="24"/>
                <w:highlight w:val="none"/>
                <w:lang w:val="en-US" w:eastAsia="zh-CN" w:bidi="ar-SA"/>
              </w:rPr>
            </w:pPr>
            <w:r>
              <w:rPr>
                <w:rFonts w:hint="eastAsia" w:ascii="Times New Roman" w:hAnsi="Times New Roman" w:eastAsia="宋体" w:cs="Times New Roman"/>
                <w:b w:val="0"/>
                <w:bCs w:val="0"/>
                <w:color w:val="000000"/>
                <w:kern w:val="0"/>
                <w:sz w:val="24"/>
                <w:szCs w:val="24"/>
                <w:highlight w:val="none"/>
                <w:lang w:val="en-US" w:eastAsia="zh-CN" w:bidi="ar-SA"/>
              </w:rPr>
              <w:t>本项目为白杨河河道治理工程，</w:t>
            </w:r>
            <w:r>
              <w:rPr>
                <w:rFonts w:hint="eastAsia" w:cs="Times New Roman"/>
                <w:b w:val="0"/>
                <w:bCs w:val="0"/>
                <w:color w:val="000000"/>
                <w:kern w:val="0"/>
                <w:sz w:val="24"/>
                <w:szCs w:val="24"/>
                <w:highlight w:val="none"/>
                <w:lang w:val="en-US" w:eastAsia="zh-CN" w:bidi="ar-SA"/>
              </w:rPr>
              <w:t>非</w:t>
            </w:r>
            <w:r>
              <w:rPr>
                <w:rFonts w:hint="eastAsia" w:ascii="Times New Roman" w:hAnsi="Times New Roman" w:eastAsia="宋体" w:cs="Times New Roman"/>
                <w:b w:val="0"/>
                <w:bCs w:val="0"/>
                <w:color w:val="000000"/>
                <w:kern w:val="0"/>
                <w:sz w:val="24"/>
                <w:szCs w:val="24"/>
                <w:highlight w:val="none"/>
                <w:lang w:val="en-US" w:eastAsia="zh-CN" w:bidi="ar-SA"/>
              </w:rPr>
              <w:t>采矿、房地产、开发区、高尔夫球场、风力光伏电场等不符合管控要求的开发活动，建设区域不涉及、侵占国家级自然公园；施工过程中产生的商品</w:t>
            </w:r>
            <w:r>
              <w:rPr>
                <w:rFonts w:hint="default" w:ascii="Times New Roman" w:hAnsi="Times New Roman" w:eastAsia="宋体" w:cs="Times New Roman"/>
                <w:b w:val="0"/>
                <w:bCs w:val="0"/>
                <w:color w:val="000000"/>
                <w:kern w:val="0"/>
                <w:sz w:val="24"/>
                <w:szCs w:val="24"/>
                <w:highlight w:val="none"/>
                <w:lang w:val="en-US" w:eastAsia="zh-CN" w:bidi="ar-SA"/>
              </w:rPr>
              <w:t>混凝土</w:t>
            </w:r>
            <w:r>
              <w:rPr>
                <w:rFonts w:hint="eastAsia" w:ascii="Times New Roman" w:hAnsi="Times New Roman" w:eastAsia="宋体" w:cs="Times New Roman"/>
                <w:b w:val="0"/>
                <w:bCs w:val="0"/>
                <w:color w:val="000000"/>
                <w:kern w:val="0"/>
                <w:sz w:val="24"/>
                <w:szCs w:val="24"/>
                <w:highlight w:val="none"/>
                <w:lang w:val="en-US" w:eastAsia="zh-CN" w:bidi="ar-SA"/>
              </w:rPr>
              <w:t>养护废水自然蒸发消耗；产生的生活废水经化粪池收集后由吉木萨尔县环卫部门定期清运处置，施工过程中严禁向白杨河倾倒废水、废渣等污染生态环境的行为</w:t>
            </w:r>
            <w:r>
              <w:rPr>
                <w:rFonts w:hint="eastAsia" w:ascii="宋体" w:hAnsi="宋体" w:eastAsia="宋体" w:cs="宋体"/>
                <w:i w:val="0"/>
                <w:iCs w:val="0"/>
                <w:caps w:val="0"/>
                <w:color w:val="333333"/>
                <w:spacing w:val="0"/>
                <w:sz w:val="16"/>
                <w:szCs w:val="16"/>
                <w:shd w:val="clear" w:fill="FFFFFF"/>
              </w:rPr>
              <w:t>。</w:t>
            </w:r>
          </w:p>
          <w:p>
            <w:pPr>
              <w:numPr>
                <w:ilvl w:val="0"/>
                <w:numId w:val="0"/>
              </w:numPr>
              <w:adjustRightInd w:val="0"/>
              <w:snapToGrid w:val="0"/>
              <w:spacing w:line="360" w:lineRule="auto"/>
              <w:ind w:firstLine="480" w:firstLineChars="200"/>
              <w:rPr>
                <w:rFonts w:hint="default" w:eastAsia="宋体"/>
                <w:lang w:val="en-US" w:eastAsia="zh-CN"/>
              </w:rPr>
            </w:pPr>
          </w:p>
        </w:tc>
      </w:tr>
    </w:tbl>
    <w:p>
      <w:pPr>
        <w:rPr>
          <w:rFonts w:hint="default" w:ascii="Times New Roman" w:hAnsi="Times New Roman" w:eastAsia="宋体" w:cs="Times New Roman"/>
          <w:b/>
          <w:bCs/>
          <w:snapToGrid w:val="0"/>
          <w:color w:val="000000"/>
          <w:sz w:val="30"/>
          <w:szCs w:val="30"/>
        </w:rPr>
      </w:pPr>
      <w:bookmarkStart w:id="2" w:name="_Toc108783486"/>
      <w:r>
        <w:rPr>
          <w:rFonts w:hint="default" w:ascii="Times New Roman" w:hAnsi="Times New Roman" w:eastAsia="宋体" w:cs="Times New Roman"/>
          <w:b/>
          <w:bCs/>
          <w:snapToGrid w:val="0"/>
          <w:color w:val="000000"/>
          <w:sz w:val="30"/>
          <w:szCs w:val="30"/>
        </w:rPr>
        <w:br w:type="page"/>
      </w:r>
    </w:p>
    <w:p>
      <w:pPr>
        <w:pStyle w:val="31"/>
        <w:snapToGrid w:val="0"/>
        <w:spacing w:beforeAutospacing="0" w:afterLines="50" w:afterAutospacing="0" w:line="240" w:lineRule="auto"/>
        <w:ind w:firstLine="0" w:firstLineChars="0"/>
        <w:jc w:val="center"/>
        <w:outlineLvl w:val="0"/>
        <w:rPr>
          <w:rFonts w:hint="default" w:ascii="Times New Roman" w:hAnsi="Times New Roman" w:eastAsia="宋体" w:cs="Times New Roman"/>
          <w:b/>
          <w:bCs/>
          <w:snapToGrid w:val="0"/>
          <w:color w:val="000000"/>
          <w:sz w:val="30"/>
          <w:szCs w:val="30"/>
        </w:rPr>
      </w:pPr>
      <w:r>
        <w:rPr>
          <w:rFonts w:hint="default" w:ascii="Times New Roman" w:hAnsi="Times New Roman" w:eastAsia="宋体" w:cs="Times New Roman"/>
          <w:b/>
          <w:bCs/>
          <w:snapToGrid w:val="0"/>
          <w:color w:val="000000"/>
          <w:sz w:val="30"/>
          <w:szCs w:val="30"/>
        </w:rPr>
        <w:t>二、建设内容</w:t>
      </w:r>
      <w:bookmarkEnd w:id="2"/>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8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5" w:hRule="atLeast"/>
          <w:jc w:val="center"/>
        </w:trPr>
        <w:tc>
          <w:tcPr>
            <w:tcW w:w="791" w:type="dxa"/>
            <w:vAlign w:val="center"/>
          </w:tcPr>
          <w:p>
            <w:pPr>
              <w:adjustRightInd w:val="0"/>
              <w:snapToGrid w:val="0"/>
              <w:spacing w:line="240" w:lineRule="auto"/>
              <w:ind w:firstLine="0" w:firstLineChars="0"/>
              <w:jc w:val="center"/>
              <w:rPr>
                <w:rFonts w:ascii="宋体" w:cs="宋体"/>
                <w:b/>
                <w:color w:val="000000"/>
                <w:kern w:val="0"/>
              </w:rPr>
            </w:pPr>
            <w:r>
              <w:rPr>
                <w:rFonts w:hint="eastAsia" w:ascii="宋体" w:hAnsi="宋体" w:cs="宋体"/>
                <w:b/>
                <w:color w:val="000000"/>
                <w:kern w:val="0"/>
              </w:rPr>
              <w:t>地理位置</w:t>
            </w:r>
          </w:p>
        </w:tc>
        <w:tc>
          <w:tcPr>
            <w:tcW w:w="8063" w:type="dxa"/>
            <w:vAlign w:val="center"/>
          </w:tcPr>
          <w:p>
            <w:pPr>
              <w:keepNext w:val="0"/>
              <w:keepLines w:val="0"/>
              <w:widowControl/>
              <w:suppressLineNumbers w:val="0"/>
              <w:spacing w:line="360" w:lineRule="auto"/>
              <w:ind w:left="0" w:leftChars="0" w:firstLine="480" w:firstLineChars="200"/>
              <w:jc w:val="both"/>
              <w:rPr>
                <w:color w:val="000000"/>
                <w:kern w:val="24"/>
                <w:szCs w:val="24"/>
              </w:rPr>
            </w:pPr>
            <w:r>
              <w:rPr>
                <w:rFonts w:hint="default" w:ascii="Times New Roman" w:hAnsi="Times New Roman" w:eastAsia="宋体" w:cs="Times New Roman"/>
                <w:sz w:val="24"/>
                <w:szCs w:val="24"/>
                <w:highlight w:val="none"/>
                <w:lang w:val="en-US" w:eastAsia="zh-CN"/>
              </w:rPr>
              <w:t>本工程</w:t>
            </w:r>
            <w:r>
              <w:rPr>
                <w:rFonts w:hint="eastAsia" w:ascii="Times New Roman" w:cs="Times New Roman"/>
                <w:sz w:val="24"/>
                <w:szCs w:val="24"/>
                <w:highlight w:val="none"/>
                <w:lang w:val="en-US" w:eastAsia="zh-CN"/>
              </w:rPr>
              <w:t>位于</w:t>
            </w:r>
            <w:r>
              <w:rPr>
                <w:rFonts w:hint="eastAsia" w:cs="Times New Roman"/>
                <w:sz w:val="24"/>
                <w:szCs w:val="24"/>
                <w:highlight w:val="none"/>
                <w:lang w:val="en-US" w:eastAsia="zh-CN"/>
              </w:rPr>
              <w:t>吉木萨尔县</w:t>
            </w:r>
            <w:r>
              <w:rPr>
                <w:rFonts w:hint="default" w:ascii="Times New Roman" w:cs="Times New Roman"/>
                <w:sz w:val="24"/>
                <w:szCs w:val="24"/>
                <w:highlight w:val="none"/>
                <w:lang w:val="en-US" w:eastAsia="zh-CN"/>
              </w:rPr>
              <w:t>白杨河五圣宫水文站至S303省道29.15km范围的河段，</w:t>
            </w:r>
            <w:r>
              <w:rPr>
                <w:rFonts w:hint="eastAsia" w:ascii="Times New Roman" w:cs="Times New Roman"/>
                <w:sz w:val="24"/>
                <w:szCs w:val="24"/>
                <w:highlight w:val="none"/>
                <w:lang w:val="en-US" w:eastAsia="zh-CN"/>
              </w:rPr>
              <w:t>五</w:t>
            </w:r>
            <w:r>
              <w:rPr>
                <w:rFonts w:hint="eastAsia"/>
                <w:snapToGrid w:val="0"/>
                <w:color w:val="000000"/>
                <w:kern w:val="0"/>
                <w:szCs w:val="20"/>
                <w:highlight w:val="none"/>
              </w:rPr>
              <w:t>圣</w:t>
            </w:r>
            <w:r>
              <w:rPr>
                <w:rFonts w:hint="eastAsia" w:ascii="Times New Roman" w:hAnsi="Times New Roman" w:eastAsia="宋体" w:cs="Times New Roman"/>
                <w:sz w:val="24"/>
                <w:szCs w:val="24"/>
                <w:highlight w:val="none"/>
                <w:lang w:eastAsia="zh-CN"/>
              </w:rPr>
              <w:t>宫水文站段</w:t>
            </w:r>
            <w:r>
              <w:rPr>
                <w:rFonts w:hint="default" w:ascii="Times New Roman" w:hAnsi="Times New Roman" w:cs="Times New Roman"/>
                <w:b w:val="0"/>
                <w:bCs/>
                <w:color w:val="000000"/>
              </w:rPr>
              <w:t>（</w:t>
            </w:r>
            <w:r>
              <w:rPr>
                <w:rFonts w:hint="default" w:ascii="Times New Roman" w:hAnsi="Times New Roman" w:eastAsia="宋体" w:cs="Times New Roman"/>
                <w:b w:val="0"/>
                <w:bCs w:val="0"/>
                <w:color w:val="000000"/>
                <w:kern w:val="0"/>
                <w:sz w:val="24"/>
                <w:szCs w:val="24"/>
                <w:lang w:val="en-US" w:eastAsia="zh-CN" w:bidi="ar-SA"/>
              </w:rPr>
              <w:t>0+000～1+880</w:t>
            </w:r>
            <w:r>
              <w:rPr>
                <w:rFonts w:hint="default" w:ascii="Times New Roman" w:hAnsi="Times New Roman" w:cs="Times New Roman"/>
                <w:b w:val="0"/>
                <w:bCs/>
                <w:color w:val="000000"/>
              </w:rPr>
              <w:t>）</w:t>
            </w:r>
            <w:r>
              <w:rPr>
                <w:rFonts w:hint="eastAsia" w:ascii="Times New Roman" w:hAnsi="Times New Roman" w:eastAsia="宋体" w:cs="Times New Roman"/>
                <w:sz w:val="24"/>
                <w:szCs w:val="24"/>
                <w:highlight w:val="none"/>
                <w:lang w:eastAsia="zh-CN"/>
              </w:rPr>
              <w:t>：起点坐标：</w:t>
            </w:r>
            <w:r>
              <w:rPr>
                <w:rFonts w:hint="default" w:ascii="Times New Roman" w:hAnsi="Times New Roman" w:eastAsia="宋体" w:cs="Times New Roman"/>
                <w:sz w:val="24"/>
                <w:szCs w:val="24"/>
                <w:highlight w:val="none"/>
                <w:lang w:eastAsia="zh-CN"/>
              </w:rPr>
              <w:t>东经：</w:t>
            </w:r>
            <w:r>
              <w:rPr>
                <w:rFonts w:hint="eastAsia" w:ascii="Times New Roman" w:hAnsi="Times New Roman" w:eastAsia="宋体" w:cs="Times New Roman"/>
                <w:sz w:val="24"/>
                <w:szCs w:val="24"/>
                <w:highlight w:val="none"/>
                <w:lang w:val="en-US" w:eastAsia="zh-CN"/>
              </w:rPr>
              <w:t>89</w:t>
            </w:r>
            <w:r>
              <w:rPr>
                <w:rFonts w:hint="default" w:ascii="Times New Roman" w:hAnsi="Times New Roman" w:eastAsia="宋体" w:cs="Times New Roman"/>
                <w:sz w:val="24"/>
                <w:szCs w:val="24"/>
                <w:highlight w:val="none"/>
                <w:lang w:val="en-US" w:eastAsia="zh-CN"/>
              </w:rPr>
              <w:t>°</w:t>
            </w:r>
            <w:r>
              <w:rPr>
                <w:rFonts w:hint="eastAsia" w:ascii="Times New Roman" w:hAnsi="Times New Roman" w:eastAsia="宋体" w:cs="Times New Roman"/>
                <w:sz w:val="24"/>
                <w:szCs w:val="24"/>
                <w:highlight w:val="none"/>
                <w:lang w:val="en-US" w:eastAsia="zh-CN"/>
              </w:rPr>
              <w:t>14</w:t>
            </w:r>
            <w:r>
              <w:rPr>
                <w:rFonts w:hint="default" w:ascii="Times New Roman" w:hAnsi="Times New Roman" w:eastAsia="宋体" w:cs="Times New Roman"/>
                <w:sz w:val="24"/>
                <w:szCs w:val="24"/>
                <w:highlight w:val="none"/>
                <w:lang w:val="en-US" w:eastAsia="zh-CN"/>
              </w:rPr>
              <w:t>′</w:t>
            </w:r>
            <w:r>
              <w:rPr>
                <w:rFonts w:hint="eastAsia" w:ascii="Times New Roman" w:hAnsi="Times New Roman" w:eastAsia="宋体" w:cs="Times New Roman"/>
                <w:sz w:val="24"/>
                <w:szCs w:val="24"/>
                <w:highlight w:val="none"/>
                <w:lang w:val="en-US" w:eastAsia="zh-CN"/>
              </w:rPr>
              <w:t>23.348</w:t>
            </w:r>
            <w:r>
              <w:rPr>
                <w:rFonts w:hint="default" w:ascii="Times New Roman" w:hAnsi="Times New Roman" w:eastAsia="宋体" w:cs="Times New Roman"/>
                <w:sz w:val="24"/>
                <w:szCs w:val="24"/>
                <w:highlight w:val="none"/>
                <w:lang w:val="en-US" w:eastAsia="zh-CN"/>
              </w:rPr>
              <w:t>″，北纬</w:t>
            </w:r>
            <w:r>
              <w:rPr>
                <w:rFonts w:hint="eastAsia" w:ascii="Times New Roman" w:hAnsi="Times New Roman" w:eastAsia="宋体" w:cs="Times New Roman"/>
                <w:sz w:val="24"/>
                <w:szCs w:val="24"/>
                <w:highlight w:val="none"/>
                <w:lang w:val="en-US" w:eastAsia="zh-CN"/>
              </w:rPr>
              <w:t>：43</w:t>
            </w:r>
            <w:r>
              <w:rPr>
                <w:rFonts w:hint="default" w:ascii="Times New Roman" w:hAnsi="Times New Roman" w:eastAsia="宋体" w:cs="Times New Roman"/>
                <w:sz w:val="24"/>
                <w:szCs w:val="24"/>
                <w:highlight w:val="none"/>
                <w:lang w:val="en-US" w:eastAsia="zh-CN"/>
              </w:rPr>
              <w:t>°</w:t>
            </w:r>
            <w:r>
              <w:rPr>
                <w:rFonts w:hint="eastAsia" w:ascii="Times New Roman" w:hAnsi="Times New Roman" w:eastAsia="宋体" w:cs="Times New Roman"/>
                <w:sz w:val="24"/>
                <w:szCs w:val="24"/>
                <w:highlight w:val="none"/>
                <w:lang w:val="en-US" w:eastAsia="zh-CN"/>
              </w:rPr>
              <w:t>44</w:t>
            </w:r>
            <w:r>
              <w:rPr>
                <w:rFonts w:hint="default" w:ascii="Times New Roman" w:hAnsi="Times New Roman" w:eastAsia="宋体" w:cs="Times New Roman"/>
                <w:sz w:val="24"/>
                <w:szCs w:val="24"/>
                <w:highlight w:val="none"/>
                <w:lang w:val="en-US" w:eastAsia="zh-CN"/>
              </w:rPr>
              <w:t>′</w:t>
            </w:r>
            <w:r>
              <w:rPr>
                <w:rFonts w:hint="eastAsia" w:ascii="Times New Roman" w:hAnsi="Times New Roman" w:eastAsia="宋体" w:cs="Times New Roman"/>
                <w:sz w:val="24"/>
                <w:szCs w:val="24"/>
                <w:highlight w:val="none"/>
                <w:lang w:val="en-US" w:eastAsia="zh-CN"/>
              </w:rPr>
              <w:t>01.811</w:t>
            </w:r>
            <w:r>
              <w:rPr>
                <w:rFonts w:hint="default" w:ascii="Times New Roman" w:hAnsi="Times New Roman" w:eastAsia="宋体" w:cs="Times New Roman"/>
                <w:sz w:val="24"/>
                <w:szCs w:val="24"/>
                <w:highlight w:val="none"/>
                <w:lang w:val="en-US" w:eastAsia="zh-CN"/>
              </w:rPr>
              <w:t>″</w:t>
            </w:r>
            <w:r>
              <w:rPr>
                <w:rFonts w:hint="eastAsia" w:cs="Times New Roman"/>
                <w:sz w:val="24"/>
                <w:szCs w:val="24"/>
                <w:highlight w:val="none"/>
                <w:lang w:val="en-US" w:eastAsia="zh-CN"/>
              </w:rPr>
              <w:t>，</w:t>
            </w:r>
            <w:r>
              <w:rPr>
                <w:rFonts w:hint="eastAsia" w:ascii="Times New Roman" w:hAnsi="Times New Roman" w:eastAsia="宋体" w:cs="Times New Roman"/>
                <w:sz w:val="24"/>
                <w:szCs w:val="24"/>
                <w:highlight w:val="none"/>
                <w:lang w:val="en-US" w:eastAsia="zh-CN"/>
              </w:rPr>
              <w:t>终点坐标：</w:t>
            </w:r>
            <w:r>
              <w:rPr>
                <w:rFonts w:hint="default" w:ascii="Times New Roman" w:hAnsi="Times New Roman" w:eastAsia="宋体" w:cs="Times New Roman"/>
                <w:sz w:val="24"/>
                <w:szCs w:val="24"/>
                <w:highlight w:val="none"/>
                <w:lang w:eastAsia="zh-CN"/>
              </w:rPr>
              <w:t>东经：</w:t>
            </w:r>
            <w:r>
              <w:rPr>
                <w:rFonts w:hint="eastAsia" w:ascii="Times New Roman" w:hAnsi="Times New Roman" w:eastAsia="宋体" w:cs="Times New Roman"/>
                <w:sz w:val="24"/>
                <w:szCs w:val="24"/>
                <w:highlight w:val="none"/>
                <w:lang w:val="en-US" w:eastAsia="zh-CN"/>
              </w:rPr>
              <w:t>89</w:t>
            </w:r>
            <w:r>
              <w:rPr>
                <w:rFonts w:hint="default" w:ascii="Times New Roman" w:hAnsi="Times New Roman" w:eastAsia="宋体" w:cs="Times New Roman"/>
                <w:sz w:val="24"/>
                <w:szCs w:val="24"/>
                <w:highlight w:val="none"/>
                <w:lang w:val="en-US" w:eastAsia="zh-CN"/>
              </w:rPr>
              <w:t>°</w:t>
            </w:r>
            <w:r>
              <w:rPr>
                <w:rFonts w:hint="eastAsia" w:ascii="Times New Roman" w:hAnsi="Times New Roman" w:eastAsia="宋体" w:cs="Times New Roman"/>
                <w:sz w:val="24"/>
                <w:szCs w:val="24"/>
                <w:highlight w:val="none"/>
                <w:lang w:val="en-US" w:eastAsia="zh-CN"/>
              </w:rPr>
              <w:t>14</w:t>
            </w:r>
            <w:r>
              <w:rPr>
                <w:rFonts w:hint="default" w:ascii="Times New Roman" w:hAnsi="Times New Roman" w:eastAsia="宋体" w:cs="Times New Roman"/>
                <w:sz w:val="24"/>
                <w:szCs w:val="24"/>
                <w:highlight w:val="none"/>
                <w:lang w:val="en-US" w:eastAsia="zh-CN"/>
              </w:rPr>
              <w:t>′</w:t>
            </w:r>
            <w:r>
              <w:rPr>
                <w:rFonts w:hint="eastAsia" w:ascii="Times New Roman" w:hAnsi="Times New Roman" w:eastAsia="宋体" w:cs="Times New Roman"/>
                <w:sz w:val="24"/>
                <w:szCs w:val="24"/>
                <w:highlight w:val="none"/>
                <w:lang w:val="en-US" w:eastAsia="zh-CN"/>
              </w:rPr>
              <w:t>46.696</w:t>
            </w:r>
            <w:r>
              <w:rPr>
                <w:rFonts w:hint="default" w:ascii="Times New Roman" w:hAnsi="Times New Roman" w:eastAsia="宋体" w:cs="Times New Roman"/>
                <w:sz w:val="24"/>
                <w:szCs w:val="24"/>
                <w:highlight w:val="none"/>
                <w:lang w:val="en-US" w:eastAsia="zh-CN"/>
              </w:rPr>
              <w:t>″，北纬</w:t>
            </w:r>
            <w:r>
              <w:rPr>
                <w:rFonts w:hint="eastAsia" w:ascii="Times New Roman" w:hAnsi="Times New Roman" w:eastAsia="宋体" w:cs="Times New Roman"/>
                <w:sz w:val="24"/>
                <w:szCs w:val="24"/>
                <w:highlight w:val="none"/>
                <w:lang w:val="en-US" w:eastAsia="zh-CN"/>
              </w:rPr>
              <w:t>：43</w:t>
            </w:r>
            <w:r>
              <w:rPr>
                <w:rFonts w:hint="default" w:ascii="Times New Roman" w:hAnsi="Times New Roman" w:eastAsia="宋体" w:cs="Times New Roman"/>
                <w:sz w:val="24"/>
                <w:szCs w:val="24"/>
                <w:highlight w:val="none"/>
                <w:lang w:val="en-US" w:eastAsia="zh-CN"/>
              </w:rPr>
              <w:t>°</w:t>
            </w:r>
            <w:r>
              <w:rPr>
                <w:rFonts w:hint="eastAsia" w:ascii="Times New Roman" w:hAnsi="Times New Roman" w:eastAsia="宋体" w:cs="Times New Roman"/>
                <w:sz w:val="24"/>
                <w:szCs w:val="24"/>
                <w:highlight w:val="none"/>
                <w:lang w:val="en-US" w:eastAsia="zh-CN"/>
              </w:rPr>
              <w:t>44</w:t>
            </w:r>
            <w:r>
              <w:rPr>
                <w:rFonts w:hint="default" w:ascii="Times New Roman" w:hAnsi="Times New Roman" w:eastAsia="宋体" w:cs="Times New Roman"/>
                <w:sz w:val="24"/>
                <w:szCs w:val="24"/>
                <w:highlight w:val="none"/>
                <w:lang w:val="en-US" w:eastAsia="zh-CN"/>
              </w:rPr>
              <w:t>′</w:t>
            </w:r>
            <w:r>
              <w:rPr>
                <w:rFonts w:hint="eastAsia" w:ascii="Times New Roman" w:hAnsi="Times New Roman" w:eastAsia="宋体" w:cs="Times New Roman"/>
                <w:sz w:val="24"/>
                <w:szCs w:val="24"/>
                <w:highlight w:val="none"/>
                <w:lang w:val="en-US" w:eastAsia="zh-CN"/>
              </w:rPr>
              <w:t>48.120</w:t>
            </w:r>
            <w:r>
              <w:rPr>
                <w:rFonts w:hint="default" w:ascii="Times New Roman" w:hAnsi="Times New Roman" w:eastAsia="宋体" w:cs="Times New Roman"/>
                <w:sz w:val="24"/>
                <w:szCs w:val="24"/>
                <w:highlight w:val="none"/>
                <w:lang w:val="en-US" w:eastAsia="zh-CN"/>
              </w:rPr>
              <w:t>″</w:t>
            </w:r>
            <w:r>
              <w:rPr>
                <w:rFonts w:hint="eastAsia" w:ascii="Times New Roman" w:hAnsi="Times New Roman" w:eastAsia="宋体" w:cs="Times New Roman"/>
                <w:sz w:val="24"/>
                <w:szCs w:val="24"/>
                <w:highlight w:val="none"/>
                <w:lang w:val="en-US" w:eastAsia="zh-CN"/>
              </w:rPr>
              <w:t>；白杨河水库至林区公路段</w:t>
            </w:r>
            <w:r>
              <w:rPr>
                <w:rFonts w:hint="default" w:ascii="Times New Roman" w:hAnsi="Times New Roman" w:cs="Times New Roman"/>
                <w:b w:val="0"/>
                <w:bCs/>
                <w:color w:val="000000"/>
              </w:rPr>
              <w:t>（</w:t>
            </w:r>
            <w:r>
              <w:rPr>
                <w:rFonts w:hint="default" w:ascii="Times New Roman" w:hAnsi="Times New Roman" w:eastAsia="宋体" w:cs="Times New Roman"/>
                <w:b w:val="0"/>
                <w:bCs w:val="0"/>
                <w:color w:val="000000"/>
                <w:kern w:val="0"/>
                <w:sz w:val="24"/>
                <w:szCs w:val="24"/>
                <w:lang w:val="en-US" w:eastAsia="zh-CN" w:bidi="ar-SA"/>
              </w:rPr>
              <w:t>4+100～21+900</w:t>
            </w:r>
            <w:r>
              <w:rPr>
                <w:rFonts w:hint="default" w:ascii="Times New Roman" w:hAnsi="Times New Roman" w:cs="Times New Roman"/>
                <w:b w:val="0"/>
                <w:bCs/>
                <w:color w:val="000000"/>
              </w:rPr>
              <w:t>）</w:t>
            </w:r>
            <w:r>
              <w:rPr>
                <w:rFonts w:hint="eastAsia" w:ascii="Times New Roman" w:hAnsi="Times New Roman" w:eastAsia="宋体" w:cs="Times New Roman"/>
                <w:sz w:val="24"/>
                <w:szCs w:val="24"/>
                <w:highlight w:val="none"/>
                <w:lang w:val="en-US" w:eastAsia="zh-CN"/>
              </w:rPr>
              <w:t>：起点坐标：</w:t>
            </w:r>
            <w:r>
              <w:rPr>
                <w:rFonts w:hint="default" w:ascii="Times New Roman" w:hAnsi="Times New Roman" w:eastAsia="宋体" w:cs="Times New Roman"/>
                <w:sz w:val="24"/>
                <w:szCs w:val="24"/>
                <w:highlight w:val="none"/>
                <w:lang w:val="en-US" w:eastAsia="zh-CN"/>
              </w:rPr>
              <w:t>东经：</w:t>
            </w:r>
            <w:r>
              <w:rPr>
                <w:rFonts w:hint="eastAsia" w:ascii="Times New Roman" w:hAnsi="Times New Roman" w:eastAsia="宋体" w:cs="Times New Roman"/>
                <w:sz w:val="24"/>
                <w:szCs w:val="24"/>
                <w:highlight w:val="none"/>
                <w:lang w:val="en-US" w:eastAsia="zh-CN"/>
              </w:rPr>
              <w:t>89</w:t>
            </w:r>
            <w:r>
              <w:rPr>
                <w:rFonts w:hint="default" w:ascii="Times New Roman" w:hAnsi="Times New Roman" w:eastAsia="宋体" w:cs="Times New Roman"/>
                <w:sz w:val="24"/>
                <w:szCs w:val="24"/>
                <w:highlight w:val="none"/>
                <w:lang w:val="en-US" w:eastAsia="zh-CN"/>
              </w:rPr>
              <w:t>°</w:t>
            </w:r>
            <w:r>
              <w:rPr>
                <w:rFonts w:hint="eastAsia" w:ascii="Times New Roman" w:hAnsi="Times New Roman" w:eastAsia="宋体" w:cs="Times New Roman"/>
                <w:sz w:val="24"/>
                <w:szCs w:val="24"/>
                <w:highlight w:val="none"/>
                <w:lang w:val="en-US" w:eastAsia="zh-CN"/>
              </w:rPr>
              <w:t>15</w:t>
            </w:r>
            <w:r>
              <w:rPr>
                <w:rFonts w:hint="default" w:ascii="Times New Roman" w:hAnsi="Times New Roman" w:eastAsia="宋体" w:cs="Times New Roman"/>
                <w:sz w:val="24"/>
                <w:szCs w:val="24"/>
                <w:highlight w:val="none"/>
                <w:lang w:val="en-US" w:eastAsia="zh-CN"/>
              </w:rPr>
              <w:t>′</w:t>
            </w:r>
            <w:r>
              <w:rPr>
                <w:rFonts w:hint="eastAsia" w:ascii="Times New Roman" w:hAnsi="Times New Roman" w:eastAsia="宋体" w:cs="Times New Roman"/>
                <w:sz w:val="24"/>
                <w:szCs w:val="24"/>
                <w:highlight w:val="none"/>
                <w:lang w:val="en-US" w:eastAsia="zh-CN"/>
              </w:rPr>
              <w:t>46.604</w:t>
            </w:r>
            <w:r>
              <w:rPr>
                <w:rFonts w:hint="default" w:ascii="Times New Roman" w:hAnsi="Times New Roman" w:eastAsia="宋体" w:cs="Times New Roman"/>
                <w:sz w:val="24"/>
                <w:szCs w:val="24"/>
                <w:highlight w:val="none"/>
                <w:lang w:val="en-US" w:eastAsia="zh-CN"/>
              </w:rPr>
              <w:t>″，北纬</w:t>
            </w:r>
            <w:r>
              <w:rPr>
                <w:rFonts w:hint="eastAsia" w:ascii="Times New Roman" w:hAnsi="Times New Roman" w:eastAsia="宋体" w:cs="Times New Roman"/>
                <w:sz w:val="24"/>
                <w:szCs w:val="24"/>
                <w:highlight w:val="none"/>
                <w:lang w:val="en-US" w:eastAsia="zh-CN"/>
              </w:rPr>
              <w:t>：43</w:t>
            </w:r>
            <w:r>
              <w:rPr>
                <w:rFonts w:hint="default" w:ascii="Times New Roman" w:hAnsi="Times New Roman" w:eastAsia="宋体" w:cs="Times New Roman"/>
                <w:sz w:val="24"/>
                <w:szCs w:val="24"/>
                <w:highlight w:val="none"/>
                <w:lang w:val="en-US" w:eastAsia="zh-CN"/>
              </w:rPr>
              <w:t>°</w:t>
            </w:r>
            <w:r>
              <w:rPr>
                <w:rFonts w:hint="eastAsia" w:ascii="Times New Roman" w:hAnsi="Times New Roman" w:eastAsia="宋体" w:cs="Times New Roman"/>
                <w:sz w:val="24"/>
                <w:szCs w:val="24"/>
                <w:highlight w:val="none"/>
                <w:lang w:val="en-US" w:eastAsia="zh-CN"/>
              </w:rPr>
              <w:t>46</w:t>
            </w:r>
            <w:r>
              <w:rPr>
                <w:rFonts w:hint="default" w:ascii="Times New Roman" w:hAnsi="Times New Roman" w:eastAsia="宋体" w:cs="Times New Roman"/>
                <w:sz w:val="24"/>
                <w:szCs w:val="24"/>
                <w:highlight w:val="none"/>
                <w:lang w:val="en-US" w:eastAsia="zh-CN"/>
              </w:rPr>
              <w:t>′</w:t>
            </w:r>
            <w:r>
              <w:rPr>
                <w:rFonts w:hint="eastAsia" w:ascii="Times New Roman" w:hAnsi="Times New Roman" w:eastAsia="宋体" w:cs="Times New Roman"/>
                <w:sz w:val="24"/>
                <w:szCs w:val="24"/>
                <w:highlight w:val="none"/>
                <w:lang w:val="en-US" w:eastAsia="zh-CN"/>
              </w:rPr>
              <w:t>02.682</w:t>
            </w:r>
            <w:r>
              <w:rPr>
                <w:rFonts w:hint="default" w:ascii="Times New Roman" w:hAnsi="Times New Roman" w:eastAsia="宋体" w:cs="Times New Roman"/>
                <w:sz w:val="24"/>
                <w:szCs w:val="24"/>
                <w:highlight w:val="none"/>
                <w:lang w:val="en-US" w:eastAsia="zh-CN"/>
              </w:rPr>
              <w:t>″</w:t>
            </w:r>
            <w:r>
              <w:rPr>
                <w:rFonts w:hint="eastAsia" w:cs="Times New Roman"/>
                <w:sz w:val="24"/>
                <w:szCs w:val="24"/>
                <w:highlight w:val="none"/>
                <w:lang w:val="en-US" w:eastAsia="zh-CN"/>
              </w:rPr>
              <w:t>，</w:t>
            </w:r>
            <w:r>
              <w:rPr>
                <w:rFonts w:hint="eastAsia" w:ascii="Times New Roman" w:hAnsi="Times New Roman" w:eastAsia="宋体" w:cs="Times New Roman"/>
                <w:sz w:val="24"/>
                <w:szCs w:val="24"/>
                <w:highlight w:val="none"/>
                <w:lang w:val="en-US" w:eastAsia="zh-CN"/>
              </w:rPr>
              <w:t>终点坐标：</w:t>
            </w:r>
            <w:r>
              <w:rPr>
                <w:rFonts w:hint="default" w:ascii="Times New Roman" w:hAnsi="Times New Roman" w:eastAsia="宋体" w:cs="Times New Roman"/>
                <w:sz w:val="24"/>
                <w:szCs w:val="24"/>
                <w:highlight w:val="none"/>
                <w:lang w:val="en-US" w:eastAsia="zh-CN"/>
              </w:rPr>
              <w:t>东经：</w:t>
            </w:r>
            <w:r>
              <w:rPr>
                <w:rFonts w:hint="eastAsia" w:ascii="Times New Roman" w:hAnsi="Times New Roman" w:eastAsia="宋体" w:cs="Times New Roman"/>
                <w:sz w:val="24"/>
                <w:szCs w:val="24"/>
                <w:highlight w:val="none"/>
                <w:lang w:val="en-US" w:eastAsia="zh-CN"/>
              </w:rPr>
              <w:t>89</w:t>
            </w:r>
            <w:r>
              <w:rPr>
                <w:rFonts w:hint="default" w:ascii="Times New Roman" w:hAnsi="Times New Roman" w:eastAsia="宋体" w:cs="Times New Roman"/>
                <w:sz w:val="24"/>
                <w:szCs w:val="24"/>
                <w:highlight w:val="none"/>
                <w:lang w:val="en-US" w:eastAsia="zh-CN"/>
              </w:rPr>
              <w:t>°</w:t>
            </w:r>
            <w:r>
              <w:rPr>
                <w:rFonts w:hint="eastAsia" w:ascii="Times New Roman" w:hAnsi="Times New Roman" w:eastAsia="宋体" w:cs="Times New Roman"/>
                <w:sz w:val="24"/>
                <w:szCs w:val="24"/>
                <w:highlight w:val="none"/>
                <w:lang w:val="en-US" w:eastAsia="zh-CN"/>
              </w:rPr>
              <w:t>17</w:t>
            </w:r>
            <w:r>
              <w:rPr>
                <w:rFonts w:hint="default" w:ascii="Times New Roman" w:hAnsi="Times New Roman" w:eastAsia="宋体" w:cs="Times New Roman"/>
                <w:sz w:val="24"/>
                <w:szCs w:val="24"/>
                <w:highlight w:val="none"/>
                <w:lang w:val="en-US" w:eastAsia="zh-CN"/>
              </w:rPr>
              <w:t>′</w:t>
            </w:r>
            <w:r>
              <w:rPr>
                <w:rFonts w:hint="eastAsia" w:ascii="Times New Roman" w:hAnsi="Times New Roman" w:eastAsia="宋体" w:cs="Times New Roman"/>
                <w:sz w:val="24"/>
                <w:szCs w:val="24"/>
                <w:highlight w:val="none"/>
                <w:lang w:val="en-US" w:eastAsia="zh-CN"/>
              </w:rPr>
              <w:t>05.645</w:t>
            </w:r>
            <w:r>
              <w:rPr>
                <w:rFonts w:hint="default" w:ascii="Times New Roman" w:hAnsi="Times New Roman" w:eastAsia="宋体" w:cs="Times New Roman"/>
                <w:sz w:val="24"/>
                <w:szCs w:val="24"/>
                <w:highlight w:val="none"/>
                <w:lang w:val="en-US" w:eastAsia="zh-CN"/>
              </w:rPr>
              <w:t>″，北纬</w:t>
            </w:r>
            <w:r>
              <w:rPr>
                <w:rFonts w:hint="eastAsia" w:ascii="Times New Roman" w:hAnsi="Times New Roman" w:eastAsia="宋体" w:cs="Times New Roman"/>
                <w:sz w:val="24"/>
                <w:szCs w:val="24"/>
                <w:highlight w:val="none"/>
                <w:lang w:val="en-US" w:eastAsia="zh-CN"/>
              </w:rPr>
              <w:t>：43</w:t>
            </w:r>
            <w:r>
              <w:rPr>
                <w:rFonts w:hint="default" w:ascii="Times New Roman" w:hAnsi="Times New Roman" w:eastAsia="宋体" w:cs="Times New Roman"/>
                <w:sz w:val="24"/>
                <w:szCs w:val="24"/>
                <w:highlight w:val="none"/>
                <w:lang w:val="en-US" w:eastAsia="zh-CN"/>
              </w:rPr>
              <w:t>°</w:t>
            </w:r>
            <w:r>
              <w:rPr>
                <w:rFonts w:hint="eastAsia" w:ascii="Times New Roman" w:hAnsi="Times New Roman" w:eastAsia="宋体" w:cs="Times New Roman"/>
                <w:sz w:val="24"/>
                <w:szCs w:val="24"/>
                <w:highlight w:val="none"/>
                <w:lang w:val="en-US" w:eastAsia="zh-CN"/>
              </w:rPr>
              <w:t>53</w:t>
            </w:r>
            <w:r>
              <w:rPr>
                <w:rFonts w:hint="default" w:ascii="Times New Roman" w:hAnsi="Times New Roman" w:eastAsia="宋体" w:cs="Times New Roman"/>
                <w:sz w:val="24"/>
                <w:szCs w:val="24"/>
                <w:highlight w:val="none"/>
                <w:lang w:val="en-US" w:eastAsia="zh-CN"/>
              </w:rPr>
              <w:t>′</w:t>
            </w:r>
            <w:r>
              <w:rPr>
                <w:rFonts w:hint="eastAsia" w:ascii="Times New Roman" w:hAnsi="Times New Roman" w:eastAsia="宋体" w:cs="Times New Roman"/>
                <w:sz w:val="24"/>
                <w:szCs w:val="24"/>
                <w:highlight w:val="none"/>
                <w:lang w:val="en-US" w:eastAsia="zh-CN"/>
              </w:rPr>
              <w:t>17.439</w:t>
            </w:r>
            <w:r>
              <w:rPr>
                <w:rFonts w:hint="default" w:ascii="Times New Roman" w:hAnsi="Times New Roman" w:eastAsia="宋体" w:cs="Times New Roman"/>
                <w:sz w:val="24"/>
                <w:szCs w:val="24"/>
                <w:highlight w:val="none"/>
                <w:lang w:val="en-US" w:eastAsia="zh-CN"/>
              </w:rPr>
              <w:t>″</w:t>
            </w:r>
            <w:r>
              <w:rPr>
                <w:rFonts w:hint="eastAsia" w:ascii="Times New Roman" w:hAnsi="Times New Roman" w:eastAsia="宋体" w:cs="Times New Roman"/>
                <w:sz w:val="24"/>
                <w:szCs w:val="24"/>
                <w:highlight w:val="none"/>
                <w:lang w:val="en-US" w:eastAsia="zh-CN"/>
              </w:rPr>
              <w:t>；魏家村至S303段</w:t>
            </w:r>
            <w:r>
              <w:rPr>
                <w:rFonts w:hint="default" w:ascii="Times New Roman" w:hAnsi="Times New Roman" w:cs="Times New Roman"/>
                <w:b w:val="0"/>
                <w:bCs/>
                <w:color w:val="000000"/>
              </w:rPr>
              <w:t>（</w:t>
            </w:r>
            <w:r>
              <w:rPr>
                <w:rFonts w:hint="default" w:ascii="Times New Roman" w:hAnsi="Times New Roman" w:eastAsia="宋体" w:cs="Times New Roman"/>
                <w:b w:val="0"/>
                <w:bCs w:val="0"/>
                <w:color w:val="000000"/>
                <w:kern w:val="0"/>
                <w:sz w:val="24"/>
                <w:szCs w:val="24"/>
                <w:lang w:val="en-US" w:eastAsia="zh-CN" w:bidi="ar-SA"/>
              </w:rPr>
              <w:t>26+750～29+160</w:t>
            </w:r>
            <w:r>
              <w:rPr>
                <w:rFonts w:hint="default" w:ascii="Times New Roman" w:hAnsi="Times New Roman" w:cs="Times New Roman"/>
                <w:b w:val="0"/>
                <w:bCs/>
                <w:color w:val="000000"/>
              </w:rPr>
              <w:t>）</w:t>
            </w:r>
            <w:r>
              <w:rPr>
                <w:rFonts w:hint="eastAsia" w:ascii="Times New Roman" w:hAnsi="Times New Roman" w:eastAsia="宋体" w:cs="Times New Roman"/>
                <w:sz w:val="24"/>
                <w:szCs w:val="24"/>
                <w:highlight w:val="none"/>
                <w:lang w:val="en-US" w:eastAsia="zh-CN"/>
              </w:rPr>
              <w:t>：起点坐标：</w:t>
            </w:r>
            <w:r>
              <w:rPr>
                <w:rFonts w:hint="default" w:ascii="Times New Roman" w:hAnsi="Times New Roman" w:eastAsia="宋体" w:cs="Times New Roman"/>
                <w:sz w:val="24"/>
                <w:szCs w:val="24"/>
                <w:highlight w:val="none"/>
                <w:lang w:val="en-US" w:eastAsia="zh-CN"/>
              </w:rPr>
              <w:t>东经：</w:t>
            </w:r>
            <w:r>
              <w:rPr>
                <w:rFonts w:hint="eastAsia" w:ascii="Times New Roman" w:hAnsi="Times New Roman" w:eastAsia="宋体" w:cs="Times New Roman"/>
                <w:sz w:val="24"/>
                <w:szCs w:val="24"/>
                <w:highlight w:val="none"/>
                <w:lang w:val="en-US" w:eastAsia="zh-CN"/>
              </w:rPr>
              <w:t>89</w:t>
            </w:r>
            <w:r>
              <w:rPr>
                <w:rFonts w:hint="default" w:ascii="Times New Roman" w:hAnsi="Times New Roman" w:eastAsia="宋体" w:cs="Times New Roman"/>
                <w:sz w:val="24"/>
                <w:szCs w:val="24"/>
                <w:highlight w:val="none"/>
                <w:lang w:val="en-US" w:eastAsia="zh-CN"/>
              </w:rPr>
              <w:t>°</w:t>
            </w:r>
            <w:r>
              <w:rPr>
                <w:rFonts w:hint="eastAsia" w:ascii="Times New Roman" w:hAnsi="Times New Roman" w:eastAsia="宋体" w:cs="Times New Roman"/>
                <w:sz w:val="24"/>
                <w:szCs w:val="24"/>
                <w:highlight w:val="none"/>
                <w:lang w:val="en-US" w:eastAsia="zh-CN"/>
              </w:rPr>
              <w:t>1</w:t>
            </w:r>
            <w:r>
              <w:rPr>
                <w:rFonts w:hint="eastAsia" w:cs="Times New Roman"/>
                <w:sz w:val="24"/>
                <w:szCs w:val="24"/>
                <w:highlight w:val="none"/>
                <w:lang w:val="en-US" w:eastAsia="zh-CN"/>
              </w:rPr>
              <w:t>8</w:t>
            </w:r>
            <w:r>
              <w:rPr>
                <w:rFonts w:hint="default" w:ascii="Times New Roman" w:hAnsi="Times New Roman" w:eastAsia="宋体" w:cs="Times New Roman"/>
                <w:sz w:val="24"/>
                <w:szCs w:val="24"/>
                <w:highlight w:val="none"/>
                <w:lang w:val="en-US" w:eastAsia="zh-CN"/>
              </w:rPr>
              <w:t>′</w:t>
            </w:r>
            <w:r>
              <w:rPr>
                <w:rFonts w:hint="eastAsia" w:ascii="Times New Roman" w:hAnsi="Times New Roman" w:eastAsia="宋体" w:cs="Times New Roman"/>
                <w:sz w:val="24"/>
                <w:szCs w:val="24"/>
                <w:highlight w:val="none"/>
                <w:lang w:val="en-US" w:eastAsia="zh-CN"/>
              </w:rPr>
              <w:t>4</w:t>
            </w:r>
            <w:r>
              <w:rPr>
                <w:rFonts w:hint="eastAsia" w:cs="Times New Roman"/>
                <w:sz w:val="24"/>
                <w:szCs w:val="24"/>
                <w:highlight w:val="none"/>
                <w:lang w:val="en-US" w:eastAsia="zh-CN"/>
              </w:rPr>
              <w:t>0</w:t>
            </w:r>
            <w:r>
              <w:rPr>
                <w:rFonts w:hint="eastAsia" w:ascii="Times New Roman" w:hAnsi="Times New Roman" w:eastAsia="宋体" w:cs="Times New Roman"/>
                <w:sz w:val="24"/>
                <w:szCs w:val="24"/>
                <w:highlight w:val="none"/>
                <w:lang w:val="en-US" w:eastAsia="zh-CN"/>
              </w:rPr>
              <w:t>.</w:t>
            </w:r>
            <w:r>
              <w:rPr>
                <w:rFonts w:hint="eastAsia" w:cs="Times New Roman"/>
                <w:sz w:val="24"/>
                <w:szCs w:val="24"/>
                <w:highlight w:val="none"/>
                <w:lang w:val="en-US" w:eastAsia="zh-CN"/>
              </w:rPr>
              <w:t>486</w:t>
            </w:r>
            <w:r>
              <w:rPr>
                <w:rFonts w:hint="default" w:ascii="Times New Roman" w:hAnsi="Times New Roman" w:eastAsia="宋体" w:cs="Times New Roman"/>
                <w:sz w:val="24"/>
                <w:szCs w:val="24"/>
                <w:highlight w:val="none"/>
                <w:lang w:val="en-US" w:eastAsia="zh-CN"/>
              </w:rPr>
              <w:t>″，北纬</w:t>
            </w:r>
            <w:r>
              <w:rPr>
                <w:rFonts w:hint="eastAsia" w:ascii="Times New Roman" w:hAnsi="Times New Roman" w:eastAsia="宋体" w:cs="Times New Roman"/>
                <w:sz w:val="24"/>
                <w:szCs w:val="24"/>
                <w:highlight w:val="none"/>
                <w:lang w:val="en-US" w:eastAsia="zh-CN"/>
              </w:rPr>
              <w:t>：43</w:t>
            </w:r>
            <w:r>
              <w:rPr>
                <w:rFonts w:hint="default" w:ascii="Times New Roman" w:hAnsi="Times New Roman" w:eastAsia="宋体" w:cs="Times New Roman"/>
                <w:sz w:val="24"/>
                <w:szCs w:val="24"/>
                <w:highlight w:val="none"/>
                <w:lang w:val="en-US" w:eastAsia="zh-CN"/>
              </w:rPr>
              <w:t>°</w:t>
            </w:r>
            <w:r>
              <w:rPr>
                <w:rFonts w:hint="eastAsia" w:cs="Times New Roman"/>
                <w:sz w:val="24"/>
                <w:szCs w:val="24"/>
                <w:highlight w:val="none"/>
                <w:lang w:val="en-US" w:eastAsia="zh-CN"/>
              </w:rPr>
              <w:t>57</w:t>
            </w:r>
            <w:r>
              <w:rPr>
                <w:rFonts w:hint="default" w:ascii="Times New Roman" w:hAnsi="Times New Roman" w:eastAsia="宋体" w:cs="Times New Roman"/>
                <w:sz w:val="24"/>
                <w:szCs w:val="24"/>
                <w:highlight w:val="none"/>
                <w:lang w:val="en-US" w:eastAsia="zh-CN"/>
              </w:rPr>
              <w:t>′</w:t>
            </w:r>
            <w:r>
              <w:rPr>
                <w:rFonts w:hint="eastAsia" w:cs="Times New Roman"/>
                <w:sz w:val="24"/>
                <w:szCs w:val="24"/>
                <w:highlight w:val="none"/>
                <w:lang w:val="en-US" w:eastAsia="zh-CN"/>
              </w:rPr>
              <w:t>42</w:t>
            </w:r>
            <w:r>
              <w:rPr>
                <w:rFonts w:hint="eastAsia" w:ascii="Times New Roman" w:hAnsi="Times New Roman" w:eastAsia="宋体" w:cs="Times New Roman"/>
                <w:sz w:val="24"/>
                <w:szCs w:val="24"/>
                <w:highlight w:val="none"/>
                <w:lang w:val="en-US" w:eastAsia="zh-CN"/>
              </w:rPr>
              <w:t>.</w:t>
            </w:r>
            <w:r>
              <w:rPr>
                <w:rFonts w:hint="eastAsia" w:cs="Times New Roman"/>
                <w:sz w:val="24"/>
                <w:szCs w:val="24"/>
                <w:highlight w:val="none"/>
                <w:lang w:val="en-US" w:eastAsia="zh-CN"/>
              </w:rPr>
              <w:t>705</w:t>
            </w:r>
            <w:r>
              <w:rPr>
                <w:rFonts w:hint="default" w:ascii="Times New Roman" w:hAnsi="Times New Roman" w:eastAsia="宋体" w:cs="Times New Roman"/>
                <w:sz w:val="24"/>
                <w:szCs w:val="24"/>
                <w:highlight w:val="none"/>
                <w:lang w:val="en-US" w:eastAsia="zh-CN"/>
              </w:rPr>
              <w:t>″</w:t>
            </w:r>
            <w:r>
              <w:rPr>
                <w:rFonts w:hint="eastAsia" w:cs="Times New Roman"/>
                <w:sz w:val="24"/>
                <w:szCs w:val="24"/>
                <w:highlight w:val="none"/>
                <w:lang w:val="en-US" w:eastAsia="zh-CN"/>
              </w:rPr>
              <w:t>，</w:t>
            </w:r>
            <w:r>
              <w:rPr>
                <w:rFonts w:hint="eastAsia" w:ascii="Times New Roman" w:hAnsi="Times New Roman" w:eastAsia="宋体" w:cs="Times New Roman"/>
                <w:sz w:val="24"/>
                <w:szCs w:val="24"/>
                <w:highlight w:val="none"/>
                <w:lang w:val="en-US" w:eastAsia="zh-CN"/>
              </w:rPr>
              <w:t>终点坐标：</w:t>
            </w:r>
            <w:r>
              <w:rPr>
                <w:rFonts w:hint="default" w:ascii="Times New Roman" w:hAnsi="Times New Roman" w:eastAsia="宋体" w:cs="Times New Roman"/>
                <w:sz w:val="24"/>
                <w:szCs w:val="24"/>
                <w:highlight w:val="none"/>
                <w:lang w:val="en-US" w:eastAsia="zh-CN"/>
              </w:rPr>
              <w:t>东经：</w:t>
            </w:r>
            <w:r>
              <w:rPr>
                <w:rFonts w:hint="eastAsia" w:ascii="Times New Roman" w:hAnsi="Times New Roman" w:eastAsia="宋体" w:cs="Times New Roman"/>
                <w:sz w:val="24"/>
                <w:szCs w:val="24"/>
                <w:highlight w:val="none"/>
                <w:lang w:val="en-US" w:eastAsia="zh-CN"/>
              </w:rPr>
              <w:t>89</w:t>
            </w:r>
            <w:r>
              <w:rPr>
                <w:rFonts w:hint="default" w:ascii="Times New Roman" w:hAnsi="Times New Roman" w:eastAsia="宋体" w:cs="Times New Roman"/>
                <w:sz w:val="24"/>
                <w:szCs w:val="24"/>
                <w:highlight w:val="none"/>
                <w:lang w:val="en-US" w:eastAsia="zh-CN"/>
              </w:rPr>
              <w:t>°</w:t>
            </w:r>
            <w:r>
              <w:rPr>
                <w:rFonts w:hint="eastAsia" w:ascii="Times New Roman" w:hAnsi="Times New Roman" w:eastAsia="宋体" w:cs="Times New Roman"/>
                <w:sz w:val="24"/>
                <w:szCs w:val="24"/>
                <w:highlight w:val="none"/>
                <w:lang w:val="en-US" w:eastAsia="zh-CN"/>
              </w:rPr>
              <w:t>1</w:t>
            </w:r>
            <w:r>
              <w:rPr>
                <w:rFonts w:hint="eastAsia" w:cs="Times New Roman"/>
                <w:sz w:val="24"/>
                <w:szCs w:val="24"/>
                <w:highlight w:val="none"/>
                <w:lang w:val="en-US" w:eastAsia="zh-CN"/>
              </w:rPr>
              <w:t>8</w:t>
            </w:r>
            <w:r>
              <w:rPr>
                <w:rFonts w:hint="default" w:ascii="Times New Roman" w:hAnsi="Times New Roman" w:eastAsia="宋体" w:cs="Times New Roman"/>
                <w:sz w:val="24"/>
                <w:szCs w:val="24"/>
                <w:highlight w:val="none"/>
                <w:lang w:val="en-US" w:eastAsia="zh-CN"/>
              </w:rPr>
              <w:t>′</w:t>
            </w:r>
            <w:r>
              <w:rPr>
                <w:rFonts w:hint="eastAsia" w:cs="Times New Roman"/>
                <w:sz w:val="24"/>
                <w:szCs w:val="24"/>
                <w:highlight w:val="none"/>
                <w:lang w:val="en-US" w:eastAsia="zh-CN"/>
              </w:rPr>
              <w:t>3</w:t>
            </w:r>
            <w:r>
              <w:rPr>
                <w:rFonts w:hint="eastAsia" w:ascii="Times New Roman" w:hAnsi="Times New Roman" w:eastAsia="宋体" w:cs="Times New Roman"/>
                <w:sz w:val="24"/>
                <w:szCs w:val="24"/>
                <w:highlight w:val="none"/>
                <w:lang w:val="en-US" w:eastAsia="zh-CN"/>
              </w:rPr>
              <w:t>5.</w:t>
            </w:r>
            <w:r>
              <w:rPr>
                <w:rFonts w:hint="eastAsia" w:cs="Times New Roman"/>
                <w:sz w:val="24"/>
                <w:szCs w:val="24"/>
                <w:highlight w:val="none"/>
                <w:lang w:val="en-US" w:eastAsia="zh-CN"/>
              </w:rPr>
              <w:t>388</w:t>
            </w:r>
            <w:r>
              <w:rPr>
                <w:rFonts w:hint="default" w:ascii="Times New Roman" w:hAnsi="Times New Roman" w:eastAsia="宋体" w:cs="Times New Roman"/>
                <w:sz w:val="24"/>
                <w:szCs w:val="24"/>
                <w:highlight w:val="none"/>
                <w:lang w:val="en-US" w:eastAsia="zh-CN"/>
              </w:rPr>
              <w:t>″，北纬</w:t>
            </w:r>
            <w:r>
              <w:rPr>
                <w:rFonts w:hint="eastAsia" w:ascii="Times New Roman" w:hAnsi="Times New Roman" w:eastAsia="宋体" w:cs="Times New Roman"/>
                <w:sz w:val="24"/>
                <w:szCs w:val="24"/>
                <w:highlight w:val="none"/>
                <w:lang w:val="en-US" w:eastAsia="zh-CN"/>
              </w:rPr>
              <w:t>：43</w:t>
            </w:r>
            <w:r>
              <w:rPr>
                <w:rFonts w:hint="default" w:ascii="Times New Roman" w:hAnsi="Times New Roman" w:eastAsia="宋体" w:cs="Times New Roman"/>
                <w:sz w:val="24"/>
                <w:szCs w:val="24"/>
                <w:highlight w:val="none"/>
                <w:lang w:val="en-US" w:eastAsia="zh-CN"/>
              </w:rPr>
              <w:t>°</w:t>
            </w:r>
            <w:r>
              <w:rPr>
                <w:rFonts w:hint="eastAsia" w:ascii="Times New Roman" w:hAnsi="Times New Roman" w:eastAsia="宋体" w:cs="Times New Roman"/>
                <w:sz w:val="24"/>
                <w:szCs w:val="24"/>
                <w:highlight w:val="none"/>
                <w:lang w:val="en-US" w:eastAsia="zh-CN"/>
              </w:rPr>
              <w:t>5</w:t>
            </w:r>
            <w:r>
              <w:rPr>
                <w:rFonts w:hint="eastAsia" w:cs="Times New Roman"/>
                <w:sz w:val="24"/>
                <w:szCs w:val="24"/>
                <w:highlight w:val="none"/>
                <w:lang w:val="en-US" w:eastAsia="zh-CN"/>
              </w:rPr>
              <w:t>8</w:t>
            </w:r>
            <w:r>
              <w:rPr>
                <w:rFonts w:hint="default" w:ascii="Times New Roman" w:hAnsi="Times New Roman" w:eastAsia="宋体" w:cs="Times New Roman"/>
                <w:sz w:val="24"/>
                <w:szCs w:val="24"/>
                <w:highlight w:val="none"/>
                <w:lang w:val="en-US" w:eastAsia="zh-CN"/>
              </w:rPr>
              <w:t>′</w:t>
            </w:r>
            <w:r>
              <w:rPr>
                <w:rFonts w:hint="eastAsia" w:cs="Times New Roman"/>
                <w:sz w:val="24"/>
                <w:szCs w:val="24"/>
                <w:highlight w:val="none"/>
                <w:lang w:val="en-US" w:eastAsia="zh-CN"/>
              </w:rPr>
              <w:t>57</w:t>
            </w:r>
            <w:r>
              <w:rPr>
                <w:rFonts w:hint="eastAsia" w:ascii="Times New Roman" w:hAnsi="Times New Roman" w:eastAsia="宋体" w:cs="Times New Roman"/>
                <w:sz w:val="24"/>
                <w:szCs w:val="24"/>
                <w:highlight w:val="none"/>
                <w:lang w:val="en-US" w:eastAsia="zh-CN"/>
              </w:rPr>
              <w:t>.</w:t>
            </w:r>
            <w:r>
              <w:rPr>
                <w:rFonts w:hint="eastAsia" w:cs="Times New Roman"/>
                <w:sz w:val="24"/>
                <w:szCs w:val="24"/>
                <w:highlight w:val="none"/>
                <w:lang w:val="en-US" w:eastAsia="zh-CN"/>
              </w:rPr>
              <w:t>505</w:t>
            </w:r>
            <w:r>
              <w:rPr>
                <w:rFonts w:hint="default" w:ascii="Times New Roman" w:hAnsi="Times New Roman" w:eastAsia="宋体" w:cs="Times New Roman"/>
                <w:sz w:val="24"/>
                <w:szCs w:val="24"/>
                <w:highlight w:val="none"/>
                <w:lang w:val="en-US" w:eastAsia="zh-CN"/>
              </w:rPr>
              <w:t>″</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b w:val="0"/>
                <w:bCs w:val="0"/>
                <w:snapToGrid w:val="0"/>
                <w:color w:val="000000"/>
                <w:kern w:val="0"/>
                <w:sz w:val="24"/>
                <w:szCs w:val="24"/>
                <w:highlight w:val="none"/>
                <w:lang w:val="en-US" w:eastAsia="zh-CN" w:bidi="ar-SA"/>
              </w:rPr>
              <w:t>详见附图</w:t>
            </w:r>
            <w:r>
              <w:rPr>
                <w:rFonts w:hint="eastAsia" w:cs="Times New Roman"/>
                <w:b w:val="0"/>
                <w:bCs w:val="0"/>
                <w:snapToGrid w:val="0"/>
                <w:color w:val="000000"/>
                <w:kern w:val="0"/>
                <w:sz w:val="24"/>
                <w:szCs w:val="24"/>
                <w:highlight w:val="none"/>
                <w:lang w:val="en-US" w:eastAsia="zh-CN" w:bidi="ar-SA"/>
              </w:rPr>
              <w:t>4</w:t>
            </w:r>
            <w:r>
              <w:rPr>
                <w:rFonts w:hint="default" w:ascii="Times New Roman" w:hAnsi="Times New Roman" w:eastAsia="宋体" w:cs="Times New Roman"/>
                <w:b w:val="0"/>
                <w:bCs w:val="0"/>
                <w:snapToGrid w:val="0"/>
                <w:color w:val="000000"/>
                <w:kern w:val="0"/>
                <w:sz w:val="24"/>
                <w:szCs w:val="24"/>
                <w:highlight w:val="none"/>
                <w:lang w:val="en-US" w:eastAsia="zh-CN" w:bidi="ar-SA"/>
              </w:rPr>
              <w:t>项目地理位置图</w:t>
            </w:r>
            <w:r>
              <w:rPr>
                <w:rFonts w:hint="eastAsia" w:cs="Times New Roman"/>
                <w:b w:val="0"/>
                <w:bCs w:val="0"/>
                <w:snapToGrid w:val="0"/>
                <w:color w:val="000000"/>
                <w:kern w:val="0"/>
                <w:sz w:val="24"/>
                <w:szCs w:val="24"/>
                <w:highlight w:val="none"/>
                <w:lang w:val="en-US" w:eastAsia="zh-CN" w:bidi="ar-SA"/>
              </w:rPr>
              <w:t>、附图6项目区卫星图</w:t>
            </w:r>
            <w:r>
              <w:rPr>
                <w:rFonts w:hint="default" w:ascii="Times New Roman" w:hAnsi="Times New Roman" w:eastAsia="宋体" w:cs="Times New Roman"/>
                <w:b w:val="0"/>
                <w:bCs w:val="0"/>
                <w:snapToGrid w:val="0"/>
                <w:color w:val="000000"/>
                <w:kern w:val="0"/>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791" w:type="dxa"/>
            <w:vAlign w:val="center"/>
          </w:tcPr>
          <w:p>
            <w:pPr>
              <w:adjustRightInd w:val="0"/>
              <w:snapToGrid w:val="0"/>
              <w:spacing w:line="240" w:lineRule="auto"/>
              <w:ind w:firstLine="0" w:firstLineChars="0"/>
              <w:jc w:val="center"/>
              <w:rPr>
                <w:rFonts w:ascii="宋体" w:cs="宋体"/>
                <w:b/>
                <w:color w:val="000000"/>
                <w:kern w:val="0"/>
              </w:rPr>
            </w:pPr>
            <w:r>
              <w:rPr>
                <w:rFonts w:hint="eastAsia" w:ascii="宋体" w:hAnsi="宋体" w:cs="宋体"/>
                <w:b/>
                <w:color w:val="000000"/>
                <w:kern w:val="0"/>
              </w:rPr>
              <w:t>项目组成及规模</w:t>
            </w:r>
          </w:p>
        </w:tc>
        <w:tc>
          <w:tcPr>
            <w:tcW w:w="8063" w:type="dxa"/>
            <w:vAlign w:val="center"/>
          </w:tcPr>
          <w:p>
            <w:pPr>
              <w:adjustRightInd w:val="0"/>
              <w:snapToGrid w:val="0"/>
              <w:spacing w:line="360" w:lineRule="auto"/>
              <w:ind w:left="0" w:leftChars="0" w:firstLine="0" w:firstLineChars="0"/>
              <w:rPr>
                <w:rFonts w:hint="default" w:hAnsi="宋体" w:eastAsia="宋体"/>
                <w:b/>
                <w:bCs/>
                <w:color w:val="000000"/>
                <w:sz w:val="24"/>
                <w:szCs w:val="24"/>
                <w:highlight w:val="none"/>
                <w:lang w:val="en-US" w:eastAsia="zh-CN"/>
              </w:rPr>
            </w:pPr>
            <w:r>
              <w:rPr>
                <w:rFonts w:hint="eastAsia" w:hAnsi="宋体"/>
                <w:b/>
                <w:bCs/>
                <w:color w:val="000000"/>
                <w:sz w:val="24"/>
                <w:szCs w:val="24"/>
                <w:lang w:val="en-US" w:eastAsia="zh-CN"/>
              </w:rPr>
              <w:t>1</w:t>
            </w:r>
            <w:r>
              <w:rPr>
                <w:rFonts w:hint="default" w:hAnsi="宋体" w:eastAsia="宋体"/>
                <w:b/>
                <w:bCs/>
                <w:color w:val="000000"/>
                <w:sz w:val="24"/>
                <w:szCs w:val="24"/>
              </w:rPr>
              <w:t>、</w:t>
            </w:r>
            <w:r>
              <w:rPr>
                <w:rFonts w:hint="eastAsia" w:hAnsi="宋体"/>
                <w:b/>
                <w:bCs/>
                <w:color w:val="000000"/>
                <w:sz w:val="24"/>
                <w:szCs w:val="24"/>
                <w:highlight w:val="none"/>
                <w:lang w:val="en-US" w:eastAsia="zh-CN"/>
              </w:rPr>
              <w:t>河道现有环境问题</w:t>
            </w:r>
          </w:p>
          <w:p>
            <w:pPr>
              <w:adjustRightInd w:val="0"/>
              <w:snapToGrid w:val="0"/>
              <w:spacing w:line="360" w:lineRule="auto"/>
              <w:ind w:left="0" w:leftChars="0" w:firstLine="480" w:firstLineChars="200"/>
              <w:rPr>
                <w:rFonts w:hint="eastAsia" w:ascii="Times New Roman" w:hAnsi="Times New Roman" w:eastAsia="宋体" w:cs="Times New Roman"/>
                <w:color w:val="000000"/>
                <w:highlight w:val="none"/>
                <w:lang w:val="en-US" w:eastAsia="zh-CN"/>
              </w:rPr>
            </w:pPr>
            <w:r>
              <w:rPr>
                <w:rFonts w:hint="eastAsia" w:cs="Times New Roman"/>
                <w:color w:val="000000"/>
                <w:highlight w:val="none"/>
                <w:lang w:val="en-US" w:eastAsia="zh-CN"/>
              </w:rPr>
              <w:t>1</w:t>
            </w:r>
            <w:r>
              <w:rPr>
                <w:rFonts w:hint="eastAsia" w:ascii="Times New Roman" w:hAnsi="Times New Roman" w:eastAsia="宋体" w:cs="Times New Roman"/>
                <w:color w:val="000000"/>
                <w:highlight w:val="none"/>
                <w:lang w:val="en-US" w:eastAsia="zh-CN"/>
              </w:rPr>
              <w:t>）山区植被稀少，夏季暴雨引发的山洪对土地的冲刷、侵蚀</w:t>
            </w:r>
            <w:r>
              <w:rPr>
                <w:rFonts w:hint="eastAsia" w:cs="Times New Roman"/>
                <w:color w:val="000000"/>
                <w:highlight w:val="none"/>
                <w:lang w:val="en-US" w:eastAsia="zh-CN"/>
              </w:rPr>
              <w:t>较</w:t>
            </w:r>
            <w:r>
              <w:rPr>
                <w:rFonts w:hint="eastAsia" w:ascii="Times New Roman" w:hAnsi="Times New Roman" w:eastAsia="宋体" w:cs="Times New Roman"/>
                <w:color w:val="000000"/>
                <w:highlight w:val="none"/>
                <w:lang w:val="en-US" w:eastAsia="zh-CN"/>
              </w:rPr>
              <w:t>大，水土流失</w:t>
            </w:r>
            <w:r>
              <w:rPr>
                <w:rFonts w:hint="eastAsia" w:cs="Times New Roman"/>
                <w:color w:val="000000"/>
                <w:highlight w:val="none"/>
                <w:lang w:val="en-US" w:eastAsia="zh-CN"/>
              </w:rPr>
              <w:t>较为</w:t>
            </w:r>
            <w:r>
              <w:rPr>
                <w:rFonts w:hint="eastAsia" w:ascii="Times New Roman" w:hAnsi="Times New Roman" w:eastAsia="宋体" w:cs="Times New Roman"/>
                <w:color w:val="000000"/>
                <w:highlight w:val="none"/>
                <w:lang w:val="en-US" w:eastAsia="zh-CN"/>
              </w:rPr>
              <w:t>严重</w:t>
            </w:r>
            <w:r>
              <w:rPr>
                <w:rFonts w:hint="eastAsia" w:cs="Times New Roman"/>
                <w:color w:val="000000"/>
                <w:highlight w:val="none"/>
                <w:lang w:val="en-US" w:eastAsia="zh-CN"/>
              </w:rPr>
              <w:t>；</w:t>
            </w:r>
          </w:p>
          <w:p>
            <w:pPr>
              <w:adjustRightInd w:val="0"/>
              <w:snapToGrid w:val="0"/>
              <w:spacing w:line="360" w:lineRule="auto"/>
              <w:ind w:left="0" w:leftChars="0" w:firstLine="480" w:firstLineChars="200"/>
              <w:rPr>
                <w:rFonts w:hint="eastAsia" w:ascii="Times New Roman" w:cs="Times New Roman"/>
                <w:color w:val="000000"/>
                <w:highlight w:val="none"/>
                <w:lang w:val="en-US" w:eastAsia="zh-CN"/>
              </w:rPr>
            </w:pPr>
            <w:r>
              <w:rPr>
                <w:rFonts w:hint="eastAsia" w:cs="Times New Roman"/>
                <w:color w:val="000000"/>
                <w:highlight w:val="none"/>
                <w:lang w:val="en-US" w:eastAsia="zh-CN"/>
              </w:rPr>
              <w:t>2</w:t>
            </w:r>
            <w:r>
              <w:rPr>
                <w:rFonts w:hint="eastAsia" w:ascii="Times New Roman" w:hAnsi="Times New Roman" w:eastAsia="宋体" w:cs="Times New Roman"/>
                <w:color w:val="000000"/>
                <w:highlight w:val="none"/>
                <w:lang w:val="en-US" w:eastAsia="zh-CN"/>
              </w:rPr>
              <w:t>）</w:t>
            </w:r>
            <w:r>
              <w:rPr>
                <w:rFonts w:hint="eastAsia" w:ascii="Times New Roman" w:cs="Times New Roman"/>
                <w:color w:val="000000"/>
                <w:highlight w:val="none"/>
                <w:lang w:val="en-US" w:eastAsia="zh-CN"/>
              </w:rPr>
              <w:t>原工程修建年限较早，未曾办理任何</w:t>
            </w:r>
            <w:r>
              <w:rPr>
                <w:rFonts w:hint="eastAsia" w:cs="Times New Roman"/>
                <w:color w:val="000000"/>
                <w:highlight w:val="none"/>
                <w:lang w:val="en-US" w:eastAsia="zh-CN"/>
              </w:rPr>
              <w:t>环境方面</w:t>
            </w:r>
            <w:r>
              <w:rPr>
                <w:rFonts w:hint="eastAsia" w:ascii="Times New Roman" w:cs="Times New Roman"/>
                <w:color w:val="000000"/>
                <w:highlight w:val="none"/>
                <w:lang w:val="en-US" w:eastAsia="zh-CN"/>
              </w:rPr>
              <w:t>相关手续。</w:t>
            </w:r>
          </w:p>
          <w:p>
            <w:pPr>
              <w:adjustRightInd w:val="0"/>
              <w:snapToGrid w:val="0"/>
              <w:spacing w:line="360" w:lineRule="auto"/>
              <w:ind w:left="0" w:leftChars="0" w:firstLine="0" w:firstLineChars="0"/>
              <w:rPr>
                <w:rFonts w:hint="default" w:hAnsi="宋体" w:eastAsia="宋体"/>
                <w:b/>
                <w:bCs/>
                <w:color w:val="000000"/>
                <w:sz w:val="24"/>
                <w:szCs w:val="24"/>
                <w:lang w:val="en-US" w:eastAsia="zh-CN"/>
              </w:rPr>
            </w:pPr>
            <w:r>
              <w:rPr>
                <w:rFonts w:hint="eastAsia" w:hAnsi="宋体"/>
                <w:b/>
                <w:bCs/>
                <w:color w:val="000000"/>
                <w:sz w:val="24"/>
                <w:szCs w:val="24"/>
                <w:lang w:val="en-US" w:eastAsia="zh-CN"/>
              </w:rPr>
              <w:t>2</w:t>
            </w:r>
            <w:r>
              <w:rPr>
                <w:rFonts w:hint="default" w:hAnsi="宋体" w:eastAsia="宋体"/>
                <w:b/>
                <w:bCs/>
                <w:color w:val="000000"/>
                <w:sz w:val="24"/>
                <w:szCs w:val="24"/>
              </w:rPr>
              <w:t>、工程任务</w:t>
            </w:r>
          </w:p>
          <w:p>
            <w:pPr>
              <w:keepNext w:val="0"/>
              <w:keepLines w:val="0"/>
              <w:widowControl/>
              <w:suppressLineNumbers w:val="0"/>
              <w:spacing w:line="360" w:lineRule="auto"/>
              <w:jc w:val="left"/>
              <w:rPr>
                <w:rFonts w:hint="default" w:ascii="Times New Roman" w:hAnsi="Times New Roman" w:eastAsia="宋体" w:cs="Times New Roman"/>
                <w:b w:val="0"/>
                <w:bCs w:val="0"/>
                <w:color w:val="000000"/>
                <w:kern w:val="0"/>
                <w:sz w:val="24"/>
                <w:szCs w:val="24"/>
                <w:lang w:val="en-US" w:eastAsia="zh-CN" w:bidi="ar-SA"/>
              </w:rPr>
            </w:pPr>
            <w:r>
              <w:rPr>
                <w:rFonts w:hint="default" w:ascii="Times New Roman" w:hAnsi="Times New Roman" w:eastAsia="宋体" w:cs="Times New Roman"/>
                <w:b w:val="0"/>
                <w:bCs w:val="0"/>
                <w:color w:val="000000"/>
                <w:kern w:val="0"/>
                <w:sz w:val="24"/>
                <w:szCs w:val="24"/>
                <w:lang w:val="en-US" w:eastAsia="zh-CN" w:bidi="ar-SA"/>
              </w:rPr>
              <w:t>本次设计以保障行洪通道的畅通和保障河道正常行洪能力为根本任务，急需</w:t>
            </w:r>
            <w:r>
              <w:rPr>
                <w:rFonts w:hint="eastAsia" w:ascii="Times New Roman" w:hAnsi="Times New Roman" w:eastAsia="宋体" w:cs="Times New Roman"/>
                <w:b w:val="0"/>
                <w:bCs w:val="0"/>
                <w:color w:val="000000"/>
                <w:kern w:val="0"/>
                <w:sz w:val="24"/>
                <w:szCs w:val="24"/>
                <w:lang w:val="en-US" w:eastAsia="zh-CN" w:bidi="ar-SA"/>
              </w:rPr>
              <w:t>对桩号0+000～1+880</w:t>
            </w:r>
            <w:r>
              <w:rPr>
                <w:rFonts w:hint="eastAsia" w:ascii="宋体" w:hAnsi="宋体" w:cs="宋体"/>
                <w:b w:val="0"/>
                <w:bCs/>
                <w:color w:val="000000"/>
              </w:rPr>
              <w:t>（</w:t>
            </w:r>
            <w:r>
              <w:rPr>
                <w:rFonts w:hint="eastAsia" w:ascii="Times New Roman" w:hAnsi="Times New Roman" w:eastAsia="宋体" w:cs="Times New Roman"/>
                <w:b w:val="0"/>
                <w:bCs w:val="0"/>
                <w:color w:val="000000"/>
                <w:kern w:val="0"/>
                <w:sz w:val="24"/>
                <w:szCs w:val="24"/>
                <w:lang w:val="en-US" w:eastAsia="zh-CN" w:bidi="ar-SA"/>
              </w:rPr>
              <w:t>五圣宫水文站</w:t>
            </w:r>
            <w:r>
              <w:rPr>
                <w:rFonts w:hint="eastAsia" w:ascii="宋体" w:hAnsi="宋体" w:cs="宋体"/>
                <w:b w:val="0"/>
                <w:bCs/>
                <w:color w:val="000000"/>
              </w:rPr>
              <w:t>）</w:t>
            </w:r>
            <w:r>
              <w:rPr>
                <w:rFonts w:hint="eastAsia" w:ascii="Times New Roman" w:hAnsi="Times New Roman" w:eastAsia="宋体" w:cs="Times New Roman"/>
                <w:b w:val="0"/>
                <w:bCs w:val="0"/>
                <w:color w:val="000000"/>
                <w:kern w:val="0"/>
                <w:sz w:val="24"/>
                <w:szCs w:val="24"/>
                <w:lang w:val="en-US" w:eastAsia="zh-CN" w:bidi="ar-SA"/>
              </w:rPr>
              <w:t>段、4+100～21+900</w:t>
            </w:r>
            <w:r>
              <w:rPr>
                <w:rFonts w:hint="eastAsia" w:ascii="宋体" w:hAnsi="宋体" w:cs="宋体"/>
                <w:b w:val="0"/>
                <w:bCs/>
                <w:color w:val="000000"/>
              </w:rPr>
              <w:t>（</w:t>
            </w:r>
            <w:r>
              <w:rPr>
                <w:rFonts w:hint="eastAsia" w:ascii="Times New Roman" w:hAnsi="Times New Roman" w:eastAsia="宋体" w:cs="Times New Roman"/>
                <w:b w:val="0"/>
                <w:bCs w:val="0"/>
                <w:color w:val="000000"/>
                <w:kern w:val="0"/>
                <w:sz w:val="24"/>
                <w:szCs w:val="24"/>
                <w:lang w:val="en-US" w:eastAsia="zh-CN" w:bidi="ar-SA"/>
              </w:rPr>
              <w:t>白杨河水库至林区公路</w:t>
            </w:r>
            <w:r>
              <w:rPr>
                <w:rFonts w:hint="eastAsia" w:ascii="宋体" w:hAnsi="宋体" w:cs="宋体"/>
                <w:b w:val="0"/>
                <w:bCs/>
                <w:color w:val="000000"/>
              </w:rPr>
              <w:t>）</w:t>
            </w:r>
            <w:r>
              <w:rPr>
                <w:rFonts w:hint="eastAsia" w:ascii="Times New Roman" w:hAnsi="Times New Roman" w:eastAsia="宋体" w:cs="Times New Roman"/>
                <w:b w:val="0"/>
                <w:bCs w:val="0"/>
                <w:color w:val="000000"/>
                <w:kern w:val="0"/>
                <w:sz w:val="24"/>
                <w:szCs w:val="24"/>
                <w:lang w:val="en-US" w:eastAsia="zh-CN" w:bidi="ar-SA"/>
              </w:rPr>
              <w:t>段和26+750～29+160</w:t>
            </w:r>
            <w:r>
              <w:rPr>
                <w:rFonts w:hint="eastAsia" w:ascii="宋体" w:hAnsi="宋体" w:cs="宋体"/>
                <w:b w:val="0"/>
                <w:bCs/>
                <w:color w:val="000000"/>
              </w:rPr>
              <w:t>（</w:t>
            </w:r>
            <w:r>
              <w:rPr>
                <w:rFonts w:hint="eastAsia" w:ascii="Times New Roman" w:hAnsi="Times New Roman" w:eastAsia="宋体" w:cs="Times New Roman"/>
                <w:b w:val="0"/>
                <w:bCs w:val="0"/>
                <w:color w:val="000000"/>
                <w:kern w:val="0"/>
                <w:sz w:val="24"/>
                <w:szCs w:val="24"/>
                <w:lang w:val="en-US" w:eastAsia="zh-CN" w:bidi="ar-SA"/>
              </w:rPr>
              <w:t>魏家村至S303省道</w:t>
            </w:r>
            <w:r>
              <w:rPr>
                <w:rFonts w:hint="eastAsia" w:ascii="宋体" w:hAnsi="宋体" w:cs="宋体"/>
                <w:b w:val="0"/>
                <w:bCs/>
                <w:color w:val="000000"/>
              </w:rPr>
              <w:t>）</w:t>
            </w:r>
            <w:r>
              <w:rPr>
                <w:rFonts w:hint="eastAsia" w:ascii="Times New Roman" w:hAnsi="Times New Roman" w:eastAsia="宋体" w:cs="Times New Roman"/>
                <w:b w:val="0"/>
                <w:bCs w:val="0"/>
                <w:color w:val="000000"/>
                <w:kern w:val="0"/>
                <w:sz w:val="24"/>
                <w:szCs w:val="24"/>
                <w:lang w:val="en-US" w:eastAsia="zh-CN" w:bidi="ar-SA"/>
              </w:rPr>
              <w:t>段需保护村庄和农田的22.09km河道进行治理，对该段河道进行防治，确保沿岸村庄、农田及交通安全</w:t>
            </w:r>
            <w:r>
              <w:rPr>
                <w:rFonts w:hint="default" w:ascii="Times New Roman" w:hAnsi="Times New Roman" w:eastAsia="宋体" w:cs="Times New Roman"/>
                <w:b w:val="0"/>
                <w:bCs w:val="0"/>
                <w:color w:val="000000"/>
                <w:kern w:val="0"/>
                <w:sz w:val="24"/>
                <w:szCs w:val="24"/>
                <w:lang w:val="en-US" w:eastAsia="zh-CN" w:bidi="ar-SA"/>
              </w:rPr>
              <w:t>。</w:t>
            </w:r>
          </w:p>
          <w:p>
            <w:pPr>
              <w:adjustRightInd w:val="0"/>
              <w:snapToGrid w:val="0"/>
              <w:spacing w:line="360" w:lineRule="auto"/>
              <w:ind w:left="0" w:leftChars="0" w:firstLine="0" w:firstLineChars="0"/>
              <w:rPr>
                <w:rFonts w:hint="default" w:ascii="Times New Roman" w:hAnsi="宋体" w:eastAsia="宋体" w:cs="Times New Roman"/>
                <w:b/>
                <w:bCs/>
                <w:color w:val="000000"/>
                <w:sz w:val="24"/>
                <w:szCs w:val="24"/>
                <w:highlight w:val="yellow"/>
                <w:lang w:val="en-US" w:eastAsia="zh-CN"/>
              </w:rPr>
            </w:pPr>
            <w:r>
              <w:rPr>
                <w:rFonts w:hint="eastAsia" w:hAnsi="宋体" w:cs="Times New Roman"/>
                <w:b/>
                <w:bCs/>
                <w:color w:val="000000"/>
                <w:sz w:val="24"/>
                <w:szCs w:val="24"/>
                <w:highlight w:val="none"/>
                <w:lang w:val="en-US" w:eastAsia="zh-CN"/>
              </w:rPr>
              <w:t>3</w:t>
            </w:r>
            <w:r>
              <w:rPr>
                <w:rFonts w:hint="eastAsia" w:ascii="Times New Roman" w:hAnsi="宋体" w:eastAsia="宋体" w:cs="Times New Roman"/>
                <w:b/>
                <w:bCs/>
                <w:color w:val="000000"/>
                <w:sz w:val="24"/>
                <w:szCs w:val="24"/>
                <w:highlight w:val="none"/>
                <w:lang w:val="en-US" w:eastAsia="zh-CN"/>
              </w:rPr>
              <w:t>、</w:t>
            </w:r>
            <w:r>
              <w:rPr>
                <w:rFonts w:hint="default" w:hAnsi="宋体" w:eastAsia="宋体"/>
                <w:b/>
                <w:bCs/>
                <w:color w:val="000000"/>
                <w:sz w:val="24"/>
                <w:szCs w:val="24"/>
              </w:rPr>
              <w:t>工</w:t>
            </w:r>
            <w:r>
              <w:rPr>
                <w:rFonts w:hint="default" w:ascii="Times New Roman" w:hAnsi="宋体" w:eastAsia="宋体" w:cs="Times New Roman"/>
                <w:b/>
                <w:bCs/>
                <w:color w:val="000000"/>
                <w:sz w:val="24"/>
                <w:szCs w:val="24"/>
              </w:rPr>
              <w:t>程规模</w:t>
            </w:r>
          </w:p>
          <w:p>
            <w:pPr>
              <w:pStyle w:val="143"/>
              <w:keepNext w:val="0"/>
              <w:keepLines w:val="0"/>
              <w:pageBreakBefore w:val="0"/>
              <w:kinsoku/>
              <w:wordWrap/>
              <w:overflowPunct/>
              <w:autoSpaceDE/>
              <w:autoSpaceDN/>
              <w:bidi w:val="0"/>
              <w:adjustRightInd w:val="0"/>
              <w:snapToGrid w:val="0"/>
              <w:ind w:firstLine="482"/>
              <w:textAlignment w:val="auto"/>
              <w:rPr>
                <w:rFonts w:hint="default" w:ascii="Times New Roman" w:hAnsi="Times New Roman" w:eastAsia="宋体" w:cs="Times New Roman"/>
                <w:b w:val="0"/>
                <w:bCs w:val="0"/>
                <w:color w:val="000000"/>
                <w:kern w:val="0"/>
                <w:sz w:val="24"/>
                <w:szCs w:val="24"/>
                <w:lang w:val="en-US" w:eastAsia="zh-CN" w:bidi="ar-SA"/>
              </w:rPr>
            </w:pPr>
            <w:r>
              <w:rPr>
                <w:rFonts w:hint="default" w:ascii="Times New Roman" w:hAnsi="Times New Roman" w:eastAsia="宋体" w:cs="Times New Roman"/>
                <w:b w:val="0"/>
                <w:bCs w:val="0"/>
                <w:color w:val="000000"/>
                <w:kern w:val="0"/>
                <w:sz w:val="24"/>
                <w:szCs w:val="24"/>
                <w:lang w:val="en-US" w:eastAsia="zh-CN" w:bidi="ar-SA"/>
              </w:rPr>
              <w:t>本工程是</w:t>
            </w:r>
            <w:r>
              <w:rPr>
                <w:rFonts w:hint="eastAsia" w:cs="Times New Roman"/>
                <w:b w:val="0"/>
                <w:bCs w:val="0"/>
                <w:color w:val="000000"/>
                <w:kern w:val="0"/>
                <w:sz w:val="24"/>
                <w:szCs w:val="24"/>
                <w:lang w:val="en-US" w:eastAsia="zh-CN" w:bidi="ar-SA"/>
              </w:rPr>
              <w:t>对</w:t>
            </w:r>
            <w:r>
              <w:rPr>
                <w:rFonts w:hint="default" w:ascii="Times New Roman" w:hAnsi="Times New Roman" w:eastAsia="宋体" w:cs="Times New Roman"/>
                <w:b w:val="0"/>
                <w:bCs w:val="0"/>
                <w:color w:val="000000"/>
                <w:kern w:val="0"/>
                <w:sz w:val="24"/>
                <w:szCs w:val="24"/>
                <w:lang w:val="en-US" w:eastAsia="zh-CN" w:bidi="ar-SA"/>
              </w:rPr>
              <w:t>吉木</w:t>
            </w:r>
            <w:r>
              <w:rPr>
                <w:rFonts w:hint="default" w:ascii="Times New Roman" w:hAnsi="Times New Roman" w:eastAsia="宋体" w:cs="Times New Roman"/>
                <w:b w:val="0"/>
                <w:bCs w:val="0"/>
                <w:color w:val="000000"/>
                <w:kern w:val="0"/>
                <w:sz w:val="24"/>
                <w:szCs w:val="24"/>
                <w:highlight w:val="none"/>
                <w:lang w:val="en-US" w:eastAsia="zh-CN" w:bidi="ar-SA"/>
              </w:rPr>
              <w:t>萨尔县白杨河河道进行</w:t>
            </w:r>
            <w:r>
              <w:rPr>
                <w:rFonts w:hint="eastAsia" w:cs="Times New Roman"/>
                <w:b w:val="0"/>
                <w:bCs w:val="0"/>
                <w:color w:val="000000"/>
                <w:kern w:val="0"/>
                <w:sz w:val="24"/>
                <w:szCs w:val="24"/>
                <w:highlight w:val="none"/>
                <w:lang w:val="en-US" w:eastAsia="zh-CN" w:bidi="ar-SA"/>
              </w:rPr>
              <w:t>河道</w:t>
            </w:r>
            <w:r>
              <w:rPr>
                <w:rFonts w:hint="default" w:ascii="Times New Roman" w:hAnsi="Times New Roman" w:eastAsia="宋体" w:cs="Times New Roman"/>
                <w:b w:val="0"/>
                <w:bCs w:val="0"/>
                <w:color w:val="000000"/>
                <w:kern w:val="0"/>
                <w:sz w:val="24"/>
                <w:szCs w:val="24"/>
                <w:highlight w:val="none"/>
                <w:lang w:val="en-US" w:eastAsia="zh-CN" w:bidi="ar-SA"/>
              </w:rPr>
              <w:t>治理，</w:t>
            </w:r>
            <w:r>
              <w:rPr>
                <w:rFonts w:hint="eastAsia" w:cs="Times New Roman"/>
                <w:b w:val="0"/>
                <w:bCs w:val="0"/>
                <w:color w:val="000000"/>
                <w:kern w:val="0"/>
                <w:sz w:val="24"/>
                <w:szCs w:val="24"/>
                <w:highlight w:val="none"/>
                <w:lang w:val="en-US" w:eastAsia="zh-CN" w:bidi="ar-SA"/>
              </w:rPr>
              <w:t>根据</w:t>
            </w:r>
            <w:r>
              <w:rPr>
                <w:rFonts w:hint="eastAsia" w:hAnsi="宋体" w:cs="Times New Roman"/>
                <w:b w:val="0"/>
                <w:bCs/>
                <w:color w:val="000000"/>
                <w:kern w:val="0"/>
                <w:sz w:val="24"/>
                <w:szCs w:val="24"/>
                <w:highlight w:val="none"/>
                <w:lang w:val="en-US" w:eastAsia="zh-CN"/>
              </w:rPr>
              <w:t>《</w:t>
            </w:r>
            <w:r>
              <w:rPr>
                <w:rFonts w:hint="default" w:ascii="Times New Roman" w:hAnsi="宋体" w:eastAsia="宋体" w:cs="Times New Roman"/>
                <w:b w:val="0"/>
                <w:bCs/>
                <w:color w:val="000000"/>
                <w:kern w:val="0"/>
                <w:sz w:val="24"/>
                <w:szCs w:val="24"/>
                <w:highlight w:val="none"/>
                <w:lang w:val="en-US" w:eastAsia="zh-CN"/>
              </w:rPr>
              <w:t>新疆奇台县</w:t>
            </w:r>
            <w:r>
              <w:rPr>
                <w:rFonts w:hint="eastAsia" w:ascii="Times New Roman" w:hAnsi="宋体" w:eastAsia="宋体" w:cs="Times New Roman"/>
                <w:b w:val="0"/>
                <w:bCs/>
                <w:color w:val="000000"/>
                <w:kern w:val="0"/>
                <w:sz w:val="24"/>
                <w:szCs w:val="24"/>
                <w:highlight w:val="none"/>
                <w:lang w:val="en-US" w:eastAsia="zh-CN"/>
              </w:rPr>
              <w:t>白</w:t>
            </w:r>
            <w:r>
              <w:rPr>
                <w:rFonts w:hint="default" w:ascii="Times New Roman" w:hAnsi="宋体" w:eastAsia="宋体" w:cs="Times New Roman"/>
                <w:b w:val="0"/>
                <w:bCs/>
                <w:color w:val="000000"/>
                <w:kern w:val="0"/>
                <w:sz w:val="24"/>
                <w:szCs w:val="24"/>
                <w:highlight w:val="none"/>
                <w:lang w:val="en-US" w:eastAsia="zh-CN"/>
              </w:rPr>
              <w:t>杨河防洪规划报告</w:t>
            </w:r>
            <w:r>
              <w:rPr>
                <w:rFonts w:hint="eastAsia" w:ascii="Times New Roman" w:hAnsi="宋体" w:eastAsia="宋体" w:cs="Times New Roman"/>
                <w:b w:val="0"/>
                <w:bCs/>
                <w:color w:val="000000"/>
                <w:kern w:val="0"/>
                <w:sz w:val="24"/>
                <w:szCs w:val="24"/>
                <w:highlight w:val="none"/>
                <w:lang w:val="en-US" w:eastAsia="zh-CN"/>
              </w:rPr>
              <w:t>》</w:t>
            </w:r>
            <w:r>
              <w:rPr>
                <w:rFonts w:hint="eastAsia" w:cs="Times New Roman"/>
                <w:b w:val="0"/>
                <w:bCs w:val="0"/>
                <w:color w:val="000000"/>
                <w:kern w:val="0"/>
                <w:sz w:val="24"/>
                <w:szCs w:val="24"/>
                <w:highlight w:val="none"/>
                <w:lang w:val="en-US" w:eastAsia="zh-CN" w:bidi="ar-SA"/>
              </w:rPr>
              <w:t>可知</w:t>
            </w:r>
            <w:r>
              <w:rPr>
                <w:rFonts w:hint="eastAsia" w:cs="Times New Roman"/>
                <w:b w:val="0"/>
                <w:bCs w:val="0"/>
                <w:color w:val="000000"/>
                <w:kern w:val="0"/>
                <w:sz w:val="24"/>
                <w:szCs w:val="24"/>
                <w:lang w:val="en-US" w:eastAsia="zh-CN" w:bidi="ar-SA"/>
              </w:rPr>
              <w:t>，本项目的建设</w:t>
            </w:r>
            <w:r>
              <w:rPr>
                <w:rFonts w:hint="default" w:ascii="Times New Roman" w:hAnsi="Times New Roman" w:eastAsia="宋体" w:cs="Times New Roman"/>
                <w:b w:val="0"/>
                <w:bCs w:val="0"/>
                <w:color w:val="000000"/>
                <w:kern w:val="0"/>
                <w:sz w:val="24"/>
                <w:szCs w:val="24"/>
                <w:lang w:val="en-US" w:eastAsia="zh-CN" w:bidi="ar-SA"/>
              </w:rPr>
              <w:t>使其防洪标准达到10年一遇，允许泄流量达到19.5</w:t>
            </w:r>
            <w:r>
              <w:rPr>
                <w:rFonts w:hint="eastAsia" w:ascii="Times New Roman" w:hAnsi="Times New Roman" w:eastAsia="宋体" w:cs="Times New Roman"/>
                <w:b w:val="0"/>
                <w:bCs w:val="0"/>
                <w:color w:val="000000"/>
                <w:kern w:val="0"/>
                <w:sz w:val="24"/>
                <w:szCs w:val="24"/>
                <w:lang w:val="en-US" w:eastAsia="zh-CN" w:bidi="ar-SA"/>
              </w:rPr>
              <w:t>～</w:t>
            </w:r>
            <w:r>
              <w:rPr>
                <w:rFonts w:hint="default" w:ascii="Times New Roman" w:hAnsi="Times New Roman" w:eastAsia="宋体" w:cs="Times New Roman"/>
                <w:b w:val="0"/>
                <w:bCs w:val="0"/>
                <w:color w:val="000000"/>
                <w:kern w:val="0"/>
                <w:sz w:val="24"/>
                <w:szCs w:val="24"/>
                <w:lang w:val="en-US" w:eastAsia="zh-CN" w:bidi="ar-SA"/>
              </w:rPr>
              <w:t>77.7m</w:t>
            </w:r>
            <w:r>
              <w:rPr>
                <w:rFonts w:hint="eastAsia" w:ascii="Times New Roman" w:hAnsi="Times New Roman" w:eastAsia="宋体" w:cs="Times New Roman"/>
                <w:b w:val="0"/>
                <w:bCs w:val="0"/>
                <w:color w:val="000000"/>
                <w:kern w:val="0"/>
                <w:sz w:val="24"/>
                <w:szCs w:val="24"/>
                <w:vertAlign w:val="superscript"/>
                <w:lang w:val="en-US" w:eastAsia="zh-CN" w:bidi="ar-SA"/>
              </w:rPr>
              <w:t>3</w:t>
            </w:r>
            <w:r>
              <w:rPr>
                <w:rFonts w:hint="default" w:ascii="Times New Roman" w:hAnsi="Times New Roman" w:eastAsia="宋体" w:cs="Times New Roman"/>
                <w:b w:val="0"/>
                <w:bCs w:val="0"/>
                <w:color w:val="000000"/>
                <w:kern w:val="0"/>
                <w:sz w:val="24"/>
                <w:szCs w:val="24"/>
                <w:lang w:val="en-US" w:eastAsia="zh-CN" w:bidi="ar-SA"/>
              </w:rPr>
              <w:t>/s</w:t>
            </w:r>
            <w:r>
              <w:rPr>
                <w:rFonts w:hint="eastAsia" w:ascii="Times New Roman" w:hAnsi="Times New Roman" w:eastAsia="宋体" w:cs="Times New Roman"/>
                <w:b w:val="0"/>
                <w:bCs w:val="0"/>
                <w:color w:val="000000"/>
                <w:kern w:val="0"/>
                <w:sz w:val="24"/>
                <w:szCs w:val="24"/>
                <w:lang w:val="en-US" w:eastAsia="zh-CN" w:bidi="ar-SA"/>
              </w:rPr>
              <w:t>，</w:t>
            </w:r>
            <w:r>
              <w:rPr>
                <w:rFonts w:hint="eastAsia" w:cs="Times New Roman"/>
                <w:b w:val="0"/>
                <w:bCs w:val="0"/>
                <w:color w:val="000000"/>
                <w:kern w:val="0"/>
                <w:sz w:val="24"/>
                <w:szCs w:val="24"/>
                <w:lang w:val="en-US" w:eastAsia="zh-CN" w:bidi="ar-SA"/>
              </w:rPr>
              <w:t>属于小型</w:t>
            </w:r>
            <w:r>
              <w:rPr>
                <w:rFonts w:hint="default" w:ascii="Times New Roman" w:hAnsi="Times New Roman" w:eastAsia="宋体" w:cs="Times New Roman"/>
                <w:b w:val="0"/>
                <w:bCs w:val="0"/>
                <w:color w:val="000000"/>
                <w:kern w:val="0"/>
                <w:sz w:val="24"/>
                <w:szCs w:val="24"/>
                <w:highlight w:val="none"/>
                <w:lang w:val="en-US" w:eastAsia="zh-CN" w:bidi="ar-SA"/>
              </w:rPr>
              <w:t>防洪除涝工程</w:t>
            </w:r>
            <w:r>
              <w:rPr>
                <w:rFonts w:hint="eastAsia" w:cs="Times New Roman"/>
                <w:b w:val="0"/>
                <w:bCs w:val="0"/>
                <w:color w:val="000000"/>
                <w:kern w:val="0"/>
                <w:sz w:val="24"/>
                <w:szCs w:val="24"/>
                <w:highlight w:val="none"/>
                <w:lang w:val="en-US" w:eastAsia="zh-CN" w:bidi="ar-SA"/>
              </w:rPr>
              <w:t>，</w:t>
            </w:r>
            <w:r>
              <w:rPr>
                <w:rFonts w:hint="default" w:ascii="Times New Roman" w:hAnsi="Times New Roman" w:eastAsia="宋体" w:cs="Times New Roman"/>
                <w:b w:val="0"/>
                <w:bCs w:val="0"/>
                <w:color w:val="000000"/>
                <w:kern w:val="0"/>
                <w:sz w:val="24"/>
                <w:szCs w:val="24"/>
                <w:lang w:val="en-US" w:eastAsia="zh-CN" w:bidi="ar-SA"/>
              </w:rPr>
              <w:t>河道治理河段总长度22.09km，其中2.41km河道为双侧护砌，其余19.68km河道为单侧护砌。工程级别为5级</w:t>
            </w:r>
            <w:r>
              <w:rPr>
                <w:rFonts w:hint="eastAsia" w:ascii="Times New Roman" w:hAnsi="Times New Roman" w:eastAsia="宋体" w:cs="Times New Roman"/>
                <w:b w:val="0"/>
                <w:bCs w:val="0"/>
                <w:color w:val="000000"/>
                <w:kern w:val="0"/>
                <w:sz w:val="24"/>
                <w:szCs w:val="24"/>
                <w:lang w:val="en-US" w:eastAsia="zh-CN" w:bidi="ar-SA"/>
              </w:rPr>
              <w:t>，</w:t>
            </w:r>
            <w:r>
              <w:rPr>
                <w:rFonts w:hint="default" w:ascii="Times New Roman" w:hAnsi="Times New Roman" w:eastAsia="宋体" w:cs="Times New Roman"/>
                <w:b w:val="0"/>
                <w:bCs w:val="0"/>
                <w:color w:val="000000"/>
                <w:kern w:val="0"/>
                <w:sz w:val="24"/>
                <w:szCs w:val="24"/>
                <w:lang w:val="en-US" w:eastAsia="zh-CN" w:bidi="ar-SA"/>
              </w:rPr>
              <w:t>对河道堤岸进行加固的同时，以满足10年一遇的行洪要求</w:t>
            </w:r>
            <w:r>
              <w:rPr>
                <w:rFonts w:hint="eastAsia" w:cs="Times New Roman"/>
                <w:b w:val="0"/>
                <w:bCs w:val="0"/>
                <w:color w:val="000000"/>
                <w:kern w:val="0"/>
                <w:sz w:val="24"/>
                <w:szCs w:val="24"/>
                <w:lang w:val="en-US" w:eastAsia="zh-CN" w:bidi="ar-SA"/>
              </w:rPr>
              <w:t>；建设的主要任</w:t>
            </w:r>
            <w:r>
              <w:rPr>
                <w:rFonts w:hint="eastAsia" w:hAnsi="宋体"/>
                <w:b w:val="0"/>
                <w:bCs/>
                <w:color w:val="000000"/>
                <w:highlight w:val="none"/>
                <w:lang w:val="en-US" w:eastAsia="zh-CN"/>
              </w:rPr>
              <w:t>是</w:t>
            </w:r>
            <w:r>
              <w:rPr>
                <w:rFonts w:hint="default" w:ascii="Times New Roman" w:hAnsi="Times New Roman" w:eastAsia="宋体" w:cs="Times New Roman"/>
                <w:b w:val="0"/>
                <w:bCs w:val="0"/>
                <w:color w:val="000000"/>
                <w:kern w:val="0"/>
                <w:sz w:val="24"/>
                <w:szCs w:val="24"/>
                <w:highlight w:val="none"/>
                <w:lang w:val="en-US" w:eastAsia="zh-CN" w:bidi="ar-SA"/>
              </w:rPr>
              <w:t>保障</w:t>
            </w:r>
            <w:r>
              <w:rPr>
                <w:rFonts w:hint="eastAsia" w:ascii="Times New Roman" w:hAnsi="Times New Roman" w:eastAsia="宋体" w:cs="Times New Roman"/>
                <w:b w:val="0"/>
                <w:bCs w:val="0"/>
                <w:color w:val="000000"/>
                <w:kern w:val="0"/>
                <w:sz w:val="24"/>
                <w:szCs w:val="24"/>
                <w:highlight w:val="none"/>
                <w:lang w:val="en-US" w:eastAsia="zh-CN" w:bidi="ar-SA"/>
              </w:rPr>
              <w:t>桩号0+000～1+880</w:t>
            </w:r>
            <w:r>
              <w:rPr>
                <w:rFonts w:hint="eastAsia" w:ascii="宋体" w:hAnsi="宋体" w:cs="宋体"/>
                <w:b w:val="0"/>
                <w:bCs/>
                <w:color w:val="000000"/>
                <w:highlight w:val="none"/>
              </w:rPr>
              <w:t>（</w:t>
            </w:r>
            <w:r>
              <w:rPr>
                <w:rFonts w:hint="eastAsia" w:ascii="Times New Roman" w:hAnsi="Times New Roman" w:eastAsia="宋体" w:cs="Times New Roman"/>
                <w:b w:val="0"/>
                <w:bCs w:val="0"/>
                <w:color w:val="000000"/>
                <w:kern w:val="0"/>
                <w:sz w:val="24"/>
                <w:szCs w:val="24"/>
                <w:highlight w:val="none"/>
                <w:lang w:val="en-US" w:eastAsia="zh-CN" w:bidi="ar-SA"/>
              </w:rPr>
              <w:t>五圣宫水文站</w:t>
            </w:r>
            <w:r>
              <w:rPr>
                <w:rFonts w:hint="eastAsia" w:ascii="宋体" w:hAnsi="宋体" w:cs="宋体"/>
                <w:b w:val="0"/>
                <w:bCs/>
                <w:color w:val="000000"/>
                <w:highlight w:val="none"/>
              </w:rPr>
              <w:t>）</w:t>
            </w:r>
            <w:r>
              <w:rPr>
                <w:rFonts w:hint="eastAsia" w:ascii="Times New Roman" w:hAnsi="Times New Roman" w:eastAsia="宋体" w:cs="Times New Roman"/>
                <w:b w:val="0"/>
                <w:bCs w:val="0"/>
                <w:color w:val="000000"/>
                <w:kern w:val="0"/>
                <w:sz w:val="24"/>
                <w:szCs w:val="24"/>
                <w:highlight w:val="none"/>
                <w:lang w:val="en-US" w:eastAsia="zh-CN" w:bidi="ar-SA"/>
              </w:rPr>
              <w:t>段、4+100～21+900</w:t>
            </w:r>
            <w:r>
              <w:rPr>
                <w:rFonts w:hint="eastAsia" w:ascii="宋体" w:hAnsi="宋体" w:cs="宋体"/>
                <w:b w:val="0"/>
                <w:bCs/>
                <w:color w:val="000000"/>
                <w:highlight w:val="none"/>
              </w:rPr>
              <w:t>（</w:t>
            </w:r>
            <w:r>
              <w:rPr>
                <w:rFonts w:hint="eastAsia" w:ascii="Times New Roman" w:hAnsi="Times New Roman" w:eastAsia="宋体" w:cs="Times New Roman"/>
                <w:b w:val="0"/>
                <w:bCs w:val="0"/>
                <w:color w:val="000000"/>
                <w:kern w:val="0"/>
                <w:sz w:val="24"/>
                <w:szCs w:val="24"/>
                <w:highlight w:val="none"/>
                <w:lang w:val="en-US" w:eastAsia="zh-CN" w:bidi="ar-SA"/>
              </w:rPr>
              <w:t>白杨河水库至林区公路</w:t>
            </w:r>
            <w:r>
              <w:rPr>
                <w:rFonts w:hint="eastAsia" w:ascii="宋体" w:hAnsi="宋体" w:cs="宋体"/>
                <w:b w:val="0"/>
                <w:bCs/>
                <w:color w:val="000000"/>
                <w:highlight w:val="none"/>
              </w:rPr>
              <w:t>）</w:t>
            </w:r>
            <w:r>
              <w:rPr>
                <w:rFonts w:hint="eastAsia" w:ascii="Times New Roman" w:hAnsi="Times New Roman" w:eastAsia="宋体" w:cs="Times New Roman"/>
                <w:b w:val="0"/>
                <w:bCs w:val="0"/>
                <w:color w:val="000000"/>
                <w:kern w:val="0"/>
                <w:sz w:val="24"/>
                <w:szCs w:val="24"/>
                <w:highlight w:val="none"/>
                <w:lang w:val="en-US" w:eastAsia="zh-CN" w:bidi="ar-SA"/>
              </w:rPr>
              <w:t>段和26+750～29+160</w:t>
            </w:r>
            <w:r>
              <w:rPr>
                <w:rFonts w:hint="eastAsia" w:ascii="宋体" w:hAnsi="宋体" w:cs="宋体"/>
                <w:b w:val="0"/>
                <w:bCs/>
                <w:color w:val="000000"/>
                <w:highlight w:val="none"/>
              </w:rPr>
              <w:t>（</w:t>
            </w:r>
            <w:r>
              <w:rPr>
                <w:rFonts w:hint="eastAsia" w:ascii="Times New Roman" w:hAnsi="Times New Roman" w:eastAsia="宋体" w:cs="Times New Roman"/>
                <w:b w:val="0"/>
                <w:bCs w:val="0"/>
                <w:color w:val="000000"/>
                <w:kern w:val="0"/>
                <w:sz w:val="24"/>
                <w:szCs w:val="24"/>
                <w:highlight w:val="none"/>
                <w:lang w:val="en-US" w:eastAsia="zh-CN" w:bidi="ar-SA"/>
              </w:rPr>
              <w:t>魏家村至S303省道</w:t>
            </w:r>
            <w:r>
              <w:rPr>
                <w:rFonts w:hint="eastAsia" w:ascii="宋体" w:hAnsi="宋体" w:cs="宋体"/>
                <w:b w:val="0"/>
                <w:bCs/>
                <w:color w:val="000000"/>
                <w:highlight w:val="none"/>
              </w:rPr>
              <w:t>）</w:t>
            </w:r>
            <w:r>
              <w:rPr>
                <w:rFonts w:hint="eastAsia" w:ascii="宋体" w:hAnsi="宋体" w:cs="宋体"/>
                <w:b w:val="0"/>
                <w:bCs/>
                <w:color w:val="000000"/>
                <w:highlight w:val="none"/>
                <w:lang w:val="en-US" w:eastAsia="zh-CN"/>
              </w:rPr>
              <w:t>段的</w:t>
            </w:r>
            <w:r>
              <w:rPr>
                <w:rFonts w:hint="default" w:ascii="Times New Roman" w:hAnsi="Times New Roman" w:eastAsia="宋体" w:cs="Times New Roman"/>
                <w:b w:val="0"/>
                <w:bCs w:val="0"/>
                <w:color w:val="000000"/>
                <w:kern w:val="0"/>
                <w:sz w:val="24"/>
                <w:szCs w:val="24"/>
                <w:highlight w:val="none"/>
                <w:lang w:val="en-US" w:eastAsia="zh-CN" w:bidi="ar-SA"/>
              </w:rPr>
              <w:t>行洪通道的畅通和保障河道正常行洪能力</w:t>
            </w:r>
            <w:r>
              <w:rPr>
                <w:rFonts w:hint="eastAsia" w:ascii="Times New Roman" w:hAnsi="Times New Roman" w:eastAsia="宋体" w:cs="Times New Roman"/>
                <w:b w:val="0"/>
                <w:bCs w:val="0"/>
                <w:color w:val="000000"/>
                <w:kern w:val="0"/>
                <w:sz w:val="24"/>
                <w:szCs w:val="24"/>
                <w:highlight w:val="none"/>
                <w:lang w:val="en-US" w:eastAsia="zh-CN" w:bidi="ar-SA"/>
              </w:rPr>
              <w:t>，确保沿岸村庄、农田及交通安全</w:t>
            </w:r>
            <w:r>
              <w:rPr>
                <w:rFonts w:hint="eastAsia" w:cs="Times New Roman"/>
                <w:b w:val="0"/>
                <w:bCs w:val="0"/>
                <w:color w:val="000000"/>
                <w:kern w:val="0"/>
                <w:sz w:val="24"/>
                <w:szCs w:val="24"/>
                <w:highlight w:val="none"/>
                <w:lang w:val="en-US" w:eastAsia="zh-CN" w:bidi="ar-SA"/>
              </w:rPr>
              <w:t>。</w:t>
            </w:r>
          </w:p>
          <w:p>
            <w:pPr>
              <w:pStyle w:val="143"/>
              <w:keepNext w:val="0"/>
              <w:keepLines w:val="0"/>
              <w:pageBreakBefore w:val="0"/>
              <w:kinsoku/>
              <w:wordWrap/>
              <w:overflowPunct/>
              <w:autoSpaceDE/>
              <w:autoSpaceDN/>
              <w:bidi w:val="0"/>
              <w:adjustRightInd w:val="0"/>
              <w:snapToGrid w:val="0"/>
              <w:ind w:firstLine="482"/>
              <w:textAlignment w:val="auto"/>
              <w:rPr>
                <w:rFonts w:hint="default" w:ascii="Times New Roman" w:hAnsi="Times New Roman" w:eastAsia="宋体" w:cs="Times New Roman"/>
                <w:b w:val="0"/>
                <w:bCs w:val="0"/>
                <w:color w:val="000000"/>
                <w:kern w:val="0"/>
                <w:sz w:val="24"/>
                <w:szCs w:val="24"/>
                <w:highlight w:val="none"/>
                <w:lang w:val="en-US" w:eastAsia="zh-CN" w:bidi="ar-SA"/>
              </w:rPr>
            </w:pPr>
            <w:r>
              <w:rPr>
                <w:rFonts w:hint="default" w:ascii="Times New Roman" w:hAnsi="Times New Roman" w:eastAsia="宋体" w:cs="Times New Roman"/>
                <w:b w:val="0"/>
                <w:bCs w:val="0"/>
                <w:color w:val="000000"/>
                <w:kern w:val="0"/>
                <w:sz w:val="24"/>
                <w:szCs w:val="24"/>
                <w:highlight w:val="none"/>
                <w:lang w:val="en-US" w:eastAsia="zh-CN" w:bidi="ar-SA"/>
              </w:rPr>
              <w:t>小型防洪除涝工程是指为解决农田灌溉和农村人畜饮水而修建的田间灌排工程、小型灌区、灌区抗旱水源工程、小型水库、塘坝、蓄水池、水窖、水井、引水工程和中小型泵站等规划</w:t>
            </w:r>
            <w:r>
              <w:rPr>
                <w:rFonts w:hint="eastAsia" w:cs="Times New Roman"/>
                <w:b w:val="0"/>
                <w:bCs w:val="0"/>
                <w:color w:val="000000"/>
                <w:kern w:val="0"/>
                <w:sz w:val="24"/>
                <w:szCs w:val="24"/>
                <w:highlight w:val="none"/>
                <w:lang w:val="en-US" w:eastAsia="zh-CN" w:bidi="ar-SA"/>
              </w:rPr>
              <w:t>，</w:t>
            </w:r>
            <w:r>
              <w:rPr>
                <w:rFonts w:hint="default" w:ascii="Times New Roman" w:hAnsi="Times New Roman" w:eastAsia="宋体" w:cs="Times New Roman"/>
                <w:b w:val="0"/>
                <w:bCs w:val="0"/>
                <w:color w:val="000000"/>
                <w:kern w:val="0"/>
                <w:sz w:val="24"/>
                <w:szCs w:val="24"/>
                <w:highlight w:val="none"/>
                <w:lang w:val="en-US" w:eastAsia="zh-CN" w:bidi="ar-SA"/>
              </w:rPr>
              <w:t>这些工程主要用于农田灌溉和除涝，包括灌溉泵站、衬砌渠道及配套建筑物、低压输水管道、过河涵洞、机耕桥和喷灌、微喷灌设施首部及其输水干管等。‌</w:t>
            </w:r>
          </w:p>
          <w:p>
            <w:pPr>
              <w:pStyle w:val="143"/>
              <w:keepNext w:val="0"/>
              <w:keepLines w:val="0"/>
              <w:pageBreakBefore w:val="0"/>
              <w:kinsoku/>
              <w:wordWrap/>
              <w:overflowPunct/>
              <w:autoSpaceDE/>
              <w:autoSpaceDN/>
              <w:bidi w:val="0"/>
              <w:adjustRightInd w:val="0"/>
              <w:snapToGrid w:val="0"/>
              <w:ind w:firstLine="482"/>
              <w:textAlignment w:val="auto"/>
              <w:rPr>
                <w:rFonts w:hint="default" w:ascii="Times New Roman" w:hAnsi="Times New Roman" w:eastAsia="宋体" w:cs="Times New Roman"/>
                <w:b w:val="0"/>
                <w:bCs w:val="0"/>
                <w:color w:val="000000"/>
                <w:kern w:val="0"/>
                <w:sz w:val="24"/>
                <w:szCs w:val="24"/>
                <w:highlight w:val="none"/>
                <w:lang w:val="en-US" w:eastAsia="zh-CN" w:bidi="ar-SA"/>
              </w:rPr>
            </w:pPr>
            <w:r>
              <w:rPr>
                <w:rFonts w:hint="default" w:ascii="Times New Roman" w:hAnsi="Times New Roman" w:eastAsia="宋体" w:cs="Times New Roman"/>
                <w:b w:val="0"/>
                <w:bCs w:val="0"/>
                <w:color w:val="000000"/>
                <w:kern w:val="0"/>
                <w:sz w:val="24"/>
                <w:szCs w:val="24"/>
                <w:highlight w:val="none"/>
                <w:lang w:val="en-US" w:eastAsia="zh-CN" w:bidi="ar-SA"/>
              </w:rPr>
              <w:t>小型防洪除涝工程的组成部分包括但不限于：</w:t>
            </w:r>
          </w:p>
          <w:p>
            <w:pPr>
              <w:pStyle w:val="143"/>
              <w:keepNext w:val="0"/>
              <w:keepLines w:val="0"/>
              <w:pageBreakBefore w:val="0"/>
              <w:kinsoku/>
              <w:wordWrap/>
              <w:overflowPunct/>
              <w:autoSpaceDE/>
              <w:autoSpaceDN/>
              <w:bidi w:val="0"/>
              <w:adjustRightInd w:val="0"/>
              <w:snapToGrid w:val="0"/>
              <w:ind w:firstLine="482"/>
              <w:textAlignment w:val="auto"/>
              <w:rPr>
                <w:rFonts w:hint="default" w:ascii="Times New Roman" w:hAnsi="Times New Roman" w:eastAsia="宋体" w:cs="Times New Roman"/>
                <w:b w:val="0"/>
                <w:bCs w:val="0"/>
                <w:color w:val="000000"/>
                <w:kern w:val="0"/>
                <w:sz w:val="24"/>
                <w:szCs w:val="24"/>
                <w:highlight w:val="none"/>
                <w:lang w:val="en-US" w:eastAsia="zh-CN" w:bidi="ar-SA"/>
              </w:rPr>
            </w:pPr>
            <w:r>
              <w:rPr>
                <w:rFonts w:hint="default" w:ascii="Times New Roman" w:hAnsi="Times New Roman" w:eastAsia="宋体" w:cs="Times New Roman"/>
                <w:b w:val="0"/>
                <w:bCs w:val="0"/>
                <w:color w:val="000000"/>
                <w:kern w:val="0"/>
                <w:sz w:val="24"/>
                <w:szCs w:val="24"/>
                <w:highlight w:val="none"/>
                <w:lang w:val="en-US" w:eastAsia="zh-CN" w:bidi="ar-SA"/>
              </w:rPr>
              <w:t>农田灌溉设施：如灌溉泵站、衬砌渠道及配套建筑物、低压输水管道等。</w:t>
            </w:r>
          </w:p>
          <w:p>
            <w:pPr>
              <w:pStyle w:val="143"/>
              <w:keepNext w:val="0"/>
              <w:keepLines w:val="0"/>
              <w:pageBreakBefore w:val="0"/>
              <w:kinsoku/>
              <w:wordWrap/>
              <w:overflowPunct/>
              <w:autoSpaceDE/>
              <w:autoSpaceDN/>
              <w:bidi w:val="0"/>
              <w:adjustRightInd w:val="0"/>
              <w:snapToGrid w:val="0"/>
              <w:ind w:firstLine="482"/>
              <w:textAlignment w:val="auto"/>
              <w:rPr>
                <w:rFonts w:hint="default" w:ascii="Times New Roman" w:hAnsi="Times New Roman" w:eastAsia="宋体" w:cs="Times New Roman"/>
                <w:b w:val="0"/>
                <w:bCs w:val="0"/>
                <w:color w:val="000000"/>
                <w:kern w:val="0"/>
                <w:sz w:val="24"/>
                <w:szCs w:val="24"/>
                <w:highlight w:val="none"/>
                <w:lang w:val="en-US" w:eastAsia="zh-CN" w:bidi="ar-SA"/>
              </w:rPr>
            </w:pPr>
            <w:r>
              <w:rPr>
                <w:rFonts w:hint="default" w:ascii="Times New Roman" w:hAnsi="Times New Roman" w:eastAsia="宋体" w:cs="Times New Roman"/>
                <w:b w:val="0"/>
                <w:bCs w:val="0"/>
                <w:color w:val="000000"/>
                <w:kern w:val="0"/>
                <w:sz w:val="24"/>
                <w:szCs w:val="24"/>
                <w:highlight w:val="none"/>
                <w:lang w:val="en-US" w:eastAsia="zh-CN" w:bidi="ar-SA"/>
              </w:rPr>
              <w:t>农田除涝工程设施：如排涝泵站、防洪圩堤及配套涵闸等。</w:t>
            </w:r>
          </w:p>
          <w:p>
            <w:pPr>
              <w:pStyle w:val="143"/>
              <w:keepNext w:val="0"/>
              <w:keepLines w:val="0"/>
              <w:pageBreakBefore w:val="0"/>
              <w:kinsoku/>
              <w:wordWrap/>
              <w:overflowPunct/>
              <w:autoSpaceDE/>
              <w:autoSpaceDN/>
              <w:bidi w:val="0"/>
              <w:adjustRightInd w:val="0"/>
              <w:snapToGrid w:val="0"/>
              <w:ind w:firstLine="482"/>
              <w:textAlignment w:val="auto"/>
              <w:rPr>
                <w:rFonts w:hint="default" w:ascii="Times New Roman" w:hAnsi="Times New Roman" w:eastAsia="宋体" w:cs="Times New Roman"/>
                <w:b w:val="0"/>
                <w:bCs w:val="0"/>
                <w:color w:val="000000"/>
                <w:kern w:val="0"/>
                <w:sz w:val="24"/>
                <w:szCs w:val="24"/>
                <w:highlight w:val="none"/>
                <w:lang w:val="en-US" w:eastAsia="zh-CN" w:bidi="ar-SA"/>
              </w:rPr>
            </w:pPr>
            <w:r>
              <w:rPr>
                <w:rFonts w:hint="default" w:ascii="Times New Roman" w:hAnsi="Times New Roman" w:eastAsia="宋体" w:cs="Times New Roman"/>
                <w:b w:val="0"/>
                <w:bCs w:val="0"/>
                <w:color w:val="000000"/>
                <w:kern w:val="0"/>
                <w:sz w:val="24"/>
                <w:szCs w:val="24"/>
                <w:highlight w:val="none"/>
                <w:lang w:val="en-US" w:eastAsia="zh-CN" w:bidi="ar-SA"/>
              </w:rPr>
              <w:t>在管理方面，小型防洪除涝工程的管理和维护由</w:t>
            </w:r>
            <w:r>
              <w:rPr>
                <w:rFonts w:hint="eastAsia" w:cs="Times New Roman"/>
                <w:b w:val="0"/>
                <w:bCs w:val="0"/>
                <w:color w:val="000000"/>
                <w:kern w:val="0"/>
                <w:sz w:val="24"/>
                <w:szCs w:val="24"/>
                <w:highlight w:val="none"/>
                <w:lang w:val="en-US" w:eastAsia="zh-CN" w:bidi="ar-SA"/>
              </w:rPr>
              <w:t>县</w:t>
            </w:r>
            <w:r>
              <w:rPr>
                <w:rFonts w:hint="default" w:ascii="Times New Roman" w:hAnsi="Times New Roman" w:eastAsia="宋体" w:cs="Times New Roman"/>
                <w:b w:val="0"/>
                <w:bCs w:val="0"/>
                <w:color w:val="000000"/>
                <w:kern w:val="0"/>
                <w:sz w:val="24"/>
                <w:szCs w:val="24"/>
                <w:highlight w:val="none"/>
                <w:lang w:val="en-US" w:eastAsia="zh-CN" w:bidi="ar-SA"/>
              </w:rPr>
              <w:t>水利</w:t>
            </w:r>
            <w:r>
              <w:rPr>
                <w:rFonts w:hint="eastAsia" w:cs="Times New Roman"/>
                <w:b w:val="0"/>
                <w:bCs w:val="0"/>
                <w:color w:val="000000"/>
                <w:kern w:val="0"/>
                <w:sz w:val="24"/>
                <w:szCs w:val="24"/>
                <w:highlight w:val="none"/>
                <w:lang w:val="en-US" w:eastAsia="zh-CN" w:bidi="ar-SA"/>
              </w:rPr>
              <w:t>局</w:t>
            </w:r>
            <w:r>
              <w:rPr>
                <w:rFonts w:hint="default" w:ascii="Times New Roman" w:hAnsi="Times New Roman" w:eastAsia="宋体" w:cs="Times New Roman"/>
                <w:b w:val="0"/>
                <w:bCs w:val="0"/>
                <w:color w:val="000000"/>
                <w:kern w:val="0"/>
                <w:sz w:val="24"/>
                <w:szCs w:val="24"/>
                <w:highlight w:val="none"/>
                <w:lang w:val="en-US" w:eastAsia="zh-CN" w:bidi="ar-SA"/>
              </w:rPr>
              <w:t>负责，确保工程的正常运行</w:t>
            </w:r>
            <w:r>
              <w:rPr>
                <w:rFonts w:hint="eastAsia" w:ascii="Times New Roman" w:hAnsi="Times New Roman" w:eastAsia="宋体" w:cs="Times New Roman"/>
                <w:b w:val="0"/>
                <w:bCs w:val="0"/>
                <w:color w:val="000000"/>
                <w:kern w:val="0"/>
                <w:sz w:val="24"/>
                <w:szCs w:val="24"/>
                <w:highlight w:val="none"/>
                <w:lang w:val="en-US" w:eastAsia="zh-CN" w:bidi="ar-SA"/>
              </w:rPr>
              <w:t>，</w:t>
            </w:r>
            <w:r>
              <w:rPr>
                <w:rFonts w:hint="default" w:ascii="Times New Roman" w:hAnsi="Times New Roman" w:eastAsia="宋体" w:cs="Times New Roman"/>
                <w:b w:val="0"/>
                <w:bCs w:val="0"/>
                <w:color w:val="000000"/>
                <w:kern w:val="0"/>
                <w:sz w:val="24"/>
                <w:szCs w:val="24"/>
                <w:highlight w:val="none"/>
                <w:lang w:val="en-US" w:eastAsia="zh-CN" w:bidi="ar-SA"/>
              </w:rPr>
              <w:t>明晰产权是深化小型水利工程管理体制改革的前提和基础，各级主管部门和管护主体要多渠道筹集工程管护经费，建立稳定的管护经费保障机制。‌</w:t>
            </w:r>
          </w:p>
          <w:p>
            <w:pPr>
              <w:adjustRightInd w:val="0"/>
              <w:snapToGrid w:val="0"/>
              <w:spacing w:line="360" w:lineRule="auto"/>
              <w:ind w:left="0" w:leftChars="0" w:firstLine="0" w:firstLineChars="0"/>
              <w:rPr>
                <w:rFonts w:hint="eastAsia" w:ascii="Times New Roman" w:hAnsi="宋体" w:eastAsia="宋体" w:cs="Times New Roman"/>
                <w:b/>
                <w:bCs/>
                <w:color w:val="000000"/>
                <w:sz w:val="24"/>
                <w:szCs w:val="24"/>
                <w:highlight w:val="none"/>
                <w:lang w:val="en-US" w:eastAsia="zh-CN"/>
              </w:rPr>
            </w:pPr>
            <w:r>
              <w:rPr>
                <w:rFonts w:hint="eastAsia" w:hAnsi="宋体" w:cs="Times New Roman"/>
                <w:b/>
                <w:bCs/>
                <w:color w:val="000000"/>
                <w:sz w:val="24"/>
                <w:szCs w:val="24"/>
                <w:highlight w:val="none"/>
                <w:lang w:val="en-US" w:eastAsia="zh-CN"/>
              </w:rPr>
              <w:t>4</w:t>
            </w:r>
            <w:r>
              <w:rPr>
                <w:rFonts w:hint="eastAsia" w:ascii="Times New Roman" w:hAnsi="宋体" w:eastAsia="宋体" w:cs="Times New Roman"/>
                <w:b/>
                <w:bCs/>
                <w:color w:val="000000"/>
                <w:sz w:val="24"/>
                <w:szCs w:val="24"/>
                <w:highlight w:val="none"/>
                <w:lang w:val="en-US" w:eastAsia="zh-CN"/>
              </w:rPr>
              <w:t>、工程合理使用年限指标</w:t>
            </w:r>
          </w:p>
          <w:p>
            <w:pPr>
              <w:keepNext w:val="0"/>
              <w:keepLines w:val="0"/>
              <w:widowControl/>
              <w:suppressLineNumbers w:val="0"/>
              <w:spacing w:line="360" w:lineRule="auto"/>
              <w:jc w:val="left"/>
              <w:rPr>
                <w:rFonts w:hint="eastAsia" w:ascii="Times New Roman" w:hAnsi="Times New Roman" w:eastAsia="宋体" w:cs="Times New Roman"/>
                <w:b w:val="0"/>
                <w:bCs w:val="0"/>
                <w:color w:val="000000"/>
                <w:kern w:val="0"/>
                <w:sz w:val="24"/>
                <w:szCs w:val="24"/>
                <w:lang w:val="en-US" w:eastAsia="zh-CN" w:bidi="ar-SA"/>
              </w:rPr>
            </w:pPr>
            <w:r>
              <w:rPr>
                <w:rFonts w:hint="eastAsia" w:ascii="Times New Roman" w:hAnsi="Times New Roman" w:eastAsia="宋体" w:cs="Times New Roman"/>
                <w:b w:val="0"/>
                <w:bCs w:val="0"/>
                <w:color w:val="000000"/>
                <w:kern w:val="0"/>
                <w:sz w:val="24"/>
                <w:szCs w:val="24"/>
                <w:lang w:val="en-US" w:eastAsia="zh-CN" w:bidi="ar-SA"/>
              </w:rPr>
              <w:t>根据《混凝土结构耐久性设计标准》（GB/T50476-2019），确定本项目防洪工程的合理使用年限为30年。</w:t>
            </w:r>
          </w:p>
          <w:p>
            <w:pPr>
              <w:keepNext w:val="0"/>
              <w:keepLines w:val="0"/>
              <w:widowControl/>
              <w:suppressLineNumbers w:val="0"/>
              <w:spacing w:line="360" w:lineRule="auto"/>
              <w:jc w:val="left"/>
              <w:rPr>
                <w:rFonts w:hint="eastAsia" w:ascii="Times New Roman" w:hAnsi="Times New Roman" w:eastAsia="宋体" w:cs="Times New Roman"/>
                <w:b w:val="0"/>
                <w:bCs w:val="0"/>
                <w:color w:val="000000"/>
                <w:kern w:val="0"/>
                <w:sz w:val="24"/>
                <w:szCs w:val="24"/>
                <w:lang w:val="en-US" w:eastAsia="zh-CN" w:bidi="ar-SA"/>
              </w:rPr>
            </w:pPr>
            <w:r>
              <w:rPr>
                <w:rFonts w:hint="eastAsia" w:ascii="Times New Roman" w:hAnsi="Times New Roman" w:eastAsia="宋体" w:cs="Times New Roman"/>
                <w:b w:val="0"/>
                <w:bCs w:val="0"/>
                <w:color w:val="000000"/>
                <w:kern w:val="0"/>
                <w:sz w:val="24"/>
                <w:szCs w:val="24"/>
                <w:lang w:val="en-US" w:eastAsia="zh-CN" w:bidi="ar-SA"/>
              </w:rPr>
              <w:t>根据地质报告，本工程各段护岸及建筑物水、土中硫酸盐和酸类物质环境侵蚀程度等级为轻度，水工建筑物所处的侵蚀环境类别为二类。</w:t>
            </w:r>
          </w:p>
          <w:p>
            <w:pPr>
              <w:spacing w:line="240" w:lineRule="auto"/>
              <w:ind w:firstLine="422" w:firstLineChars="200"/>
              <w:jc w:val="center"/>
              <w:rPr>
                <w:rFonts w:hint="default" w:ascii="Times New Roman" w:hAnsi="Times New Roman" w:eastAsia="宋体" w:cs="Times New Roman"/>
                <w:b w:val="0"/>
                <w:bCs w:val="0"/>
                <w:snapToGrid w:val="0"/>
                <w:color w:val="000000"/>
                <w:kern w:val="0"/>
                <w:sz w:val="24"/>
                <w:szCs w:val="24"/>
                <w:lang w:val="en-US" w:eastAsia="zh-CN"/>
              </w:rPr>
            </w:pPr>
            <w:r>
              <w:rPr>
                <w:rFonts w:hint="eastAsia" w:ascii="Times New Roman" w:hAnsi="Times New Roman" w:eastAsia="宋体" w:cs="Times New Roman"/>
                <w:b/>
                <w:bCs/>
                <w:snapToGrid w:val="0"/>
                <w:color w:val="000000"/>
                <w:kern w:val="0"/>
                <w:sz w:val="21"/>
                <w:szCs w:val="21"/>
                <w:lang w:val="en-US" w:eastAsia="zh-CN"/>
              </w:rPr>
              <w:t>表2-1           工程特性表</w:t>
            </w:r>
          </w:p>
          <w:tbl>
            <w:tblPr>
              <w:tblStyle w:val="3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1500"/>
              <w:gridCol w:w="792"/>
              <w:gridCol w:w="4204"/>
              <w:gridCol w:w="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序号</w:t>
                  </w:r>
                </w:p>
              </w:tc>
              <w:tc>
                <w:tcPr>
                  <w:tcW w:w="957"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项目</w:t>
                  </w:r>
                </w:p>
              </w:tc>
              <w:tc>
                <w:tcPr>
                  <w:tcW w:w="505"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单位</w:t>
                  </w:r>
                </w:p>
              </w:tc>
              <w:tc>
                <w:tcPr>
                  <w:tcW w:w="2682"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指标</w:t>
                  </w:r>
                </w:p>
              </w:tc>
              <w:tc>
                <w:tcPr>
                  <w:tcW w:w="437"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一</w:t>
                  </w:r>
                </w:p>
              </w:tc>
              <w:tc>
                <w:tcPr>
                  <w:tcW w:w="957"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工程概况</w:t>
                  </w:r>
                </w:p>
              </w:tc>
              <w:tc>
                <w:tcPr>
                  <w:tcW w:w="505"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p>
              </w:tc>
              <w:tc>
                <w:tcPr>
                  <w:tcW w:w="2682"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p>
              </w:tc>
              <w:tc>
                <w:tcPr>
                  <w:tcW w:w="437"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1</w:t>
                  </w:r>
                </w:p>
              </w:tc>
              <w:tc>
                <w:tcPr>
                  <w:tcW w:w="957"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工程名称</w:t>
                  </w:r>
                </w:p>
              </w:tc>
              <w:tc>
                <w:tcPr>
                  <w:tcW w:w="505"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p>
              </w:tc>
              <w:tc>
                <w:tcPr>
                  <w:tcW w:w="2682"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新疆吉木萨尔县白杨河五圣宫水文站至S303省道段中小河流治理工程</w:t>
                  </w:r>
                </w:p>
              </w:tc>
              <w:tc>
                <w:tcPr>
                  <w:tcW w:w="437"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2</w:t>
                  </w:r>
                </w:p>
              </w:tc>
              <w:tc>
                <w:tcPr>
                  <w:tcW w:w="957"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建设地点</w:t>
                  </w:r>
                </w:p>
              </w:tc>
              <w:tc>
                <w:tcPr>
                  <w:tcW w:w="505"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p>
              </w:tc>
              <w:tc>
                <w:tcPr>
                  <w:tcW w:w="2682"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default" w:ascii="Times New Roman" w:hAnsi="Times New Roman" w:eastAsia="宋体" w:cs="Times New Roman"/>
                      <w:b w:val="0"/>
                      <w:bCs w:val="0"/>
                      <w:snapToGrid w:val="0"/>
                      <w:color w:val="000000"/>
                      <w:kern w:val="0"/>
                      <w:sz w:val="21"/>
                      <w:szCs w:val="21"/>
                      <w:vertAlign w:val="baseline"/>
                      <w:lang w:val="en-US" w:eastAsia="zh-CN"/>
                    </w:rPr>
                    <w:t>白杨河五圣宫水文站至S303省道29.15km范围的河段</w:t>
                  </w:r>
                </w:p>
              </w:tc>
              <w:tc>
                <w:tcPr>
                  <w:tcW w:w="437"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二</w:t>
                  </w:r>
                </w:p>
              </w:tc>
              <w:tc>
                <w:tcPr>
                  <w:tcW w:w="957"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河流特性</w:t>
                  </w:r>
                </w:p>
              </w:tc>
              <w:tc>
                <w:tcPr>
                  <w:tcW w:w="505"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p>
              </w:tc>
              <w:tc>
                <w:tcPr>
                  <w:tcW w:w="2682"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p>
              </w:tc>
              <w:tc>
                <w:tcPr>
                  <w:tcW w:w="437"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1</w:t>
                  </w:r>
                </w:p>
              </w:tc>
              <w:tc>
                <w:tcPr>
                  <w:tcW w:w="957"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河流名称</w:t>
                  </w:r>
                </w:p>
              </w:tc>
              <w:tc>
                <w:tcPr>
                  <w:tcW w:w="505"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p>
              </w:tc>
              <w:tc>
                <w:tcPr>
                  <w:tcW w:w="2682"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吉木萨尔县白杨河</w:t>
                  </w:r>
                </w:p>
              </w:tc>
              <w:tc>
                <w:tcPr>
                  <w:tcW w:w="437"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2</w:t>
                  </w:r>
                </w:p>
              </w:tc>
              <w:tc>
                <w:tcPr>
                  <w:tcW w:w="957"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集水面积</w:t>
                  </w:r>
                </w:p>
              </w:tc>
              <w:tc>
                <w:tcPr>
                  <w:tcW w:w="505"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default" w:ascii="Times New Roman" w:hAnsi="Times New Roman" w:eastAsia="宋体" w:cs="Times New Roman"/>
                      <w:b w:val="0"/>
                      <w:bCs w:val="0"/>
                      <w:snapToGrid w:val="0"/>
                      <w:color w:val="000000"/>
                      <w:kern w:val="0"/>
                      <w:sz w:val="21"/>
                      <w:szCs w:val="21"/>
                      <w:vertAlign w:val="baseline"/>
                      <w:lang w:val="en-US" w:eastAsia="zh-CN"/>
                    </w:rPr>
                    <w:t>km</w:t>
                  </w:r>
                  <w:r>
                    <w:rPr>
                      <w:rFonts w:hint="default" w:ascii="Times New Roman" w:hAnsi="Times New Roman" w:eastAsia="宋体" w:cs="Times New Roman"/>
                      <w:b w:val="0"/>
                      <w:bCs w:val="0"/>
                      <w:snapToGrid w:val="0"/>
                      <w:color w:val="000000"/>
                      <w:kern w:val="0"/>
                      <w:sz w:val="21"/>
                      <w:szCs w:val="21"/>
                      <w:vertAlign w:val="superscript"/>
                      <w:lang w:val="en-US" w:eastAsia="zh-CN"/>
                    </w:rPr>
                    <w:t>2</w:t>
                  </w:r>
                </w:p>
              </w:tc>
              <w:tc>
                <w:tcPr>
                  <w:tcW w:w="2682"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default" w:ascii="Times New Roman" w:hAnsi="Times New Roman" w:eastAsia="宋体" w:cs="Times New Roman"/>
                      <w:b w:val="0"/>
                      <w:bCs w:val="0"/>
                      <w:snapToGrid w:val="0"/>
                      <w:color w:val="000000"/>
                      <w:kern w:val="0"/>
                      <w:sz w:val="21"/>
                      <w:szCs w:val="21"/>
                      <w:vertAlign w:val="baseline"/>
                      <w:lang w:val="en-US" w:eastAsia="zh-CN"/>
                    </w:rPr>
                    <w:t>162</w:t>
                  </w:r>
                </w:p>
              </w:tc>
              <w:tc>
                <w:tcPr>
                  <w:tcW w:w="437"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3</w:t>
                  </w:r>
                </w:p>
              </w:tc>
              <w:tc>
                <w:tcPr>
                  <w:tcW w:w="957"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河流比降</w:t>
                  </w:r>
                </w:p>
              </w:tc>
              <w:tc>
                <w:tcPr>
                  <w:tcW w:w="505"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default" w:ascii="Times New Roman" w:hAnsi="Times New Roman" w:eastAsia="宋体" w:cs="Times New Roman"/>
                      <w:b w:val="0"/>
                      <w:bCs w:val="0"/>
                      <w:snapToGrid w:val="0"/>
                      <w:color w:val="000000"/>
                      <w:kern w:val="0"/>
                      <w:sz w:val="21"/>
                      <w:szCs w:val="21"/>
                      <w:vertAlign w:val="baseline"/>
                      <w:lang w:val="en-US" w:eastAsia="zh-CN"/>
                    </w:rPr>
                    <w:t>‰</w:t>
                  </w:r>
                </w:p>
              </w:tc>
              <w:tc>
                <w:tcPr>
                  <w:tcW w:w="2682"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default" w:ascii="Times New Roman" w:hAnsi="Times New Roman" w:eastAsia="宋体" w:cs="Times New Roman"/>
                      <w:b w:val="0"/>
                      <w:bCs w:val="0"/>
                      <w:snapToGrid w:val="0"/>
                      <w:color w:val="000000"/>
                      <w:kern w:val="0"/>
                      <w:sz w:val="21"/>
                      <w:szCs w:val="21"/>
                      <w:vertAlign w:val="baseline"/>
                      <w:lang w:val="en-US" w:eastAsia="zh-CN"/>
                    </w:rPr>
                    <w:t>27</w:t>
                  </w:r>
                </w:p>
              </w:tc>
              <w:tc>
                <w:tcPr>
                  <w:tcW w:w="437"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4</w:t>
                  </w:r>
                </w:p>
              </w:tc>
              <w:tc>
                <w:tcPr>
                  <w:tcW w:w="957"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河流长度</w:t>
                  </w:r>
                </w:p>
              </w:tc>
              <w:tc>
                <w:tcPr>
                  <w:tcW w:w="505"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default" w:ascii="Times New Roman" w:hAnsi="Times New Roman" w:eastAsia="宋体" w:cs="Times New Roman"/>
                      <w:b w:val="0"/>
                      <w:bCs w:val="0"/>
                      <w:snapToGrid w:val="0"/>
                      <w:color w:val="000000"/>
                      <w:kern w:val="0"/>
                      <w:sz w:val="21"/>
                      <w:szCs w:val="21"/>
                      <w:vertAlign w:val="baseline"/>
                      <w:lang w:val="en-US" w:eastAsia="zh-CN"/>
                    </w:rPr>
                    <w:t>km</w:t>
                  </w:r>
                </w:p>
              </w:tc>
              <w:tc>
                <w:tcPr>
                  <w:tcW w:w="2682"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default" w:ascii="Times New Roman" w:hAnsi="Times New Roman" w:eastAsia="宋体" w:cs="Times New Roman"/>
                      <w:b w:val="0"/>
                      <w:bCs w:val="0"/>
                      <w:snapToGrid w:val="0"/>
                      <w:color w:val="000000"/>
                      <w:kern w:val="0"/>
                      <w:sz w:val="21"/>
                      <w:szCs w:val="21"/>
                      <w:vertAlign w:val="baseline"/>
                      <w:lang w:val="en-US" w:eastAsia="zh-CN"/>
                    </w:rPr>
                    <w:t>60</w:t>
                  </w:r>
                </w:p>
              </w:tc>
              <w:tc>
                <w:tcPr>
                  <w:tcW w:w="437"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5</w:t>
                  </w:r>
                </w:p>
              </w:tc>
              <w:tc>
                <w:tcPr>
                  <w:tcW w:w="957"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工程设防标准</w:t>
                  </w:r>
                </w:p>
              </w:tc>
              <w:tc>
                <w:tcPr>
                  <w:tcW w:w="505"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p>
              </w:tc>
              <w:tc>
                <w:tcPr>
                  <w:tcW w:w="2682"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p>
              </w:tc>
              <w:tc>
                <w:tcPr>
                  <w:tcW w:w="437"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6</w:t>
                  </w:r>
                </w:p>
              </w:tc>
              <w:tc>
                <w:tcPr>
                  <w:tcW w:w="957"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洪峰流量</w:t>
                  </w:r>
                </w:p>
              </w:tc>
              <w:tc>
                <w:tcPr>
                  <w:tcW w:w="505"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m</w:t>
                  </w:r>
                  <w:r>
                    <w:rPr>
                      <w:rFonts w:hint="eastAsia" w:ascii="Times New Roman" w:hAnsi="Times New Roman" w:eastAsia="宋体" w:cs="Times New Roman"/>
                      <w:b w:val="0"/>
                      <w:bCs w:val="0"/>
                      <w:snapToGrid w:val="0"/>
                      <w:color w:val="000000"/>
                      <w:kern w:val="0"/>
                      <w:sz w:val="21"/>
                      <w:szCs w:val="21"/>
                      <w:vertAlign w:val="superscript"/>
                      <w:lang w:val="en-US" w:eastAsia="zh-CN"/>
                    </w:rPr>
                    <w:t>3</w:t>
                  </w:r>
                  <w:r>
                    <w:rPr>
                      <w:rFonts w:hint="eastAsia" w:ascii="Times New Roman" w:hAnsi="Times New Roman" w:eastAsia="宋体" w:cs="Times New Roman"/>
                      <w:b w:val="0"/>
                      <w:bCs w:val="0"/>
                      <w:snapToGrid w:val="0"/>
                      <w:color w:val="000000"/>
                      <w:kern w:val="0"/>
                      <w:sz w:val="21"/>
                      <w:szCs w:val="21"/>
                      <w:vertAlign w:val="baseline"/>
                      <w:lang w:val="en-US" w:eastAsia="zh-CN"/>
                    </w:rPr>
                    <w:t>/s</w:t>
                  </w:r>
                </w:p>
              </w:tc>
              <w:tc>
                <w:tcPr>
                  <w:tcW w:w="2682"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19.5～77.7</w:t>
                  </w:r>
                </w:p>
              </w:tc>
              <w:tc>
                <w:tcPr>
                  <w:tcW w:w="437"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三</w:t>
                  </w:r>
                </w:p>
              </w:tc>
              <w:tc>
                <w:tcPr>
                  <w:tcW w:w="957"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工程布置</w:t>
                  </w:r>
                </w:p>
              </w:tc>
              <w:tc>
                <w:tcPr>
                  <w:tcW w:w="505"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p>
              </w:tc>
              <w:tc>
                <w:tcPr>
                  <w:tcW w:w="2682"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p>
              </w:tc>
              <w:tc>
                <w:tcPr>
                  <w:tcW w:w="437"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1</w:t>
                  </w:r>
                </w:p>
              </w:tc>
              <w:tc>
                <w:tcPr>
                  <w:tcW w:w="957"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型式</w:t>
                  </w:r>
                </w:p>
              </w:tc>
              <w:tc>
                <w:tcPr>
                  <w:tcW w:w="505"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p>
              </w:tc>
              <w:tc>
                <w:tcPr>
                  <w:tcW w:w="2682"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防洪堤</w:t>
                  </w:r>
                </w:p>
              </w:tc>
              <w:tc>
                <w:tcPr>
                  <w:tcW w:w="437"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2</w:t>
                  </w:r>
                </w:p>
              </w:tc>
              <w:tc>
                <w:tcPr>
                  <w:tcW w:w="957"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长度</w:t>
                  </w:r>
                </w:p>
              </w:tc>
              <w:tc>
                <w:tcPr>
                  <w:tcW w:w="505"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km</w:t>
                  </w:r>
                </w:p>
              </w:tc>
              <w:tc>
                <w:tcPr>
                  <w:tcW w:w="2682"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22.09</w:t>
                  </w:r>
                </w:p>
              </w:tc>
              <w:tc>
                <w:tcPr>
                  <w:tcW w:w="437"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3</w:t>
                  </w:r>
                </w:p>
              </w:tc>
              <w:tc>
                <w:tcPr>
                  <w:tcW w:w="957"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设计纵坡</w:t>
                  </w:r>
                </w:p>
              </w:tc>
              <w:tc>
                <w:tcPr>
                  <w:tcW w:w="505"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default" w:ascii="Times New Roman" w:hAnsi="Times New Roman" w:eastAsia="宋体" w:cs="Times New Roman"/>
                      <w:b w:val="0"/>
                      <w:bCs w:val="0"/>
                      <w:snapToGrid w:val="0"/>
                      <w:color w:val="000000"/>
                      <w:kern w:val="0"/>
                      <w:sz w:val="21"/>
                      <w:szCs w:val="21"/>
                      <w:vertAlign w:val="baseline"/>
                      <w:lang w:val="en-US" w:eastAsia="zh-CN"/>
                    </w:rPr>
                    <w:t>‰</w:t>
                  </w:r>
                </w:p>
              </w:tc>
              <w:tc>
                <w:tcPr>
                  <w:tcW w:w="2682"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10.0～36.0</w:t>
                  </w:r>
                </w:p>
              </w:tc>
              <w:tc>
                <w:tcPr>
                  <w:tcW w:w="437"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4</w:t>
                  </w:r>
                </w:p>
              </w:tc>
              <w:tc>
                <w:tcPr>
                  <w:tcW w:w="957"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设计底宽</w:t>
                  </w:r>
                </w:p>
              </w:tc>
              <w:tc>
                <w:tcPr>
                  <w:tcW w:w="505"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default" w:ascii="Times New Roman" w:hAnsi="Times New Roman" w:eastAsia="宋体" w:cs="Times New Roman"/>
                      <w:b w:val="0"/>
                      <w:bCs w:val="0"/>
                      <w:snapToGrid w:val="0"/>
                      <w:color w:val="000000"/>
                      <w:kern w:val="0"/>
                      <w:sz w:val="21"/>
                      <w:szCs w:val="21"/>
                      <w:vertAlign w:val="baseline"/>
                      <w:lang w:val="en-US" w:eastAsia="zh-CN"/>
                    </w:rPr>
                    <w:t>m</w:t>
                  </w:r>
                </w:p>
              </w:tc>
              <w:tc>
                <w:tcPr>
                  <w:tcW w:w="2682"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8.0/300</w:t>
                  </w:r>
                </w:p>
              </w:tc>
              <w:tc>
                <w:tcPr>
                  <w:tcW w:w="437"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5</w:t>
                  </w:r>
                </w:p>
              </w:tc>
              <w:tc>
                <w:tcPr>
                  <w:tcW w:w="957"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堤高</w:t>
                  </w:r>
                </w:p>
              </w:tc>
              <w:tc>
                <w:tcPr>
                  <w:tcW w:w="505"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default" w:ascii="Times New Roman" w:hAnsi="Times New Roman" w:eastAsia="宋体" w:cs="Times New Roman"/>
                      <w:b w:val="0"/>
                      <w:bCs w:val="0"/>
                      <w:snapToGrid w:val="0"/>
                      <w:color w:val="000000"/>
                      <w:kern w:val="0"/>
                      <w:sz w:val="21"/>
                      <w:szCs w:val="21"/>
                      <w:vertAlign w:val="baseline"/>
                      <w:lang w:val="en-US" w:eastAsia="zh-CN"/>
                    </w:rPr>
                    <w:t>m</w:t>
                  </w:r>
                </w:p>
              </w:tc>
              <w:tc>
                <w:tcPr>
                  <w:tcW w:w="2682"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2.0～2.3</w:t>
                  </w:r>
                </w:p>
              </w:tc>
              <w:tc>
                <w:tcPr>
                  <w:tcW w:w="437"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6</w:t>
                  </w:r>
                </w:p>
              </w:tc>
              <w:tc>
                <w:tcPr>
                  <w:tcW w:w="957"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基础埋深</w:t>
                  </w:r>
                </w:p>
              </w:tc>
              <w:tc>
                <w:tcPr>
                  <w:tcW w:w="505"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default" w:ascii="Times New Roman" w:hAnsi="Times New Roman" w:eastAsia="宋体" w:cs="Times New Roman"/>
                      <w:b w:val="0"/>
                      <w:bCs w:val="0"/>
                      <w:snapToGrid w:val="0"/>
                      <w:color w:val="000000"/>
                      <w:kern w:val="0"/>
                      <w:sz w:val="21"/>
                      <w:szCs w:val="21"/>
                      <w:vertAlign w:val="baseline"/>
                      <w:lang w:val="en-US" w:eastAsia="zh-CN"/>
                    </w:rPr>
                    <w:t>m</w:t>
                  </w:r>
                </w:p>
              </w:tc>
              <w:tc>
                <w:tcPr>
                  <w:tcW w:w="2682"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2</w:t>
                  </w:r>
                </w:p>
              </w:tc>
              <w:tc>
                <w:tcPr>
                  <w:tcW w:w="437"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7</w:t>
                  </w:r>
                </w:p>
              </w:tc>
              <w:tc>
                <w:tcPr>
                  <w:tcW w:w="957"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内边坡</w:t>
                  </w:r>
                </w:p>
              </w:tc>
              <w:tc>
                <w:tcPr>
                  <w:tcW w:w="505"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p>
              </w:tc>
              <w:tc>
                <w:tcPr>
                  <w:tcW w:w="2682"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1:1.5/0（梯形/矩形）</w:t>
                  </w:r>
                </w:p>
              </w:tc>
              <w:tc>
                <w:tcPr>
                  <w:tcW w:w="437"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8</w:t>
                  </w:r>
                </w:p>
              </w:tc>
              <w:tc>
                <w:tcPr>
                  <w:tcW w:w="957"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堤顶宽</w:t>
                  </w:r>
                </w:p>
              </w:tc>
              <w:tc>
                <w:tcPr>
                  <w:tcW w:w="505"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default" w:ascii="Times New Roman" w:hAnsi="Times New Roman" w:eastAsia="宋体" w:cs="Times New Roman"/>
                      <w:b w:val="0"/>
                      <w:bCs w:val="0"/>
                      <w:snapToGrid w:val="0"/>
                      <w:color w:val="000000"/>
                      <w:kern w:val="0"/>
                      <w:sz w:val="21"/>
                      <w:szCs w:val="21"/>
                      <w:vertAlign w:val="baseline"/>
                      <w:lang w:val="en-US" w:eastAsia="zh-CN"/>
                    </w:rPr>
                    <w:t>m</w:t>
                  </w:r>
                </w:p>
              </w:tc>
              <w:tc>
                <w:tcPr>
                  <w:tcW w:w="2682"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4</w:t>
                  </w:r>
                </w:p>
              </w:tc>
              <w:tc>
                <w:tcPr>
                  <w:tcW w:w="437"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9</w:t>
                  </w:r>
                </w:p>
              </w:tc>
              <w:tc>
                <w:tcPr>
                  <w:tcW w:w="957"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衬砌形式</w:t>
                  </w:r>
                </w:p>
              </w:tc>
              <w:tc>
                <w:tcPr>
                  <w:tcW w:w="505"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p>
              </w:tc>
              <w:tc>
                <w:tcPr>
                  <w:tcW w:w="2682"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30cm厚浆砌石衬砌；</w:t>
                  </w:r>
                </w:p>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15cm厚砼板衬砌；浆砌石挡墙</w:t>
                  </w:r>
                </w:p>
              </w:tc>
              <w:tc>
                <w:tcPr>
                  <w:tcW w:w="437"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10</w:t>
                  </w:r>
                </w:p>
              </w:tc>
              <w:tc>
                <w:tcPr>
                  <w:tcW w:w="957"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建筑物</w:t>
                  </w:r>
                </w:p>
              </w:tc>
              <w:tc>
                <w:tcPr>
                  <w:tcW w:w="505"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座</w:t>
                  </w:r>
                </w:p>
              </w:tc>
              <w:tc>
                <w:tcPr>
                  <w:tcW w:w="2682"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22</w:t>
                  </w:r>
                </w:p>
              </w:tc>
              <w:tc>
                <w:tcPr>
                  <w:tcW w:w="437"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p>
              </w:tc>
            </w:tr>
          </w:tbl>
          <w:p>
            <w:pPr>
              <w:adjustRightInd w:val="0"/>
              <w:snapToGrid w:val="0"/>
              <w:spacing w:line="360" w:lineRule="auto"/>
              <w:ind w:left="0" w:leftChars="0" w:firstLine="0" w:firstLineChars="0"/>
              <w:rPr>
                <w:rFonts w:hint="default" w:ascii="Times New Roman" w:hAnsi="Times New Roman" w:eastAsia="宋体" w:cs="Times New Roman"/>
                <w:b/>
                <w:bCs/>
                <w:color w:val="000000"/>
                <w:sz w:val="24"/>
                <w:szCs w:val="24"/>
                <w:lang w:val="en-US" w:eastAsia="zh-CN"/>
              </w:rPr>
            </w:pPr>
            <w:r>
              <w:rPr>
                <w:rFonts w:hint="eastAsia" w:hAnsi="宋体"/>
                <w:b/>
                <w:bCs/>
                <w:color w:val="000000"/>
                <w:sz w:val="24"/>
                <w:szCs w:val="24"/>
                <w:lang w:val="en-US" w:eastAsia="zh-CN"/>
              </w:rPr>
              <w:t>5</w:t>
            </w:r>
            <w:r>
              <w:rPr>
                <w:rFonts w:hint="default" w:ascii="Times New Roman" w:hAnsi="Times New Roman" w:eastAsia="宋体" w:cs="Times New Roman"/>
                <w:b/>
                <w:bCs/>
                <w:color w:val="000000"/>
                <w:sz w:val="24"/>
                <w:szCs w:val="24"/>
                <w:lang w:val="en-US" w:eastAsia="zh-CN"/>
              </w:rPr>
              <w:t>、</w:t>
            </w:r>
            <w:r>
              <w:rPr>
                <w:rFonts w:hint="default" w:ascii="Times New Roman" w:hAnsi="Times New Roman" w:eastAsia="宋体" w:cs="Times New Roman"/>
                <w:b/>
                <w:bCs/>
                <w:color w:val="000000"/>
                <w:sz w:val="24"/>
                <w:szCs w:val="24"/>
                <w:highlight w:val="none"/>
                <w:lang w:val="en-US" w:eastAsia="zh-CN"/>
              </w:rPr>
              <w:t>建设内容</w:t>
            </w:r>
          </w:p>
          <w:p>
            <w:pPr>
              <w:keepNext w:val="0"/>
              <w:keepLines w:val="0"/>
              <w:widowControl/>
              <w:suppressLineNumbers w:val="0"/>
              <w:spacing w:line="360" w:lineRule="auto"/>
              <w:jc w:val="left"/>
              <w:rPr>
                <w:rFonts w:hint="default" w:ascii="Times New Roman" w:hAnsi="Times New Roman" w:eastAsia="宋体" w:cs="Times New Roman"/>
                <w:color w:val="000000"/>
                <w:lang w:val="en-US" w:eastAsia="zh-CN"/>
              </w:rPr>
            </w:pPr>
            <w:r>
              <w:rPr>
                <w:rFonts w:hint="default" w:ascii="Times New Roman" w:hAnsi="Times New Roman" w:eastAsia="宋体" w:cs="Times New Roman"/>
                <w:color w:val="000000"/>
                <w:lang w:val="en-US" w:eastAsia="zh-CN"/>
              </w:rPr>
              <w:t>在白杨河河道修建22.09km的堤防工程，其中2.41km河道为双侧护砌，</w:t>
            </w:r>
          </w:p>
          <w:p>
            <w:pPr>
              <w:keepNext w:val="0"/>
              <w:keepLines w:val="0"/>
              <w:widowControl/>
              <w:suppressLineNumbers w:val="0"/>
              <w:spacing w:line="360" w:lineRule="auto"/>
              <w:ind w:left="0" w:leftChars="0" w:firstLine="0" w:firstLineChars="0"/>
              <w:jc w:val="left"/>
              <w:rPr>
                <w:rFonts w:hint="default" w:ascii="Times New Roman" w:hAnsi="Times New Roman" w:eastAsia="宋体" w:cs="Times New Roman"/>
                <w:color w:val="000000"/>
                <w:lang w:val="en-US" w:eastAsia="zh-CN"/>
              </w:rPr>
            </w:pPr>
            <w:r>
              <w:rPr>
                <w:rFonts w:hint="default" w:ascii="Times New Roman" w:hAnsi="Times New Roman" w:eastAsia="宋体" w:cs="Times New Roman"/>
                <w:color w:val="000000"/>
                <w:lang w:val="en-US" w:eastAsia="zh-CN"/>
              </w:rPr>
              <w:t>其余19.68km河道为单侧护砌，主要分为三段，分别为：五圣宫水文站段</w:t>
            </w:r>
            <w:r>
              <w:rPr>
                <w:rFonts w:hint="default" w:ascii="Times New Roman" w:hAnsi="Times New Roman" w:cs="Times New Roman"/>
                <w:b w:val="0"/>
                <w:bCs/>
                <w:color w:val="000000"/>
              </w:rPr>
              <w:t>（</w:t>
            </w:r>
            <w:r>
              <w:rPr>
                <w:rFonts w:hint="default" w:ascii="Times New Roman" w:hAnsi="Times New Roman" w:eastAsia="宋体" w:cs="Times New Roman"/>
                <w:b w:val="0"/>
                <w:bCs w:val="0"/>
                <w:color w:val="000000"/>
                <w:kern w:val="0"/>
                <w:sz w:val="24"/>
                <w:szCs w:val="24"/>
                <w:lang w:val="en-US" w:eastAsia="zh-CN" w:bidi="ar-SA"/>
              </w:rPr>
              <w:t>0+000～1+880</w:t>
            </w:r>
            <w:r>
              <w:rPr>
                <w:rFonts w:hint="default" w:ascii="Times New Roman" w:hAnsi="Times New Roman" w:cs="Times New Roman"/>
                <w:b w:val="0"/>
                <w:bCs/>
                <w:color w:val="000000"/>
              </w:rPr>
              <w:t>）</w:t>
            </w:r>
            <w:r>
              <w:rPr>
                <w:rFonts w:hint="default" w:ascii="Times New Roman" w:hAnsi="Times New Roman" w:eastAsia="宋体" w:cs="Times New Roman"/>
                <w:color w:val="000000"/>
                <w:lang w:val="en-US" w:eastAsia="zh-CN"/>
              </w:rPr>
              <w:t>（起点坐标：东经：89°14′23.348″，北纬：43°44′01.811″，终点坐标：东经：89°14′46.696″，北纬：43°44′48.120″）、白杨河水库至林区公路段</w:t>
            </w:r>
            <w:r>
              <w:rPr>
                <w:rFonts w:hint="default" w:ascii="Times New Roman" w:hAnsi="Times New Roman" w:cs="Times New Roman"/>
                <w:b w:val="0"/>
                <w:bCs/>
                <w:color w:val="000000"/>
              </w:rPr>
              <w:t>（</w:t>
            </w:r>
            <w:r>
              <w:rPr>
                <w:rFonts w:hint="default" w:ascii="Times New Roman" w:hAnsi="Times New Roman" w:eastAsia="宋体" w:cs="Times New Roman"/>
                <w:b w:val="0"/>
                <w:bCs w:val="0"/>
                <w:color w:val="000000"/>
                <w:kern w:val="0"/>
                <w:sz w:val="24"/>
                <w:szCs w:val="24"/>
                <w:lang w:val="en-US" w:eastAsia="zh-CN" w:bidi="ar-SA"/>
              </w:rPr>
              <w:t>4+100～21+900</w:t>
            </w:r>
            <w:r>
              <w:rPr>
                <w:rFonts w:hint="default" w:ascii="Times New Roman" w:hAnsi="Times New Roman" w:cs="Times New Roman"/>
                <w:b w:val="0"/>
                <w:bCs/>
                <w:color w:val="000000"/>
              </w:rPr>
              <w:t>）</w:t>
            </w:r>
            <w:r>
              <w:rPr>
                <w:rFonts w:hint="default" w:ascii="Times New Roman" w:hAnsi="Times New Roman" w:eastAsia="宋体" w:cs="Times New Roman"/>
                <w:color w:val="000000"/>
                <w:lang w:val="en-US" w:eastAsia="zh-CN"/>
              </w:rPr>
              <w:t>（起点坐标：东经：89°15′46.604″，北纬：43°46′02.682″，终点坐标：东经：89°17′05.645″，北纬：43°53′17.439″）、魏家村至S303段</w:t>
            </w:r>
            <w:r>
              <w:rPr>
                <w:rFonts w:hint="default" w:ascii="Times New Roman" w:hAnsi="Times New Roman" w:cs="Times New Roman"/>
                <w:b w:val="0"/>
                <w:bCs/>
                <w:color w:val="000000"/>
              </w:rPr>
              <w:t>（</w:t>
            </w:r>
            <w:r>
              <w:rPr>
                <w:rFonts w:hint="default" w:ascii="Times New Roman" w:hAnsi="Times New Roman" w:eastAsia="宋体" w:cs="Times New Roman"/>
                <w:b w:val="0"/>
                <w:bCs w:val="0"/>
                <w:color w:val="000000"/>
                <w:kern w:val="0"/>
                <w:sz w:val="24"/>
                <w:szCs w:val="24"/>
                <w:lang w:val="en-US" w:eastAsia="zh-CN" w:bidi="ar-SA"/>
              </w:rPr>
              <w:t>26+750～29+160</w:t>
            </w:r>
            <w:r>
              <w:rPr>
                <w:rFonts w:hint="default" w:ascii="Times New Roman" w:hAnsi="Times New Roman" w:cs="Times New Roman"/>
                <w:b w:val="0"/>
                <w:bCs/>
                <w:color w:val="000000"/>
              </w:rPr>
              <w:t>）</w:t>
            </w:r>
            <w:r>
              <w:rPr>
                <w:rFonts w:hint="default" w:ascii="Times New Roman" w:hAnsi="Times New Roman" w:eastAsia="宋体" w:cs="Times New Roman"/>
                <w:color w:val="000000"/>
                <w:lang w:val="en-US" w:eastAsia="zh-CN"/>
              </w:rPr>
              <w:t>（起点坐标：东经：89°18′40.486″，北纬：43°57′42.705，终点坐标：东经：89°18′35.388″，北纬：43°58′57.505″）。</w:t>
            </w:r>
          </w:p>
          <w:p>
            <w:pPr>
              <w:adjustRightInd w:val="0"/>
              <w:snapToGrid w:val="0"/>
              <w:spacing w:line="360" w:lineRule="auto"/>
              <w:ind w:left="0" w:leftChars="0" w:firstLine="0" w:firstLineChars="0"/>
              <w:rPr>
                <w:rFonts w:hint="default" w:ascii="Times New Roman" w:hAnsi="Times New Roman" w:eastAsia="宋体" w:cs="Times New Roman"/>
                <w:b/>
                <w:bCs/>
                <w:color w:val="000000"/>
                <w:sz w:val="24"/>
                <w:szCs w:val="24"/>
                <w:lang w:val="en-US" w:eastAsia="zh-CN"/>
              </w:rPr>
            </w:pPr>
            <w:r>
              <w:rPr>
                <w:rFonts w:hint="eastAsia" w:cs="Times New Roman"/>
                <w:b/>
                <w:bCs/>
                <w:color w:val="000000"/>
                <w:sz w:val="24"/>
                <w:szCs w:val="24"/>
                <w:lang w:val="en-US" w:eastAsia="zh-CN"/>
              </w:rPr>
              <w:t>6、工程组成</w:t>
            </w:r>
          </w:p>
          <w:p>
            <w:pPr>
              <w:keepNext w:val="0"/>
              <w:keepLines w:val="0"/>
              <w:widowControl/>
              <w:suppressLineNumbers w:val="0"/>
              <w:spacing w:line="360" w:lineRule="auto"/>
              <w:jc w:val="left"/>
              <w:rPr>
                <w:rFonts w:hint="default" w:ascii="Times New Roman" w:hAnsi="Times New Roman" w:eastAsia="宋体" w:cs="Times New Roman"/>
                <w:sz w:val="24"/>
                <w:szCs w:val="24"/>
                <w:highlight w:val="none"/>
                <w:lang w:val="en-US"/>
              </w:rPr>
            </w:pPr>
            <w:r>
              <w:rPr>
                <w:rFonts w:hint="eastAsia" w:cs="Times New Roman"/>
                <w:color w:val="000000"/>
                <w:kern w:val="0"/>
                <w:sz w:val="24"/>
                <w:szCs w:val="24"/>
                <w:highlight w:val="none"/>
                <w:lang w:val="en-US" w:eastAsia="zh-CN" w:bidi="ar"/>
              </w:rPr>
              <w:t>本项目为线性工程，</w:t>
            </w:r>
            <w:r>
              <w:rPr>
                <w:rFonts w:ascii="宋体" w:hAnsi="宋体" w:eastAsia="宋体" w:cs="宋体"/>
                <w:sz w:val="24"/>
                <w:szCs w:val="24"/>
              </w:rPr>
              <w:t>工程划分</w:t>
            </w:r>
            <w:r>
              <w:rPr>
                <w:rFonts w:hint="eastAsia" w:ascii="宋体" w:hAnsi="宋体" w:eastAsia="宋体" w:cs="宋体"/>
                <w:sz w:val="24"/>
                <w:szCs w:val="24"/>
                <w:lang w:val="en-US" w:eastAsia="zh-CN"/>
              </w:rPr>
              <w:t>为</w:t>
            </w:r>
            <w:r>
              <w:rPr>
                <w:rFonts w:ascii="宋体" w:hAnsi="宋体" w:eastAsia="宋体" w:cs="宋体"/>
                <w:sz w:val="24"/>
                <w:szCs w:val="24"/>
              </w:rPr>
              <w:t>低山丘陵区和冲洪积平原区</w:t>
            </w:r>
            <w:r>
              <w:rPr>
                <w:rFonts w:hint="eastAsia" w:ascii="宋体" w:hAnsi="宋体" w:eastAsia="宋体" w:cs="宋体"/>
                <w:sz w:val="24"/>
                <w:szCs w:val="24"/>
                <w:lang w:eastAsia="zh-CN"/>
              </w:rPr>
              <w:t>，</w:t>
            </w:r>
            <w:r>
              <w:rPr>
                <w:rFonts w:ascii="宋体" w:hAnsi="宋体" w:eastAsia="宋体" w:cs="宋体"/>
                <w:sz w:val="24"/>
                <w:szCs w:val="24"/>
              </w:rPr>
              <w:t>低山丘陵区划分为防洪堤工程区、防洪堤附属建筑物工程区、施工道路区、施工生产区、防洪堤临时堆土区等5个分</w:t>
            </w:r>
            <w:r>
              <w:rPr>
                <w:rFonts w:hint="eastAsia" w:ascii="宋体" w:hAnsi="宋体" w:eastAsia="宋体" w:cs="宋体"/>
                <w:sz w:val="24"/>
                <w:szCs w:val="24"/>
                <w:lang w:val="en-US" w:eastAsia="zh-CN"/>
              </w:rPr>
              <w:t>区；</w:t>
            </w:r>
            <w:r>
              <w:rPr>
                <w:rFonts w:ascii="宋体" w:hAnsi="宋体" w:eastAsia="宋体" w:cs="宋体"/>
                <w:sz w:val="24"/>
                <w:szCs w:val="24"/>
              </w:rPr>
              <w:t>冲洪积平原区分为防洪堤工程区、防洪堤附属建筑物工程区、防洪堤临时堆土区、排洪渠工程区、排洪渠附属建筑物工程区、施工道路区、施工生产区、排洪渠临时堆土区等8个分区</w:t>
            </w:r>
            <w:r>
              <w:rPr>
                <w:rFonts w:hint="eastAsia" w:ascii="宋体" w:hAnsi="宋体" w:eastAsia="宋体" w:cs="宋体"/>
                <w:sz w:val="24"/>
                <w:szCs w:val="24"/>
                <w:lang w:eastAsia="zh-CN"/>
              </w:rPr>
              <w:t>。</w:t>
            </w:r>
            <w:r>
              <w:rPr>
                <w:rFonts w:hint="default" w:ascii="Times New Roman" w:hAnsi="Times New Roman" w:eastAsia="宋体" w:cs="Times New Roman"/>
                <w:color w:val="000000"/>
                <w:kern w:val="0"/>
                <w:sz w:val="24"/>
                <w:szCs w:val="24"/>
                <w:highlight w:val="none"/>
                <w:lang w:val="en-US" w:eastAsia="zh-CN" w:bidi="ar"/>
              </w:rPr>
              <w:t>工程组成详见表2-</w:t>
            </w:r>
            <w:r>
              <w:rPr>
                <w:rFonts w:hint="eastAsia" w:cs="Times New Roman"/>
                <w:color w:val="000000"/>
                <w:kern w:val="0"/>
                <w:sz w:val="24"/>
                <w:szCs w:val="24"/>
                <w:highlight w:val="none"/>
                <w:lang w:val="en-US" w:eastAsia="zh-CN" w:bidi="ar"/>
              </w:rPr>
              <w:t>2</w:t>
            </w:r>
            <w:r>
              <w:rPr>
                <w:rFonts w:hint="default" w:ascii="Times New Roman" w:hAnsi="Times New Roman" w:eastAsia="宋体" w:cs="Times New Roman"/>
                <w:b w:val="0"/>
                <w:bCs w:val="0"/>
                <w:color w:val="000000"/>
                <w:kern w:val="0"/>
                <w:sz w:val="24"/>
                <w:szCs w:val="24"/>
                <w:highlight w:val="none"/>
                <w:lang w:val="en-US" w:eastAsia="zh-CN" w:bidi="ar-SA"/>
              </w:rPr>
              <w:t>。</w:t>
            </w:r>
          </w:p>
          <w:p>
            <w:pPr>
              <w:pStyle w:val="31"/>
              <w:snapToGrid w:val="0"/>
              <w:spacing w:beforeAutospacing="0" w:afterAutospacing="0" w:line="240" w:lineRule="auto"/>
              <w:jc w:val="center"/>
              <w:rPr>
                <w:rFonts w:ascii="Times New Roman"/>
                <w:color w:val="000000"/>
                <w:highlight w:val="none"/>
              </w:rPr>
            </w:pPr>
            <w:r>
              <w:rPr>
                <w:rFonts w:hint="eastAsia" w:ascii="Times New Roman"/>
                <w:b/>
                <w:color w:val="000000"/>
                <w:sz w:val="21"/>
                <w:szCs w:val="21"/>
                <w:highlight w:val="none"/>
              </w:rPr>
              <w:t>表</w:t>
            </w:r>
            <w:r>
              <w:rPr>
                <w:rFonts w:ascii="Times New Roman"/>
                <w:b/>
                <w:color w:val="000000"/>
                <w:sz w:val="21"/>
                <w:szCs w:val="21"/>
                <w:highlight w:val="none"/>
              </w:rPr>
              <w:t>2-</w:t>
            </w:r>
            <w:r>
              <w:rPr>
                <w:rFonts w:hint="eastAsia" w:ascii="Times New Roman"/>
                <w:b/>
                <w:color w:val="000000"/>
                <w:sz w:val="21"/>
                <w:szCs w:val="21"/>
                <w:highlight w:val="none"/>
                <w:lang w:val="en-US" w:eastAsia="zh-CN"/>
              </w:rPr>
              <w:t>2</w:t>
            </w:r>
            <w:r>
              <w:rPr>
                <w:rFonts w:ascii="Times New Roman"/>
                <w:b/>
                <w:color w:val="000000"/>
                <w:sz w:val="21"/>
                <w:szCs w:val="21"/>
                <w:highlight w:val="none"/>
              </w:rPr>
              <w:t xml:space="preserve">  </w:t>
            </w:r>
            <w:r>
              <w:rPr>
                <w:rFonts w:hint="eastAsia" w:ascii="Times New Roman"/>
                <w:b/>
                <w:color w:val="000000"/>
                <w:sz w:val="21"/>
                <w:szCs w:val="21"/>
                <w:highlight w:val="none"/>
                <w:lang w:val="en-US" w:eastAsia="zh-CN"/>
              </w:rPr>
              <w:t xml:space="preserve">         </w:t>
            </w:r>
            <w:r>
              <w:rPr>
                <w:rFonts w:hint="eastAsia" w:ascii="Times New Roman" w:hAnsi="Times New Roman" w:eastAsia="宋体" w:cs="Times New Roman"/>
                <w:b/>
                <w:color w:val="000000"/>
                <w:sz w:val="21"/>
                <w:szCs w:val="21"/>
                <w:highlight w:val="none"/>
              </w:rPr>
              <w:t xml:space="preserve"> </w:t>
            </w:r>
            <w:r>
              <w:rPr>
                <w:rFonts w:hint="default" w:ascii="Times New Roman" w:hAnsi="Times New Roman" w:eastAsia="宋体" w:cs="Times New Roman"/>
                <w:b/>
                <w:color w:val="000000"/>
                <w:sz w:val="21"/>
                <w:szCs w:val="21"/>
                <w:highlight w:val="none"/>
                <w:lang w:val="en-US" w:eastAsia="zh-CN"/>
              </w:rPr>
              <w:t>工程组成</w:t>
            </w:r>
            <w:r>
              <w:rPr>
                <w:rFonts w:hint="eastAsia" w:ascii="Times New Roman"/>
                <w:b/>
                <w:color w:val="000000"/>
                <w:sz w:val="21"/>
                <w:szCs w:val="21"/>
                <w:highlight w:val="none"/>
              </w:rPr>
              <w:t>一览表</w:t>
            </w:r>
          </w:p>
          <w:tbl>
            <w:tblPr>
              <w:tblStyle w:val="3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8"/>
              <w:gridCol w:w="428"/>
              <w:gridCol w:w="669"/>
              <w:gridCol w:w="4756"/>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blHeader/>
                <w:jc w:val="center"/>
              </w:trPr>
              <w:tc>
                <w:tcPr>
                  <w:tcW w:w="545" w:type="pct"/>
                  <w:gridSpan w:val="2"/>
                  <w:vAlign w:val="center"/>
                </w:tcPr>
                <w:p>
                  <w:pPr>
                    <w:pStyle w:val="94"/>
                    <w:snapToGrid w:val="0"/>
                    <w:spacing w:line="240" w:lineRule="auto"/>
                    <w:ind w:left="0" w:leftChars="0" w:firstLine="0" w:firstLineChars="0"/>
                    <w:jc w:val="center"/>
                    <w:rPr>
                      <w:rFonts w:hint="default" w:ascii="Times New Roman" w:hAnsi="Times New Roman" w:cs="Times New Roman"/>
                      <w:b w:val="0"/>
                      <w:bCs/>
                      <w:color w:val="000000"/>
                      <w:sz w:val="21"/>
                      <w:szCs w:val="21"/>
                    </w:rPr>
                  </w:pPr>
                  <w:r>
                    <w:rPr>
                      <w:rFonts w:hint="default" w:ascii="Times New Roman" w:hAnsi="Times New Roman" w:cs="Times New Roman"/>
                      <w:b w:val="0"/>
                      <w:bCs/>
                      <w:color w:val="000000"/>
                      <w:sz w:val="21"/>
                      <w:szCs w:val="21"/>
                    </w:rPr>
                    <w:t>工程</w:t>
                  </w:r>
                </w:p>
                <w:p>
                  <w:pPr>
                    <w:pStyle w:val="94"/>
                    <w:snapToGrid w:val="0"/>
                    <w:spacing w:line="240" w:lineRule="auto"/>
                    <w:ind w:left="0" w:leftChars="0" w:firstLine="0" w:firstLineChars="0"/>
                    <w:jc w:val="center"/>
                    <w:rPr>
                      <w:rFonts w:hint="default" w:ascii="Times New Roman" w:hAnsi="Times New Roman" w:cs="Times New Roman"/>
                      <w:b w:val="0"/>
                      <w:bCs/>
                      <w:color w:val="000000"/>
                      <w:sz w:val="21"/>
                      <w:szCs w:val="21"/>
                    </w:rPr>
                  </w:pPr>
                  <w:r>
                    <w:rPr>
                      <w:rFonts w:hint="default" w:ascii="Times New Roman" w:hAnsi="Times New Roman" w:cs="Times New Roman"/>
                      <w:b w:val="0"/>
                      <w:bCs/>
                      <w:color w:val="000000"/>
                      <w:sz w:val="21"/>
                      <w:szCs w:val="21"/>
                    </w:rPr>
                    <w:t>分类</w:t>
                  </w:r>
                </w:p>
              </w:tc>
              <w:tc>
                <w:tcPr>
                  <w:tcW w:w="700" w:type="pct"/>
                  <w:gridSpan w:val="2"/>
                  <w:vAlign w:val="center"/>
                </w:tcPr>
                <w:p>
                  <w:pPr>
                    <w:pStyle w:val="94"/>
                    <w:snapToGrid w:val="0"/>
                    <w:spacing w:line="240" w:lineRule="auto"/>
                    <w:ind w:left="0" w:leftChars="0" w:firstLine="0" w:firstLineChars="0"/>
                    <w:jc w:val="center"/>
                    <w:rPr>
                      <w:rFonts w:hint="default" w:ascii="Times New Roman" w:hAnsi="Times New Roman" w:eastAsia="宋体" w:cs="Times New Roman"/>
                      <w:color w:val="000000"/>
                      <w:spacing w:val="1"/>
                      <w:kern w:val="2"/>
                      <w:sz w:val="21"/>
                      <w:szCs w:val="21"/>
                      <w:highlight w:val="none"/>
                      <w:lang w:val="zh-CN" w:eastAsia="zh-CN" w:bidi="ar-SA"/>
                    </w:rPr>
                  </w:pPr>
                  <w:r>
                    <w:rPr>
                      <w:rFonts w:hint="default" w:ascii="Times New Roman" w:hAnsi="Times New Roman" w:eastAsia="宋体" w:cs="Times New Roman"/>
                      <w:color w:val="000000"/>
                      <w:spacing w:val="1"/>
                      <w:kern w:val="2"/>
                      <w:sz w:val="21"/>
                      <w:szCs w:val="21"/>
                      <w:highlight w:val="none"/>
                      <w:lang w:val="zh-CN" w:eastAsia="zh-CN" w:bidi="ar-SA"/>
                    </w:rPr>
                    <w:t>工程内容</w:t>
                  </w:r>
                </w:p>
              </w:tc>
              <w:tc>
                <w:tcPr>
                  <w:tcW w:w="3035" w:type="pct"/>
                  <w:vAlign w:val="center"/>
                </w:tcPr>
                <w:p>
                  <w:pPr>
                    <w:pStyle w:val="94"/>
                    <w:snapToGrid w:val="0"/>
                    <w:spacing w:line="240" w:lineRule="auto"/>
                    <w:ind w:firstLine="31680"/>
                    <w:jc w:val="center"/>
                    <w:rPr>
                      <w:rFonts w:hint="default" w:ascii="Times New Roman" w:hAnsi="Times New Roman" w:eastAsia="宋体" w:cs="Times New Roman"/>
                      <w:color w:val="000000"/>
                      <w:spacing w:val="1"/>
                      <w:kern w:val="2"/>
                      <w:sz w:val="21"/>
                      <w:szCs w:val="21"/>
                      <w:highlight w:val="none"/>
                      <w:lang w:val="en-US" w:eastAsia="zh-CN" w:bidi="ar-SA"/>
                    </w:rPr>
                  </w:pPr>
                  <w:r>
                    <w:rPr>
                      <w:rFonts w:hint="default" w:ascii="Times New Roman" w:hAnsi="Times New Roman" w:eastAsia="宋体" w:cs="Times New Roman"/>
                      <w:color w:val="000000"/>
                      <w:spacing w:val="1"/>
                      <w:kern w:val="2"/>
                      <w:sz w:val="21"/>
                      <w:szCs w:val="21"/>
                      <w:highlight w:val="none"/>
                      <w:lang w:val="en-US" w:eastAsia="zh-CN" w:bidi="ar-SA"/>
                    </w:rPr>
                    <w:t>建设内容及规模</w:t>
                  </w:r>
                </w:p>
              </w:tc>
              <w:tc>
                <w:tcPr>
                  <w:tcW w:w="719" w:type="pct"/>
                  <w:vAlign w:val="center"/>
                </w:tcPr>
                <w:p>
                  <w:pPr>
                    <w:pStyle w:val="94"/>
                    <w:snapToGrid w:val="0"/>
                    <w:spacing w:line="240" w:lineRule="auto"/>
                    <w:ind w:left="0" w:leftChars="0" w:firstLine="0" w:firstLineChars="0"/>
                    <w:jc w:val="center"/>
                    <w:rPr>
                      <w:rFonts w:hint="default" w:ascii="Times New Roman" w:hAnsi="Times New Roman" w:eastAsia="宋体" w:cs="Times New Roman"/>
                      <w:b w:val="0"/>
                      <w:bCs/>
                      <w:color w:val="000000"/>
                      <w:kern w:val="2"/>
                      <w:sz w:val="21"/>
                      <w:szCs w:val="21"/>
                      <w:lang w:val="en-US" w:eastAsia="zh-CN" w:bidi="ar-SA"/>
                    </w:rPr>
                  </w:pPr>
                  <w:r>
                    <w:rPr>
                      <w:rFonts w:hint="default" w:ascii="Times New Roman" w:hAnsi="Times New Roman" w:eastAsia="宋体" w:cs="Times New Roman"/>
                      <w:b w:val="0"/>
                      <w:bCs/>
                      <w:color w:val="000000"/>
                      <w:kern w:val="2"/>
                      <w:sz w:val="21"/>
                      <w:szCs w:val="21"/>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71" w:type="pct"/>
                  <w:vMerge w:val="restart"/>
                  <w:vAlign w:val="center"/>
                </w:tcPr>
                <w:p>
                  <w:pPr>
                    <w:pStyle w:val="94"/>
                    <w:snapToGrid w:val="0"/>
                    <w:spacing w:line="240" w:lineRule="auto"/>
                    <w:ind w:left="0" w:leftChars="0" w:firstLine="0" w:firstLineChars="0"/>
                    <w:jc w:val="both"/>
                    <w:rPr>
                      <w:rFonts w:hint="default" w:ascii="Times New Roman" w:hAnsi="Times New Roman" w:eastAsia="宋体" w:cs="Times New Roman"/>
                      <w:b w:val="0"/>
                      <w:bCs/>
                      <w:color w:val="000000"/>
                      <w:sz w:val="21"/>
                      <w:szCs w:val="21"/>
                      <w:lang w:val="en-US" w:eastAsia="zh-CN"/>
                    </w:rPr>
                  </w:pPr>
                  <w:r>
                    <w:rPr>
                      <w:rFonts w:hint="eastAsia" w:ascii="Times New Roman" w:hAnsi="Times New Roman" w:cs="Times New Roman"/>
                      <w:b w:val="0"/>
                      <w:bCs/>
                      <w:color w:val="000000"/>
                      <w:sz w:val="21"/>
                      <w:szCs w:val="21"/>
                      <w:lang w:val="en-US" w:eastAsia="zh-CN"/>
                    </w:rPr>
                    <w:t>主体工程</w:t>
                  </w:r>
                </w:p>
              </w:tc>
              <w:tc>
                <w:tcPr>
                  <w:tcW w:w="273" w:type="pct"/>
                  <w:vMerge w:val="restart"/>
                  <w:vAlign w:val="center"/>
                </w:tcPr>
                <w:p>
                  <w:pPr>
                    <w:pStyle w:val="94"/>
                    <w:snapToGrid w:val="0"/>
                    <w:spacing w:line="240" w:lineRule="auto"/>
                    <w:ind w:left="0" w:leftChars="0" w:firstLine="0" w:firstLineChars="0"/>
                    <w:jc w:val="center"/>
                    <w:rPr>
                      <w:rFonts w:hint="default" w:ascii="Times New Roman" w:hAnsi="Times New Roman" w:eastAsia="宋体" w:cs="Times New Roman"/>
                      <w:color w:val="000000"/>
                      <w:spacing w:val="1"/>
                      <w:kern w:val="2"/>
                      <w:sz w:val="21"/>
                      <w:szCs w:val="21"/>
                      <w:highlight w:val="none"/>
                      <w:lang w:val="zh-CN" w:eastAsia="zh-CN" w:bidi="ar-SA"/>
                    </w:rPr>
                  </w:pPr>
                  <w:r>
                    <w:rPr>
                      <w:rFonts w:hint="default" w:ascii="Times New Roman" w:hAnsi="Times New Roman" w:eastAsia="宋体" w:cs="Times New Roman"/>
                      <w:color w:val="000000"/>
                      <w:spacing w:val="1"/>
                      <w:kern w:val="2"/>
                      <w:sz w:val="21"/>
                      <w:szCs w:val="21"/>
                      <w:highlight w:val="none"/>
                      <w:lang w:val="zh-CN" w:eastAsia="zh-CN" w:bidi="ar-SA"/>
                    </w:rPr>
                    <w:t>低山丘陵区</w:t>
                  </w:r>
                </w:p>
              </w:tc>
              <w:tc>
                <w:tcPr>
                  <w:tcW w:w="700" w:type="pct"/>
                  <w:gridSpan w:val="2"/>
                  <w:vAlign w:val="center"/>
                </w:tcPr>
                <w:p>
                  <w:pPr>
                    <w:keepNext w:val="0"/>
                    <w:keepLines w:val="0"/>
                    <w:widowControl/>
                    <w:suppressLineNumbers w:val="0"/>
                    <w:spacing w:line="240" w:lineRule="auto"/>
                    <w:ind w:left="0" w:leftChars="0" w:firstLine="0" w:firstLineChars="0"/>
                    <w:jc w:val="center"/>
                    <w:rPr>
                      <w:rFonts w:hint="eastAsia" w:ascii="Times New Roman" w:hAnsi="Times New Roman" w:eastAsia="宋体" w:cs="Times New Roman"/>
                      <w:color w:val="000000"/>
                      <w:spacing w:val="1"/>
                      <w:kern w:val="2"/>
                      <w:sz w:val="21"/>
                      <w:szCs w:val="21"/>
                      <w:highlight w:val="none"/>
                      <w:lang w:val="en-US" w:eastAsia="zh-CN" w:bidi="ar-SA"/>
                    </w:rPr>
                  </w:pPr>
                  <w:r>
                    <w:rPr>
                      <w:rFonts w:hint="default" w:ascii="Times New Roman" w:hAnsi="Times New Roman" w:eastAsia="宋体" w:cs="Times New Roman"/>
                      <w:color w:val="000000"/>
                      <w:spacing w:val="1"/>
                      <w:kern w:val="2"/>
                      <w:sz w:val="21"/>
                      <w:szCs w:val="21"/>
                      <w:highlight w:val="none"/>
                      <w:lang w:val="zh-CN" w:eastAsia="zh-CN" w:bidi="ar-SA"/>
                    </w:rPr>
                    <w:t>防洪堤工程区</w:t>
                  </w:r>
                </w:p>
              </w:tc>
              <w:tc>
                <w:tcPr>
                  <w:tcW w:w="3035" w:type="pct"/>
                  <w:vAlign w:val="center"/>
                </w:tcPr>
                <w:p>
                  <w:pPr>
                    <w:keepNext w:val="0"/>
                    <w:keepLines w:val="0"/>
                    <w:widowControl/>
                    <w:suppressLineNumbers w:val="0"/>
                    <w:spacing w:line="240" w:lineRule="auto"/>
                    <w:ind w:left="0" w:leftChars="0" w:firstLine="0" w:firstLineChars="0"/>
                    <w:jc w:val="center"/>
                    <w:rPr>
                      <w:rFonts w:hint="default" w:ascii="Times New Roman" w:hAnsi="Times New Roman" w:eastAsia="宋体" w:cs="Times New Roman"/>
                      <w:color w:val="000000"/>
                      <w:spacing w:val="1"/>
                      <w:kern w:val="2"/>
                      <w:sz w:val="21"/>
                      <w:szCs w:val="21"/>
                      <w:highlight w:val="none"/>
                      <w:lang w:val="en-US" w:eastAsia="zh-CN" w:bidi="ar-SA"/>
                    </w:rPr>
                  </w:pPr>
                  <w:r>
                    <w:rPr>
                      <w:rFonts w:hint="default" w:ascii="Times New Roman" w:hAnsi="Times New Roman" w:eastAsia="宋体" w:cs="Times New Roman"/>
                      <w:color w:val="000000"/>
                      <w:spacing w:val="1"/>
                      <w:kern w:val="2"/>
                      <w:sz w:val="21"/>
                      <w:szCs w:val="21"/>
                      <w:highlight w:val="none"/>
                      <w:lang w:val="zh-CN" w:eastAsia="zh-CN" w:bidi="ar-SA"/>
                    </w:rPr>
                    <w:t>五圣宫水文站段（桩号0+000-1+880）和白杨河水库至林七公路段（桩号4+100-18+000），单侧护砌，全长15.78km。</w:t>
                  </w:r>
                </w:p>
              </w:tc>
              <w:tc>
                <w:tcPr>
                  <w:tcW w:w="719" w:type="pct"/>
                  <w:vAlign w:val="center"/>
                </w:tcPr>
                <w:p>
                  <w:pPr>
                    <w:spacing w:line="240" w:lineRule="auto"/>
                    <w:ind w:left="0" w:leftChars="0" w:firstLine="0" w:firstLineChars="0"/>
                    <w:jc w:val="center"/>
                    <w:rPr>
                      <w:rFonts w:hint="default" w:ascii="Times New Roman" w:hAnsi="Times New Roman" w:eastAsia="宋体" w:cs="Times New Roman"/>
                      <w:b w:val="0"/>
                      <w:bCs/>
                      <w:color w:val="000000"/>
                      <w:kern w:val="2"/>
                      <w:sz w:val="21"/>
                      <w:szCs w:val="21"/>
                      <w:lang w:val="en-US" w:eastAsia="zh-CN" w:bidi="ar-SA"/>
                    </w:rPr>
                  </w:pPr>
                  <w:r>
                    <w:rPr>
                      <w:rFonts w:hint="default" w:ascii="Times New Roman" w:hAnsi="Times New Roman" w:eastAsia="宋体" w:cs="Times New Roman"/>
                      <w:color w:val="000000"/>
                      <w:spacing w:val="1"/>
                      <w:kern w:val="2"/>
                      <w:sz w:val="21"/>
                      <w:szCs w:val="21"/>
                      <w:highlight w:val="none"/>
                      <w:lang w:val="en-US" w:eastAsia="zh-CN" w:bidi="ar-SA"/>
                    </w:rPr>
                    <w:t>新建</w:t>
                  </w:r>
                  <w:r>
                    <w:rPr>
                      <w:rFonts w:hint="eastAsia" w:ascii="Times New Roman" w:hAnsi="Times New Roman" w:eastAsia="宋体" w:cs="Times New Roman"/>
                      <w:color w:val="000000"/>
                      <w:spacing w:val="1"/>
                      <w:kern w:val="2"/>
                      <w:sz w:val="21"/>
                      <w:szCs w:val="21"/>
                      <w:highlight w:val="none"/>
                      <w:lang w:val="en-US" w:eastAsia="zh-CN" w:bidi="ar-SA"/>
                    </w:rPr>
                    <w:t>，永久占地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271" w:type="pct"/>
                  <w:vMerge w:val="continue"/>
                  <w:vAlign w:val="center"/>
                </w:tcPr>
                <w:p>
                  <w:pPr>
                    <w:pStyle w:val="94"/>
                    <w:snapToGrid w:val="0"/>
                    <w:spacing w:line="240" w:lineRule="auto"/>
                    <w:ind w:left="0" w:leftChars="0" w:firstLine="0" w:firstLineChars="0"/>
                    <w:jc w:val="center"/>
                    <w:rPr>
                      <w:rFonts w:hint="default" w:ascii="Times New Roman" w:hAnsi="Times New Roman" w:cs="Times New Roman"/>
                      <w:b w:val="0"/>
                      <w:bCs/>
                      <w:color w:val="000000"/>
                      <w:sz w:val="21"/>
                      <w:szCs w:val="21"/>
                    </w:rPr>
                  </w:pPr>
                </w:p>
              </w:tc>
              <w:tc>
                <w:tcPr>
                  <w:tcW w:w="273" w:type="pct"/>
                  <w:vMerge w:val="continue"/>
                  <w:vAlign w:val="center"/>
                </w:tcPr>
                <w:p>
                  <w:pPr>
                    <w:pStyle w:val="94"/>
                    <w:snapToGrid w:val="0"/>
                    <w:spacing w:line="240" w:lineRule="auto"/>
                    <w:ind w:left="0" w:leftChars="0" w:firstLine="0" w:firstLineChars="0"/>
                    <w:jc w:val="center"/>
                    <w:rPr>
                      <w:rFonts w:hint="default" w:ascii="Times New Roman" w:hAnsi="Times New Roman" w:cs="Times New Roman"/>
                      <w:b w:val="0"/>
                      <w:bCs/>
                      <w:color w:val="000000"/>
                      <w:sz w:val="21"/>
                      <w:szCs w:val="21"/>
                    </w:rPr>
                  </w:pPr>
                </w:p>
              </w:tc>
              <w:tc>
                <w:tcPr>
                  <w:tcW w:w="700" w:type="pct"/>
                  <w:gridSpan w:val="2"/>
                  <w:vAlign w:val="center"/>
                </w:tcPr>
                <w:p>
                  <w:pPr>
                    <w:keepNext w:val="0"/>
                    <w:keepLines w:val="0"/>
                    <w:widowControl/>
                    <w:suppressLineNumbers w:val="0"/>
                    <w:spacing w:line="240" w:lineRule="auto"/>
                    <w:ind w:left="0" w:leftChars="0" w:firstLine="0" w:firstLineChars="0"/>
                    <w:jc w:val="center"/>
                    <w:rPr>
                      <w:rFonts w:hint="default" w:ascii="Times New Roman" w:hAnsi="Times New Roman" w:eastAsia="宋体" w:cs="Times New Roman"/>
                      <w:color w:val="000000"/>
                      <w:spacing w:val="1"/>
                      <w:kern w:val="2"/>
                      <w:sz w:val="21"/>
                      <w:szCs w:val="21"/>
                      <w:highlight w:val="none"/>
                      <w:lang w:val="zh-CN" w:eastAsia="zh-CN" w:bidi="ar-SA"/>
                    </w:rPr>
                  </w:pPr>
                  <w:r>
                    <w:rPr>
                      <w:rFonts w:hint="default" w:ascii="Times New Roman" w:hAnsi="Times New Roman" w:eastAsia="宋体" w:cs="Times New Roman"/>
                      <w:color w:val="000000"/>
                      <w:spacing w:val="1"/>
                      <w:kern w:val="2"/>
                      <w:sz w:val="21"/>
                      <w:szCs w:val="21"/>
                      <w:highlight w:val="none"/>
                      <w:lang w:val="zh-CN" w:eastAsia="zh-CN" w:bidi="ar-SA"/>
                    </w:rPr>
                    <w:t>防洪堤附属建筑物</w:t>
                  </w:r>
                </w:p>
                <w:p>
                  <w:pPr>
                    <w:keepNext w:val="0"/>
                    <w:keepLines w:val="0"/>
                    <w:widowControl/>
                    <w:suppressLineNumbers w:val="0"/>
                    <w:spacing w:line="240" w:lineRule="auto"/>
                    <w:ind w:left="0" w:leftChars="0" w:firstLine="0" w:firstLineChars="0"/>
                    <w:jc w:val="center"/>
                    <w:rPr>
                      <w:rFonts w:hint="default" w:ascii="Times New Roman" w:hAnsi="Times New Roman" w:eastAsia="宋体" w:cs="Times New Roman"/>
                      <w:color w:val="000000"/>
                      <w:spacing w:val="1"/>
                      <w:kern w:val="2"/>
                      <w:sz w:val="21"/>
                      <w:szCs w:val="21"/>
                      <w:highlight w:val="none"/>
                      <w:lang w:val="en-US" w:eastAsia="zh-CN" w:bidi="ar-SA"/>
                    </w:rPr>
                  </w:pPr>
                  <w:r>
                    <w:rPr>
                      <w:rFonts w:hint="default" w:ascii="Times New Roman" w:hAnsi="Times New Roman" w:eastAsia="宋体" w:cs="Times New Roman"/>
                      <w:color w:val="000000"/>
                      <w:spacing w:val="1"/>
                      <w:kern w:val="2"/>
                      <w:sz w:val="21"/>
                      <w:szCs w:val="21"/>
                      <w:highlight w:val="none"/>
                      <w:lang w:val="zh-CN" w:eastAsia="zh-CN" w:bidi="ar-SA"/>
                    </w:rPr>
                    <w:t>工程区</w:t>
                  </w:r>
                </w:p>
              </w:tc>
              <w:tc>
                <w:tcPr>
                  <w:tcW w:w="3035" w:type="pct"/>
                  <w:vAlign w:val="center"/>
                </w:tcPr>
                <w:p>
                  <w:pPr>
                    <w:keepNext w:val="0"/>
                    <w:keepLines w:val="0"/>
                    <w:widowControl/>
                    <w:suppressLineNumbers w:val="0"/>
                    <w:spacing w:line="240" w:lineRule="auto"/>
                    <w:ind w:left="0" w:leftChars="0" w:firstLine="0" w:firstLineChars="0"/>
                    <w:jc w:val="center"/>
                    <w:rPr>
                      <w:rFonts w:hint="eastAsia" w:ascii="Times New Roman" w:hAnsi="Times New Roman" w:eastAsia="宋体" w:cs="Times New Roman"/>
                      <w:color w:val="000000"/>
                      <w:spacing w:val="1"/>
                      <w:kern w:val="2"/>
                      <w:sz w:val="21"/>
                      <w:szCs w:val="21"/>
                      <w:highlight w:val="none"/>
                      <w:lang w:val="en-US" w:eastAsia="zh-CN" w:bidi="ar-SA"/>
                    </w:rPr>
                  </w:pPr>
                  <w:r>
                    <w:rPr>
                      <w:rFonts w:hint="default" w:ascii="Times New Roman" w:hAnsi="Times New Roman" w:eastAsia="宋体" w:cs="Times New Roman"/>
                      <w:color w:val="000000"/>
                      <w:spacing w:val="1"/>
                      <w:kern w:val="2"/>
                      <w:sz w:val="21"/>
                      <w:szCs w:val="21"/>
                      <w:highlight w:val="none"/>
                      <w:lang w:val="zh-CN" w:eastAsia="zh-CN" w:bidi="ar-SA"/>
                    </w:rPr>
                    <w:t>桩号14+300和16+200，2处纳洪口；桩号0+500、1+000、1+650、10+200、13+100、16+480、17+780、18+000，8处汇水口；桩号5+800，1处引水口；桩号4+700、5+200、7+300、8+960、13+500、15+140，6处过河路口。</w:t>
                  </w:r>
                </w:p>
              </w:tc>
              <w:tc>
                <w:tcPr>
                  <w:tcW w:w="719" w:type="pct"/>
                  <w:vAlign w:val="center"/>
                </w:tcPr>
                <w:p>
                  <w:pPr>
                    <w:keepNext w:val="0"/>
                    <w:keepLines w:val="0"/>
                    <w:widowControl/>
                    <w:suppressLineNumbers w:val="0"/>
                    <w:spacing w:line="240" w:lineRule="auto"/>
                    <w:ind w:left="0" w:leftChars="0" w:firstLine="0" w:firstLineChars="0"/>
                    <w:jc w:val="center"/>
                    <w:rPr>
                      <w:rFonts w:hint="default" w:ascii="Times New Roman" w:hAnsi="Times New Roman" w:eastAsia="宋体" w:cs="Times New Roman"/>
                      <w:color w:val="000000"/>
                      <w:spacing w:val="1"/>
                      <w:kern w:val="2"/>
                      <w:sz w:val="21"/>
                      <w:szCs w:val="21"/>
                      <w:highlight w:val="none"/>
                      <w:lang w:val="en-US" w:eastAsia="zh-CN" w:bidi="ar-SA"/>
                    </w:rPr>
                  </w:pPr>
                  <w:r>
                    <w:rPr>
                      <w:rFonts w:hint="default" w:ascii="Times New Roman" w:hAnsi="Times New Roman" w:eastAsia="宋体" w:cs="Times New Roman"/>
                      <w:color w:val="000000"/>
                      <w:spacing w:val="1"/>
                      <w:kern w:val="2"/>
                      <w:sz w:val="21"/>
                      <w:szCs w:val="21"/>
                      <w:highlight w:val="none"/>
                      <w:lang w:val="en-US" w:eastAsia="zh-CN" w:bidi="ar-SA"/>
                    </w:rPr>
                    <w:t>新建</w:t>
                  </w:r>
                  <w:r>
                    <w:rPr>
                      <w:rFonts w:hint="eastAsia" w:ascii="Times New Roman" w:hAnsi="Times New Roman" w:eastAsia="宋体" w:cs="Times New Roman"/>
                      <w:color w:val="000000"/>
                      <w:spacing w:val="1"/>
                      <w:kern w:val="2"/>
                      <w:sz w:val="21"/>
                      <w:szCs w:val="21"/>
                      <w:highlight w:val="none"/>
                      <w:lang w:val="en-US" w:eastAsia="zh-CN" w:bidi="ar-SA"/>
                    </w:rPr>
                    <w:t>，永久占地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71" w:type="pct"/>
                  <w:vMerge w:val="continue"/>
                  <w:vAlign w:val="center"/>
                </w:tcPr>
                <w:p>
                  <w:pPr>
                    <w:pStyle w:val="94"/>
                    <w:snapToGrid w:val="0"/>
                    <w:spacing w:line="240" w:lineRule="auto"/>
                    <w:ind w:left="0" w:leftChars="0" w:firstLine="0" w:firstLineChars="0"/>
                    <w:jc w:val="center"/>
                    <w:rPr>
                      <w:rFonts w:hint="default" w:ascii="Times New Roman" w:hAnsi="Times New Roman" w:cs="Times New Roman"/>
                      <w:b w:val="0"/>
                      <w:bCs/>
                      <w:color w:val="000000"/>
                      <w:sz w:val="21"/>
                      <w:szCs w:val="21"/>
                    </w:rPr>
                  </w:pPr>
                </w:p>
              </w:tc>
              <w:tc>
                <w:tcPr>
                  <w:tcW w:w="273" w:type="pct"/>
                  <w:vMerge w:val="continue"/>
                  <w:vAlign w:val="center"/>
                </w:tcPr>
                <w:p>
                  <w:pPr>
                    <w:pStyle w:val="94"/>
                    <w:snapToGrid w:val="0"/>
                    <w:spacing w:line="240" w:lineRule="auto"/>
                    <w:ind w:left="0" w:leftChars="0" w:firstLine="0" w:firstLineChars="0"/>
                    <w:jc w:val="center"/>
                    <w:rPr>
                      <w:rFonts w:hint="default" w:ascii="Times New Roman" w:hAnsi="Times New Roman" w:cs="Times New Roman"/>
                      <w:b w:val="0"/>
                      <w:bCs/>
                      <w:color w:val="000000"/>
                      <w:sz w:val="21"/>
                      <w:szCs w:val="21"/>
                    </w:rPr>
                  </w:pPr>
                </w:p>
              </w:tc>
              <w:tc>
                <w:tcPr>
                  <w:tcW w:w="700" w:type="pct"/>
                  <w:gridSpan w:val="2"/>
                  <w:vAlign w:val="center"/>
                </w:tcPr>
                <w:p>
                  <w:pPr>
                    <w:keepNext w:val="0"/>
                    <w:keepLines w:val="0"/>
                    <w:widowControl/>
                    <w:suppressLineNumbers w:val="0"/>
                    <w:spacing w:line="240" w:lineRule="auto"/>
                    <w:ind w:left="0" w:leftChars="0" w:firstLine="0" w:firstLineChars="0"/>
                    <w:jc w:val="center"/>
                    <w:rPr>
                      <w:rFonts w:hint="default" w:ascii="Times New Roman" w:hAnsi="Times New Roman" w:eastAsia="宋体" w:cs="Times New Roman"/>
                      <w:color w:val="000000"/>
                      <w:spacing w:val="1"/>
                      <w:kern w:val="2"/>
                      <w:sz w:val="21"/>
                      <w:szCs w:val="21"/>
                      <w:highlight w:val="none"/>
                      <w:lang w:val="en-US" w:eastAsia="zh-CN" w:bidi="ar-SA"/>
                    </w:rPr>
                  </w:pPr>
                  <w:r>
                    <w:rPr>
                      <w:rFonts w:hint="default" w:ascii="Times New Roman" w:hAnsi="Times New Roman" w:eastAsia="宋体" w:cs="Times New Roman"/>
                      <w:color w:val="000000"/>
                      <w:spacing w:val="1"/>
                      <w:kern w:val="2"/>
                      <w:sz w:val="21"/>
                      <w:szCs w:val="21"/>
                      <w:highlight w:val="none"/>
                      <w:lang w:val="zh-CN" w:eastAsia="zh-CN" w:bidi="ar-SA"/>
                    </w:rPr>
                    <w:t>施工道路区</w:t>
                  </w:r>
                </w:p>
              </w:tc>
              <w:tc>
                <w:tcPr>
                  <w:tcW w:w="3035" w:type="pct"/>
                  <w:vAlign w:val="center"/>
                </w:tcPr>
                <w:p>
                  <w:pPr>
                    <w:keepNext w:val="0"/>
                    <w:keepLines w:val="0"/>
                    <w:widowControl/>
                    <w:suppressLineNumbers w:val="0"/>
                    <w:spacing w:line="240" w:lineRule="auto"/>
                    <w:ind w:left="0" w:leftChars="0" w:firstLine="0" w:firstLineChars="0"/>
                    <w:jc w:val="center"/>
                    <w:rPr>
                      <w:rFonts w:hint="eastAsia" w:ascii="Times New Roman" w:hAnsi="Times New Roman" w:eastAsia="宋体" w:cs="Times New Roman"/>
                      <w:color w:val="000000"/>
                      <w:spacing w:val="1"/>
                      <w:kern w:val="2"/>
                      <w:sz w:val="21"/>
                      <w:szCs w:val="21"/>
                      <w:highlight w:val="none"/>
                      <w:lang w:val="en-US" w:eastAsia="zh-CN" w:bidi="ar-SA"/>
                    </w:rPr>
                  </w:pPr>
                  <w:r>
                    <w:rPr>
                      <w:rFonts w:hint="default" w:ascii="Times New Roman" w:hAnsi="Times New Roman" w:eastAsia="宋体" w:cs="Times New Roman"/>
                      <w:color w:val="000000"/>
                      <w:spacing w:val="1"/>
                      <w:kern w:val="2"/>
                      <w:sz w:val="21"/>
                      <w:szCs w:val="21"/>
                      <w:highlight w:val="none"/>
                      <w:lang w:val="zh-CN" w:eastAsia="zh-CN" w:bidi="ar-SA"/>
                    </w:rPr>
                    <w:t>防洪堤一侧布设伴行施工道路，起点与终点均与防洪堤位置一致，长度15.78km，路宽4.0m，占地面积6.31hm</w:t>
                  </w:r>
                  <w:r>
                    <w:rPr>
                      <w:rFonts w:hint="default" w:ascii="Times New Roman" w:hAnsi="Times New Roman" w:eastAsia="宋体" w:cs="Times New Roman"/>
                      <w:color w:val="000000"/>
                      <w:spacing w:val="1"/>
                      <w:kern w:val="2"/>
                      <w:sz w:val="21"/>
                      <w:szCs w:val="21"/>
                      <w:highlight w:val="none"/>
                      <w:vertAlign w:val="superscript"/>
                      <w:lang w:val="zh-CN" w:eastAsia="zh-CN" w:bidi="ar-SA"/>
                    </w:rPr>
                    <w:t>2</w:t>
                  </w:r>
                  <w:r>
                    <w:rPr>
                      <w:rFonts w:hint="default" w:ascii="Times New Roman" w:hAnsi="Times New Roman" w:eastAsia="宋体" w:cs="Times New Roman"/>
                      <w:color w:val="000000"/>
                      <w:spacing w:val="1"/>
                      <w:kern w:val="2"/>
                      <w:sz w:val="21"/>
                      <w:szCs w:val="21"/>
                      <w:highlight w:val="none"/>
                      <w:lang w:val="zh-CN" w:eastAsia="zh-CN" w:bidi="ar-SA"/>
                    </w:rPr>
                    <w:t>。</w:t>
                  </w:r>
                </w:p>
              </w:tc>
              <w:tc>
                <w:tcPr>
                  <w:tcW w:w="719" w:type="pct"/>
                  <w:vAlign w:val="center"/>
                </w:tcPr>
                <w:p>
                  <w:pPr>
                    <w:keepNext w:val="0"/>
                    <w:keepLines w:val="0"/>
                    <w:widowControl/>
                    <w:suppressLineNumbers w:val="0"/>
                    <w:spacing w:line="240" w:lineRule="auto"/>
                    <w:ind w:left="0" w:leftChars="0" w:firstLine="0" w:firstLineChars="0"/>
                    <w:jc w:val="center"/>
                    <w:rPr>
                      <w:rFonts w:hint="default" w:ascii="Times New Roman" w:hAnsi="Times New Roman" w:eastAsia="宋体" w:cs="Times New Roman"/>
                      <w:color w:val="000000"/>
                      <w:spacing w:val="1"/>
                      <w:kern w:val="2"/>
                      <w:sz w:val="21"/>
                      <w:szCs w:val="21"/>
                      <w:highlight w:val="none"/>
                      <w:lang w:val="en-US" w:eastAsia="zh-CN" w:bidi="ar-SA"/>
                    </w:rPr>
                  </w:pPr>
                  <w:r>
                    <w:rPr>
                      <w:rFonts w:hint="default" w:ascii="Times New Roman" w:hAnsi="Times New Roman" w:eastAsia="宋体" w:cs="Times New Roman"/>
                      <w:color w:val="000000"/>
                      <w:spacing w:val="1"/>
                      <w:kern w:val="2"/>
                      <w:sz w:val="21"/>
                      <w:szCs w:val="21"/>
                      <w:highlight w:val="none"/>
                      <w:lang w:val="en-US" w:eastAsia="zh-CN" w:bidi="ar-SA"/>
                    </w:rPr>
                    <w:t>新建</w:t>
                  </w:r>
                  <w:r>
                    <w:rPr>
                      <w:rFonts w:hint="eastAsia" w:ascii="Times New Roman" w:hAnsi="Times New Roman" w:eastAsia="宋体" w:cs="Times New Roman"/>
                      <w:color w:val="000000"/>
                      <w:spacing w:val="1"/>
                      <w:kern w:val="2"/>
                      <w:sz w:val="21"/>
                      <w:szCs w:val="21"/>
                      <w:highlight w:val="none"/>
                      <w:lang w:val="en-US" w:eastAsia="zh-CN" w:bidi="ar-SA"/>
                    </w:rPr>
                    <w:t>，临时占地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71" w:type="pct"/>
                  <w:vMerge w:val="continue"/>
                  <w:vAlign w:val="center"/>
                </w:tcPr>
                <w:p>
                  <w:pPr>
                    <w:pStyle w:val="94"/>
                    <w:snapToGrid w:val="0"/>
                    <w:spacing w:line="240" w:lineRule="auto"/>
                    <w:ind w:left="0" w:leftChars="0" w:firstLine="0" w:firstLineChars="0"/>
                    <w:jc w:val="center"/>
                    <w:rPr>
                      <w:rFonts w:hint="default" w:ascii="Times New Roman" w:hAnsi="Times New Roman" w:cs="Times New Roman"/>
                      <w:b w:val="0"/>
                      <w:bCs/>
                      <w:color w:val="000000"/>
                      <w:sz w:val="21"/>
                      <w:szCs w:val="21"/>
                    </w:rPr>
                  </w:pPr>
                </w:p>
              </w:tc>
              <w:tc>
                <w:tcPr>
                  <w:tcW w:w="273" w:type="pct"/>
                  <w:vMerge w:val="continue"/>
                  <w:vAlign w:val="center"/>
                </w:tcPr>
                <w:p>
                  <w:pPr>
                    <w:pStyle w:val="94"/>
                    <w:snapToGrid w:val="0"/>
                    <w:spacing w:line="240" w:lineRule="auto"/>
                    <w:ind w:left="0" w:leftChars="0" w:firstLine="0" w:firstLineChars="0"/>
                    <w:jc w:val="center"/>
                    <w:rPr>
                      <w:rFonts w:hint="default" w:ascii="Times New Roman" w:hAnsi="Times New Roman" w:cs="Times New Roman"/>
                      <w:b w:val="0"/>
                      <w:bCs/>
                      <w:color w:val="000000"/>
                      <w:sz w:val="21"/>
                      <w:szCs w:val="21"/>
                    </w:rPr>
                  </w:pPr>
                </w:p>
              </w:tc>
              <w:tc>
                <w:tcPr>
                  <w:tcW w:w="700" w:type="pct"/>
                  <w:gridSpan w:val="2"/>
                  <w:vAlign w:val="center"/>
                </w:tcPr>
                <w:p>
                  <w:pPr>
                    <w:keepNext w:val="0"/>
                    <w:keepLines w:val="0"/>
                    <w:widowControl/>
                    <w:suppressLineNumbers w:val="0"/>
                    <w:spacing w:line="240" w:lineRule="auto"/>
                    <w:ind w:left="0" w:leftChars="0" w:firstLine="0" w:firstLineChars="0"/>
                    <w:jc w:val="center"/>
                    <w:rPr>
                      <w:rFonts w:hint="default" w:ascii="Times New Roman" w:hAnsi="Times New Roman" w:eastAsia="宋体" w:cs="Times New Roman"/>
                      <w:color w:val="000000"/>
                      <w:spacing w:val="1"/>
                      <w:kern w:val="2"/>
                      <w:sz w:val="21"/>
                      <w:szCs w:val="21"/>
                      <w:highlight w:val="none"/>
                      <w:lang w:val="en-US" w:eastAsia="zh-CN" w:bidi="ar-SA"/>
                    </w:rPr>
                  </w:pPr>
                  <w:r>
                    <w:rPr>
                      <w:rFonts w:hint="default" w:ascii="Times New Roman" w:hAnsi="Times New Roman" w:eastAsia="宋体" w:cs="Times New Roman"/>
                      <w:color w:val="000000"/>
                      <w:spacing w:val="1"/>
                      <w:kern w:val="2"/>
                      <w:sz w:val="21"/>
                      <w:szCs w:val="21"/>
                      <w:highlight w:val="none"/>
                      <w:lang w:val="zh-CN" w:eastAsia="zh-CN" w:bidi="ar-SA"/>
                    </w:rPr>
                    <w:t>施工生产区</w:t>
                  </w:r>
                </w:p>
              </w:tc>
              <w:tc>
                <w:tcPr>
                  <w:tcW w:w="3035" w:type="pct"/>
                  <w:vAlign w:val="center"/>
                </w:tcPr>
                <w:p>
                  <w:pPr>
                    <w:keepNext w:val="0"/>
                    <w:keepLines w:val="0"/>
                    <w:widowControl/>
                    <w:suppressLineNumbers w:val="0"/>
                    <w:spacing w:line="240" w:lineRule="auto"/>
                    <w:ind w:left="0" w:leftChars="0" w:firstLine="0" w:firstLineChars="0"/>
                    <w:jc w:val="center"/>
                    <w:rPr>
                      <w:rFonts w:hint="eastAsia" w:ascii="Times New Roman" w:hAnsi="Times New Roman" w:eastAsia="宋体" w:cs="Times New Roman"/>
                      <w:color w:val="000000"/>
                      <w:spacing w:val="1"/>
                      <w:kern w:val="2"/>
                      <w:sz w:val="21"/>
                      <w:szCs w:val="21"/>
                      <w:highlight w:val="none"/>
                      <w:lang w:val="en-US" w:eastAsia="zh-CN" w:bidi="ar-SA"/>
                    </w:rPr>
                  </w:pPr>
                  <w:r>
                    <w:rPr>
                      <w:rFonts w:hint="default" w:ascii="Times New Roman" w:hAnsi="Times New Roman" w:eastAsia="宋体" w:cs="Times New Roman"/>
                      <w:color w:val="000000"/>
                      <w:spacing w:val="1"/>
                      <w:kern w:val="2"/>
                      <w:sz w:val="21"/>
                      <w:szCs w:val="21"/>
                      <w:highlight w:val="none"/>
                      <w:lang w:val="zh-CN" w:eastAsia="zh-CN" w:bidi="ar-SA"/>
                    </w:rPr>
                    <w:t>项目为线性工程，低山丘陵区设置三处施工生产区，占地1.14hm</w:t>
                  </w:r>
                  <w:r>
                    <w:rPr>
                      <w:rFonts w:hint="default" w:ascii="Times New Roman" w:hAnsi="Times New Roman" w:eastAsia="宋体" w:cs="Times New Roman"/>
                      <w:color w:val="000000"/>
                      <w:spacing w:val="1"/>
                      <w:kern w:val="2"/>
                      <w:sz w:val="21"/>
                      <w:szCs w:val="21"/>
                      <w:highlight w:val="none"/>
                      <w:vertAlign w:val="superscript"/>
                      <w:lang w:val="zh-CN" w:eastAsia="zh-CN" w:bidi="ar-SA"/>
                    </w:rPr>
                    <w:t>2</w:t>
                  </w:r>
                  <w:r>
                    <w:rPr>
                      <w:rFonts w:hint="default" w:ascii="Times New Roman" w:hAnsi="Times New Roman" w:eastAsia="宋体" w:cs="Times New Roman"/>
                      <w:color w:val="000000"/>
                      <w:spacing w:val="1"/>
                      <w:kern w:val="2"/>
                      <w:sz w:val="21"/>
                      <w:szCs w:val="21"/>
                      <w:highlight w:val="none"/>
                      <w:lang w:val="zh-CN" w:eastAsia="zh-CN" w:bidi="ar-SA"/>
                    </w:rPr>
                    <w:t>。</w:t>
                  </w:r>
                </w:p>
              </w:tc>
              <w:tc>
                <w:tcPr>
                  <w:tcW w:w="719" w:type="pct"/>
                  <w:vAlign w:val="center"/>
                </w:tcPr>
                <w:p>
                  <w:pPr>
                    <w:keepNext w:val="0"/>
                    <w:keepLines w:val="0"/>
                    <w:widowControl/>
                    <w:suppressLineNumbers w:val="0"/>
                    <w:spacing w:line="240" w:lineRule="auto"/>
                    <w:ind w:left="0" w:leftChars="0" w:firstLine="0" w:firstLineChars="0"/>
                    <w:jc w:val="center"/>
                    <w:rPr>
                      <w:rFonts w:hint="default" w:ascii="Times New Roman" w:hAnsi="Times New Roman" w:eastAsia="宋体" w:cs="Times New Roman"/>
                      <w:color w:val="000000"/>
                      <w:spacing w:val="1"/>
                      <w:kern w:val="2"/>
                      <w:sz w:val="21"/>
                      <w:szCs w:val="21"/>
                      <w:highlight w:val="none"/>
                      <w:lang w:val="en-US" w:eastAsia="zh-CN" w:bidi="ar-SA"/>
                    </w:rPr>
                  </w:pPr>
                  <w:r>
                    <w:rPr>
                      <w:rFonts w:hint="default" w:ascii="Times New Roman" w:hAnsi="Times New Roman" w:eastAsia="宋体" w:cs="Times New Roman"/>
                      <w:color w:val="000000"/>
                      <w:spacing w:val="1"/>
                      <w:kern w:val="2"/>
                      <w:sz w:val="21"/>
                      <w:szCs w:val="21"/>
                      <w:highlight w:val="none"/>
                      <w:lang w:val="en-US" w:eastAsia="zh-CN" w:bidi="ar-SA"/>
                    </w:rPr>
                    <w:t>新建</w:t>
                  </w:r>
                  <w:r>
                    <w:rPr>
                      <w:rFonts w:hint="eastAsia" w:ascii="Times New Roman" w:hAnsi="Times New Roman" w:eastAsia="宋体" w:cs="Times New Roman"/>
                      <w:color w:val="000000"/>
                      <w:spacing w:val="1"/>
                      <w:kern w:val="2"/>
                      <w:sz w:val="21"/>
                      <w:szCs w:val="21"/>
                      <w:highlight w:val="none"/>
                      <w:lang w:val="en-US" w:eastAsia="zh-CN" w:bidi="ar-SA"/>
                    </w:rPr>
                    <w:t>，临时占地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71" w:type="pct"/>
                  <w:vMerge w:val="continue"/>
                  <w:vAlign w:val="center"/>
                </w:tcPr>
                <w:p>
                  <w:pPr>
                    <w:pStyle w:val="94"/>
                    <w:snapToGrid w:val="0"/>
                    <w:spacing w:line="240" w:lineRule="auto"/>
                    <w:ind w:left="0" w:leftChars="0" w:firstLine="0" w:firstLineChars="0"/>
                    <w:jc w:val="center"/>
                    <w:rPr>
                      <w:rFonts w:hint="default" w:ascii="Times New Roman" w:hAnsi="Times New Roman" w:cs="Times New Roman"/>
                      <w:b w:val="0"/>
                      <w:bCs/>
                      <w:color w:val="000000"/>
                      <w:sz w:val="21"/>
                      <w:szCs w:val="21"/>
                    </w:rPr>
                  </w:pPr>
                </w:p>
              </w:tc>
              <w:tc>
                <w:tcPr>
                  <w:tcW w:w="273" w:type="pct"/>
                  <w:vMerge w:val="continue"/>
                  <w:vAlign w:val="center"/>
                </w:tcPr>
                <w:p>
                  <w:pPr>
                    <w:pStyle w:val="94"/>
                    <w:snapToGrid w:val="0"/>
                    <w:spacing w:line="240" w:lineRule="auto"/>
                    <w:ind w:left="0" w:leftChars="0" w:firstLine="0" w:firstLineChars="0"/>
                    <w:jc w:val="center"/>
                    <w:rPr>
                      <w:rFonts w:hint="default" w:ascii="Times New Roman" w:hAnsi="Times New Roman" w:cs="Times New Roman"/>
                      <w:b w:val="0"/>
                      <w:bCs/>
                      <w:color w:val="000000"/>
                      <w:sz w:val="21"/>
                      <w:szCs w:val="21"/>
                    </w:rPr>
                  </w:pPr>
                </w:p>
              </w:tc>
              <w:tc>
                <w:tcPr>
                  <w:tcW w:w="700" w:type="pct"/>
                  <w:gridSpan w:val="2"/>
                  <w:vAlign w:val="center"/>
                </w:tcPr>
                <w:p>
                  <w:pPr>
                    <w:keepNext w:val="0"/>
                    <w:keepLines w:val="0"/>
                    <w:widowControl/>
                    <w:suppressLineNumbers w:val="0"/>
                    <w:spacing w:line="240" w:lineRule="auto"/>
                    <w:ind w:left="0" w:leftChars="0" w:firstLine="0" w:firstLineChars="0"/>
                    <w:jc w:val="center"/>
                    <w:rPr>
                      <w:rFonts w:hint="eastAsia" w:ascii="Times New Roman" w:hAnsi="Times New Roman" w:eastAsia="宋体" w:cs="Times New Roman"/>
                      <w:color w:val="000000"/>
                      <w:spacing w:val="1"/>
                      <w:kern w:val="2"/>
                      <w:sz w:val="21"/>
                      <w:szCs w:val="21"/>
                      <w:highlight w:val="none"/>
                      <w:lang w:val="en-US" w:eastAsia="zh-CN" w:bidi="ar-SA"/>
                    </w:rPr>
                  </w:pPr>
                  <w:r>
                    <w:rPr>
                      <w:rFonts w:hint="default" w:ascii="Times New Roman" w:hAnsi="Times New Roman" w:eastAsia="宋体" w:cs="Times New Roman"/>
                      <w:color w:val="000000"/>
                      <w:spacing w:val="1"/>
                      <w:kern w:val="2"/>
                      <w:sz w:val="21"/>
                      <w:szCs w:val="21"/>
                      <w:highlight w:val="none"/>
                      <w:lang w:val="zh-CN" w:eastAsia="zh-CN" w:bidi="ar-SA"/>
                    </w:rPr>
                    <w:t>防洪堤临时堆土区</w:t>
                  </w:r>
                </w:p>
              </w:tc>
              <w:tc>
                <w:tcPr>
                  <w:tcW w:w="3035" w:type="pct"/>
                  <w:vAlign w:val="center"/>
                </w:tcPr>
                <w:p>
                  <w:pPr>
                    <w:keepNext w:val="0"/>
                    <w:keepLines w:val="0"/>
                    <w:widowControl/>
                    <w:suppressLineNumbers w:val="0"/>
                    <w:spacing w:line="240" w:lineRule="auto"/>
                    <w:ind w:left="0" w:leftChars="0" w:firstLine="0" w:firstLineChars="0"/>
                    <w:jc w:val="center"/>
                    <w:rPr>
                      <w:rFonts w:hint="eastAsia" w:ascii="Times New Roman" w:hAnsi="Times New Roman" w:eastAsia="宋体" w:cs="Times New Roman"/>
                      <w:color w:val="000000"/>
                      <w:spacing w:val="1"/>
                      <w:kern w:val="2"/>
                      <w:sz w:val="21"/>
                      <w:szCs w:val="21"/>
                      <w:highlight w:val="none"/>
                      <w:lang w:val="en-US" w:eastAsia="zh-CN" w:bidi="ar-SA"/>
                    </w:rPr>
                  </w:pPr>
                  <w:r>
                    <w:rPr>
                      <w:rFonts w:hint="default" w:ascii="Times New Roman" w:hAnsi="Times New Roman" w:eastAsia="宋体" w:cs="Times New Roman"/>
                      <w:color w:val="000000"/>
                      <w:spacing w:val="1"/>
                      <w:kern w:val="2"/>
                      <w:sz w:val="21"/>
                      <w:szCs w:val="21"/>
                      <w:highlight w:val="none"/>
                      <w:lang w:val="zh-CN" w:eastAsia="zh-CN" w:bidi="ar-SA"/>
                    </w:rPr>
                    <w:t>防洪堤临时堆土区布设于防洪坝一侧，宽度4m，长度15.78km，占地面积6.31hm</w:t>
                  </w:r>
                  <w:r>
                    <w:rPr>
                      <w:rFonts w:hint="default" w:ascii="Times New Roman" w:hAnsi="Times New Roman" w:eastAsia="宋体" w:cs="Times New Roman"/>
                      <w:color w:val="000000"/>
                      <w:spacing w:val="1"/>
                      <w:kern w:val="2"/>
                      <w:sz w:val="21"/>
                      <w:szCs w:val="21"/>
                      <w:highlight w:val="none"/>
                      <w:vertAlign w:val="superscript"/>
                      <w:lang w:val="zh-CN" w:eastAsia="zh-CN" w:bidi="ar-SA"/>
                    </w:rPr>
                    <w:t>2</w:t>
                  </w:r>
                  <w:r>
                    <w:rPr>
                      <w:rFonts w:hint="default" w:ascii="Times New Roman" w:hAnsi="Times New Roman" w:eastAsia="宋体" w:cs="Times New Roman"/>
                      <w:color w:val="000000"/>
                      <w:spacing w:val="1"/>
                      <w:kern w:val="2"/>
                      <w:sz w:val="21"/>
                      <w:szCs w:val="21"/>
                      <w:highlight w:val="none"/>
                      <w:lang w:val="zh-CN" w:eastAsia="zh-CN" w:bidi="ar-SA"/>
                    </w:rPr>
                    <w:t>，临时堆土堆高5m，边坡1:1.5，可容纳最大土方量为30万m</w:t>
                  </w:r>
                  <w:r>
                    <w:rPr>
                      <w:rFonts w:hint="default" w:ascii="Times New Roman" w:hAnsi="Times New Roman" w:eastAsia="宋体" w:cs="Times New Roman"/>
                      <w:color w:val="000000"/>
                      <w:spacing w:val="1"/>
                      <w:kern w:val="2"/>
                      <w:sz w:val="21"/>
                      <w:szCs w:val="21"/>
                      <w:highlight w:val="none"/>
                      <w:vertAlign w:val="superscript"/>
                      <w:lang w:val="zh-CN" w:eastAsia="zh-CN" w:bidi="ar-SA"/>
                    </w:rPr>
                    <w:t>3</w:t>
                  </w:r>
                  <w:r>
                    <w:rPr>
                      <w:rFonts w:hint="default" w:ascii="Times New Roman" w:hAnsi="Times New Roman" w:eastAsia="宋体" w:cs="Times New Roman"/>
                      <w:color w:val="000000"/>
                      <w:spacing w:val="1"/>
                      <w:kern w:val="2"/>
                      <w:sz w:val="21"/>
                      <w:szCs w:val="21"/>
                      <w:highlight w:val="none"/>
                      <w:lang w:val="zh-CN" w:eastAsia="zh-CN" w:bidi="ar-SA"/>
                    </w:rPr>
                    <w:t>。</w:t>
                  </w:r>
                </w:p>
              </w:tc>
              <w:tc>
                <w:tcPr>
                  <w:tcW w:w="719" w:type="pct"/>
                  <w:vAlign w:val="center"/>
                </w:tcPr>
                <w:p>
                  <w:pPr>
                    <w:spacing w:line="240" w:lineRule="auto"/>
                    <w:ind w:left="0" w:leftChars="0" w:firstLine="0" w:firstLineChars="0"/>
                    <w:jc w:val="center"/>
                    <w:rPr>
                      <w:rFonts w:hint="default" w:ascii="Times New Roman" w:hAnsi="Times New Roman" w:eastAsia="宋体" w:cs="Times New Roman"/>
                      <w:color w:val="000000"/>
                      <w:spacing w:val="1"/>
                      <w:kern w:val="2"/>
                      <w:sz w:val="21"/>
                      <w:szCs w:val="21"/>
                      <w:highlight w:val="none"/>
                      <w:lang w:val="en-US" w:eastAsia="zh-CN" w:bidi="ar-SA"/>
                    </w:rPr>
                  </w:pPr>
                  <w:r>
                    <w:rPr>
                      <w:rFonts w:hint="default" w:ascii="Times New Roman" w:hAnsi="Times New Roman" w:eastAsia="宋体" w:cs="Times New Roman"/>
                      <w:color w:val="000000"/>
                      <w:spacing w:val="1"/>
                      <w:kern w:val="2"/>
                      <w:sz w:val="21"/>
                      <w:szCs w:val="21"/>
                      <w:highlight w:val="none"/>
                      <w:lang w:val="en-US" w:eastAsia="zh-CN" w:bidi="ar-SA"/>
                    </w:rPr>
                    <w:t>新建</w:t>
                  </w:r>
                  <w:r>
                    <w:rPr>
                      <w:rFonts w:hint="eastAsia" w:ascii="Times New Roman" w:hAnsi="Times New Roman" w:eastAsia="宋体" w:cs="Times New Roman"/>
                      <w:color w:val="000000"/>
                      <w:spacing w:val="1"/>
                      <w:kern w:val="2"/>
                      <w:sz w:val="21"/>
                      <w:szCs w:val="21"/>
                      <w:highlight w:val="none"/>
                      <w:lang w:val="en-US" w:eastAsia="zh-CN" w:bidi="ar-SA"/>
                    </w:rPr>
                    <w:t>，临时占地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71" w:type="pct"/>
                  <w:vMerge w:val="continue"/>
                  <w:vAlign w:val="center"/>
                </w:tcPr>
                <w:p>
                  <w:pPr>
                    <w:pStyle w:val="94"/>
                    <w:snapToGrid w:val="0"/>
                    <w:spacing w:line="240" w:lineRule="auto"/>
                    <w:ind w:left="0" w:leftChars="0" w:firstLine="0" w:firstLineChars="0"/>
                    <w:jc w:val="center"/>
                    <w:rPr>
                      <w:rFonts w:hint="default" w:ascii="Times New Roman" w:hAnsi="Times New Roman" w:cs="Times New Roman"/>
                      <w:b w:val="0"/>
                      <w:bCs/>
                      <w:color w:val="000000"/>
                      <w:sz w:val="21"/>
                      <w:szCs w:val="21"/>
                    </w:rPr>
                  </w:pPr>
                </w:p>
              </w:tc>
              <w:tc>
                <w:tcPr>
                  <w:tcW w:w="273" w:type="pct"/>
                  <w:vMerge w:val="restart"/>
                  <w:vAlign w:val="center"/>
                </w:tcPr>
                <w:p>
                  <w:pPr>
                    <w:pStyle w:val="94"/>
                    <w:snapToGrid w:val="0"/>
                    <w:spacing w:line="240" w:lineRule="auto"/>
                    <w:ind w:left="0" w:leftChars="0" w:firstLine="0" w:firstLineChars="0"/>
                    <w:jc w:val="center"/>
                    <w:rPr>
                      <w:rFonts w:hint="default" w:ascii="Times New Roman" w:hAnsi="Times New Roman" w:eastAsia="宋体" w:cs="Times New Roman"/>
                      <w:color w:val="000000"/>
                      <w:spacing w:val="1"/>
                      <w:kern w:val="2"/>
                      <w:sz w:val="21"/>
                      <w:szCs w:val="21"/>
                      <w:highlight w:val="none"/>
                      <w:lang w:val="zh-CN" w:eastAsia="zh-CN" w:bidi="ar-SA"/>
                    </w:rPr>
                  </w:pPr>
                  <w:r>
                    <w:rPr>
                      <w:rFonts w:hint="default" w:ascii="Times New Roman" w:hAnsi="Times New Roman" w:eastAsia="宋体" w:cs="Times New Roman"/>
                      <w:color w:val="000000"/>
                      <w:spacing w:val="1"/>
                      <w:kern w:val="2"/>
                      <w:sz w:val="21"/>
                      <w:szCs w:val="21"/>
                      <w:highlight w:val="none"/>
                      <w:lang w:val="zh-CN" w:eastAsia="zh-CN" w:bidi="ar-SA"/>
                    </w:rPr>
                    <w:t>冲洪积平原区</w:t>
                  </w:r>
                </w:p>
              </w:tc>
              <w:tc>
                <w:tcPr>
                  <w:tcW w:w="700" w:type="pct"/>
                  <w:gridSpan w:val="2"/>
                  <w:vAlign w:val="center"/>
                </w:tcPr>
                <w:p>
                  <w:pPr>
                    <w:keepNext w:val="0"/>
                    <w:keepLines w:val="0"/>
                    <w:widowControl/>
                    <w:suppressLineNumbers w:val="0"/>
                    <w:spacing w:line="240" w:lineRule="auto"/>
                    <w:ind w:left="0" w:leftChars="0" w:firstLine="0" w:firstLineChars="0"/>
                    <w:jc w:val="center"/>
                    <w:rPr>
                      <w:rFonts w:hint="eastAsia" w:ascii="Times New Roman" w:hAnsi="Times New Roman" w:eastAsia="宋体" w:cs="Times New Roman"/>
                      <w:color w:val="000000"/>
                      <w:spacing w:val="1"/>
                      <w:kern w:val="2"/>
                      <w:sz w:val="21"/>
                      <w:szCs w:val="21"/>
                      <w:highlight w:val="none"/>
                      <w:lang w:val="en-US" w:eastAsia="zh-CN" w:bidi="ar-SA"/>
                    </w:rPr>
                  </w:pPr>
                  <w:r>
                    <w:rPr>
                      <w:rFonts w:hint="default" w:ascii="Times New Roman" w:hAnsi="Times New Roman" w:eastAsia="宋体" w:cs="Times New Roman"/>
                      <w:color w:val="000000"/>
                      <w:spacing w:val="1"/>
                      <w:kern w:val="2"/>
                      <w:sz w:val="21"/>
                      <w:szCs w:val="21"/>
                      <w:highlight w:val="none"/>
                      <w:lang w:val="zh-CN" w:eastAsia="zh-CN" w:bidi="ar-SA"/>
                    </w:rPr>
                    <w:t>防洪堤工程区</w:t>
                  </w:r>
                </w:p>
              </w:tc>
              <w:tc>
                <w:tcPr>
                  <w:tcW w:w="3035" w:type="pct"/>
                  <w:vAlign w:val="center"/>
                </w:tcPr>
                <w:p>
                  <w:pPr>
                    <w:keepNext w:val="0"/>
                    <w:keepLines w:val="0"/>
                    <w:widowControl/>
                    <w:suppressLineNumbers w:val="0"/>
                    <w:spacing w:line="240" w:lineRule="auto"/>
                    <w:ind w:left="0" w:leftChars="0" w:firstLine="0" w:firstLineChars="0"/>
                    <w:jc w:val="center"/>
                    <w:rPr>
                      <w:rFonts w:hint="eastAsia" w:ascii="Times New Roman" w:hAnsi="Times New Roman" w:eastAsia="宋体" w:cs="Times New Roman"/>
                      <w:color w:val="000000"/>
                      <w:spacing w:val="1"/>
                      <w:kern w:val="2"/>
                      <w:sz w:val="21"/>
                      <w:szCs w:val="21"/>
                      <w:highlight w:val="none"/>
                      <w:lang w:val="en-US" w:eastAsia="zh-CN" w:bidi="ar-SA"/>
                    </w:rPr>
                  </w:pPr>
                  <w:r>
                    <w:rPr>
                      <w:rFonts w:hint="default" w:ascii="Times New Roman" w:hAnsi="Times New Roman" w:eastAsia="宋体" w:cs="Times New Roman"/>
                      <w:color w:val="000000"/>
                      <w:spacing w:val="1"/>
                      <w:kern w:val="2"/>
                      <w:sz w:val="21"/>
                      <w:szCs w:val="21"/>
                      <w:highlight w:val="none"/>
                      <w:lang w:val="zh-CN" w:eastAsia="zh-CN" w:bidi="ar-SA"/>
                    </w:rPr>
                    <w:t>林七公路下游段（桩号18+000-21+900），单侧护砌，全长3.9km</w:t>
                  </w:r>
                  <w:r>
                    <w:rPr>
                      <w:rFonts w:hint="eastAsia" w:ascii="Times New Roman" w:hAnsi="Times New Roman" w:eastAsia="宋体" w:cs="Times New Roman"/>
                      <w:color w:val="000000"/>
                      <w:spacing w:val="1"/>
                      <w:kern w:val="2"/>
                      <w:sz w:val="21"/>
                      <w:szCs w:val="21"/>
                      <w:highlight w:val="none"/>
                      <w:lang w:val="zh-CN" w:eastAsia="zh-CN" w:bidi="ar-SA"/>
                    </w:rPr>
                    <w:t>。</w:t>
                  </w:r>
                </w:p>
              </w:tc>
              <w:tc>
                <w:tcPr>
                  <w:tcW w:w="719" w:type="pct"/>
                  <w:vAlign w:val="center"/>
                </w:tcPr>
                <w:p>
                  <w:pPr>
                    <w:spacing w:line="240" w:lineRule="auto"/>
                    <w:ind w:left="0" w:leftChars="0" w:firstLine="0" w:firstLineChars="0"/>
                    <w:jc w:val="center"/>
                    <w:rPr>
                      <w:rFonts w:hint="default" w:ascii="Times New Roman" w:hAnsi="Times New Roman" w:eastAsia="宋体" w:cs="Times New Roman"/>
                      <w:color w:val="000000"/>
                      <w:spacing w:val="1"/>
                      <w:kern w:val="2"/>
                      <w:sz w:val="21"/>
                      <w:szCs w:val="21"/>
                      <w:highlight w:val="none"/>
                      <w:lang w:val="en-US" w:eastAsia="zh-CN" w:bidi="ar-SA"/>
                    </w:rPr>
                  </w:pPr>
                  <w:r>
                    <w:rPr>
                      <w:rFonts w:hint="default" w:ascii="Times New Roman" w:hAnsi="Times New Roman" w:eastAsia="宋体" w:cs="Times New Roman"/>
                      <w:color w:val="000000"/>
                      <w:spacing w:val="1"/>
                      <w:kern w:val="2"/>
                      <w:sz w:val="21"/>
                      <w:szCs w:val="21"/>
                      <w:highlight w:val="none"/>
                      <w:lang w:val="en-US" w:eastAsia="zh-CN" w:bidi="ar-SA"/>
                    </w:rPr>
                    <w:t>新建</w:t>
                  </w:r>
                  <w:r>
                    <w:rPr>
                      <w:rFonts w:hint="eastAsia" w:ascii="Times New Roman" w:hAnsi="Times New Roman" w:eastAsia="宋体" w:cs="Times New Roman"/>
                      <w:color w:val="000000"/>
                      <w:spacing w:val="1"/>
                      <w:kern w:val="2"/>
                      <w:sz w:val="21"/>
                      <w:szCs w:val="21"/>
                      <w:highlight w:val="none"/>
                      <w:lang w:val="en-US" w:eastAsia="zh-CN" w:bidi="ar-SA"/>
                    </w:rPr>
                    <w:t>，永久占地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71" w:type="pct"/>
                  <w:vMerge w:val="continue"/>
                  <w:vAlign w:val="center"/>
                </w:tcPr>
                <w:p>
                  <w:pPr>
                    <w:pStyle w:val="94"/>
                    <w:snapToGrid w:val="0"/>
                    <w:spacing w:line="240" w:lineRule="auto"/>
                    <w:ind w:left="0" w:leftChars="0" w:firstLine="0" w:firstLineChars="0"/>
                    <w:jc w:val="center"/>
                    <w:rPr>
                      <w:rFonts w:hint="default" w:ascii="Times New Roman" w:hAnsi="Times New Roman" w:cs="Times New Roman"/>
                      <w:b w:val="0"/>
                      <w:bCs/>
                      <w:color w:val="000000"/>
                      <w:sz w:val="21"/>
                      <w:szCs w:val="21"/>
                    </w:rPr>
                  </w:pPr>
                </w:p>
              </w:tc>
              <w:tc>
                <w:tcPr>
                  <w:tcW w:w="273" w:type="pct"/>
                  <w:vMerge w:val="continue"/>
                  <w:vAlign w:val="center"/>
                </w:tcPr>
                <w:p>
                  <w:pPr>
                    <w:pStyle w:val="94"/>
                    <w:snapToGrid w:val="0"/>
                    <w:spacing w:line="240" w:lineRule="auto"/>
                    <w:ind w:left="0" w:leftChars="0" w:firstLine="0" w:firstLineChars="0"/>
                    <w:jc w:val="center"/>
                    <w:rPr>
                      <w:rFonts w:hint="default" w:ascii="Times New Roman" w:hAnsi="Times New Roman" w:cs="Times New Roman"/>
                      <w:b w:val="0"/>
                      <w:bCs/>
                      <w:color w:val="000000"/>
                      <w:sz w:val="21"/>
                      <w:szCs w:val="21"/>
                    </w:rPr>
                  </w:pPr>
                </w:p>
              </w:tc>
              <w:tc>
                <w:tcPr>
                  <w:tcW w:w="700" w:type="pct"/>
                  <w:gridSpan w:val="2"/>
                  <w:vAlign w:val="center"/>
                </w:tcPr>
                <w:p>
                  <w:pPr>
                    <w:keepNext w:val="0"/>
                    <w:keepLines w:val="0"/>
                    <w:widowControl/>
                    <w:suppressLineNumbers w:val="0"/>
                    <w:spacing w:line="240" w:lineRule="auto"/>
                    <w:ind w:left="0" w:leftChars="0" w:firstLine="0" w:firstLineChars="0"/>
                    <w:jc w:val="center"/>
                    <w:rPr>
                      <w:rFonts w:hint="eastAsia" w:ascii="Times New Roman" w:hAnsi="Times New Roman" w:eastAsia="宋体" w:cs="Times New Roman"/>
                      <w:color w:val="000000"/>
                      <w:spacing w:val="1"/>
                      <w:kern w:val="2"/>
                      <w:sz w:val="21"/>
                      <w:szCs w:val="21"/>
                      <w:highlight w:val="none"/>
                      <w:lang w:val="en-US" w:eastAsia="zh-CN" w:bidi="ar-SA"/>
                    </w:rPr>
                  </w:pPr>
                  <w:r>
                    <w:rPr>
                      <w:rFonts w:hint="default" w:ascii="Times New Roman" w:hAnsi="Times New Roman" w:eastAsia="宋体" w:cs="Times New Roman"/>
                      <w:color w:val="000000"/>
                      <w:spacing w:val="1"/>
                      <w:kern w:val="2"/>
                      <w:sz w:val="21"/>
                      <w:szCs w:val="21"/>
                      <w:highlight w:val="none"/>
                      <w:lang w:val="zh-CN" w:eastAsia="zh-CN" w:bidi="ar-SA"/>
                    </w:rPr>
                    <w:t>防洪堤附属建筑物工程区</w:t>
                  </w:r>
                </w:p>
              </w:tc>
              <w:tc>
                <w:tcPr>
                  <w:tcW w:w="3035" w:type="pct"/>
                  <w:vAlign w:val="center"/>
                </w:tcPr>
                <w:p>
                  <w:pPr>
                    <w:keepNext w:val="0"/>
                    <w:keepLines w:val="0"/>
                    <w:widowControl/>
                    <w:suppressLineNumbers w:val="0"/>
                    <w:spacing w:line="240" w:lineRule="auto"/>
                    <w:ind w:left="0" w:leftChars="0" w:firstLine="0" w:firstLineChars="0"/>
                    <w:jc w:val="center"/>
                    <w:rPr>
                      <w:rFonts w:hint="eastAsia" w:ascii="Times New Roman" w:hAnsi="Times New Roman" w:eastAsia="宋体" w:cs="Times New Roman"/>
                      <w:color w:val="000000"/>
                      <w:spacing w:val="1"/>
                      <w:kern w:val="2"/>
                      <w:sz w:val="21"/>
                      <w:szCs w:val="21"/>
                      <w:highlight w:val="none"/>
                      <w:lang w:val="en-US" w:eastAsia="zh-CN" w:bidi="ar-SA"/>
                    </w:rPr>
                  </w:pPr>
                  <w:r>
                    <w:rPr>
                      <w:rFonts w:hint="default" w:ascii="Times New Roman" w:hAnsi="Times New Roman" w:eastAsia="宋体" w:cs="Times New Roman"/>
                      <w:color w:val="000000"/>
                      <w:spacing w:val="1"/>
                      <w:kern w:val="2"/>
                      <w:sz w:val="21"/>
                      <w:szCs w:val="21"/>
                      <w:highlight w:val="none"/>
                      <w:lang w:val="zh-CN" w:eastAsia="zh-CN" w:bidi="ar-SA"/>
                    </w:rPr>
                    <w:t>19+000、20+200、27+100、28+000，4处汇水口。</w:t>
                  </w:r>
                </w:p>
              </w:tc>
              <w:tc>
                <w:tcPr>
                  <w:tcW w:w="719" w:type="pct"/>
                  <w:vAlign w:val="center"/>
                </w:tcPr>
                <w:p>
                  <w:pPr>
                    <w:spacing w:line="240" w:lineRule="auto"/>
                    <w:ind w:left="0" w:leftChars="0" w:firstLine="0" w:firstLineChars="0"/>
                    <w:jc w:val="center"/>
                    <w:rPr>
                      <w:rFonts w:hint="default" w:ascii="Times New Roman" w:hAnsi="Times New Roman" w:eastAsia="宋体" w:cs="Times New Roman"/>
                      <w:color w:val="000000"/>
                      <w:spacing w:val="1"/>
                      <w:kern w:val="2"/>
                      <w:sz w:val="21"/>
                      <w:szCs w:val="21"/>
                      <w:highlight w:val="none"/>
                      <w:lang w:val="en-US" w:eastAsia="zh-CN" w:bidi="ar-SA"/>
                    </w:rPr>
                  </w:pPr>
                  <w:r>
                    <w:rPr>
                      <w:rFonts w:hint="default" w:ascii="Times New Roman" w:hAnsi="Times New Roman" w:eastAsia="宋体" w:cs="Times New Roman"/>
                      <w:color w:val="000000"/>
                      <w:spacing w:val="1"/>
                      <w:kern w:val="2"/>
                      <w:sz w:val="21"/>
                      <w:szCs w:val="21"/>
                      <w:highlight w:val="none"/>
                      <w:lang w:val="en-US" w:eastAsia="zh-CN" w:bidi="ar-SA"/>
                    </w:rPr>
                    <w:t>新建</w:t>
                  </w:r>
                  <w:r>
                    <w:rPr>
                      <w:rFonts w:hint="eastAsia" w:ascii="Times New Roman" w:hAnsi="Times New Roman" w:eastAsia="宋体" w:cs="Times New Roman"/>
                      <w:color w:val="000000"/>
                      <w:spacing w:val="1"/>
                      <w:kern w:val="2"/>
                      <w:sz w:val="21"/>
                      <w:szCs w:val="21"/>
                      <w:highlight w:val="none"/>
                      <w:lang w:val="en-US" w:eastAsia="zh-CN" w:bidi="ar-SA"/>
                    </w:rPr>
                    <w:t>，永久占地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271" w:type="pct"/>
                  <w:vMerge w:val="continue"/>
                  <w:vAlign w:val="center"/>
                </w:tcPr>
                <w:p>
                  <w:pPr>
                    <w:pStyle w:val="94"/>
                    <w:snapToGrid w:val="0"/>
                    <w:spacing w:line="240" w:lineRule="auto"/>
                    <w:ind w:left="0" w:leftChars="0" w:firstLine="0" w:firstLineChars="0"/>
                    <w:jc w:val="center"/>
                    <w:rPr>
                      <w:rFonts w:hint="default" w:ascii="Times New Roman" w:hAnsi="Times New Roman" w:cs="Times New Roman"/>
                      <w:b w:val="0"/>
                      <w:bCs/>
                      <w:color w:val="000000"/>
                      <w:sz w:val="21"/>
                      <w:szCs w:val="21"/>
                    </w:rPr>
                  </w:pPr>
                </w:p>
              </w:tc>
              <w:tc>
                <w:tcPr>
                  <w:tcW w:w="273" w:type="pct"/>
                  <w:vMerge w:val="continue"/>
                  <w:vAlign w:val="center"/>
                </w:tcPr>
                <w:p>
                  <w:pPr>
                    <w:pStyle w:val="94"/>
                    <w:snapToGrid w:val="0"/>
                    <w:spacing w:line="240" w:lineRule="auto"/>
                    <w:ind w:left="0" w:leftChars="0" w:firstLine="0" w:firstLineChars="0"/>
                    <w:jc w:val="center"/>
                    <w:rPr>
                      <w:rFonts w:hint="default" w:ascii="Times New Roman" w:hAnsi="Times New Roman" w:cs="Times New Roman"/>
                      <w:b w:val="0"/>
                      <w:bCs/>
                      <w:color w:val="000000"/>
                      <w:sz w:val="21"/>
                      <w:szCs w:val="21"/>
                    </w:rPr>
                  </w:pPr>
                </w:p>
              </w:tc>
              <w:tc>
                <w:tcPr>
                  <w:tcW w:w="700" w:type="pct"/>
                  <w:gridSpan w:val="2"/>
                  <w:vAlign w:val="center"/>
                </w:tcPr>
                <w:p>
                  <w:pPr>
                    <w:keepNext w:val="0"/>
                    <w:keepLines w:val="0"/>
                    <w:widowControl/>
                    <w:suppressLineNumbers w:val="0"/>
                    <w:spacing w:line="240" w:lineRule="auto"/>
                    <w:ind w:left="0" w:leftChars="0" w:firstLine="0" w:firstLineChars="0"/>
                    <w:jc w:val="center"/>
                    <w:rPr>
                      <w:rFonts w:hint="eastAsia" w:ascii="Times New Roman" w:hAnsi="Times New Roman" w:eastAsia="宋体" w:cs="Times New Roman"/>
                      <w:color w:val="000000"/>
                      <w:spacing w:val="1"/>
                      <w:kern w:val="2"/>
                      <w:sz w:val="21"/>
                      <w:szCs w:val="21"/>
                      <w:highlight w:val="none"/>
                      <w:lang w:val="en-US" w:eastAsia="zh-CN" w:bidi="ar-SA"/>
                    </w:rPr>
                  </w:pPr>
                  <w:r>
                    <w:rPr>
                      <w:rFonts w:hint="default" w:ascii="Times New Roman" w:hAnsi="Times New Roman" w:eastAsia="宋体" w:cs="Times New Roman"/>
                      <w:color w:val="000000"/>
                      <w:spacing w:val="1"/>
                      <w:kern w:val="2"/>
                      <w:sz w:val="21"/>
                      <w:szCs w:val="21"/>
                      <w:highlight w:val="none"/>
                      <w:lang w:val="zh-CN" w:eastAsia="zh-CN" w:bidi="ar-SA"/>
                    </w:rPr>
                    <w:t>防洪堤临时堆土区</w:t>
                  </w:r>
                </w:p>
              </w:tc>
              <w:tc>
                <w:tcPr>
                  <w:tcW w:w="3035" w:type="pct"/>
                  <w:vAlign w:val="center"/>
                </w:tcPr>
                <w:p>
                  <w:pPr>
                    <w:keepNext w:val="0"/>
                    <w:keepLines w:val="0"/>
                    <w:widowControl/>
                    <w:suppressLineNumbers w:val="0"/>
                    <w:spacing w:line="240" w:lineRule="auto"/>
                    <w:ind w:left="0" w:leftChars="0" w:firstLine="0" w:firstLineChars="0"/>
                    <w:jc w:val="center"/>
                    <w:rPr>
                      <w:rFonts w:hint="eastAsia" w:ascii="Times New Roman" w:hAnsi="Times New Roman" w:eastAsia="宋体" w:cs="Times New Roman"/>
                      <w:color w:val="000000"/>
                      <w:spacing w:val="1"/>
                      <w:kern w:val="2"/>
                      <w:sz w:val="21"/>
                      <w:szCs w:val="21"/>
                      <w:highlight w:val="none"/>
                      <w:lang w:val="en-US" w:eastAsia="zh-CN" w:bidi="ar-SA"/>
                    </w:rPr>
                  </w:pPr>
                  <w:r>
                    <w:rPr>
                      <w:rFonts w:hint="default" w:ascii="Times New Roman" w:hAnsi="Times New Roman" w:eastAsia="宋体" w:cs="Times New Roman"/>
                      <w:color w:val="000000"/>
                      <w:spacing w:val="1"/>
                      <w:kern w:val="2"/>
                      <w:sz w:val="21"/>
                      <w:szCs w:val="21"/>
                      <w:highlight w:val="none"/>
                      <w:lang w:val="zh-CN" w:eastAsia="zh-CN" w:bidi="ar-SA"/>
                    </w:rPr>
                    <w:t>防洪堤临时堆土区布设于防洪坝一侧，宽度4m，长度3.9km，占地面积1.56hm</w:t>
                  </w:r>
                  <w:r>
                    <w:rPr>
                      <w:rFonts w:hint="default" w:ascii="Times New Roman" w:hAnsi="Times New Roman" w:eastAsia="宋体" w:cs="Times New Roman"/>
                      <w:color w:val="000000"/>
                      <w:spacing w:val="1"/>
                      <w:kern w:val="2"/>
                      <w:sz w:val="21"/>
                      <w:szCs w:val="21"/>
                      <w:highlight w:val="none"/>
                      <w:vertAlign w:val="superscript"/>
                      <w:lang w:val="zh-CN" w:eastAsia="zh-CN" w:bidi="ar-SA"/>
                    </w:rPr>
                    <w:t>2</w:t>
                  </w:r>
                  <w:r>
                    <w:rPr>
                      <w:rFonts w:hint="default" w:ascii="Times New Roman" w:hAnsi="Times New Roman" w:eastAsia="宋体" w:cs="Times New Roman"/>
                      <w:color w:val="000000"/>
                      <w:spacing w:val="1"/>
                      <w:kern w:val="2"/>
                      <w:sz w:val="21"/>
                      <w:szCs w:val="21"/>
                      <w:highlight w:val="none"/>
                      <w:lang w:val="zh-CN" w:eastAsia="zh-CN" w:bidi="ar-SA"/>
                    </w:rPr>
                    <w:t>，临时堆土堆高5m，边坡1:1.5，可容纳最大土方量为7.50万m</w:t>
                  </w:r>
                  <w:r>
                    <w:rPr>
                      <w:rFonts w:hint="default" w:ascii="Times New Roman" w:hAnsi="Times New Roman" w:eastAsia="宋体" w:cs="Times New Roman"/>
                      <w:color w:val="000000"/>
                      <w:spacing w:val="1"/>
                      <w:kern w:val="2"/>
                      <w:sz w:val="21"/>
                      <w:szCs w:val="21"/>
                      <w:highlight w:val="none"/>
                      <w:vertAlign w:val="superscript"/>
                      <w:lang w:val="zh-CN" w:eastAsia="zh-CN" w:bidi="ar-SA"/>
                    </w:rPr>
                    <w:t>3</w:t>
                  </w:r>
                  <w:r>
                    <w:rPr>
                      <w:rFonts w:hint="eastAsia" w:ascii="Times New Roman" w:hAnsi="Times New Roman" w:eastAsia="宋体" w:cs="Times New Roman"/>
                      <w:color w:val="000000"/>
                      <w:spacing w:val="1"/>
                      <w:kern w:val="2"/>
                      <w:sz w:val="21"/>
                      <w:szCs w:val="21"/>
                      <w:highlight w:val="none"/>
                      <w:lang w:val="zh-CN" w:eastAsia="zh-CN" w:bidi="ar-SA"/>
                    </w:rPr>
                    <w:t>。</w:t>
                  </w:r>
                </w:p>
              </w:tc>
              <w:tc>
                <w:tcPr>
                  <w:tcW w:w="719" w:type="pct"/>
                  <w:vAlign w:val="center"/>
                </w:tcPr>
                <w:p>
                  <w:pPr>
                    <w:spacing w:line="240" w:lineRule="auto"/>
                    <w:ind w:left="0" w:leftChars="0" w:firstLine="0" w:firstLineChars="0"/>
                    <w:jc w:val="center"/>
                    <w:rPr>
                      <w:rFonts w:hint="default" w:ascii="Times New Roman" w:hAnsi="Times New Roman" w:eastAsia="宋体" w:cs="Times New Roman"/>
                      <w:color w:val="000000"/>
                      <w:spacing w:val="1"/>
                      <w:kern w:val="2"/>
                      <w:sz w:val="21"/>
                      <w:szCs w:val="21"/>
                      <w:highlight w:val="none"/>
                      <w:lang w:val="en-US" w:eastAsia="zh-CN" w:bidi="ar-SA"/>
                    </w:rPr>
                  </w:pPr>
                  <w:r>
                    <w:rPr>
                      <w:rFonts w:hint="default" w:ascii="Times New Roman" w:hAnsi="Times New Roman" w:eastAsia="宋体" w:cs="Times New Roman"/>
                      <w:color w:val="000000"/>
                      <w:spacing w:val="1"/>
                      <w:kern w:val="2"/>
                      <w:sz w:val="21"/>
                      <w:szCs w:val="21"/>
                      <w:highlight w:val="none"/>
                      <w:lang w:val="en-US" w:eastAsia="zh-CN" w:bidi="ar-SA"/>
                    </w:rPr>
                    <w:t>新建</w:t>
                  </w:r>
                  <w:r>
                    <w:rPr>
                      <w:rFonts w:hint="eastAsia" w:ascii="Times New Roman" w:hAnsi="Times New Roman" w:eastAsia="宋体" w:cs="Times New Roman"/>
                      <w:color w:val="000000"/>
                      <w:spacing w:val="1"/>
                      <w:kern w:val="2"/>
                      <w:sz w:val="21"/>
                      <w:szCs w:val="21"/>
                      <w:highlight w:val="none"/>
                      <w:lang w:val="en-US" w:eastAsia="zh-CN" w:bidi="ar-SA"/>
                    </w:rPr>
                    <w:t>，临时占地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71" w:type="pct"/>
                  <w:vMerge w:val="continue"/>
                  <w:vAlign w:val="center"/>
                </w:tcPr>
                <w:p>
                  <w:pPr>
                    <w:pStyle w:val="94"/>
                    <w:snapToGrid w:val="0"/>
                    <w:spacing w:line="240" w:lineRule="auto"/>
                    <w:ind w:left="0" w:leftChars="0" w:firstLine="0" w:firstLineChars="0"/>
                    <w:jc w:val="center"/>
                    <w:rPr>
                      <w:rFonts w:hint="default" w:ascii="Times New Roman" w:hAnsi="Times New Roman" w:cs="Times New Roman"/>
                      <w:b w:val="0"/>
                      <w:bCs/>
                      <w:color w:val="000000"/>
                      <w:sz w:val="21"/>
                      <w:szCs w:val="21"/>
                    </w:rPr>
                  </w:pPr>
                </w:p>
              </w:tc>
              <w:tc>
                <w:tcPr>
                  <w:tcW w:w="273" w:type="pct"/>
                  <w:vMerge w:val="continue"/>
                  <w:vAlign w:val="center"/>
                </w:tcPr>
                <w:p>
                  <w:pPr>
                    <w:pStyle w:val="94"/>
                    <w:snapToGrid w:val="0"/>
                    <w:spacing w:line="240" w:lineRule="auto"/>
                    <w:ind w:left="0" w:leftChars="0" w:firstLine="0" w:firstLineChars="0"/>
                    <w:jc w:val="center"/>
                    <w:rPr>
                      <w:rFonts w:hint="default" w:ascii="Times New Roman" w:hAnsi="Times New Roman" w:cs="Times New Roman"/>
                      <w:b w:val="0"/>
                      <w:bCs/>
                      <w:color w:val="000000"/>
                      <w:sz w:val="21"/>
                      <w:szCs w:val="21"/>
                    </w:rPr>
                  </w:pPr>
                </w:p>
              </w:tc>
              <w:tc>
                <w:tcPr>
                  <w:tcW w:w="700" w:type="pct"/>
                  <w:gridSpan w:val="2"/>
                  <w:vAlign w:val="center"/>
                </w:tcPr>
                <w:p>
                  <w:pPr>
                    <w:keepNext w:val="0"/>
                    <w:keepLines w:val="0"/>
                    <w:widowControl/>
                    <w:suppressLineNumbers w:val="0"/>
                    <w:spacing w:line="240" w:lineRule="auto"/>
                    <w:ind w:left="0" w:leftChars="0" w:firstLine="0" w:firstLineChars="0"/>
                    <w:jc w:val="center"/>
                    <w:rPr>
                      <w:rFonts w:hint="eastAsia" w:ascii="Times New Roman" w:hAnsi="Times New Roman" w:eastAsia="宋体" w:cs="Times New Roman"/>
                      <w:color w:val="000000"/>
                      <w:spacing w:val="1"/>
                      <w:kern w:val="2"/>
                      <w:sz w:val="21"/>
                      <w:szCs w:val="21"/>
                      <w:highlight w:val="none"/>
                      <w:lang w:val="en-US" w:eastAsia="zh-CN" w:bidi="ar-SA"/>
                    </w:rPr>
                  </w:pPr>
                  <w:r>
                    <w:rPr>
                      <w:rFonts w:hint="default" w:ascii="Times New Roman" w:hAnsi="Times New Roman" w:eastAsia="宋体" w:cs="Times New Roman"/>
                      <w:color w:val="000000"/>
                      <w:spacing w:val="1"/>
                      <w:kern w:val="2"/>
                      <w:sz w:val="21"/>
                      <w:szCs w:val="21"/>
                      <w:highlight w:val="none"/>
                      <w:lang w:val="zh-CN" w:eastAsia="zh-CN" w:bidi="ar-SA"/>
                    </w:rPr>
                    <w:t>排洪渠工程区</w:t>
                  </w:r>
                </w:p>
              </w:tc>
              <w:tc>
                <w:tcPr>
                  <w:tcW w:w="3035" w:type="pct"/>
                  <w:vAlign w:val="center"/>
                </w:tcPr>
                <w:p>
                  <w:pPr>
                    <w:keepNext w:val="0"/>
                    <w:keepLines w:val="0"/>
                    <w:widowControl/>
                    <w:suppressLineNumbers w:val="0"/>
                    <w:spacing w:line="240" w:lineRule="auto"/>
                    <w:ind w:left="0" w:leftChars="0" w:firstLine="0" w:firstLineChars="0"/>
                    <w:jc w:val="center"/>
                    <w:rPr>
                      <w:rFonts w:hint="eastAsia" w:ascii="Times New Roman" w:hAnsi="Times New Roman" w:eastAsia="宋体" w:cs="Times New Roman"/>
                      <w:color w:val="000000"/>
                      <w:spacing w:val="1"/>
                      <w:kern w:val="2"/>
                      <w:sz w:val="21"/>
                      <w:szCs w:val="21"/>
                      <w:highlight w:val="none"/>
                      <w:lang w:val="en-US" w:eastAsia="zh-CN" w:bidi="ar-SA"/>
                    </w:rPr>
                  </w:pPr>
                  <w:r>
                    <w:rPr>
                      <w:rFonts w:hint="default" w:ascii="Times New Roman" w:hAnsi="Times New Roman" w:eastAsia="宋体" w:cs="Times New Roman"/>
                      <w:color w:val="000000"/>
                      <w:spacing w:val="1"/>
                      <w:kern w:val="2"/>
                      <w:sz w:val="21"/>
                      <w:szCs w:val="21"/>
                      <w:highlight w:val="none"/>
                      <w:lang w:val="zh-CN" w:eastAsia="zh-CN" w:bidi="ar-SA"/>
                    </w:rPr>
                    <w:t>魏家村-S303段（桩号26+750-29+160），全长2.41km</w:t>
                  </w:r>
                  <w:r>
                    <w:rPr>
                      <w:rFonts w:hint="eastAsia" w:ascii="Times New Roman" w:hAnsi="Times New Roman" w:eastAsia="宋体" w:cs="Times New Roman"/>
                      <w:color w:val="000000"/>
                      <w:spacing w:val="1"/>
                      <w:kern w:val="2"/>
                      <w:sz w:val="21"/>
                      <w:szCs w:val="21"/>
                      <w:highlight w:val="none"/>
                      <w:lang w:val="zh-CN" w:eastAsia="zh-CN" w:bidi="ar-SA"/>
                    </w:rPr>
                    <w:t>。</w:t>
                  </w:r>
                </w:p>
              </w:tc>
              <w:tc>
                <w:tcPr>
                  <w:tcW w:w="719" w:type="pct"/>
                  <w:vAlign w:val="center"/>
                </w:tcPr>
                <w:p>
                  <w:pPr>
                    <w:spacing w:line="240" w:lineRule="auto"/>
                    <w:ind w:left="0" w:leftChars="0" w:firstLine="0" w:firstLineChars="0"/>
                    <w:jc w:val="center"/>
                    <w:rPr>
                      <w:rFonts w:hint="default" w:ascii="Times New Roman" w:hAnsi="Times New Roman" w:eastAsia="宋体" w:cs="Times New Roman"/>
                      <w:color w:val="000000"/>
                      <w:spacing w:val="1"/>
                      <w:kern w:val="2"/>
                      <w:sz w:val="21"/>
                      <w:szCs w:val="21"/>
                      <w:highlight w:val="none"/>
                      <w:lang w:val="en-US" w:eastAsia="zh-CN" w:bidi="ar-SA"/>
                    </w:rPr>
                  </w:pPr>
                  <w:r>
                    <w:rPr>
                      <w:rFonts w:hint="default" w:ascii="Times New Roman" w:hAnsi="Times New Roman" w:eastAsia="宋体" w:cs="Times New Roman"/>
                      <w:color w:val="000000"/>
                      <w:spacing w:val="1"/>
                      <w:kern w:val="2"/>
                      <w:sz w:val="21"/>
                      <w:szCs w:val="21"/>
                      <w:highlight w:val="none"/>
                      <w:lang w:val="en-US" w:eastAsia="zh-CN" w:bidi="ar-SA"/>
                    </w:rPr>
                    <w:t>新建</w:t>
                  </w:r>
                  <w:r>
                    <w:rPr>
                      <w:rFonts w:hint="eastAsia" w:ascii="Times New Roman" w:hAnsi="Times New Roman" w:eastAsia="宋体" w:cs="Times New Roman"/>
                      <w:color w:val="000000"/>
                      <w:spacing w:val="1"/>
                      <w:kern w:val="2"/>
                      <w:sz w:val="21"/>
                      <w:szCs w:val="21"/>
                      <w:highlight w:val="none"/>
                      <w:lang w:val="en-US" w:eastAsia="zh-CN" w:bidi="ar-SA"/>
                    </w:rPr>
                    <w:t>，永久占地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71" w:type="pct"/>
                  <w:vMerge w:val="continue"/>
                  <w:vAlign w:val="center"/>
                </w:tcPr>
                <w:p>
                  <w:pPr>
                    <w:pStyle w:val="94"/>
                    <w:snapToGrid w:val="0"/>
                    <w:spacing w:line="240" w:lineRule="auto"/>
                    <w:ind w:left="0" w:leftChars="0" w:firstLine="0" w:firstLineChars="0"/>
                    <w:jc w:val="center"/>
                    <w:rPr>
                      <w:rFonts w:hint="default" w:ascii="Times New Roman" w:hAnsi="Times New Roman" w:cs="Times New Roman"/>
                      <w:b w:val="0"/>
                      <w:bCs/>
                      <w:color w:val="000000"/>
                      <w:sz w:val="21"/>
                      <w:szCs w:val="21"/>
                    </w:rPr>
                  </w:pPr>
                </w:p>
              </w:tc>
              <w:tc>
                <w:tcPr>
                  <w:tcW w:w="273" w:type="pct"/>
                  <w:vMerge w:val="continue"/>
                  <w:vAlign w:val="center"/>
                </w:tcPr>
                <w:p>
                  <w:pPr>
                    <w:pStyle w:val="94"/>
                    <w:snapToGrid w:val="0"/>
                    <w:spacing w:line="240" w:lineRule="auto"/>
                    <w:ind w:left="0" w:leftChars="0" w:firstLine="0" w:firstLineChars="0"/>
                    <w:jc w:val="center"/>
                    <w:rPr>
                      <w:rFonts w:hint="default" w:ascii="Times New Roman" w:hAnsi="Times New Roman" w:cs="Times New Roman"/>
                      <w:b w:val="0"/>
                      <w:bCs/>
                      <w:color w:val="000000"/>
                      <w:sz w:val="21"/>
                      <w:szCs w:val="21"/>
                    </w:rPr>
                  </w:pPr>
                </w:p>
              </w:tc>
              <w:tc>
                <w:tcPr>
                  <w:tcW w:w="700" w:type="pct"/>
                  <w:gridSpan w:val="2"/>
                  <w:vAlign w:val="center"/>
                </w:tcPr>
                <w:p>
                  <w:pPr>
                    <w:keepNext w:val="0"/>
                    <w:keepLines w:val="0"/>
                    <w:widowControl/>
                    <w:suppressLineNumbers w:val="0"/>
                    <w:spacing w:line="240" w:lineRule="auto"/>
                    <w:ind w:left="0" w:leftChars="0" w:firstLine="0" w:firstLineChars="0"/>
                    <w:jc w:val="center"/>
                    <w:rPr>
                      <w:rFonts w:hint="eastAsia" w:ascii="Times New Roman" w:hAnsi="Times New Roman" w:eastAsia="宋体" w:cs="Times New Roman"/>
                      <w:color w:val="000000"/>
                      <w:spacing w:val="1"/>
                      <w:kern w:val="2"/>
                      <w:sz w:val="21"/>
                      <w:szCs w:val="21"/>
                      <w:highlight w:val="none"/>
                      <w:lang w:val="en-US" w:eastAsia="zh-CN" w:bidi="ar-SA"/>
                    </w:rPr>
                  </w:pPr>
                  <w:r>
                    <w:rPr>
                      <w:rFonts w:hint="default" w:ascii="Times New Roman" w:hAnsi="Times New Roman" w:eastAsia="宋体" w:cs="Times New Roman"/>
                      <w:color w:val="000000"/>
                      <w:spacing w:val="1"/>
                      <w:kern w:val="2"/>
                      <w:sz w:val="21"/>
                      <w:szCs w:val="21"/>
                      <w:highlight w:val="none"/>
                      <w:lang w:val="zh-CN" w:eastAsia="zh-CN" w:bidi="ar-SA"/>
                    </w:rPr>
                    <w:t>排洪渠附属建筑物工程区</w:t>
                  </w:r>
                </w:p>
              </w:tc>
              <w:tc>
                <w:tcPr>
                  <w:tcW w:w="3035" w:type="pct"/>
                  <w:vAlign w:val="center"/>
                </w:tcPr>
                <w:p>
                  <w:pPr>
                    <w:keepNext w:val="0"/>
                    <w:keepLines w:val="0"/>
                    <w:widowControl/>
                    <w:suppressLineNumbers w:val="0"/>
                    <w:spacing w:line="240" w:lineRule="auto"/>
                    <w:ind w:left="0" w:leftChars="0" w:firstLine="0" w:firstLineChars="0"/>
                    <w:jc w:val="center"/>
                    <w:rPr>
                      <w:rFonts w:hint="eastAsia" w:ascii="Times New Roman" w:hAnsi="Times New Roman" w:eastAsia="宋体" w:cs="Times New Roman"/>
                      <w:color w:val="000000"/>
                      <w:spacing w:val="1"/>
                      <w:kern w:val="2"/>
                      <w:sz w:val="21"/>
                      <w:szCs w:val="21"/>
                      <w:highlight w:val="none"/>
                      <w:lang w:val="en-US" w:eastAsia="zh-CN" w:bidi="ar-SA"/>
                    </w:rPr>
                  </w:pPr>
                  <w:r>
                    <w:rPr>
                      <w:rFonts w:hint="default" w:ascii="Times New Roman" w:hAnsi="Times New Roman" w:eastAsia="宋体" w:cs="Times New Roman"/>
                      <w:color w:val="000000"/>
                      <w:spacing w:val="1"/>
                      <w:kern w:val="2"/>
                      <w:sz w:val="21"/>
                      <w:szCs w:val="21"/>
                      <w:highlight w:val="none"/>
                      <w:lang w:val="zh-CN" w:eastAsia="zh-CN" w:bidi="ar-SA"/>
                    </w:rPr>
                    <w:t>魏家村-S303段农桥4座。</w:t>
                  </w:r>
                </w:p>
              </w:tc>
              <w:tc>
                <w:tcPr>
                  <w:tcW w:w="719" w:type="pct"/>
                  <w:vAlign w:val="center"/>
                </w:tcPr>
                <w:p>
                  <w:pPr>
                    <w:spacing w:line="240" w:lineRule="auto"/>
                    <w:ind w:left="0" w:leftChars="0" w:firstLine="0" w:firstLineChars="0"/>
                    <w:jc w:val="center"/>
                    <w:rPr>
                      <w:rFonts w:hint="default" w:ascii="Times New Roman" w:hAnsi="Times New Roman" w:eastAsia="宋体" w:cs="Times New Roman"/>
                      <w:color w:val="000000"/>
                      <w:spacing w:val="1"/>
                      <w:kern w:val="2"/>
                      <w:sz w:val="21"/>
                      <w:szCs w:val="21"/>
                      <w:highlight w:val="none"/>
                      <w:lang w:val="en-US" w:eastAsia="zh-CN" w:bidi="ar-SA"/>
                    </w:rPr>
                  </w:pPr>
                  <w:r>
                    <w:rPr>
                      <w:rFonts w:hint="default" w:ascii="Times New Roman" w:hAnsi="Times New Roman" w:eastAsia="宋体" w:cs="Times New Roman"/>
                      <w:color w:val="000000"/>
                      <w:spacing w:val="1"/>
                      <w:kern w:val="2"/>
                      <w:sz w:val="21"/>
                      <w:szCs w:val="21"/>
                      <w:highlight w:val="none"/>
                      <w:lang w:val="en-US" w:eastAsia="zh-CN" w:bidi="ar-SA"/>
                    </w:rPr>
                    <w:t>新建</w:t>
                  </w:r>
                  <w:r>
                    <w:rPr>
                      <w:rFonts w:hint="eastAsia" w:ascii="Times New Roman" w:hAnsi="Times New Roman" w:eastAsia="宋体" w:cs="Times New Roman"/>
                      <w:color w:val="000000"/>
                      <w:spacing w:val="1"/>
                      <w:kern w:val="2"/>
                      <w:sz w:val="21"/>
                      <w:szCs w:val="21"/>
                      <w:highlight w:val="none"/>
                      <w:lang w:val="en-US" w:eastAsia="zh-CN" w:bidi="ar-SA"/>
                    </w:rPr>
                    <w:t>，永久占地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71" w:type="pct"/>
                  <w:vMerge w:val="continue"/>
                  <w:vAlign w:val="center"/>
                </w:tcPr>
                <w:p>
                  <w:pPr>
                    <w:pStyle w:val="94"/>
                    <w:snapToGrid w:val="0"/>
                    <w:spacing w:line="240" w:lineRule="auto"/>
                    <w:ind w:left="0" w:leftChars="0" w:firstLine="0" w:firstLineChars="0"/>
                    <w:jc w:val="center"/>
                    <w:rPr>
                      <w:rFonts w:hint="default" w:ascii="Times New Roman" w:hAnsi="Times New Roman" w:cs="Times New Roman"/>
                      <w:b w:val="0"/>
                      <w:bCs/>
                      <w:color w:val="000000"/>
                      <w:sz w:val="21"/>
                      <w:szCs w:val="21"/>
                    </w:rPr>
                  </w:pPr>
                </w:p>
              </w:tc>
              <w:tc>
                <w:tcPr>
                  <w:tcW w:w="273" w:type="pct"/>
                  <w:vMerge w:val="continue"/>
                  <w:vAlign w:val="center"/>
                </w:tcPr>
                <w:p>
                  <w:pPr>
                    <w:pStyle w:val="94"/>
                    <w:snapToGrid w:val="0"/>
                    <w:spacing w:line="240" w:lineRule="auto"/>
                    <w:ind w:left="0" w:leftChars="0" w:firstLine="0" w:firstLineChars="0"/>
                    <w:jc w:val="center"/>
                    <w:rPr>
                      <w:rFonts w:hint="default" w:ascii="Times New Roman" w:hAnsi="Times New Roman" w:cs="Times New Roman"/>
                      <w:b w:val="0"/>
                      <w:bCs/>
                      <w:color w:val="000000"/>
                      <w:sz w:val="21"/>
                      <w:szCs w:val="21"/>
                    </w:rPr>
                  </w:pPr>
                </w:p>
              </w:tc>
              <w:tc>
                <w:tcPr>
                  <w:tcW w:w="700" w:type="pct"/>
                  <w:gridSpan w:val="2"/>
                  <w:vAlign w:val="center"/>
                </w:tcPr>
                <w:p>
                  <w:pPr>
                    <w:keepNext w:val="0"/>
                    <w:keepLines w:val="0"/>
                    <w:widowControl/>
                    <w:suppressLineNumbers w:val="0"/>
                    <w:spacing w:line="240" w:lineRule="auto"/>
                    <w:ind w:left="0" w:leftChars="0" w:firstLine="0" w:firstLineChars="0"/>
                    <w:jc w:val="center"/>
                    <w:rPr>
                      <w:rFonts w:hint="default" w:ascii="Times New Roman" w:hAnsi="Times New Roman" w:eastAsia="宋体" w:cs="Times New Roman"/>
                      <w:color w:val="000000"/>
                      <w:spacing w:val="1"/>
                      <w:kern w:val="2"/>
                      <w:sz w:val="21"/>
                      <w:szCs w:val="21"/>
                      <w:highlight w:val="none"/>
                      <w:lang w:val="zh-CN" w:eastAsia="zh-CN" w:bidi="ar-SA"/>
                    </w:rPr>
                  </w:pPr>
                  <w:r>
                    <w:rPr>
                      <w:rFonts w:hint="default" w:ascii="Times New Roman" w:hAnsi="Times New Roman" w:eastAsia="宋体" w:cs="Times New Roman"/>
                      <w:color w:val="000000"/>
                      <w:spacing w:val="1"/>
                      <w:kern w:val="2"/>
                      <w:sz w:val="21"/>
                      <w:szCs w:val="21"/>
                      <w:highlight w:val="none"/>
                      <w:lang w:val="zh-CN" w:eastAsia="zh-CN" w:bidi="ar-SA"/>
                    </w:rPr>
                    <w:t>施工</w:t>
                  </w:r>
                  <w:r>
                    <w:rPr>
                      <w:rFonts w:hint="eastAsia" w:cs="Times New Roman"/>
                      <w:color w:val="000000"/>
                      <w:spacing w:val="1"/>
                      <w:kern w:val="2"/>
                      <w:sz w:val="21"/>
                      <w:szCs w:val="21"/>
                      <w:highlight w:val="none"/>
                      <w:lang w:val="en-US" w:eastAsia="zh-CN" w:bidi="ar-SA"/>
                    </w:rPr>
                    <w:t>便道</w:t>
                  </w:r>
                  <w:r>
                    <w:rPr>
                      <w:rFonts w:hint="default" w:ascii="Times New Roman" w:hAnsi="Times New Roman" w:eastAsia="宋体" w:cs="Times New Roman"/>
                      <w:color w:val="000000"/>
                      <w:spacing w:val="1"/>
                      <w:kern w:val="2"/>
                      <w:sz w:val="21"/>
                      <w:szCs w:val="21"/>
                      <w:highlight w:val="none"/>
                      <w:lang w:val="zh-CN" w:eastAsia="zh-CN" w:bidi="ar-SA"/>
                    </w:rPr>
                    <w:t>区</w:t>
                  </w:r>
                </w:p>
              </w:tc>
              <w:tc>
                <w:tcPr>
                  <w:tcW w:w="3035" w:type="pct"/>
                  <w:vAlign w:val="center"/>
                </w:tcPr>
                <w:p>
                  <w:pPr>
                    <w:keepNext w:val="0"/>
                    <w:keepLines w:val="0"/>
                    <w:widowControl/>
                    <w:suppressLineNumbers w:val="0"/>
                    <w:spacing w:line="240" w:lineRule="auto"/>
                    <w:ind w:left="0" w:leftChars="0" w:firstLine="0" w:firstLineChars="0"/>
                    <w:jc w:val="center"/>
                    <w:rPr>
                      <w:rFonts w:hint="eastAsia" w:ascii="Times New Roman" w:hAnsi="Times New Roman" w:eastAsia="宋体" w:cs="Times New Roman"/>
                      <w:color w:val="000000"/>
                      <w:spacing w:val="1"/>
                      <w:kern w:val="2"/>
                      <w:sz w:val="21"/>
                      <w:szCs w:val="21"/>
                      <w:highlight w:val="none"/>
                      <w:lang w:val="en-US" w:eastAsia="zh-CN" w:bidi="ar-SA"/>
                    </w:rPr>
                  </w:pPr>
                  <w:r>
                    <w:rPr>
                      <w:rFonts w:hint="default" w:ascii="Times New Roman" w:hAnsi="Times New Roman" w:eastAsia="宋体" w:cs="Times New Roman"/>
                      <w:color w:val="000000"/>
                      <w:spacing w:val="1"/>
                      <w:kern w:val="2"/>
                      <w:sz w:val="21"/>
                      <w:szCs w:val="21"/>
                      <w:highlight w:val="none"/>
                      <w:lang w:val="zh-CN" w:eastAsia="zh-CN" w:bidi="ar-SA"/>
                    </w:rPr>
                    <w:t>防洪堤一侧布设伴行施工</w:t>
                  </w:r>
                  <w:r>
                    <w:rPr>
                      <w:rFonts w:hint="eastAsia" w:cs="Times New Roman"/>
                      <w:color w:val="000000"/>
                      <w:spacing w:val="1"/>
                      <w:kern w:val="2"/>
                      <w:sz w:val="21"/>
                      <w:szCs w:val="21"/>
                      <w:highlight w:val="none"/>
                      <w:lang w:val="en-US" w:eastAsia="zh-CN" w:bidi="ar-SA"/>
                    </w:rPr>
                    <w:t>便道</w:t>
                  </w:r>
                  <w:r>
                    <w:rPr>
                      <w:rFonts w:hint="default" w:ascii="Times New Roman" w:hAnsi="Times New Roman" w:eastAsia="宋体" w:cs="Times New Roman"/>
                      <w:color w:val="000000"/>
                      <w:spacing w:val="1"/>
                      <w:kern w:val="2"/>
                      <w:sz w:val="21"/>
                      <w:szCs w:val="21"/>
                      <w:highlight w:val="none"/>
                      <w:lang w:val="zh-CN" w:eastAsia="zh-CN" w:bidi="ar-SA"/>
                    </w:rPr>
                    <w:t>，起点与终点均与防洪堤位置一致，长度3.9km，路宽4.0m，在排洪渠两侧布设伴行施工</w:t>
                  </w:r>
                  <w:r>
                    <w:rPr>
                      <w:rFonts w:hint="eastAsia" w:cs="Times New Roman"/>
                      <w:color w:val="000000"/>
                      <w:spacing w:val="1"/>
                      <w:kern w:val="2"/>
                      <w:sz w:val="21"/>
                      <w:szCs w:val="21"/>
                      <w:highlight w:val="none"/>
                      <w:lang w:val="en-US" w:eastAsia="zh-CN" w:bidi="ar-SA"/>
                    </w:rPr>
                    <w:t>便道</w:t>
                  </w:r>
                  <w:r>
                    <w:rPr>
                      <w:rFonts w:hint="default" w:ascii="Times New Roman" w:hAnsi="Times New Roman" w:eastAsia="宋体" w:cs="Times New Roman"/>
                      <w:color w:val="000000"/>
                      <w:spacing w:val="1"/>
                      <w:kern w:val="2"/>
                      <w:sz w:val="21"/>
                      <w:szCs w:val="21"/>
                      <w:highlight w:val="none"/>
                      <w:lang w:val="zh-CN" w:eastAsia="zh-CN" w:bidi="ar-SA"/>
                    </w:rPr>
                    <w:t>，起点与终点均与排洪渠位置一致，长度4.82km，路宽4.0m，占地面积3.49hm</w:t>
                  </w:r>
                  <w:r>
                    <w:rPr>
                      <w:rFonts w:hint="default" w:ascii="Times New Roman" w:hAnsi="Times New Roman" w:eastAsia="宋体" w:cs="Times New Roman"/>
                      <w:color w:val="000000"/>
                      <w:spacing w:val="1"/>
                      <w:kern w:val="2"/>
                      <w:sz w:val="21"/>
                      <w:szCs w:val="21"/>
                      <w:highlight w:val="none"/>
                      <w:vertAlign w:val="superscript"/>
                      <w:lang w:val="zh-CN" w:eastAsia="zh-CN" w:bidi="ar-SA"/>
                    </w:rPr>
                    <w:t>2</w:t>
                  </w:r>
                  <w:r>
                    <w:rPr>
                      <w:rFonts w:hint="eastAsia" w:ascii="Times New Roman" w:hAnsi="Times New Roman" w:eastAsia="宋体" w:cs="Times New Roman"/>
                      <w:color w:val="000000"/>
                      <w:spacing w:val="1"/>
                      <w:kern w:val="2"/>
                      <w:sz w:val="21"/>
                      <w:szCs w:val="21"/>
                      <w:highlight w:val="none"/>
                      <w:lang w:val="zh-CN" w:eastAsia="zh-CN" w:bidi="ar-SA"/>
                    </w:rPr>
                    <w:t>。</w:t>
                  </w:r>
                </w:p>
              </w:tc>
              <w:tc>
                <w:tcPr>
                  <w:tcW w:w="719" w:type="pct"/>
                  <w:vAlign w:val="center"/>
                </w:tcPr>
                <w:p>
                  <w:pPr>
                    <w:spacing w:line="240" w:lineRule="auto"/>
                    <w:ind w:left="0" w:leftChars="0" w:firstLine="0" w:firstLineChars="0"/>
                    <w:jc w:val="center"/>
                    <w:rPr>
                      <w:rFonts w:hint="default" w:ascii="Times New Roman" w:hAnsi="Times New Roman" w:eastAsia="宋体" w:cs="Times New Roman"/>
                      <w:color w:val="000000"/>
                      <w:spacing w:val="1"/>
                      <w:kern w:val="2"/>
                      <w:sz w:val="21"/>
                      <w:szCs w:val="21"/>
                      <w:highlight w:val="none"/>
                      <w:lang w:val="en-US" w:eastAsia="zh-CN" w:bidi="ar-SA"/>
                    </w:rPr>
                  </w:pPr>
                  <w:r>
                    <w:rPr>
                      <w:rFonts w:hint="default" w:ascii="Times New Roman" w:hAnsi="Times New Roman" w:eastAsia="宋体" w:cs="Times New Roman"/>
                      <w:color w:val="000000"/>
                      <w:spacing w:val="1"/>
                      <w:kern w:val="2"/>
                      <w:sz w:val="21"/>
                      <w:szCs w:val="21"/>
                      <w:highlight w:val="none"/>
                      <w:lang w:val="en-US" w:eastAsia="zh-CN" w:bidi="ar-SA"/>
                    </w:rPr>
                    <w:t>新建</w:t>
                  </w:r>
                  <w:r>
                    <w:rPr>
                      <w:rFonts w:hint="eastAsia" w:ascii="Times New Roman" w:hAnsi="Times New Roman" w:eastAsia="宋体" w:cs="Times New Roman"/>
                      <w:color w:val="000000"/>
                      <w:spacing w:val="1"/>
                      <w:kern w:val="2"/>
                      <w:sz w:val="21"/>
                      <w:szCs w:val="21"/>
                      <w:highlight w:val="none"/>
                      <w:lang w:val="en-US" w:eastAsia="zh-CN" w:bidi="ar-SA"/>
                    </w:rPr>
                    <w:t>，临时占地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71" w:type="pct"/>
                  <w:vMerge w:val="continue"/>
                  <w:vAlign w:val="center"/>
                </w:tcPr>
                <w:p>
                  <w:pPr>
                    <w:pStyle w:val="94"/>
                    <w:snapToGrid w:val="0"/>
                    <w:spacing w:line="240" w:lineRule="auto"/>
                    <w:ind w:left="0" w:leftChars="0" w:firstLine="0" w:firstLineChars="0"/>
                    <w:jc w:val="center"/>
                    <w:rPr>
                      <w:rFonts w:hint="default" w:ascii="Times New Roman" w:hAnsi="Times New Roman" w:cs="Times New Roman"/>
                      <w:b w:val="0"/>
                      <w:bCs/>
                      <w:color w:val="000000"/>
                      <w:sz w:val="21"/>
                      <w:szCs w:val="21"/>
                    </w:rPr>
                  </w:pPr>
                </w:p>
              </w:tc>
              <w:tc>
                <w:tcPr>
                  <w:tcW w:w="273" w:type="pct"/>
                  <w:vMerge w:val="continue"/>
                  <w:vAlign w:val="center"/>
                </w:tcPr>
                <w:p>
                  <w:pPr>
                    <w:pStyle w:val="94"/>
                    <w:snapToGrid w:val="0"/>
                    <w:spacing w:line="240" w:lineRule="auto"/>
                    <w:ind w:left="0" w:leftChars="0" w:firstLine="0" w:firstLineChars="0"/>
                    <w:jc w:val="center"/>
                    <w:rPr>
                      <w:rFonts w:hint="default" w:ascii="Times New Roman" w:hAnsi="Times New Roman" w:cs="Times New Roman"/>
                      <w:b w:val="0"/>
                      <w:bCs/>
                      <w:color w:val="000000"/>
                      <w:sz w:val="21"/>
                      <w:szCs w:val="21"/>
                    </w:rPr>
                  </w:pPr>
                </w:p>
              </w:tc>
              <w:tc>
                <w:tcPr>
                  <w:tcW w:w="700" w:type="pct"/>
                  <w:gridSpan w:val="2"/>
                  <w:vAlign w:val="center"/>
                </w:tcPr>
                <w:p>
                  <w:pPr>
                    <w:keepNext w:val="0"/>
                    <w:keepLines w:val="0"/>
                    <w:widowControl/>
                    <w:suppressLineNumbers w:val="0"/>
                    <w:spacing w:line="240" w:lineRule="auto"/>
                    <w:ind w:left="0" w:leftChars="0" w:firstLine="0" w:firstLineChars="0"/>
                    <w:jc w:val="center"/>
                    <w:rPr>
                      <w:rFonts w:hint="default" w:ascii="Times New Roman" w:hAnsi="Times New Roman" w:eastAsia="宋体" w:cs="Times New Roman"/>
                      <w:color w:val="000000"/>
                      <w:spacing w:val="1"/>
                      <w:kern w:val="2"/>
                      <w:sz w:val="21"/>
                      <w:szCs w:val="21"/>
                      <w:highlight w:val="none"/>
                      <w:lang w:val="zh-CN" w:eastAsia="zh-CN" w:bidi="ar-SA"/>
                    </w:rPr>
                  </w:pPr>
                  <w:r>
                    <w:rPr>
                      <w:rFonts w:hint="default" w:ascii="Times New Roman" w:hAnsi="Times New Roman" w:eastAsia="宋体" w:cs="Times New Roman"/>
                      <w:color w:val="000000"/>
                      <w:spacing w:val="1"/>
                      <w:kern w:val="2"/>
                      <w:sz w:val="21"/>
                      <w:szCs w:val="21"/>
                      <w:highlight w:val="none"/>
                      <w:lang w:val="zh-CN" w:eastAsia="zh-CN" w:bidi="ar-SA"/>
                    </w:rPr>
                    <w:t>施工生产区</w:t>
                  </w:r>
                </w:p>
              </w:tc>
              <w:tc>
                <w:tcPr>
                  <w:tcW w:w="3035" w:type="pct"/>
                  <w:vAlign w:val="center"/>
                </w:tcPr>
                <w:p>
                  <w:pPr>
                    <w:keepNext w:val="0"/>
                    <w:keepLines w:val="0"/>
                    <w:widowControl/>
                    <w:suppressLineNumbers w:val="0"/>
                    <w:spacing w:line="240" w:lineRule="auto"/>
                    <w:ind w:left="0" w:leftChars="0" w:firstLine="0" w:firstLineChars="0"/>
                    <w:jc w:val="center"/>
                    <w:rPr>
                      <w:rFonts w:hint="eastAsia" w:ascii="Times New Roman" w:hAnsi="Times New Roman" w:eastAsia="宋体" w:cs="Times New Roman"/>
                      <w:color w:val="000000"/>
                      <w:spacing w:val="1"/>
                      <w:kern w:val="2"/>
                      <w:sz w:val="21"/>
                      <w:szCs w:val="21"/>
                      <w:highlight w:val="none"/>
                      <w:lang w:val="en-US" w:eastAsia="zh-CN" w:bidi="ar-SA"/>
                    </w:rPr>
                  </w:pPr>
                  <w:r>
                    <w:rPr>
                      <w:rFonts w:hint="default" w:ascii="Times New Roman" w:hAnsi="Times New Roman" w:eastAsia="宋体" w:cs="Times New Roman"/>
                      <w:color w:val="000000"/>
                      <w:spacing w:val="1"/>
                      <w:kern w:val="2"/>
                      <w:sz w:val="21"/>
                      <w:szCs w:val="21"/>
                      <w:highlight w:val="none"/>
                      <w:lang w:val="zh-CN" w:eastAsia="zh-CN" w:bidi="ar-SA"/>
                    </w:rPr>
                    <w:t>项目为线性工程，冲洪积平原设置一处施工生产区，占地0.38hm</w:t>
                  </w:r>
                  <w:r>
                    <w:rPr>
                      <w:rFonts w:hint="default" w:ascii="Times New Roman" w:hAnsi="Times New Roman" w:eastAsia="宋体" w:cs="Times New Roman"/>
                      <w:color w:val="000000"/>
                      <w:spacing w:val="1"/>
                      <w:kern w:val="2"/>
                      <w:sz w:val="21"/>
                      <w:szCs w:val="21"/>
                      <w:highlight w:val="none"/>
                      <w:vertAlign w:val="superscript"/>
                      <w:lang w:val="zh-CN" w:eastAsia="zh-CN" w:bidi="ar-SA"/>
                    </w:rPr>
                    <w:t>2</w:t>
                  </w:r>
                  <w:r>
                    <w:rPr>
                      <w:rFonts w:hint="default" w:ascii="Times New Roman" w:hAnsi="Times New Roman" w:eastAsia="宋体" w:cs="Times New Roman"/>
                      <w:color w:val="000000"/>
                      <w:spacing w:val="1"/>
                      <w:kern w:val="2"/>
                      <w:sz w:val="21"/>
                      <w:szCs w:val="21"/>
                      <w:highlight w:val="none"/>
                      <w:lang w:val="zh-CN" w:eastAsia="zh-CN" w:bidi="ar-SA"/>
                    </w:rPr>
                    <w:t>。</w:t>
                  </w:r>
                </w:p>
              </w:tc>
              <w:tc>
                <w:tcPr>
                  <w:tcW w:w="719" w:type="pct"/>
                  <w:vAlign w:val="center"/>
                </w:tcPr>
                <w:p>
                  <w:pPr>
                    <w:spacing w:line="240" w:lineRule="auto"/>
                    <w:ind w:left="0" w:leftChars="0" w:firstLine="0" w:firstLineChars="0"/>
                    <w:jc w:val="center"/>
                    <w:rPr>
                      <w:rFonts w:hint="default" w:ascii="Times New Roman" w:hAnsi="Times New Roman" w:eastAsia="宋体" w:cs="Times New Roman"/>
                      <w:color w:val="000000"/>
                      <w:spacing w:val="1"/>
                      <w:kern w:val="2"/>
                      <w:sz w:val="21"/>
                      <w:szCs w:val="21"/>
                      <w:highlight w:val="none"/>
                      <w:lang w:val="en-US" w:eastAsia="zh-CN" w:bidi="ar-SA"/>
                    </w:rPr>
                  </w:pPr>
                  <w:r>
                    <w:rPr>
                      <w:rFonts w:hint="default" w:ascii="Times New Roman" w:hAnsi="Times New Roman" w:eastAsia="宋体" w:cs="Times New Roman"/>
                      <w:color w:val="000000"/>
                      <w:spacing w:val="1"/>
                      <w:kern w:val="2"/>
                      <w:sz w:val="21"/>
                      <w:szCs w:val="21"/>
                      <w:highlight w:val="none"/>
                      <w:lang w:val="en-US" w:eastAsia="zh-CN" w:bidi="ar-SA"/>
                    </w:rPr>
                    <w:t>新建</w:t>
                  </w:r>
                  <w:r>
                    <w:rPr>
                      <w:rFonts w:hint="eastAsia" w:ascii="Times New Roman" w:hAnsi="Times New Roman" w:eastAsia="宋体" w:cs="Times New Roman"/>
                      <w:color w:val="000000"/>
                      <w:spacing w:val="1"/>
                      <w:kern w:val="2"/>
                      <w:sz w:val="21"/>
                      <w:szCs w:val="21"/>
                      <w:highlight w:val="none"/>
                      <w:lang w:val="en-US" w:eastAsia="zh-CN" w:bidi="ar-SA"/>
                    </w:rPr>
                    <w:t>，临时占地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71" w:type="pct"/>
                  <w:vMerge w:val="continue"/>
                  <w:vAlign w:val="center"/>
                </w:tcPr>
                <w:p>
                  <w:pPr>
                    <w:pStyle w:val="94"/>
                    <w:snapToGrid w:val="0"/>
                    <w:spacing w:line="240" w:lineRule="auto"/>
                    <w:ind w:left="0" w:leftChars="0" w:firstLine="0" w:firstLineChars="0"/>
                    <w:jc w:val="center"/>
                    <w:rPr>
                      <w:rFonts w:hint="default" w:ascii="Times New Roman" w:hAnsi="Times New Roman" w:cs="Times New Roman"/>
                      <w:b w:val="0"/>
                      <w:bCs/>
                      <w:color w:val="000000"/>
                      <w:sz w:val="21"/>
                      <w:szCs w:val="21"/>
                    </w:rPr>
                  </w:pPr>
                </w:p>
              </w:tc>
              <w:tc>
                <w:tcPr>
                  <w:tcW w:w="273" w:type="pct"/>
                  <w:vMerge w:val="continue"/>
                  <w:vAlign w:val="center"/>
                </w:tcPr>
                <w:p>
                  <w:pPr>
                    <w:pStyle w:val="94"/>
                    <w:snapToGrid w:val="0"/>
                    <w:spacing w:line="240" w:lineRule="auto"/>
                    <w:ind w:left="0" w:leftChars="0" w:firstLine="0" w:firstLineChars="0"/>
                    <w:jc w:val="center"/>
                    <w:rPr>
                      <w:rFonts w:hint="default" w:ascii="Times New Roman" w:hAnsi="Times New Roman" w:cs="Times New Roman"/>
                      <w:b w:val="0"/>
                      <w:bCs/>
                      <w:color w:val="000000"/>
                      <w:sz w:val="21"/>
                      <w:szCs w:val="21"/>
                    </w:rPr>
                  </w:pPr>
                </w:p>
              </w:tc>
              <w:tc>
                <w:tcPr>
                  <w:tcW w:w="700" w:type="pct"/>
                  <w:gridSpan w:val="2"/>
                  <w:vAlign w:val="center"/>
                </w:tcPr>
                <w:p>
                  <w:pPr>
                    <w:keepNext w:val="0"/>
                    <w:keepLines w:val="0"/>
                    <w:widowControl/>
                    <w:suppressLineNumbers w:val="0"/>
                    <w:spacing w:line="240" w:lineRule="auto"/>
                    <w:ind w:left="0" w:leftChars="0" w:firstLine="0" w:firstLineChars="0"/>
                    <w:jc w:val="center"/>
                    <w:rPr>
                      <w:rFonts w:hint="eastAsia" w:ascii="Times New Roman" w:hAnsi="Times New Roman" w:eastAsia="宋体" w:cs="Times New Roman"/>
                      <w:color w:val="000000"/>
                      <w:spacing w:val="1"/>
                      <w:kern w:val="2"/>
                      <w:sz w:val="21"/>
                      <w:szCs w:val="21"/>
                      <w:highlight w:val="none"/>
                      <w:lang w:val="en-US" w:eastAsia="zh-CN" w:bidi="ar-SA"/>
                    </w:rPr>
                  </w:pPr>
                  <w:r>
                    <w:rPr>
                      <w:rFonts w:hint="default" w:ascii="Times New Roman" w:hAnsi="Times New Roman" w:eastAsia="宋体" w:cs="Times New Roman"/>
                      <w:color w:val="000000"/>
                      <w:spacing w:val="1"/>
                      <w:kern w:val="2"/>
                      <w:sz w:val="21"/>
                      <w:szCs w:val="21"/>
                      <w:highlight w:val="none"/>
                      <w:lang w:val="zh-CN" w:eastAsia="zh-CN" w:bidi="ar-SA"/>
                    </w:rPr>
                    <w:t>排洪渠临时堆土区</w:t>
                  </w:r>
                </w:p>
              </w:tc>
              <w:tc>
                <w:tcPr>
                  <w:tcW w:w="3035" w:type="pct"/>
                  <w:vAlign w:val="center"/>
                </w:tcPr>
                <w:p>
                  <w:pPr>
                    <w:keepNext w:val="0"/>
                    <w:keepLines w:val="0"/>
                    <w:widowControl/>
                    <w:suppressLineNumbers w:val="0"/>
                    <w:spacing w:line="240" w:lineRule="auto"/>
                    <w:ind w:left="0" w:leftChars="0" w:firstLine="0" w:firstLineChars="0"/>
                    <w:jc w:val="center"/>
                    <w:rPr>
                      <w:rFonts w:hint="eastAsia" w:ascii="Times New Roman" w:hAnsi="Times New Roman" w:eastAsia="宋体" w:cs="Times New Roman"/>
                      <w:color w:val="000000"/>
                      <w:spacing w:val="1"/>
                      <w:kern w:val="2"/>
                      <w:sz w:val="21"/>
                      <w:szCs w:val="21"/>
                      <w:highlight w:val="none"/>
                      <w:lang w:val="en-US" w:eastAsia="zh-CN" w:bidi="ar-SA"/>
                    </w:rPr>
                  </w:pPr>
                  <w:r>
                    <w:rPr>
                      <w:rFonts w:hint="default" w:ascii="Times New Roman" w:hAnsi="Times New Roman" w:eastAsia="宋体" w:cs="Times New Roman"/>
                      <w:color w:val="000000"/>
                      <w:spacing w:val="1"/>
                      <w:kern w:val="2"/>
                      <w:sz w:val="21"/>
                      <w:szCs w:val="21"/>
                      <w:highlight w:val="none"/>
                      <w:lang w:val="zh-CN" w:eastAsia="zh-CN" w:bidi="ar-SA"/>
                    </w:rPr>
                    <w:t>排洪渠临时堆土区布设于排洪渠两侧，宽度6m，长度2.41*2km，占地面积1.45hm</w:t>
                  </w:r>
                  <w:r>
                    <w:rPr>
                      <w:rFonts w:hint="default" w:ascii="Times New Roman" w:hAnsi="Times New Roman" w:eastAsia="宋体" w:cs="Times New Roman"/>
                      <w:color w:val="000000"/>
                      <w:spacing w:val="1"/>
                      <w:kern w:val="2"/>
                      <w:sz w:val="21"/>
                      <w:szCs w:val="21"/>
                      <w:highlight w:val="none"/>
                      <w:vertAlign w:val="superscript"/>
                      <w:lang w:val="zh-CN" w:eastAsia="zh-CN" w:bidi="ar-SA"/>
                    </w:rPr>
                    <w:t>2</w:t>
                  </w:r>
                  <w:r>
                    <w:rPr>
                      <w:rFonts w:hint="default" w:ascii="Times New Roman" w:hAnsi="Times New Roman" w:eastAsia="宋体" w:cs="Times New Roman"/>
                      <w:color w:val="000000"/>
                      <w:spacing w:val="1"/>
                      <w:kern w:val="2"/>
                      <w:sz w:val="21"/>
                      <w:szCs w:val="21"/>
                      <w:highlight w:val="none"/>
                      <w:lang w:val="zh-CN" w:eastAsia="zh-CN" w:bidi="ar-SA"/>
                    </w:rPr>
                    <w:t>，临时堆土堆高5m，边坡1:1.5，可容纳最大土方量为6.80万m</w:t>
                  </w:r>
                  <w:r>
                    <w:rPr>
                      <w:rFonts w:hint="default" w:ascii="Times New Roman" w:hAnsi="Times New Roman" w:eastAsia="宋体" w:cs="Times New Roman"/>
                      <w:color w:val="000000"/>
                      <w:spacing w:val="1"/>
                      <w:kern w:val="2"/>
                      <w:sz w:val="21"/>
                      <w:szCs w:val="21"/>
                      <w:highlight w:val="none"/>
                      <w:vertAlign w:val="superscript"/>
                      <w:lang w:val="zh-CN" w:eastAsia="zh-CN" w:bidi="ar-SA"/>
                    </w:rPr>
                    <w:t>3</w:t>
                  </w:r>
                  <w:r>
                    <w:rPr>
                      <w:rFonts w:hint="default" w:ascii="Times New Roman" w:hAnsi="Times New Roman" w:eastAsia="宋体" w:cs="Times New Roman"/>
                      <w:color w:val="000000"/>
                      <w:spacing w:val="1"/>
                      <w:kern w:val="2"/>
                      <w:sz w:val="21"/>
                      <w:szCs w:val="21"/>
                      <w:highlight w:val="none"/>
                      <w:lang w:val="zh-CN" w:eastAsia="zh-CN" w:bidi="ar-SA"/>
                    </w:rPr>
                    <w:t>。</w:t>
                  </w:r>
                </w:p>
              </w:tc>
              <w:tc>
                <w:tcPr>
                  <w:tcW w:w="719" w:type="pct"/>
                  <w:vAlign w:val="center"/>
                </w:tcPr>
                <w:p>
                  <w:pPr>
                    <w:spacing w:line="240" w:lineRule="auto"/>
                    <w:ind w:left="0" w:leftChars="0" w:firstLine="0" w:firstLineChars="0"/>
                    <w:jc w:val="center"/>
                    <w:rPr>
                      <w:rFonts w:hint="default" w:ascii="Times New Roman" w:hAnsi="Times New Roman" w:eastAsia="宋体" w:cs="Times New Roman"/>
                      <w:color w:val="000000"/>
                      <w:spacing w:val="1"/>
                      <w:kern w:val="2"/>
                      <w:sz w:val="21"/>
                      <w:szCs w:val="21"/>
                      <w:highlight w:val="none"/>
                      <w:lang w:val="en-US" w:eastAsia="zh-CN" w:bidi="ar-SA"/>
                    </w:rPr>
                  </w:pPr>
                  <w:r>
                    <w:rPr>
                      <w:rFonts w:hint="default" w:ascii="Times New Roman" w:hAnsi="Times New Roman" w:eastAsia="宋体" w:cs="Times New Roman"/>
                      <w:color w:val="000000"/>
                      <w:spacing w:val="1"/>
                      <w:kern w:val="2"/>
                      <w:sz w:val="21"/>
                      <w:szCs w:val="21"/>
                      <w:highlight w:val="none"/>
                      <w:lang w:val="en-US" w:eastAsia="zh-CN" w:bidi="ar-SA"/>
                    </w:rPr>
                    <w:t>新建</w:t>
                  </w:r>
                  <w:r>
                    <w:rPr>
                      <w:rFonts w:hint="eastAsia" w:ascii="Times New Roman" w:hAnsi="Times New Roman" w:eastAsia="宋体" w:cs="Times New Roman"/>
                      <w:color w:val="000000"/>
                      <w:spacing w:val="1"/>
                      <w:kern w:val="2"/>
                      <w:sz w:val="21"/>
                      <w:szCs w:val="21"/>
                      <w:highlight w:val="none"/>
                      <w:lang w:val="en-US" w:eastAsia="zh-CN" w:bidi="ar-SA"/>
                    </w:rPr>
                    <w:t>，临时占地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545" w:type="pct"/>
                  <w:gridSpan w:val="2"/>
                  <w:vMerge w:val="restart"/>
                  <w:vAlign w:val="center"/>
                </w:tcPr>
                <w:p>
                  <w:pPr>
                    <w:pStyle w:val="95"/>
                    <w:ind w:left="0" w:leftChars="0" w:right="-36" w:rightChars="-15" w:firstLine="0" w:firstLineChars="0"/>
                    <w:jc w:val="center"/>
                    <w:rPr>
                      <w:rFonts w:hint="eastAsia"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公用</w:t>
                  </w:r>
                </w:p>
                <w:p>
                  <w:pPr>
                    <w:pStyle w:val="95"/>
                    <w:ind w:left="0" w:leftChars="0" w:right="-36" w:rightChars="-15" w:firstLine="0" w:firstLineChars="0"/>
                    <w:jc w:val="center"/>
                    <w:rPr>
                      <w:rFonts w:hint="default"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工程</w:t>
                  </w:r>
                </w:p>
              </w:tc>
              <w:tc>
                <w:tcPr>
                  <w:tcW w:w="700" w:type="pct"/>
                  <w:gridSpan w:val="2"/>
                  <w:vAlign w:val="center"/>
                </w:tcPr>
                <w:p>
                  <w:pPr>
                    <w:snapToGrid w:val="0"/>
                    <w:spacing w:line="240" w:lineRule="auto"/>
                    <w:ind w:firstLine="0" w:firstLineChars="0"/>
                    <w:jc w:val="center"/>
                    <w:rPr>
                      <w:rFonts w:hint="default" w:ascii="Times New Roman" w:hAnsi="Times New Roman" w:eastAsia="宋体" w:cs="Times New Roman"/>
                      <w:color w:val="000000"/>
                      <w:spacing w:val="1"/>
                      <w:kern w:val="2"/>
                      <w:sz w:val="21"/>
                      <w:szCs w:val="21"/>
                      <w:highlight w:val="none"/>
                      <w:lang w:val="en-US" w:eastAsia="zh-CN" w:bidi="ar-SA"/>
                    </w:rPr>
                  </w:pPr>
                  <w:r>
                    <w:rPr>
                      <w:rFonts w:hint="eastAsia" w:ascii="Times New Roman" w:hAnsi="Times New Roman" w:eastAsia="宋体" w:cs="Times New Roman"/>
                      <w:color w:val="000000"/>
                      <w:spacing w:val="1"/>
                      <w:kern w:val="2"/>
                      <w:sz w:val="21"/>
                      <w:szCs w:val="21"/>
                      <w:highlight w:val="none"/>
                      <w:lang w:val="en-US" w:eastAsia="zh-CN" w:bidi="ar-SA"/>
                    </w:rPr>
                    <w:t>供水</w:t>
                  </w:r>
                </w:p>
              </w:tc>
              <w:tc>
                <w:tcPr>
                  <w:tcW w:w="3035" w:type="pct"/>
                  <w:vAlign w:val="top"/>
                </w:tcPr>
                <w:p>
                  <w:pPr>
                    <w:snapToGrid w:val="0"/>
                    <w:spacing w:line="240" w:lineRule="auto"/>
                    <w:ind w:firstLine="0" w:firstLineChars="0"/>
                    <w:jc w:val="center"/>
                    <w:rPr>
                      <w:rFonts w:hint="default" w:ascii="Times New Roman" w:hAnsi="Times New Roman" w:eastAsia="宋体" w:cs="Times New Roman"/>
                      <w:color w:val="000000"/>
                      <w:spacing w:val="1"/>
                      <w:kern w:val="2"/>
                      <w:sz w:val="21"/>
                      <w:szCs w:val="21"/>
                      <w:highlight w:val="none"/>
                      <w:lang w:val="en-US" w:eastAsia="zh-CN" w:bidi="ar-SA"/>
                    </w:rPr>
                  </w:pPr>
                  <w:r>
                    <w:rPr>
                      <w:rFonts w:hint="eastAsia" w:ascii="Times New Roman" w:hAnsi="Times New Roman" w:eastAsia="宋体" w:cs="Times New Roman"/>
                      <w:color w:val="000000"/>
                      <w:spacing w:val="1"/>
                      <w:kern w:val="2"/>
                      <w:sz w:val="21"/>
                      <w:szCs w:val="21"/>
                      <w:highlight w:val="none"/>
                      <w:lang w:val="en-US" w:eastAsia="zh-CN" w:bidi="ar-SA"/>
                    </w:rPr>
                    <w:t>施工用水可采用附近居民区的生活用水。</w:t>
                  </w:r>
                </w:p>
              </w:tc>
              <w:tc>
                <w:tcPr>
                  <w:tcW w:w="719" w:type="pct"/>
                  <w:vAlign w:val="top"/>
                </w:tcPr>
                <w:p>
                  <w:pPr>
                    <w:spacing w:line="240" w:lineRule="auto"/>
                    <w:ind w:left="0" w:leftChars="0" w:firstLine="0" w:firstLineChars="0"/>
                    <w:jc w:val="center"/>
                    <w:rPr>
                      <w:rFonts w:hint="default" w:ascii="Times New Roman" w:hAnsi="Times New Roman" w:eastAsia="宋体" w:cs="Times New Roman"/>
                      <w:color w:val="000000"/>
                      <w:spacing w:val="1"/>
                      <w:kern w:val="2"/>
                      <w:sz w:val="21"/>
                      <w:szCs w:val="21"/>
                      <w:highlight w:val="none"/>
                      <w:lang w:val="en-US" w:eastAsia="zh-CN" w:bidi="ar-SA"/>
                    </w:rPr>
                  </w:pPr>
                  <w:r>
                    <w:rPr>
                      <w:rFonts w:hint="eastAsia" w:ascii="Times New Roman" w:hAnsi="Times New Roman" w:eastAsia="宋体" w:cs="Times New Roman"/>
                      <w:color w:val="000000"/>
                      <w:spacing w:val="1"/>
                      <w:kern w:val="2"/>
                      <w:sz w:val="21"/>
                      <w:szCs w:val="21"/>
                      <w:highlight w:val="none"/>
                      <w:lang w:val="en-US" w:eastAsia="zh-CN" w:bidi="ar-SA"/>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45" w:type="pct"/>
                  <w:gridSpan w:val="2"/>
                  <w:vMerge w:val="continue"/>
                  <w:vAlign w:val="center"/>
                </w:tcPr>
                <w:p>
                  <w:pPr>
                    <w:pStyle w:val="95"/>
                    <w:ind w:left="-36" w:leftChars="-15" w:right="-36" w:rightChars="-15" w:firstLine="420" w:firstLineChars="200"/>
                    <w:jc w:val="center"/>
                    <w:rPr>
                      <w:rFonts w:hint="default" w:ascii="Times New Roman" w:hAnsi="Times New Roman" w:eastAsia="宋体" w:cs="Times New Roman"/>
                      <w:b w:val="0"/>
                      <w:bCs/>
                      <w:color w:val="000000"/>
                      <w:kern w:val="2"/>
                      <w:sz w:val="21"/>
                      <w:szCs w:val="21"/>
                      <w:lang w:val="en-US" w:eastAsia="zh-CN" w:bidi="ar-SA"/>
                    </w:rPr>
                  </w:pPr>
                </w:p>
              </w:tc>
              <w:tc>
                <w:tcPr>
                  <w:tcW w:w="700" w:type="pct"/>
                  <w:gridSpan w:val="2"/>
                  <w:vAlign w:val="center"/>
                </w:tcPr>
                <w:p>
                  <w:pPr>
                    <w:snapToGrid w:val="0"/>
                    <w:spacing w:line="240" w:lineRule="auto"/>
                    <w:ind w:firstLine="0" w:firstLineChars="0"/>
                    <w:jc w:val="center"/>
                    <w:rPr>
                      <w:rFonts w:hint="default" w:ascii="Times New Roman" w:hAnsi="Times New Roman" w:eastAsia="宋体" w:cs="Times New Roman"/>
                      <w:color w:val="000000"/>
                      <w:spacing w:val="1"/>
                      <w:kern w:val="2"/>
                      <w:sz w:val="21"/>
                      <w:szCs w:val="21"/>
                      <w:highlight w:val="none"/>
                      <w:lang w:val="en-US" w:eastAsia="zh-CN" w:bidi="ar-SA"/>
                    </w:rPr>
                  </w:pPr>
                  <w:r>
                    <w:rPr>
                      <w:rFonts w:hint="eastAsia" w:ascii="Times New Roman" w:hAnsi="Times New Roman" w:eastAsia="宋体" w:cs="Times New Roman"/>
                      <w:color w:val="000000"/>
                      <w:spacing w:val="1"/>
                      <w:kern w:val="2"/>
                      <w:sz w:val="21"/>
                      <w:szCs w:val="21"/>
                      <w:highlight w:val="none"/>
                      <w:lang w:val="en-US" w:eastAsia="zh-CN" w:bidi="ar-SA"/>
                    </w:rPr>
                    <w:t>供电</w:t>
                  </w:r>
                </w:p>
              </w:tc>
              <w:tc>
                <w:tcPr>
                  <w:tcW w:w="3035" w:type="pct"/>
                  <w:vAlign w:val="top"/>
                </w:tcPr>
                <w:p>
                  <w:pPr>
                    <w:snapToGrid w:val="0"/>
                    <w:spacing w:line="240" w:lineRule="auto"/>
                    <w:ind w:firstLine="0" w:firstLineChars="0"/>
                    <w:jc w:val="center"/>
                    <w:rPr>
                      <w:rFonts w:hint="default" w:ascii="Times New Roman" w:hAnsi="Times New Roman" w:eastAsia="宋体" w:cs="Times New Roman"/>
                      <w:color w:val="000000"/>
                      <w:spacing w:val="1"/>
                      <w:kern w:val="2"/>
                      <w:sz w:val="21"/>
                      <w:szCs w:val="21"/>
                      <w:highlight w:val="none"/>
                      <w:lang w:val="en-US" w:eastAsia="zh-CN" w:bidi="ar-SA"/>
                    </w:rPr>
                  </w:pPr>
                  <w:r>
                    <w:rPr>
                      <w:rFonts w:hint="eastAsia" w:ascii="Times New Roman" w:hAnsi="Times New Roman" w:eastAsia="宋体" w:cs="Times New Roman"/>
                      <w:color w:val="000000"/>
                      <w:spacing w:val="1"/>
                      <w:kern w:val="2"/>
                      <w:sz w:val="21"/>
                      <w:szCs w:val="21"/>
                      <w:highlight w:val="none"/>
                      <w:lang w:val="en-US" w:eastAsia="zh-CN" w:bidi="ar-SA"/>
                    </w:rPr>
                    <w:t>施工电源自备柴油发电机。</w:t>
                  </w:r>
                </w:p>
              </w:tc>
              <w:tc>
                <w:tcPr>
                  <w:tcW w:w="719" w:type="pct"/>
                  <w:vAlign w:val="top"/>
                </w:tcPr>
                <w:p>
                  <w:pPr>
                    <w:spacing w:line="240" w:lineRule="auto"/>
                    <w:ind w:left="0" w:leftChars="0" w:firstLine="0" w:firstLineChars="0"/>
                    <w:jc w:val="center"/>
                    <w:rPr>
                      <w:rFonts w:hint="default" w:ascii="Times New Roman" w:hAnsi="Times New Roman" w:eastAsia="宋体" w:cs="Times New Roman"/>
                      <w:color w:val="000000"/>
                      <w:spacing w:val="1"/>
                      <w:kern w:val="2"/>
                      <w:sz w:val="21"/>
                      <w:szCs w:val="21"/>
                      <w:highlight w:val="none"/>
                      <w:lang w:val="en-US" w:eastAsia="zh-CN" w:bidi="ar-SA"/>
                    </w:rPr>
                  </w:pPr>
                  <w:r>
                    <w:rPr>
                      <w:rFonts w:hint="eastAsia" w:ascii="Times New Roman" w:hAnsi="Times New Roman" w:eastAsia="宋体" w:cs="Times New Roman"/>
                      <w:color w:val="000000"/>
                      <w:spacing w:val="1"/>
                      <w:kern w:val="2"/>
                      <w:sz w:val="21"/>
                      <w:szCs w:val="21"/>
                      <w:highlight w:val="none"/>
                      <w:lang w:val="en-US" w:eastAsia="zh-CN" w:bidi="ar-SA"/>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5" w:type="pct"/>
                  <w:gridSpan w:val="2"/>
                  <w:vMerge w:val="restart"/>
                  <w:vAlign w:val="center"/>
                </w:tcPr>
                <w:p>
                  <w:pPr>
                    <w:snapToGrid w:val="0"/>
                    <w:spacing w:line="240" w:lineRule="auto"/>
                    <w:ind w:firstLine="0" w:firstLineChars="0"/>
                    <w:jc w:val="center"/>
                    <w:rPr>
                      <w:rFonts w:hint="default"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环保工程</w:t>
                  </w:r>
                </w:p>
              </w:tc>
              <w:tc>
                <w:tcPr>
                  <w:tcW w:w="273" w:type="pct"/>
                  <w:vMerge w:val="restart"/>
                  <w:vAlign w:val="center"/>
                </w:tcPr>
                <w:p>
                  <w:pPr>
                    <w:snapToGrid w:val="0"/>
                    <w:spacing w:line="240" w:lineRule="auto"/>
                    <w:ind w:firstLine="0" w:firstLineChars="0"/>
                    <w:jc w:val="center"/>
                    <w:rPr>
                      <w:rFonts w:hint="eastAsia" w:ascii="Times New Roman" w:hAnsi="Times New Roman" w:eastAsia="宋体" w:cs="Times New Roman"/>
                      <w:color w:val="000000"/>
                      <w:spacing w:val="1"/>
                      <w:kern w:val="2"/>
                      <w:sz w:val="21"/>
                      <w:szCs w:val="21"/>
                      <w:highlight w:val="none"/>
                      <w:lang w:val="en-US" w:eastAsia="zh-CN" w:bidi="ar-SA"/>
                    </w:rPr>
                  </w:pPr>
                  <w:r>
                    <w:rPr>
                      <w:rFonts w:hint="eastAsia" w:ascii="Times New Roman" w:hAnsi="Times New Roman" w:eastAsia="宋体" w:cs="Times New Roman"/>
                      <w:color w:val="000000"/>
                      <w:spacing w:val="1"/>
                      <w:kern w:val="2"/>
                      <w:sz w:val="21"/>
                      <w:szCs w:val="21"/>
                      <w:highlight w:val="none"/>
                      <w:lang w:val="en-US" w:eastAsia="zh-CN" w:bidi="ar-SA"/>
                    </w:rPr>
                    <w:t>施工期</w:t>
                  </w:r>
                </w:p>
              </w:tc>
              <w:tc>
                <w:tcPr>
                  <w:tcW w:w="669" w:type="dxa"/>
                  <w:vAlign w:val="center"/>
                </w:tcPr>
                <w:p>
                  <w:pPr>
                    <w:snapToGrid w:val="0"/>
                    <w:spacing w:line="240" w:lineRule="auto"/>
                    <w:ind w:firstLine="0" w:firstLineChars="0"/>
                    <w:jc w:val="center"/>
                    <w:rPr>
                      <w:rFonts w:hint="default" w:ascii="Times New Roman" w:hAnsi="Times New Roman" w:eastAsia="宋体" w:cs="Times New Roman"/>
                      <w:color w:val="000000"/>
                      <w:spacing w:val="1"/>
                      <w:kern w:val="2"/>
                      <w:sz w:val="21"/>
                      <w:szCs w:val="21"/>
                      <w:highlight w:val="none"/>
                      <w:lang w:val="en-US" w:eastAsia="zh-CN" w:bidi="ar-SA"/>
                    </w:rPr>
                  </w:pPr>
                  <w:r>
                    <w:rPr>
                      <w:rFonts w:hint="eastAsia" w:ascii="Times New Roman" w:hAnsi="Times New Roman" w:eastAsia="宋体" w:cs="Times New Roman"/>
                      <w:b w:val="0"/>
                      <w:bCs/>
                      <w:color w:val="000000"/>
                      <w:kern w:val="2"/>
                      <w:sz w:val="21"/>
                      <w:szCs w:val="21"/>
                      <w:lang w:val="en-US" w:eastAsia="zh-CN" w:bidi="ar-SA"/>
                    </w:rPr>
                    <w:t>废水</w:t>
                  </w:r>
                </w:p>
              </w:tc>
              <w:tc>
                <w:tcPr>
                  <w:tcW w:w="4756" w:type="dxa"/>
                  <w:vAlign w:val="top"/>
                </w:tcPr>
                <w:p>
                  <w:pPr>
                    <w:snapToGrid w:val="0"/>
                    <w:spacing w:line="240" w:lineRule="auto"/>
                    <w:ind w:firstLine="0" w:firstLineChars="0"/>
                    <w:jc w:val="center"/>
                    <w:rPr>
                      <w:rFonts w:hint="default" w:ascii="Times New Roman" w:hAnsi="Times New Roman" w:eastAsia="宋体" w:cs="Times New Roman"/>
                      <w:color w:val="000000"/>
                      <w:spacing w:val="1"/>
                      <w:kern w:val="2"/>
                      <w:sz w:val="21"/>
                      <w:szCs w:val="21"/>
                      <w:highlight w:val="none"/>
                      <w:lang w:val="en-US" w:eastAsia="zh-CN" w:bidi="ar-SA"/>
                    </w:rPr>
                  </w:pPr>
                  <w:r>
                    <w:rPr>
                      <w:rFonts w:hint="eastAsia" w:ascii="Times New Roman" w:hAnsi="Times New Roman" w:eastAsia="宋体" w:cs="Times New Roman"/>
                      <w:b w:val="0"/>
                      <w:bCs/>
                      <w:color w:val="000000"/>
                      <w:kern w:val="2"/>
                      <w:sz w:val="21"/>
                      <w:szCs w:val="21"/>
                      <w:lang w:val="en-US" w:eastAsia="zh-CN" w:bidi="ar-SA"/>
                    </w:rPr>
                    <w:t>商品</w:t>
                  </w:r>
                  <w:r>
                    <w:rPr>
                      <w:rFonts w:hint="default" w:ascii="Times New Roman" w:hAnsi="Times New Roman" w:eastAsia="宋体" w:cs="Times New Roman"/>
                      <w:b w:val="0"/>
                      <w:bCs/>
                      <w:color w:val="000000"/>
                      <w:kern w:val="2"/>
                      <w:sz w:val="21"/>
                      <w:szCs w:val="21"/>
                      <w:lang w:val="en-US" w:eastAsia="zh-CN" w:bidi="ar-SA"/>
                    </w:rPr>
                    <w:t>混凝土</w:t>
                  </w:r>
                  <w:r>
                    <w:rPr>
                      <w:rFonts w:hint="eastAsia" w:ascii="Times New Roman" w:hAnsi="Times New Roman" w:eastAsia="宋体" w:cs="Times New Roman"/>
                      <w:b w:val="0"/>
                      <w:bCs/>
                      <w:color w:val="000000"/>
                      <w:kern w:val="2"/>
                      <w:sz w:val="21"/>
                      <w:szCs w:val="21"/>
                      <w:lang w:val="en-US" w:eastAsia="zh-CN" w:bidi="ar-SA"/>
                    </w:rPr>
                    <w:t>养护废水自然蒸发消耗；产生的生活废水经化粪池收集后由吉木萨尔县环卫部门定期清运处置，对周围水环境产生影响较小。</w:t>
                  </w:r>
                </w:p>
              </w:tc>
              <w:tc>
                <w:tcPr>
                  <w:tcW w:w="719" w:type="pct"/>
                  <w:vAlign w:val="top"/>
                </w:tcPr>
                <w:p>
                  <w:pPr>
                    <w:snapToGrid w:val="0"/>
                    <w:spacing w:line="240" w:lineRule="auto"/>
                    <w:ind w:firstLine="0" w:firstLineChars="0"/>
                    <w:jc w:val="center"/>
                    <w:rPr>
                      <w:rFonts w:hint="eastAsia" w:ascii="Times New Roman" w:hAnsi="Times New Roman" w:eastAsia="宋体" w:cs="Times New Roman"/>
                      <w:color w:val="000000"/>
                      <w:spacing w:val="1"/>
                      <w:kern w:val="2"/>
                      <w:sz w:val="21"/>
                      <w:szCs w:val="21"/>
                      <w:highlight w:val="none"/>
                      <w:lang w:val="en-US" w:eastAsia="zh-CN" w:bidi="ar-SA"/>
                    </w:rPr>
                  </w:pPr>
                  <w:r>
                    <w:rPr>
                      <w:rFonts w:hint="eastAsia" w:ascii="Times New Roman" w:hAnsi="Times New Roman" w:eastAsia="宋体" w:cs="Times New Roman"/>
                      <w:color w:val="000000"/>
                      <w:spacing w:val="1"/>
                      <w:kern w:val="2"/>
                      <w:sz w:val="21"/>
                      <w:szCs w:val="21"/>
                      <w:highlight w:val="none"/>
                      <w:lang w:val="en-US" w:eastAsia="zh-CN" w:bidi="ar-SA"/>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45" w:type="pct"/>
                  <w:gridSpan w:val="2"/>
                  <w:vMerge w:val="continue"/>
                  <w:vAlign w:val="center"/>
                </w:tcPr>
                <w:p>
                  <w:pPr>
                    <w:snapToGrid w:val="0"/>
                    <w:spacing w:line="240" w:lineRule="auto"/>
                    <w:ind w:firstLine="0" w:firstLineChars="0"/>
                    <w:jc w:val="center"/>
                    <w:rPr>
                      <w:rFonts w:hint="default" w:ascii="Times New Roman" w:hAnsi="Times New Roman" w:eastAsia="宋体" w:cs="Times New Roman"/>
                      <w:b w:val="0"/>
                      <w:bCs/>
                      <w:color w:val="000000"/>
                      <w:kern w:val="2"/>
                      <w:sz w:val="21"/>
                      <w:szCs w:val="21"/>
                      <w:lang w:val="en-US" w:eastAsia="zh-CN" w:bidi="ar-SA"/>
                    </w:rPr>
                  </w:pPr>
                </w:p>
              </w:tc>
              <w:tc>
                <w:tcPr>
                  <w:tcW w:w="273" w:type="pct"/>
                  <w:vMerge w:val="continue"/>
                  <w:vAlign w:val="center"/>
                </w:tcPr>
                <w:p>
                  <w:pPr>
                    <w:snapToGrid w:val="0"/>
                    <w:spacing w:line="240" w:lineRule="auto"/>
                    <w:ind w:firstLine="0" w:firstLineChars="0"/>
                    <w:jc w:val="center"/>
                    <w:rPr>
                      <w:rFonts w:hint="eastAsia" w:ascii="Times New Roman" w:hAnsi="Times New Roman" w:eastAsia="宋体" w:cs="Times New Roman"/>
                      <w:color w:val="000000"/>
                      <w:spacing w:val="1"/>
                      <w:kern w:val="2"/>
                      <w:sz w:val="21"/>
                      <w:szCs w:val="21"/>
                      <w:highlight w:val="none"/>
                      <w:lang w:val="en-US" w:eastAsia="zh-CN" w:bidi="ar-SA"/>
                    </w:rPr>
                  </w:pPr>
                </w:p>
              </w:tc>
              <w:tc>
                <w:tcPr>
                  <w:tcW w:w="426" w:type="pct"/>
                  <w:vAlign w:val="center"/>
                </w:tcPr>
                <w:p>
                  <w:pPr>
                    <w:snapToGrid w:val="0"/>
                    <w:spacing w:line="240" w:lineRule="auto"/>
                    <w:ind w:firstLine="0" w:firstLineChars="0"/>
                    <w:jc w:val="center"/>
                    <w:rPr>
                      <w:rFonts w:hint="default" w:ascii="Times New Roman" w:hAnsi="Times New Roman" w:eastAsia="宋体" w:cs="Times New Roman"/>
                      <w:color w:val="000000"/>
                      <w:spacing w:val="1"/>
                      <w:kern w:val="2"/>
                      <w:sz w:val="21"/>
                      <w:szCs w:val="21"/>
                      <w:highlight w:val="none"/>
                      <w:lang w:val="en-US" w:eastAsia="zh-CN" w:bidi="ar-SA"/>
                    </w:rPr>
                  </w:pPr>
                  <w:r>
                    <w:rPr>
                      <w:rFonts w:hint="eastAsia" w:ascii="Times New Roman" w:hAnsi="Times New Roman" w:eastAsia="宋体" w:cs="Times New Roman"/>
                      <w:color w:val="000000"/>
                      <w:spacing w:val="1"/>
                      <w:kern w:val="2"/>
                      <w:sz w:val="21"/>
                      <w:szCs w:val="21"/>
                      <w:highlight w:val="none"/>
                      <w:lang w:val="en-US" w:eastAsia="zh-CN" w:bidi="ar-SA"/>
                    </w:rPr>
                    <w:t>固废</w:t>
                  </w:r>
                </w:p>
              </w:tc>
              <w:tc>
                <w:tcPr>
                  <w:tcW w:w="3035" w:type="pct"/>
                  <w:vAlign w:val="top"/>
                </w:tcPr>
                <w:p>
                  <w:pPr>
                    <w:snapToGrid w:val="0"/>
                    <w:spacing w:line="240" w:lineRule="auto"/>
                    <w:ind w:firstLine="0" w:firstLineChars="0"/>
                    <w:jc w:val="center"/>
                    <w:rPr>
                      <w:rFonts w:hint="eastAsia" w:ascii="Times New Roman" w:hAnsi="Times New Roman" w:eastAsia="宋体" w:cs="Times New Roman"/>
                      <w:color w:val="000000"/>
                      <w:spacing w:val="1"/>
                      <w:kern w:val="2"/>
                      <w:sz w:val="21"/>
                      <w:szCs w:val="21"/>
                      <w:highlight w:val="yellow"/>
                      <w:lang w:val="en-US" w:eastAsia="zh-CN" w:bidi="ar-SA"/>
                    </w:rPr>
                  </w:pPr>
                  <w:r>
                    <w:rPr>
                      <w:rFonts w:hint="eastAsia" w:ascii="Times New Roman" w:hAnsi="Times New Roman" w:eastAsia="宋体" w:cs="Times New Roman"/>
                      <w:b w:val="0"/>
                      <w:bCs/>
                      <w:color w:val="000000"/>
                      <w:kern w:val="2"/>
                      <w:sz w:val="21"/>
                      <w:szCs w:val="21"/>
                      <w:lang w:val="en-US" w:eastAsia="zh-CN" w:bidi="ar-SA"/>
                    </w:rPr>
                    <w:t>施工人员</w:t>
                  </w:r>
                  <w:r>
                    <w:rPr>
                      <w:rFonts w:hint="default" w:ascii="Times New Roman" w:hAnsi="Times New Roman" w:eastAsia="宋体" w:cs="Times New Roman"/>
                      <w:b w:val="0"/>
                      <w:bCs/>
                      <w:color w:val="000000"/>
                      <w:kern w:val="2"/>
                      <w:sz w:val="21"/>
                      <w:szCs w:val="21"/>
                      <w:lang w:val="en-US" w:eastAsia="zh-CN" w:bidi="ar-SA"/>
                    </w:rPr>
                    <w:t>生活垃圾</w:t>
                  </w:r>
                  <w:r>
                    <w:rPr>
                      <w:rFonts w:hint="eastAsia" w:ascii="Times New Roman" w:hAnsi="Times New Roman" w:eastAsia="宋体" w:cs="Times New Roman"/>
                      <w:b w:val="0"/>
                      <w:bCs/>
                      <w:color w:val="000000"/>
                      <w:kern w:val="2"/>
                      <w:sz w:val="21"/>
                      <w:szCs w:val="21"/>
                      <w:lang w:val="en-US" w:eastAsia="zh-CN" w:bidi="ar-SA"/>
                    </w:rPr>
                    <w:t>经收集设施集中收集后定期由吉木萨尔县环卫部门清运处置；建筑垃圾、工程弃渣集中收集后全部清运至吉木萨尔县城建部门指定的建筑垃圾填埋场。</w:t>
                  </w:r>
                </w:p>
              </w:tc>
              <w:tc>
                <w:tcPr>
                  <w:tcW w:w="719" w:type="pct"/>
                  <w:vAlign w:val="top"/>
                </w:tcPr>
                <w:p>
                  <w:pPr>
                    <w:snapToGrid w:val="0"/>
                    <w:spacing w:line="240" w:lineRule="auto"/>
                    <w:ind w:firstLine="0" w:firstLineChars="0"/>
                    <w:jc w:val="center"/>
                    <w:rPr>
                      <w:rFonts w:hint="default" w:ascii="Times New Roman" w:hAnsi="Times New Roman" w:eastAsia="宋体" w:cs="Times New Roman"/>
                      <w:color w:val="000000"/>
                      <w:spacing w:val="1"/>
                      <w:kern w:val="2"/>
                      <w:sz w:val="21"/>
                      <w:szCs w:val="21"/>
                      <w:highlight w:val="none"/>
                      <w:lang w:val="en-US" w:eastAsia="zh-CN" w:bidi="ar-SA"/>
                    </w:rPr>
                  </w:pPr>
                </w:p>
                <w:p>
                  <w:pPr>
                    <w:snapToGrid w:val="0"/>
                    <w:spacing w:line="240" w:lineRule="auto"/>
                    <w:ind w:firstLine="0" w:firstLineChars="0"/>
                    <w:jc w:val="center"/>
                    <w:rPr>
                      <w:rFonts w:hint="eastAsia" w:ascii="Times New Roman" w:hAnsi="Times New Roman" w:eastAsia="宋体" w:cs="Times New Roman"/>
                      <w:color w:val="000000"/>
                      <w:spacing w:val="1"/>
                      <w:kern w:val="2"/>
                      <w:sz w:val="21"/>
                      <w:szCs w:val="21"/>
                      <w:highlight w:val="none"/>
                      <w:lang w:val="en-US" w:eastAsia="zh-CN" w:bidi="ar-SA"/>
                    </w:rPr>
                  </w:pPr>
                  <w:r>
                    <w:rPr>
                      <w:rFonts w:hint="default" w:ascii="Times New Roman" w:hAnsi="Times New Roman" w:eastAsia="宋体" w:cs="Times New Roman"/>
                      <w:color w:val="000000"/>
                      <w:spacing w:val="1"/>
                      <w:kern w:val="2"/>
                      <w:sz w:val="21"/>
                      <w:szCs w:val="21"/>
                      <w:highlight w:val="none"/>
                      <w:lang w:val="en-US" w:eastAsia="zh-CN" w:bidi="ar-SA"/>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545" w:type="pct"/>
                  <w:gridSpan w:val="2"/>
                  <w:vMerge w:val="continue"/>
                  <w:vAlign w:val="center"/>
                </w:tcPr>
                <w:p>
                  <w:pPr>
                    <w:snapToGrid w:val="0"/>
                    <w:spacing w:line="240" w:lineRule="auto"/>
                    <w:ind w:firstLine="0" w:firstLineChars="0"/>
                    <w:jc w:val="center"/>
                    <w:rPr>
                      <w:rFonts w:hint="default" w:ascii="Times New Roman" w:hAnsi="Times New Roman" w:eastAsia="宋体" w:cs="Times New Roman"/>
                      <w:b w:val="0"/>
                      <w:bCs/>
                      <w:color w:val="000000"/>
                      <w:kern w:val="2"/>
                      <w:sz w:val="21"/>
                      <w:szCs w:val="21"/>
                      <w:lang w:val="en-US" w:eastAsia="zh-CN" w:bidi="ar-SA"/>
                    </w:rPr>
                  </w:pPr>
                </w:p>
              </w:tc>
              <w:tc>
                <w:tcPr>
                  <w:tcW w:w="273" w:type="pct"/>
                  <w:vMerge w:val="continue"/>
                  <w:vAlign w:val="center"/>
                </w:tcPr>
                <w:p>
                  <w:pPr>
                    <w:snapToGrid w:val="0"/>
                    <w:spacing w:line="240" w:lineRule="auto"/>
                    <w:ind w:firstLine="0" w:firstLineChars="0"/>
                    <w:jc w:val="center"/>
                    <w:rPr>
                      <w:rFonts w:hint="eastAsia" w:ascii="Times New Roman" w:hAnsi="Times New Roman" w:eastAsia="宋体" w:cs="Times New Roman"/>
                      <w:color w:val="000000"/>
                      <w:spacing w:val="1"/>
                      <w:kern w:val="2"/>
                      <w:sz w:val="21"/>
                      <w:szCs w:val="21"/>
                      <w:highlight w:val="none"/>
                      <w:lang w:val="en-US" w:eastAsia="zh-CN" w:bidi="ar-SA"/>
                    </w:rPr>
                  </w:pPr>
                </w:p>
              </w:tc>
              <w:tc>
                <w:tcPr>
                  <w:tcW w:w="426" w:type="pct"/>
                  <w:vAlign w:val="center"/>
                </w:tcPr>
                <w:p>
                  <w:pPr>
                    <w:snapToGrid w:val="0"/>
                    <w:spacing w:line="240" w:lineRule="auto"/>
                    <w:ind w:firstLine="0" w:firstLineChars="0"/>
                    <w:jc w:val="center"/>
                    <w:rPr>
                      <w:rFonts w:hint="default" w:ascii="Times New Roman" w:hAnsi="Times New Roman" w:eastAsia="宋体" w:cs="Times New Roman"/>
                      <w:color w:val="000000"/>
                      <w:spacing w:val="1"/>
                      <w:kern w:val="2"/>
                      <w:sz w:val="21"/>
                      <w:szCs w:val="21"/>
                      <w:highlight w:val="none"/>
                      <w:lang w:val="en-US" w:eastAsia="zh-CN" w:bidi="ar-SA"/>
                    </w:rPr>
                  </w:pPr>
                  <w:r>
                    <w:rPr>
                      <w:rFonts w:hint="eastAsia" w:ascii="Times New Roman" w:hAnsi="Times New Roman" w:eastAsia="宋体" w:cs="Times New Roman"/>
                      <w:color w:val="000000"/>
                      <w:spacing w:val="1"/>
                      <w:kern w:val="2"/>
                      <w:sz w:val="21"/>
                      <w:szCs w:val="21"/>
                      <w:highlight w:val="none"/>
                      <w:lang w:val="en-US" w:eastAsia="zh-CN" w:bidi="ar-SA"/>
                    </w:rPr>
                    <w:t>噪声</w:t>
                  </w:r>
                </w:p>
              </w:tc>
              <w:tc>
                <w:tcPr>
                  <w:tcW w:w="3035" w:type="pct"/>
                  <w:vAlign w:val="top"/>
                </w:tcPr>
                <w:p>
                  <w:pPr>
                    <w:snapToGrid w:val="0"/>
                    <w:spacing w:line="240" w:lineRule="auto"/>
                    <w:ind w:firstLine="0" w:firstLineChars="0"/>
                    <w:jc w:val="center"/>
                    <w:rPr>
                      <w:rFonts w:hint="eastAsia" w:ascii="Times New Roman" w:hAnsi="Times New Roman" w:eastAsia="宋体" w:cs="Times New Roman"/>
                      <w:color w:val="000000"/>
                      <w:spacing w:val="1"/>
                      <w:kern w:val="2"/>
                      <w:sz w:val="21"/>
                      <w:szCs w:val="21"/>
                      <w:highlight w:val="none"/>
                      <w:lang w:val="en-US" w:eastAsia="zh-CN" w:bidi="ar-SA"/>
                    </w:rPr>
                  </w:pPr>
                  <w:r>
                    <w:rPr>
                      <w:rFonts w:hint="eastAsia" w:ascii="Times New Roman" w:hAnsi="Times New Roman" w:eastAsia="宋体" w:cs="Times New Roman"/>
                      <w:color w:val="000000"/>
                      <w:spacing w:val="1"/>
                      <w:kern w:val="2"/>
                      <w:sz w:val="21"/>
                      <w:szCs w:val="21"/>
                      <w:highlight w:val="none"/>
                      <w:lang w:val="en-US" w:eastAsia="zh-CN" w:bidi="ar-SA"/>
                    </w:rPr>
                    <w:t>采取低噪声设备、距离衰减、基础减震等措施。</w:t>
                  </w:r>
                </w:p>
              </w:tc>
              <w:tc>
                <w:tcPr>
                  <w:tcW w:w="719" w:type="pct"/>
                  <w:vAlign w:val="top"/>
                </w:tcPr>
                <w:p>
                  <w:pPr>
                    <w:snapToGrid w:val="0"/>
                    <w:spacing w:line="240" w:lineRule="auto"/>
                    <w:ind w:firstLine="0" w:firstLineChars="0"/>
                    <w:jc w:val="center"/>
                    <w:rPr>
                      <w:rFonts w:hint="eastAsia" w:ascii="Times New Roman" w:hAnsi="Times New Roman" w:eastAsia="宋体" w:cs="Times New Roman"/>
                      <w:color w:val="000000"/>
                      <w:spacing w:val="1"/>
                      <w:kern w:val="2"/>
                      <w:sz w:val="21"/>
                      <w:szCs w:val="21"/>
                      <w:highlight w:val="none"/>
                      <w:lang w:val="en-US" w:eastAsia="zh-CN" w:bidi="ar-SA"/>
                    </w:rPr>
                  </w:pPr>
                  <w:r>
                    <w:rPr>
                      <w:rFonts w:hint="default" w:ascii="Times New Roman" w:hAnsi="Times New Roman" w:eastAsia="宋体" w:cs="Times New Roman"/>
                      <w:color w:val="000000"/>
                      <w:spacing w:val="1"/>
                      <w:kern w:val="2"/>
                      <w:sz w:val="21"/>
                      <w:szCs w:val="21"/>
                      <w:highlight w:val="none"/>
                      <w:lang w:val="en-US" w:eastAsia="zh-CN" w:bidi="ar-SA"/>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45" w:type="pct"/>
                  <w:gridSpan w:val="2"/>
                  <w:vMerge w:val="continue"/>
                  <w:vAlign w:val="center"/>
                </w:tcPr>
                <w:p>
                  <w:pPr>
                    <w:snapToGrid w:val="0"/>
                    <w:spacing w:line="240" w:lineRule="auto"/>
                    <w:ind w:firstLine="0" w:firstLineChars="0"/>
                    <w:jc w:val="center"/>
                    <w:rPr>
                      <w:rFonts w:hint="default" w:ascii="Times New Roman" w:hAnsi="Times New Roman" w:eastAsia="宋体" w:cs="Times New Roman"/>
                      <w:b w:val="0"/>
                      <w:bCs/>
                      <w:color w:val="000000"/>
                      <w:kern w:val="2"/>
                      <w:sz w:val="21"/>
                      <w:szCs w:val="21"/>
                      <w:lang w:val="en-US" w:eastAsia="zh-CN" w:bidi="ar-SA"/>
                    </w:rPr>
                  </w:pPr>
                </w:p>
              </w:tc>
              <w:tc>
                <w:tcPr>
                  <w:tcW w:w="273" w:type="pct"/>
                  <w:vMerge w:val="continue"/>
                  <w:vAlign w:val="center"/>
                </w:tcPr>
                <w:p>
                  <w:pPr>
                    <w:snapToGrid w:val="0"/>
                    <w:spacing w:line="240" w:lineRule="auto"/>
                    <w:ind w:firstLine="0" w:firstLineChars="0"/>
                    <w:jc w:val="center"/>
                    <w:rPr>
                      <w:rFonts w:hint="eastAsia" w:ascii="Times New Roman" w:hAnsi="Times New Roman" w:eastAsia="宋体" w:cs="Times New Roman"/>
                      <w:color w:val="000000"/>
                      <w:spacing w:val="1"/>
                      <w:kern w:val="2"/>
                      <w:sz w:val="21"/>
                      <w:szCs w:val="21"/>
                      <w:highlight w:val="none"/>
                      <w:lang w:val="en-US" w:eastAsia="zh-CN" w:bidi="ar-SA"/>
                    </w:rPr>
                  </w:pPr>
                </w:p>
              </w:tc>
              <w:tc>
                <w:tcPr>
                  <w:tcW w:w="426" w:type="pct"/>
                  <w:vAlign w:val="center"/>
                </w:tcPr>
                <w:p>
                  <w:pPr>
                    <w:snapToGrid w:val="0"/>
                    <w:spacing w:line="240" w:lineRule="auto"/>
                    <w:ind w:firstLine="0" w:firstLineChars="0"/>
                    <w:jc w:val="center"/>
                    <w:rPr>
                      <w:rFonts w:hint="default" w:ascii="Times New Roman" w:hAnsi="Times New Roman" w:eastAsia="宋体" w:cs="Times New Roman"/>
                      <w:color w:val="000000"/>
                      <w:spacing w:val="1"/>
                      <w:kern w:val="2"/>
                      <w:sz w:val="21"/>
                      <w:szCs w:val="21"/>
                      <w:highlight w:val="none"/>
                      <w:lang w:val="en-US" w:eastAsia="zh-CN" w:bidi="ar-SA"/>
                    </w:rPr>
                  </w:pPr>
                  <w:r>
                    <w:rPr>
                      <w:rFonts w:hint="eastAsia" w:ascii="Times New Roman" w:hAnsi="Times New Roman" w:eastAsia="宋体" w:cs="Times New Roman"/>
                      <w:color w:val="000000"/>
                      <w:spacing w:val="1"/>
                      <w:kern w:val="2"/>
                      <w:sz w:val="21"/>
                      <w:szCs w:val="21"/>
                      <w:highlight w:val="none"/>
                      <w:lang w:val="en-US" w:eastAsia="zh-CN" w:bidi="ar-SA"/>
                    </w:rPr>
                    <w:t>废气</w:t>
                  </w:r>
                </w:p>
              </w:tc>
              <w:tc>
                <w:tcPr>
                  <w:tcW w:w="3035" w:type="pct"/>
                  <w:vAlign w:val="top"/>
                </w:tcPr>
                <w:p>
                  <w:pPr>
                    <w:snapToGrid w:val="0"/>
                    <w:spacing w:line="240" w:lineRule="auto"/>
                    <w:ind w:firstLine="0" w:firstLineChars="0"/>
                    <w:jc w:val="center"/>
                    <w:rPr>
                      <w:rFonts w:hint="default" w:ascii="Times New Roman" w:hAnsi="Times New Roman" w:eastAsia="宋体" w:cs="Times New Roman"/>
                      <w:color w:val="000000"/>
                      <w:spacing w:val="1"/>
                      <w:kern w:val="2"/>
                      <w:sz w:val="21"/>
                      <w:szCs w:val="21"/>
                      <w:highlight w:val="none"/>
                      <w:lang w:val="en-US" w:eastAsia="zh-CN" w:bidi="ar-SA"/>
                    </w:rPr>
                  </w:pPr>
                  <w:r>
                    <w:rPr>
                      <w:rFonts w:hint="default" w:ascii="Times New Roman" w:hAnsi="Times New Roman" w:eastAsia="宋体" w:cs="Times New Roman"/>
                      <w:b w:val="0"/>
                      <w:bCs/>
                      <w:color w:val="000000"/>
                      <w:kern w:val="2"/>
                      <w:sz w:val="21"/>
                      <w:szCs w:val="21"/>
                      <w:lang w:val="en-US" w:eastAsia="zh-CN" w:bidi="ar-SA"/>
                    </w:rPr>
                    <w:t>定时洒水抑尘</w:t>
                  </w:r>
                  <w:r>
                    <w:rPr>
                      <w:rFonts w:hint="eastAsia" w:ascii="Times New Roman" w:hAnsi="Times New Roman" w:eastAsia="宋体" w:cs="Times New Roman"/>
                      <w:b w:val="0"/>
                      <w:bCs/>
                      <w:color w:val="000000"/>
                      <w:kern w:val="2"/>
                      <w:sz w:val="21"/>
                      <w:szCs w:val="21"/>
                      <w:lang w:val="en-US" w:eastAsia="zh-CN" w:bidi="ar-SA"/>
                    </w:rPr>
                    <w:t>、控制车速、篷布遮盖、清洗车辆</w:t>
                  </w:r>
                </w:p>
              </w:tc>
              <w:tc>
                <w:tcPr>
                  <w:tcW w:w="719" w:type="pct"/>
                  <w:vAlign w:val="top"/>
                </w:tcPr>
                <w:p>
                  <w:pPr>
                    <w:snapToGrid w:val="0"/>
                    <w:spacing w:line="240" w:lineRule="auto"/>
                    <w:ind w:firstLine="0" w:firstLineChars="0"/>
                    <w:jc w:val="center"/>
                    <w:rPr>
                      <w:rFonts w:hint="default" w:ascii="Times New Roman" w:hAnsi="Times New Roman" w:eastAsia="宋体" w:cs="Times New Roman"/>
                      <w:color w:val="000000"/>
                      <w:spacing w:val="1"/>
                      <w:kern w:val="2"/>
                      <w:sz w:val="21"/>
                      <w:szCs w:val="21"/>
                      <w:highlight w:val="none"/>
                      <w:lang w:val="en-US" w:eastAsia="zh-CN" w:bidi="ar-SA"/>
                    </w:rPr>
                  </w:pPr>
                  <w:r>
                    <w:rPr>
                      <w:rFonts w:hint="default" w:ascii="Times New Roman" w:hAnsi="Times New Roman" w:eastAsia="宋体" w:cs="Times New Roman"/>
                      <w:color w:val="000000"/>
                      <w:spacing w:val="1"/>
                      <w:kern w:val="2"/>
                      <w:sz w:val="21"/>
                      <w:szCs w:val="21"/>
                      <w:highlight w:val="none"/>
                      <w:lang w:val="en-US" w:eastAsia="zh-CN" w:bidi="ar-SA"/>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545" w:type="pct"/>
                  <w:gridSpan w:val="2"/>
                  <w:vMerge w:val="continue"/>
                  <w:vAlign w:val="center"/>
                </w:tcPr>
                <w:p>
                  <w:pPr>
                    <w:snapToGrid w:val="0"/>
                    <w:spacing w:line="240" w:lineRule="auto"/>
                    <w:ind w:firstLine="0" w:firstLineChars="0"/>
                    <w:jc w:val="center"/>
                    <w:rPr>
                      <w:rFonts w:hint="default" w:ascii="Times New Roman" w:hAnsi="Times New Roman" w:eastAsia="宋体" w:cs="Times New Roman"/>
                      <w:b w:val="0"/>
                      <w:bCs/>
                      <w:color w:val="000000"/>
                      <w:kern w:val="2"/>
                      <w:sz w:val="21"/>
                      <w:szCs w:val="21"/>
                      <w:lang w:val="en-US" w:eastAsia="zh-CN" w:bidi="ar-SA"/>
                    </w:rPr>
                  </w:pPr>
                </w:p>
              </w:tc>
              <w:tc>
                <w:tcPr>
                  <w:tcW w:w="273" w:type="pct"/>
                  <w:vMerge w:val="restart"/>
                  <w:vAlign w:val="center"/>
                </w:tcPr>
                <w:p>
                  <w:pPr>
                    <w:snapToGrid w:val="0"/>
                    <w:spacing w:line="240" w:lineRule="auto"/>
                    <w:ind w:firstLine="0" w:firstLineChars="0"/>
                    <w:jc w:val="center"/>
                    <w:rPr>
                      <w:rFonts w:hint="eastAsia"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运行期</w:t>
                  </w:r>
                </w:p>
              </w:tc>
              <w:tc>
                <w:tcPr>
                  <w:tcW w:w="426" w:type="pct"/>
                  <w:vAlign w:val="center"/>
                </w:tcPr>
                <w:p>
                  <w:pPr>
                    <w:snapToGrid w:val="0"/>
                    <w:spacing w:line="240" w:lineRule="auto"/>
                    <w:ind w:firstLine="0" w:firstLineChars="0"/>
                    <w:jc w:val="center"/>
                    <w:rPr>
                      <w:rFonts w:hint="eastAsia"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废水</w:t>
                  </w:r>
                </w:p>
              </w:tc>
              <w:tc>
                <w:tcPr>
                  <w:tcW w:w="3035" w:type="pct"/>
                  <w:vAlign w:val="top"/>
                </w:tcPr>
                <w:p>
                  <w:pPr>
                    <w:snapToGrid w:val="0"/>
                    <w:spacing w:line="240" w:lineRule="auto"/>
                    <w:ind w:firstLine="0" w:firstLineChars="0"/>
                    <w:jc w:val="center"/>
                    <w:rPr>
                      <w:rFonts w:hint="default"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w:t>
                  </w:r>
                </w:p>
              </w:tc>
              <w:tc>
                <w:tcPr>
                  <w:tcW w:w="719" w:type="pct"/>
                  <w:vAlign w:val="top"/>
                </w:tcPr>
                <w:p>
                  <w:pPr>
                    <w:snapToGrid w:val="0"/>
                    <w:spacing w:line="240" w:lineRule="auto"/>
                    <w:ind w:firstLine="0" w:firstLineChars="0"/>
                    <w:jc w:val="center"/>
                    <w:rPr>
                      <w:rFonts w:hint="eastAsia"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45" w:type="pct"/>
                  <w:gridSpan w:val="2"/>
                  <w:vMerge w:val="continue"/>
                  <w:vAlign w:val="center"/>
                </w:tcPr>
                <w:p>
                  <w:pPr>
                    <w:snapToGrid w:val="0"/>
                    <w:spacing w:line="240" w:lineRule="auto"/>
                    <w:ind w:firstLine="0" w:firstLineChars="0"/>
                    <w:jc w:val="center"/>
                    <w:rPr>
                      <w:rFonts w:hint="default" w:ascii="Times New Roman" w:hAnsi="Times New Roman" w:eastAsia="宋体" w:cs="Times New Roman"/>
                      <w:b w:val="0"/>
                      <w:bCs/>
                      <w:color w:val="000000"/>
                      <w:kern w:val="2"/>
                      <w:sz w:val="21"/>
                      <w:szCs w:val="21"/>
                      <w:lang w:val="en-US" w:eastAsia="zh-CN" w:bidi="ar-SA"/>
                    </w:rPr>
                  </w:pPr>
                </w:p>
              </w:tc>
              <w:tc>
                <w:tcPr>
                  <w:tcW w:w="273" w:type="pct"/>
                  <w:vMerge w:val="continue"/>
                  <w:vAlign w:val="center"/>
                </w:tcPr>
                <w:p>
                  <w:pPr>
                    <w:snapToGrid w:val="0"/>
                    <w:spacing w:line="240" w:lineRule="auto"/>
                    <w:ind w:firstLine="0" w:firstLineChars="0"/>
                    <w:jc w:val="center"/>
                    <w:rPr>
                      <w:rFonts w:hint="eastAsia" w:ascii="Times New Roman" w:hAnsi="Times New Roman" w:eastAsia="宋体" w:cs="Times New Roman"/>
                      <w:b w:val="0"/>
                      <w:bCs/>
                      <w:color w:val="000000"/>
                      <w:kern w:val="2"/>
                      <w:sz w:val="21"/>
                      <w:szCs w:val="21"/>
                      <w:lang w:val="en-US" w:eastAsia="zh-CN" w:bidi="ar-SA"/>
                    </w:rPr>
                  </w:pPr>
                </w:p>
              </w:tc>
              <w:tc>
                <w:tcPr>
                  <w:tcW w:w="426" w:type="pct"/>
                  <w:vAlign w:val="center"/>
                </w:tcPr>
                <w:p>
                  <w:pPr>
                    <w:snapToGrid w:val="0"/>
                    <w:spacing w:line="240" w:lineRule="auto"/>
                    <w:ind w:firstLine="0" w:firstLineChars="0"/>
                    <w:jc w:val="center"/>
                    <w:rPr>
                      <w:rFonts w:hint="eastAsia"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固废</w:t>
                  </w:r>
                </w:p>
              </w:tc>
              <w:tc>
                <w:tcPr>
                  <w:tcW w:w="3035" w:type="pct"/>
                  <w:vAlign w:val="top"/>
                </w:tcPr>
                <w:p>
                  <w:pPr>
                    <w:snapToGrid w:val="0"/>
                    <w:spacing w:line="240" w:lineRule="auto"/>
                    <w:ind w:firstLine="0" w:firstLineChars="0"/>
                    <w:jc w:val="center"/>
                    <w:rPr>
                      <w:rFonts w:hint="default"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w:t>
                  </w:r>
                </w:p>
              </w:tc>
              <w:tc>
                <w:tcPr>
                  <w:tcW w:w="719" w:type="pct"/>
                  <w:vAlign w:val="top"/>
                </w:tcPr>
                <w:p>
                  <w:pPr>
                    <w:snapToGrid w:val="0"/>
                    <w:spacing w:line="240" w:lineRule="auto"/>
                    <w:ind w:firstLine="0" w:firstLineChars="0"/>
                    <w:jc w:val="center"/>
                    <w:rPr>
                      <w:rFonts w:hint="eastAsia"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545" w:type="pct"/>
                  <w:gridSpan w:val="2"/>
                  <w:vMerge w:val="continue"/>
                  <w:vAlign w:val="center"/>
                </w:tcPr>
                <w:p>
                  <w:pPr>
                    <w:snapToGrid w:val="0"/>
                    <w:spacing w:line="240" w:lineRule="auto"/>
                    <w:ind w:firstLine="0" w:firstLineChars="0"/>
                    <w:jc w:val="center"/>
                    <w:rPr>
                      <w:rFonts w:hint="default" w:ascii="Times New Roman" w:hAnsi="Times New Roman" w:eastAsia="宋体" w:cs="Times New Roman"/>
                      <w:b w:val="0"/>
                      <w:bCs/>
                      <w:color w:val="000000"/>
                      <w:kern w:val="2"/>
                      <w:sz w:val="21"/>
                      <w:szCs w:val="21"/>
                      <w:lang w:val="en-US" w:eastAsia="zh-CN" w:bidi="ar-SA"/>
                    </w:rPr>
                  </w:pPr>
                </w:p>
              </w:tc>
              <w:tc>
                <w:tcPr>
                  <w:tcW w:w="273" w:type="pct"/>
                  <w:vMerge w:val="continue"/>
                  <w:vAlign w:val="center"/>
                </w:tcPr>
                <w:p>
                  <w:pPr>
                    <w:snapToGrid w:val="0"/>
                    <w:spacing w:line="240" w:lineRule="auto"/>
                    <w:ind w:firstLine="0" w:firstLineChars="0"/>
                    <w:jc w:val="center"/>
                    <w:rPr>
                      <w:rFonts w:hint="eastAsia" w:ascii="Times New Roman" w:hAnsi="Times New Roman" w:eastAsia="宋体" w:cs="Times New Roman"/>
                      <w:b w:val="0"/>
                      <w:bCs/>
                      <w:color w:val="000000"/>
                      <w:kern w:val="2"/>
                      <w:sz w:val="21"/>
                      <w:szCs w:val="21"/>
                      <w:lang w:val="en-US" w:eastAsia="zh-CN" w:bidi="ar-SA"/>
                    </w:rPr>
                  </w:pPr>
                </w:p>
              </w:tc>
              <w:tc>
                <w:tcPr>
                  <w:tcW w:w="426" w:type="pct"/>
                  <w:vAlign w:val="center"/>
                </w:tcPr>
                <w:p>
                  <w:pPr>
                    <w:snapToGrid w:val="0"/>
                    <w:spacing w:line="240" w:lineRule="auto"/>
                    <w:ind w:firstLine="0" w:firstLineChars="0"/>
                    <w:jc w:val="center"/>
                    <w:rPr>
                      <w:rFonts w:hint="eastAsia"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噪声</w:t>
                  </w:r>
                </w:p>
              </w:tc>
              <w:tc>
                <w:tcPr>
                  <w:tcW w:w="3035" w:type="pct"/>
                  <w:vAlign w:val="top"/>
                </w:tcPr>
                <w:p>
                  <w:pPr>
                    <w:snapToGrid w:val="0"/>
                    <w:spacing w:line="240" w:lineRule="auto"/>
                    <w:ind w:firstLine="0" w:firstLineChars="0"/>
                    <w:jc w:val="center"/>
                    <w:rPr>
                      <w:rFonts w:hint="default"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w:t>
                  </w:r>
                </w:p>
              </w:tc>
              <w:tc>
                <w:tcPr>
                  <w:tcW w:w="719" w:type="pct"/>
                  <w:vAlign w:val="top"/>
                </w:tcPr>
                <w:p>
                  <w:pPr>
                    <w:snapToGrid w:val="0"/>
                    <w:spacing w:line="240" w:lineRule="auto"/>
                    <w:ind w:firstLine="0" w:firstLineChars="0"/>
                    <w:jc w:val="center"/>
                    <w:rPr>
                      <w:rFonts w:hint="eastAsia"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45" w:type="pct"/>
                  <w:gridSpan w:val="2"/>
                  <w:vMerge w:val="continue"/>
                  <w:vAlign w:val="center"/>
                </w:tcPr>
                <w:p>
                  <w:pPr>
                    <w:snapToGrid w:val="0"/>
                    <w:spacing w:line="240" w:lineRule="auto"/>
                    <w:ind w:firstLine="0" w:firstLineChars="0"/>
                    <w:jc w:val="center"/>
                    <w:rPr>
                      <w:rFonts w:hint="default" w:ascii="Times New Roman" w:hAnsi="Times New Roman" w:eastAsia="宋体" w:cs="Times New Roman"/>
                      <w:b w:val="0"/>
                      <w:bCs/>
                      <w:color w:val="000000"/>
                      <w:kern w:val="2"/>
                      <w:sz w:val="21"/>
                      <w:szCs w:val="21"/>
                      <w:lang w:val="en-US" w:eastAsia="zh-CN" w:bidi="ar-SA"/>
                    </w:rPr>
                  </w:pPr>
                </w:p>
              </w:tc>
              <w:tc>
                <w:tcPr>
                  <w:tcW w:w="273" w:type="pct"/>
                  <w:vMerge w:val="continue"/>
                  <w:vAlign w:val="center"/>
                </w:tcPr>
                <w:p>
                  <w:pPr>
                    <w:snapToGrid w:val="0"/>
                    <w:spacing w:line="240" w:lineRule="auto"/>
                    <w:ind w:firstLine="0" w:firstLineChars="0"/>
                    <w:jc w:val="center"/>
                    <w:rPr>
                      <w:rFonts w:hint="eastAsia" w:ascii="Times New Roman" w:hAnsi="Times New Roman" w:eastAsia="宋体" w:cs="Times New Roman"/>
                      <w:b w:val="0"/>
                      <w:bCs/>
                      <w:color w:val="000000"/>
                      <w:kern w:val="2"/>
                      <w:sz w:val="21"/>
                      <w:szCs w:val="21"/>
                      <w:lang w:val="en-US" w:eastAsia="zh-CN" w:bidi="ar-SA"/>
                    </w:rPr>
                  </w:pPr>
                </w:p>
              </w:tc>
              <w:tc>
                <w:tcPr>
                  <w:tcW w:w="426" w:type="pct"/>
                  <w:vAlign w:val="center"/>
                </w:tcPr>
                <w:p>
                  <w:pPr>
                    <w:snapToGrid w:val="0"/>
                    <w:spacing w:line="240" w:lineRule="auto"/>
                    <w:ind w:firstLine="0" w:firstLineChars="0"/>
                    <w:jc w:val="center"/>
                    <w:rPr>
                      <w:rFonts w:hint="eastAsia"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废气</w:t>
                  </w:r>
                </w:p>
              </w:tc>
              <w:tc>
                <w:tcPr>
                  <w:tcW w:w="3035" w:type="pct"/>
                  <w:vAlign w:val="top"/>
                </w:tcPr>
                <w:p>
                  <w:pPr>
                    <w:snapToGrid w:val="0"/>
                    <w:spacing w:line="240" w:lineRule="auto"/>
                    <w:ind w:firstLine="0" w:firstLineChars="0"/>
                    <w:jc w:val="center"/>
                    <w:rPr>
                      <w:rFonts w:hint="default"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w:t>
                  </w:r>
                </w:p>
              </w:tc>
              <w:tc>
                <w:tcPr>
                  <w:tcW w:w="719" w:type="pct"/>
                  <w:vAlign w:val="top"/>
                </w:tcPr>
                <w:p>
                  <w:pPr>
                    <w:snapToGrid w:val="0"/>
                    <w:spacing w:line="240" w:lineRule="auto"/>
                    <w:ind w:firstLine="0" w:firstLineChars="0"/>
                    <w:jc w:val="center"/>
                    <w:rPr>
                      <w:rFonts w:hint="eastAsia"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w:t>
                  </w:r>
                </w:p>
              </w:tc>
            </w:tr>
          </w:tbl>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1</w:t>
            </w:r>
            <w:r>
              <w:rPr>
                <w:rFonts w:hint="default" w:ascii="宋体" w:hAnsi="宋体" w:eastAsia="宋体" w:cs="宋体"/>
                <w:sz w:val="24"/>
                <w:szCs w:val="24"/>
                <w:lang w:val="en-US" w:eastAsia="zh-CN"/>
              </w:rPr>
              <w:t>）</w:t>
            </w:r>
            <w:r>
              <w:rPr>
                <w:rFonts w:ascii="宋体" w:hAnsi="宋体" w:eastAsia="宋体" w:cs="宋体"/>
                <w:sz w:val="24"/>
                <w:szCs w:val="24"/>
              </w:rPr>
              <w:t>低山丘陵区</w:t>
            </w:r>
          </w:p>
          <w:p>
            <w:pPr>
              <w:keepNext w:val="0"/>
              <w:keepLines w:val="0"/>
              <w:widowControl/>
              <w:suppressLineNumbers w:val="0"/>
              <w:spacing w:line="360" w:lineRule="auto"/>
              <w:jc w:val="lef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低山丘陵区施工期间扰动地表面积为</w:t>
            </w:r>
            <w:r>
              <w:rPr>
                <w:rFonts w:hint="eastAsia" w:cs="Times New Roman"/>
                <w:sz w:val="24"/>
                <w:szCs w:val="24"/>
                <w:lang w:val="en-US" w:eastAsia="zh-CN"/>
              </w:rPr>
              <w:t>38.9</w:t>
            </w:r>
            <w:r>
              <w:rPr>
                <w:rFonts w:hint="default" w:ascii="Times New Roman" w:hAnsi="Times New Roman" w:eastAsia="宋体" w:cs="Times New Roman"/>
                <w:sz w:val="24"/>
                <w:szCs w:val="24"/>
              </w:rPr>
              <w:t>hm</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4"/>
                <w:szCs w:val="24"/>
              </w:rPr>
              <w:t>，其中永久占24.48hm</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4"/>
                <w:szCs w:val="24"/>
              </w:rPr>
              <w:t>，临时占地</w:t>
            </w:r>
            <w:r>
              <w:rPr>
                <w:rFonts w:hint="eastAsia" w:cs="Times New Roman"/>
                <w:sz w:val="24"/>
                <w:szCs w:val="24"/>
                <w:lang w:val="en-US" w:eastAsia="zh-CN"/>
              </w:rPr>
              <w:t>14.42</w:t>
            </w:r>
            <w:r>
              <w:rPr>
                <w:rFonts w:hint="default" w:ascii="Times New Roman" w:hAnsi="Times New Roman" w:eastAsia="宋体" w:cs="Times New Roman"/>
                <w:sz w:val="24"/>
                <w:szCs w:val="24"/>
              </w:rPr>
              <w:t>hm</w:t>
            </w:r>
            <w:r>
              <w:rPr>
                <w:rFonts w:hint="default" w:ascii="Times New Roman" w:hAnsi="Times New Roman" w:eastAsia="宋体" w:cs="Times New Roman"/>
                <w:sz w:val="24"/>
                <w:szCs w:val="24"/>
                <w:vertAlign w:val="superscript"/>
                <w:lang w:val="en-US" w:eastAsia="zh-CN"/>
              </w:rPr>
              <w:t>2</w:t>
            </w:r>
            <w:r>
              <w:rPr>
                <w:rFonts w:hint="default" w:ascii="Times New Roman" w:hAnsi="Times New Roman" w:eastAsia="宋体" w:cs="Times New Roman"/>
                <w:sz w:val="24"/>
                <w:szCs w:val="24"/>
              </w:rPr>
              <w:t>，土地利用类型为水域及水利设施用地</w:t>
            </w:r>
            <w:r>
              <w:rPr>
                <w:rFonts w:hint="default" w:ascii="Times New Roman" w:hAnsi="Times New Roman" w:eastAsia="宋体" w:cs="Times New Roman"/>
                <w:sz w:val="24"/>
                <w:szCs w:val="24"/>
                <w:lang w:eastAsia="zh-CN"/>
              </w:rPr>
              <w:t>。</w:t>
            </w:r>
          </w:p>
          <w:p>
            <w:pPr>
              <w:keepNext w:val="0"/>
              <w:keepLines w:val="0"/>
              <w:widowControl/>
              <w:suppressLineNumbers w:val="0"/>
              <w:spacing w:line="360" w:lineRule="auto"/>
              <w:jc w:val="lef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1）防洪堤工程区</w:t>
            </w:r>
          </w:p>
          <w:p>
            <w:pPr>
              <w:keepNext w:val="0"/>
              <w:keepLines w:val="0"/>
              <w:widowControl/>
              <w:suppressLineNumbers w:val="0"/>
              <w:spacing w:line="360" w:lineRule="auto"/>
              <w:jc w:val="left"/>
              <w:rPr>
                <w:rFonts w:hint="default" w:ascii="Times New Roman" w:hAnsi="Times New Roman" w:eastAsia="宋体" w:cs="Times New Roman"/>
                <w:color w:val="000000"/>
                <w:kern w:val="0"/>
                <w:sz w:val="24"/>
                <w:szCs w:val="24"/>
                <w:highlight w:val="none"/>
                <w:lang w:val="en-US" w:eastAsia="zh-CN" w:bidi="ar"/>
              </w:rPr>
            </w:pPr>
            <w:r>
              <w:rPr>
                <w:rFonts w:hint="default" w:ascii="Times New Roman" w:hAnsi="Times New Roman" w:eastAsia="宋体" w:cs="Times New Roman"/>
                <w:sz w:val="24"/>
                <w:szCs w:val="24"/>
              </w:rPr>
              <w:t>防洪堤工程区面积约31.56hm</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4"/>
                <w:szCs w:val="24"/>
              </w:rPr>
              <w:t>，其中永久占地为23.67hm</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4"/>
                <w:szCs w:val="24"/>
              </w:rPr>
              <w:t>，临时占地7.89hm</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4"/>
                <w:szCs w:val="24"/>
              </w:rPr>
              <w:t>。</w:t>
            </w:r>
          </w:p>
          <w:p>
            <w:pPr>
              <w:adjustRightInd w:val="0"/>
              <w:snapToGrid w:val="0"/>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①五圣宫水文站段（桩号0+000~1+880）</w:t>
            </w:r>
          </w:p>
          <w:p>
            <w:pPr>
              <w:adjustRightInd w:val="0"/>
              <w:snapToGrid w:val="0"/>
              <w:spacing w:line="360" w:lineRule="auto"/>
              <w:ind w:firstLine="480" w:firstLineChars="200"/>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该段护岸长1.88km，仅考虑河岸左侧进行衬砌，护岸采用坡式断面形式</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对护岸等建筑物迎水河床面以上至河床面以下冲刷深度间边坡均为1:1.5，河道设计底宽16～25m，堤高2.0～2.3m，基础埋深2.0m，堤顶宽度4.0m，堤顶设20cm厚砂砾石路面</w:t>
            </w:r>
            <w:r>
              <w:rPr>
                <w:rFonts w:hint="eastAsia" w:ascii="Times New Roman" w:hAnsi="Times New Roman" w:eastAsia="宋体" w:cs="Times New Roman"/>
                <w:sz w:val="24"/>
                <w:szCs w:val="24"/>
                <w:lang w:eastAsia="zh-CN"/>
              </w:rPr>
              <w:t>。</w:t>
            </w:r>
          </w:p>
          <w:p>
            <w:pPr>
              <w:adjustRightInd w:val="0"/>
              <w:snapToGrid w:val="0"/>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②白杨河水库至林区公路段（桩号4+100~18+000）</w:t>
            </w:r>
          </w:p>
          <w:p>
            <w:pPr>
              <w:adjustRightInd w:val="0"/>
              <w:snapToGrid w:val="0"/>
              <w:spacing w:line="360" w:lineRule="auto"/>
              <w:ind w:firstLine="480" w:firstLineChars="200"/>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该段护岸长15.78km，仅考虑河岸左侧进行衬砌，护岸采用坡式断面形式。对护岸等建筑物迎水河床面以上至河床面以下冲刷深度间边坡均为1:1.5，河道设计底宽30～300m，堤高2.0m，基础埋深2.0m，堤顶宽度4.0m，堤顶设20cm厚砂砾石</w:t>
            </w:r>
            <w:r>
              <w:rPr>
                <w:rFonts w:hint="eastAsia" w:ascii="Times New Roman" w:hAnsi="Times New Roman" w:eastAsia="宋体" w:cs="Times New Roman"/>
                <w:sz w:val="24"/>
                <w:szCs w:val="24"/>
                <w:lang w:val="en-US" w:eastAsia="zh-CN"/>
              </w:rPr>
              <w:t>路面。</w:t>
            </w:r>
          </w:p>
          <w:p>
            <w:pPr>
              <w:adjustRightInd w:val="0"/>
              <w:snapToGrid w:val="0"/>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防洪堤附属建筑物工程区</w:t>
            </w:r>
          </w:p>
          <w:p>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防洪堤附属建筑物工程区面积约1.03hm</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4"/>
                <w:szCs w:val="24"/>
              </w:rPr>
              <w:t>，其中永久占地为0.81hm</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4"/>
                <w:szCs w:val="24"/>
              </w:rPr>
              <w:t>，临时占地0.22hm</w:t>
            </w:r>
            <w:r>
              <w:rPr>
                <w:rFonts w:hint="default" w:ascii="Times New Roman" w:hAnsi="Times New Roman" w:eastAsia="宋体" w:cs="Times New Roman"/>
                <w:sz w:val="24"/>
                <w:szCs w:val="24"/>
                <w:vertAlign w:val="superscript"/>
              </w:rPr>
              <w:t>2</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包含：桩号14+300和16+200，2处纳洪口；桩号0+500、1+000、1+650、10+200、13+100、16+480、17+780、18+000，8处汇水口；桩号5+800，1处引水口；桩号4+700、5+200、7+300、8+960、13+500、15+140，6处过河路口</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防洪堤附属建筑物纳洪口、汇水口和引水口各建筑物填筑来源均为外购。</w:t>
            </w:r>
          </w:p>
          <w:p>
            <w:pPr>
              <w:adjustRightInd w:val="0"/>
              <w:snapToGrid w:val="0"/>
              <w:spacing w:line="360" w:lineRule="auto"/>
              <w:ind w:firstLine="480" w:firstLineChars="200"/>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①</w:t>
            </w:r>
            <w:r>
              <w:rPr>
                <w:rFonts w:hint="default" w:ascii="Times New Roman" w:hAnsi="Times New Roman" w:eastAsia="宋体" w:cs="Times New Roman"/>
                <w:sz w:val="24"/>
                <w:szCs w:val="24"/>
              </w:rPr>
              <w:t>纳洪口</w:t>
            </w:r>
          </w:p>
          <w:p>
            <w:pPr>
              <w:adjustRightInd w:val="0"/>
              <w:snapToGrid w:val="0"/>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在河道桩号14+300和16+200处的山洪泄流通道处设置纳洪口</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纳洪口进口反弧段采用梯形断面，边坡1:1.2.0，堤高1.0～2.0m，长8.7m，边坡采用20cm厚Ca35F300现浇砼板衬砌：洪口与堤顶路面交叉处为满足巡防要求，设置过水路面。</w:t>
            </w:r>
          </w:p>
          <w:p>
            <w:pPr>
              <w:adjustRightInd w:val="0"/>
              <w:snapToGrid w:val="0"/>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②</w:t>
            </w:r>
            <w:r>
              <w:rPr>
                <w:rFonts w:hint="default" w:ascii="Times New Roman" w:hAnsi="Times New Roman" w:eastAsia="宋体" w:cs="Times New Roman"/>
                <w:sz w:val="24"/>
                <w:szCs w:val="24"/>
              </w:rPr>
              <w:t>汇水口</w:t>
            </w:r>
          </w:p>
          <w:p>
            <w:pPr>
              <w:adjustRightInd w:val="0"/>
              <w:snapToGrid w:val="0"/>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在河道号0+500、1+000、1+650、10+200、13+100、16+480、17+780、18+000、19+00020+200、27+100和28+000共计12处设置汇水口</w:t>
            </w:r>
            <w:r>
              <w:rPr>
                <w:rFonts w:hint="eastAsia" w:cs="Times New Roman"/>
                <w:sz w:val="24"/>
                <w:szCs w:val="24"/>
                <w:lang w:eastAsia="zh-CN"/>
              </w:rPr>
              <w:t>，</w:t>
            </w:r>
            <w:r>
              <w:rPr>
                <w:rFonts w:hint="default" w:ascii="Times New Roman" w:hAnsi="Times New Roman" w:eastAsia="宋体" w:cs="Times New Roman"/>
                <w:sz w:val="24"/>
                <w:szCs w:val="24"/>
              </w:rPr>
              <w:t>汇水口进口段布置长5.0m浆砌石渐变段，底板及边坡均采用30cm厚浆砌石砌筑，边坡高2.0m</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排水口与新建堤防交叉处，埋设1根长4m、内径1.4m的钢筋砼PCCP涵管，涵管进口设置防冲基础，基础埋深3.0m，采用坡式砼板护砌，板厚20cm</w:t>
            </w:r>
            <w:r>
              <w:rPr>
                <w:rFonts w:hint="default" w:ascii="Times New Roman" w:hAnsi="Times New Roman" w:eastAsia="宋体" w:cs="Times New Roman"/>
                <w:sz w:val="24"/>
                <w:szCs w:val="24"/>
                <w:lang w:eastAsia="zh-CN"/>
              </w:rPr>
              <w:t>。</w:t>
            </w:r>
          </w:p>
          <w:p>
            <w:pPr>
              <w:adjustRightInd w:val="0"/>
              <w:snapToGrid w:val="0"/>
              <w:spacing w:line="360" w:lineRule="auto"/>
              <w:ind w:firstLine="480" w:firstLineChars="200"/>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③</w:t>
            </w:r>
            <w:r>
              <w:rPr>
                <w:rFonts w:hint="default" w:ascii="Times New Roman" w:hAnsi="Times New Roman" w:eastAsia="宋体" w:cs="Times New Roman"/>
                <w:sz w:val="24"/>
                <w:szCs w:val="24"/>
              </w:rPr>
              <w:t>引水口</w:t>
            </w:r>
          </w:p>
          <w:p>
            <w:pPr>
              <w:adjustRightInd w:val="0"/>
              <w:snapToGrid w:val="0"/>
              <w:spacing w:line="360" w:lineRule="auto"/>
              <w:ind w:firstLine="480" w:firstLineChars="200"/>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在护岸桩号5+800处左岸设置引水口一处，引水闸闸室段采用整体开敞式Ca35F300W6钢筋砼结构</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闸室净宽1.0m，闸室长2.0m，闸墩高2.0m；闸室后设直径1.0m钢筋砼涵管，涵管8.0m，涵管后细石砼砌筑卵石扭面连接段与原引水渠道连接。</w:t>
            </w:r>
          </w:p>
          <w:p>
            <w:pPr>
              <w:adjustRightInd w:val="0"/>
              <w:snapToGrid w:val="0"/>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④</w:t>
            </w:r>
            <w:r>
              <w:rPr>
                <w:rFonts w:hint="default" w:ascii="Times New Roman" w:hAnsi="Times New Roman" w:eastAsia="宋体" w:cs="Times New Roman"/>
                <w:sz w:val="24"/>
                <w:szCs w:val="24"/>
              </w:rPr>
              <w:t>过河路口</w:t>
            </w:r>
          </w:p>
          <w:p>
            <w:pPr>
              <w:adjustRightInd w:val="0"/>
              <w:snapToGrid w:val="0"/>
              <w:spacing w:line="360" w:lineRule="auto"/>
              <w:ind w:firstLine="480" w:firstLineChars="200"/>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在护岸桩号4+700、5+200、7+300、8+960、13+500和15+140共计6处设过河路口</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过洪路口行车方向纵坡1:10，与两侧护岸采用弧形连接，路口两侧采用Ca35F300砼板进行护砌</w:t>
            </w:r>
            <w:r>
              <w:rPr>
                <w:rFonts w:hint="eastAsia" w:ascii="Times New Roman" w:hAnsi="Times New Roman" w:eastAsia="宋体" w:cs="Times New Roman"/>
                <w:sz w:val="24"/>
                <w:szCs w:val="24"/>
                <w:lang w:eastAsia="zh-CN"/>
              </w:rPr>
              <w:t>。</w:t>
            </w:r>
          </w:p>
          <w:p>
            <w:pPr>
              <w:adjustRightInd w:val="0"/>
              <w:snapToGrid w:val="0"/>
              <w:spacing w:line="360" w:lineRule="auto"/>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临时堆土区</w:t>
            </w:r>
          </w:p>
          <w:p>
            <w:pPr>
              <w:adjustRightInd w:val="0"/>
              <w:snapToGrid w:val="0"/>
              <w:spacing w:line="360" w:lineRule="auto"/>
              <w:ind w:firstLine="480" w:firstLineChars="200"/>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防洪堤临时堆土区布设于防洪坝一侧，宽度4m，长度15.78km，占地面积6.31hm</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4"/>
                <w:szCs w:val="24"/>
              </w:rPr>
              <w:t>，临时堆土堆高5m，边坡1:1.5，可容纳最大土方量为30万m</w:t>
            </w:r>
            <w:r>
              <w:rPr>
                <w:rFonts w:hint="default" w:ascii="Times New Roman" w:hAnsi="Times New Roman" w:eastAsia="宋体" w:cs="Times New Roman"/>
                <w:sz w:val="24"/>
                <w:szCs w:val="24"/>
                <w:vertAlign w:val="superscript"/>
              </w:rPr>
              <w:t>3</w:t>
            </w:r>
            <w:r>
              <w:rPr>
                <w:rFonts w:hint="eastAsia" w:ascii="Times New Roman" w:hAnsi="Times New Roman" w:eastAsia="宋体" w:cs="Times New Roman"/>
                <w:sz w:val="24"/>
                <w:szCs w:val="24"/>
                <w:lang w:eastAsia="zh-CN"/>
              </w:rPr>
              <w:t>。</w:t>
            </w:r>
          </w:p>
          <w:p>
            <w:pPr>
              <w:adjustRightInd w:val="0"/>
              <w:snapToGrid w:val="0"/>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低山丘陵区</w:t>
            </w:r>
          </w:p>
          <w:p>
            <w:pPr>
              <w:adjustRightInd w:val="0"/>
              <w:snapToGrid w:val="0"/>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冲洪积平原区总面积约</w:t>
            </w:r>
            <w:r>
              <w:rPr>
                <w:rFonts w:hint="eastAsia" w:cs="Times New Roman"/>
                <w:sz w:val="24"/>
                <w:szCs w:val="24"/>
                <w:lang w:val="en-US" w:eastAsia="zh-CN"/>
              </w:rPr>
              <w:t>15.59</w:t>
            </w:r>
            <w:r>
              <w:rPr>
                <w:rFonts w:hint="default" w:ascii="Times New Roman" w:hAnsi="Times New Roman" w:eastAsia="宋体" w:cs="Times New Roman"/>
                <w:sz w:val="24"/>
                <w:szCs w:val="24"/>
              </w:rPr>
              <w:t>hm</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4"/>
                <w:szCs w:val="24"/>
              </w:rPr>
              <w:t>，其中永久占地为12.1</w:t>
            </w:r>
            <w:r>
              <w:rPr>
                <w:rFonts w:hint="eastAsia" w:cs="Times New Roman"/>
                <w:sz w:val="24"/>
                <w:szCs w:val="24"/>
                <w:lang w:val="en-US" w:eastAsia="zh-CN"/>
              </w:rPr>
              <w:t>3</w:t>
            </w:r>
            <w:r>
              <w:rPr>
                <w:rFonts w:hint="default" w:ascii="Times New Roman" w:hAnsi="Times New Roman" w:eastAsia="宋体" w:cs="Times New Roman"/>
                <w:sz w:val="24"/>
                <w:szCs w:val="24"/>
              </w:rPr>
              <w:t>hm</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4"/>
                <w:szCs w:val="24"/>
              </w:rPr>
              <w:t>，临时占地</w:t>
            </w:r>
            <w:r>
              <w:rPr>
                <w:rFonts w:hint="eastAsia" w:cs="Times New Roman"/>
                <w:sz w:val="24"/>
                <w:szCs w:val="24"/>
                <w:lang w:val="en-US" w:eastAsia="zh-CN"/>
              </w:rPr>
              <w:t>3.46</w:t>
            </w:r>
            <w:r>
              <w:rPr>
                <w:rFonts w:hint="default" w:ascii="Times New Roman" w:hAnsi="Times New Roman" w:eastAsia="宋体" w:cs="Times New Roman"/>
                <w:sz w:val="24"/>
                <w:szCs w:val="24"/>
              </w:rPr>
              <w:t>hm</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4"/>
                <w:szCs w:val="24"/>
              </w:rPr>
              <w:t>。</w:t>
            </w:r>
          </w:p>
          <w:p>
            <w:pPr>
              <w:adjustRightInd w:val="0"/>
              <w:snapToGrid w:val="0"/>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防洪堤工程区</w:t>
            </w:r>
          </w:p>
          <w:p>
            <w:pPr>
              <w:adjustRightInd w:val="0"/>
              <w:snapToGrid w:val="0"/>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防洪堤工程区面积约7.80hm</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4"/>
                <w:szCs w:val="24"/>
              </w:rPr>
              <w:t>，其中永久占地为5.85hm</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4"/>
                <w:szCs w:val="24"/>
              </w:rPr>
              <w:t>，临时占地1.95hm</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4"/>
                <w:szCs w:val="24"/>
              </w:rPr>
              <w:t>。</w:t>
            </w:r>
          </w:p>
          <w:p>
            <w:pPr>
              <w:adjustRightInd w:val="0"/>
              <w:snapToGrid w:val="0"/>
              <w:spacing w:line="360" w:lineRule="auto"/>
              <w:ind w:firstLine="480" w:firstLineChars="200"/>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本工程区两侧为村庄和农田，现状河道宽度约11～350m不等，岸坡陡缓不一，淘刷严重，大部分河道岸坡防冲刷不满足安全行洪要求</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因此，需要在原河道修建堤防保护两岸村庄、农田及道路。</w:t>
            </w:r>
          </w:p>
          <w:p>
            <w:pPr>
              <w:adjustRightInd w:val="0"/>
              <w:snapToGrid w:val="0"/>
              <w:spacing w:line="360" w:lineRule="auto"/>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val="en-US" w:eastAsia="zh-CN"/>
              </w:rPr>
              <w:t>）</w:t>
            </w:r>
            <w:r>
              <w:rPr>
                <w:rFonts w:ascii="宋体" w:hAnsi="宋体" w:eastAsia="宋体" w:cs="宋体"/>
                <w:sz w:val="24"/>
                <w:szCs w:val="24"/>
              </w:rPr>
              <w:t>防洪堤附属建筑物工程区</w:t>
            </w:r>
          </w:p>
          <w:p>
            <w:pPr>
              <w:adjustRightInd w:val="0"/>
              <w:snapToGrid w:val="0"/>
              <w:spacing w:line="360" w:lineRule="auto"/>
              <w:ind w:firstLine="480" w:firstLineChars="200"/>
              <w:rPr>
                <w:rFonts w:hint="eastAsia" w:ascii="宋体" w:hAnsi="宋体" w:eastAsia="宋体" w:cs="宋体"/>
                <w:sz w:val="24"/>
                <w:szCs w:val="24"/>
                <w:lang w:val="en-US" w:eastAsia="zh-CN"/>
              </w:rPr>
            </w:pPr>
            <w:r>
              <w:rPr>
                <w:rFonts w:hint="default" w:ascii="Times New Roman" w:hAnsi="Times New Roman" w:eastAsia="宋体" w:cs="Times New Roman"/>
                <w:sz w:val="24"/>
                <w:szCs w:val="24"/>
              </w:rPr>
              <w:t>防洪堤附属建筑物工程区面积约0.26hm</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4"/>
                <w:szCs w:val="24"/>
              </w:rPr>
              <w:t>，其中永久占地为0.21hm</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4"/>
                <w:szCs w:val="24"/>
              </w:rPr>
              <w:t>，临时占地0.05hm</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包含19+000、20+200、27+100、28+000，4处汇水口</w:t>
            </w:r>
            <w:r>
              <w:rPr>
                <w:rFonts w:hint="default" w:ascii="Times New Roman" w:hAnsi="Times New Roman" w:eastAsia="宋体" w:cs="Times New Roman"/>
                <w:sz w:val="24"/>
                <w:szCs w:val="24"/>
                <w:lang w:eastAsia="zh-CN"/>
              </w:rPr>
              <w:t>。</w:t>
            </w:r>
          </w:p>
          <w:p>
            <w:pPr>
              <w:adjustRightInd w:val="0"/>
              <w:snapToGrid w:val="0"/>
              <w:spacing w:line="360" w:lineRule="auto"/>
              <w:ind w:firstLine="480" w:firstLineChars="200"/>
              <w:rPr>
                <w:rFonts w:hint="eastAsia" w:ascii="宋体" w:hAnsi="宋体" w:eastAsia="宋体" w:cs="宋体"/>
                <w:sz w:val="24"/>
                <w:szCs w:val="24"/>
                <w:lang w:val="en-US" w:eastAsia="zh-CN"/>
              </w:rPr>
            </w:pPr>
            <w:r>
              <w:rPr>
                <w:rFonts w:ascii="宋体" w:hAnsi="宋体" w:eastAsia="宋体" w:cs="宋体"/>
                <w:sz w:val="24"/>
                <w:szCs w:val="24"/>
              </w:rPr>
              <w:t>在河道</w:t>
            </w:r>
            <w:r>
              <w:rPr>
                <w:rFonts w:hint="default" w:ascii="Times New Roman" w:hAnsi="Times New Roman" w:eastAsia="宋体" w:cs="Times New Roman"/>
                <w:sz w:val="24"/>
                <w:szCs w:val="24"/>
              </w:rPr>
              <w:t>号19+000、20+200、27+100和28+000共计4处设置汇水口。汇水口进口段布置长5.0m浆砌石渐变段，底板及边坡均采用30cm厚浆砌石砌筑，边坡高2.0m。排水口与新建堤防交叉处，埋设1根长4m、内径1.4m的钢筋砼PCCP涵管，涵管进口设置防冲基础，基础埋深3.0m，采用坡式砼板护砌，板厚20cm</w:t>
            </w:r>
            <w:r>
              <w:rPr>
                <w:rFonts w:ascii="宋体" w:hAnsi="宋体" w:eastAsia="宋体" w:cs="宋体"/>
                <w:sz w:val="24"/>
                <w:szCs w:val="24"/>
              </w:rPr>
              <w:t>。</w:t>
            </w:r>
          </w:p>
          <w:p>
            <w:pPr>
              <w:adjustRightInd w:val="0"/>
              <w:snapToGrid w:val="0"/>
              <w:spacing w:line="360" w:lineRule="auto"/>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lang w:val="en-US" w:eastAsia="zh-CN"/>
              </w:rPr>
              <w:t>）</w:t>
            </w:r>
            <w:r>
              <w:rPr>
                <w:rFonts w:ascii="宋体" w:hAnsi="宋体" w:eastAsia="宋体" w:cs="宋体"/>
                <w:sz w:val="24"/>
                <w:szCs w:val="24"/>
              </w:rPr>
              <w:t>排洪渠工程区</w:t>
            </w:r>
          </w:p>
          <w:p>
            <w:pPr>
              <w:rPr>
                <w:rFonts w:hint="eastAsia" w:ascii="宋体" w:hAnsi="宋体" w:eastAsia="宋体" w:cs="宋体"/>
                <w:sz w:val="24"/>
                <w:szCs w:val="24"/>
                <w:lang w:val="en-US" w:eastAsia="zh-CN"/>
              </w:rPr>
            </w:pPr>
            <w:r>
              <w:rPr>
                <w:rFonts w:hint="default" w:ascii="Times New Roman" w:hAnsi="Times New Roman" w:eastAsia="宋体" w:cs="Times New Roman"/>
                <w:sz w:val="24"/>
                <w:szCs w:val="24"/>
              </w:rPr>
              <w:t>排洪渠工程区面积约6.03hm</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4"/>
                <w:szCs w:val="24"/>
              </w:rPr>
              <w:t>，均为永久占地</w:t>
            </w:r>
            <w:r>
              <w:rPr>
                <w:rFonts w:hint="eastAsia" w:cs="Times New Roman"/>
                <w:sz w:val="24"/>
                <w:szCs w:val="24"/>
                <w:lang w:eastAsia="zh-CN"/>
              </w:rPr>
              <w:t>，</w:t>
            </w:r>
            <w:r>
              <w:rPr>
                <w:rFonts w:hint="default" w:ascii="Times New Roman" w:hAnsi="Times New Roman" w:eastAsia="宋体" w:cs="Times New Roman"/>
                <w:sz w:val="24"/>
                <w:szCs w:val="24"/>
              </w:rPr>
              <w:t>建设内容为：魏家村-S303段（桩号26+750-29+160），全长2.41km</w:t>
            </w:r>
            <w:r>
              <w:rPr>
                <w:rFonts w:hint="default" w:ascii="Times New Roman" w:hAnsi="Times New Roman" w:eastAsia="宋体" w:cs="Times New Roman"/>
                <w:sz w:val="24"/>
                <w:szCs w:val="24"/>
                <w:lang w:eastAsia="zh-CN"/>
              </w:rPr>
              <w:t>。</w:t>
            </w:r>
          </w:p>
          <w:p>
            <w:pPr>
              <w:rPr>
                <w:rFonts w:hint="default" w:ascii="Times New Roman" w:hAnsi="Times New Roman" w:eastAsia="宋体" w:cs="Times New Roman"/>
                <w:sz w:val="24"/>
                <w:szCs w:val="24"/>
                <w:lang w:val="en-US" w:eastAsia="zh-CN"/>
              </w:rPr>
            </w:pPr>
            <w:r>
              <w:rPr>
                <w:rFonts w:ascii="宋体" w:hAnsi="宋体" w:eastAsia="宋体" w:cs="宋体"/>
                <w:sz w:val="24"/>
                <w:szCs w:val="24"/>
              </w:rPr>
              <w:t>本工程区</w:t>
            </w:r>
            <w:r>
              <w:rPr>
                <w:rFonts w:hint="default" w:ascii="Times New Roman" w:hAnsi="Times New Roman" w:eastAsia="宋体" w:cs="Times New Roman"/>
                <w:sz w:val="24"/>
                <w:szCs w:val="24"/>
              </w:rPr>
              <w:t>两侧为村庄和农田，现状河道宽度约11～350m不等，岸坡陡缓不一，淘刷严重，大部分河道岸坡防冲刷不满足安全行洪要求</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因此，需要在原河道修建堤防保护两岸村庄、农田及道路。</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排洪渠附属建筑物工程区</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排洪渠附属建筑物工程区面积约0.05hm</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4"/>
                <w:szCs w:val="24"/>
              </w:rPr>
              <w:t>，其中永久占地0.04hm</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4"/>
                <w:szCs w:val="24"/>
              </w:rPr>
              <w:t>，临时占地0.01hm</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建设内容为：魏家村-S303段农桥4座</w:t>
            </w:r>
            <w:r>
              <w:rPr>
                <w:rFonts w:hint="default" w:ascii="Times New Roman" w:hAnsi="Times New Roman" w:eastAsia="宋体" w:cs="Times New Roman"/>
                <w:sz w:val="24"/>
                <w:szCs w:val="24"/>
                <w:lang w:eastAsia="zh-CN"/>
              </w:rPr>
              <w:t>。</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排洪渠临时堆土区</w:t>
            </w:r>
          </w:p>
          <w:p>
            <w:pPr>
              <w:rPr>
                <w:rFonts w:hint="default" w:ascii="Times New Roman" w:hAnsi="Times New Roman" w:eastAsia="宋体" w:cs="Times New Roman"/>
                <w:lang w:val="en-US" w:eastAsia="zh-CN"/>
              </w:rPr>
            </w:pPr>
            <w:r>
              <w:rPr>
                <w:rFonts w:hint="default" w:ascii="Times New Roman" w:hAnsi="Times New Roman" w:eastAsia="宋体" w:cs="Times New Roman"/>
                <w:sz w:val="24"/>
                <w:szCs w:val="24"/>
              </w:rPr>
              <w:t>排洪渠临时堆土区布设于排洪渠两侧，宽度6m，长度2.41*2km，占地面积1.45hm</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4"/>
                <w:szCs w:val="24"/>
              </w:rPr>
              <w:t>，临时堆土堆高5m，边坡1:1.5，可容纳最大土方量为6.80万m</w:t>
            </w:r>
            <w:r>
              <w:rPr>
                <w:rFonts w:hint="default" w:ascii="Times New Roman" w:hAnsi="Times New Roman" w:eastAsia="宋体" w:cs="Times New Roman"/>
                <w:sz w:val="24"/>
                <w:szCs w:val="24"/>
                <w:vertAlign w:val="superscript"/>
                <w:lang w:val="en-US" w:eastAsia="zh-CN"/>
              </w:rPr>
              <w:t>3</w:t>
            </w:r>
            <w:r>
              <w:rPr>
                <w:rFonts w:hint="default" w:ascii="Times New Roman" w:hAnsi="Times New Roman" w:eastAsia="宋体" w:cs="Times New Roman"/>
                <w:sz w:val="24"/>
                <w:szCs w:val="24"/>
                <w:lang w:eastAsia="zh-CN"/>
              </w:rPr>
              <w:t>。</w:t>
            </w:r>
          </w:p>
          <w:p>
            <w:pPr>
              <w:adjustRightInd w:val="0"/>
              <w:snapToGrid w:val="0"/>
              <w:spacing w:line="360" w:lineRule="auto"/>
              <w:ind w:firstLine="0" w:firstLineChars="0"/>
              <w:rPr>
                <w:rFonts w:hint="default"/>
                <w:b/>
                <w:color w:val="000000"/>
                <w:highlight w:val="none"/>
                <w:lang w:val="en-US" w:eastAsia="zh-CN"/>
              </w:rPr>
            </w:pPr>
            <w:r>
              <w:rPr>
                <w:rFonts w:hint="eastAsia"/>
                <w:b/>
                <w:color w:val="000000"/>
                <w:lang w:val="en-US" w:eastAsia="zh-CN"/>
              </w:rPr>
              <w:t>7、</w:t>
            </w:r>
            <w:r>
              <w:rPr>
                <w:rFonts w:hint="eastAsia"/>
                <w:b/>
                <w:color w:val="000000"/>
                <w:highlight w:val="none"/>
                <w:lang w:val="en-US" w:eastAsia="zh-CN"/>
              </w:rPr>
              <w:t>工程占地及占地类型</w:t>
            </w:r>
          </w:p>
          <w:p>
            <w:pPr>
              <w:keepNext w:val="0"/>
              <w:keepLines w:val="0"/>
              <w:widowControl/>
              <w:suppressLineNumbers w:val="0"/>
              <w:jc w:val="left"/>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auto"/>
                <w:highlight w:val="none"/>
                <w:lang w:val="en-US" w:eastAsia="zh-CN"/>
              </w:rPr>
              <w:t>根据工程设计提供的资料，该河道治理工程占地合计为</w:t>
            </w:r>
            <w:r>
              <w:rPr>
                <w:rFonts w:hint="default" w:ascii="Times New Roman" w:hAnsi="Times New Roman" w:eastAsia="宋体" w:cs="Times New Roman"/>
                <w:b w:val="0"/>
                <w:bCs w:val="0"/>
                <w:color w:val="auto"/>
                <w:sz w:val="24"/>
                <w:szCs w:val="24"/>
                <w:highlight w:val="none"/>
              </w:rPr>
              <w:t>5</w:t>
            </w:r>
            <w:r>
              <w:rPr>
                <w:rFonts w:hint="eastAsia" w:cs="Times New Roman"/>
                <w:b w:val="0"/>
                <w:bCs w:val="0"/>
                <w:color w:val="auto"/>
                <w:sz w:val="24"/>
                <w:szCs w:val="24"/>
                <w:highlight w:val="none"/>
                <w:lang w:val="en-US" w:eastAsia="zh-CN"/>
              </w:rPr>
              <w:t>4</w:t>
            </w:r>
            <w:r>
              <w:rPr>
                <w:rFonts w:hint="default" w:ascii="Times New Roman" w:hAnsi="Times New Roman" w:eastAsia="宋体" w:cs="Times New Roman"/>
                <w:b w:val="0"/>
                <w:bCs w:val="0"/>
                <w:color w:val="auto"/>
                <w:sz w:val="24"/>
                <w:szCs w:val="24"/>
                <w:highlight w:val="none"/>
              </w:rPr>
              <w:t>.</w:t>
            </w:r>
            <w:r>
              <w:rPr>
                <w:rFonts w:hint="eastAsia" w:cs="Times New Roman"/>
                <w:b w:val="0"/>
                <w:bCs w:val="0"/>
                <w:color w:val="auto"/>
                <w:sz w:val="24"/>
                <w:szCs w:val="24"/>
                <w:highlight w:val="none"/>
                <w:lang w:val="en-US" w:eastAsia="zh-CN"/>
              </w:rPr>
              <w:t>49</w:t>
            </w:r>
            <w:r>
              <w:rPr>
                <w:rFonts w:hint="default" w:ascii="Times New Roman" w:hAnsi="Times New Roman" w:eastAsia="宋体" w:cs="Times New Roman"/>
                <w:b w:val="0"/>
                <w:bCs w:val="0"/>
                <w:color w:val="auto"/>
                <w:sz w:val="24"/>
                <w:szCs w:val="24"/>
                <w:highlight w:val="none"/>
              </w:rPr>
              <w:t>h</w:t>
            </w:r>
            <w:r>
              <w:rPr>
                <w:rFonts w:hint="default" w:ascii="Times New Roman" w:hAnsi="Times New Roman" w:eastAsia="宋体" w:cs="Times New Roman"/>
                <w:color w:val="auto"/>
                <w:highlight w:val="none"/>
              </w:rPr>
              <w:t>m</w:t>
            </w:r>
            <w:r>
              <w:rPr>
                <w:rFonts w:hint="default" w:ascii="Times New Roman" w:hAnsi="Times New Roman" w:eastAsia="宋体" w:cs="Times New Roman"/>
                <w:color w:val="auto"/>
                <w:highlight w:val="none"/>
                <w:vertAlign w:val="superscript"/>
              </w:rPr>
              <w:t>2</w:t>
            </w:r>
            <w:r>
              <w:rPr>
                <w:rFonts w:hint="default" w:ascii="Times New Roman" w:hAnsi="Times New Roman" w:eastAsia="宋体" w:cs="Times New Roman"/>
                <w:b w:val="0"/>
                <w:bCs w:val="0"/>
                <w:color w:val="auto"/>
                <w:kern w:val="0"/>
                <w:sz w:val="24"/>
                <w:szCs w:val="24"/>
                <w:highlight w:val="none"/>
                <w:lang w:val="en-US" w:eastAsia="zh-CN" w:bidi="ar"/>
              </w:rPr>
              <w:t>，永久占地36.61h</w:t>
            </w:r>
            <w:r>
              <w:rPr>
                <w:rFonts w:hint="default" w:ascii="Times New Roman" w:hAnsi="Times New Roman" w:eastAsia="宋体" w:cs="Times New Roman"/>
                <w:color w:val="auto"/>
                <w:highlight w:val="none"/>
              </w:rPr>
              <w:t>m</w:t>
            </w:r>
            <w:r>
              <w:rPr>
                <w:rFonts w:hint="default" w:ascii="Times New Roman" w:hAnsi="Times New Roman" w:eastAsia="宋体" w:cs="Times New Roman"/>
                <w:color w:val="auto"/>
                <w:highlight w:val="none"/>
                <w:vertAlign w:val="superscript"/>
              </w:rPr>
              <w:t>2</w:t>
            </w:r>
            <w:r>
              <w:rPr>
                <w:rFonts w:hint="default" w:ascii="Times New Roman" w:hAnsi="Times New Roman" w:eastAsia="宋体" w:cs="Times New Roman"/>
                <w:b w:val="0"/>
                <w:bCs w:val="0"/>
                <w:color w:val="auto"/>
                <w:kern w:val="0"/>
                <w:sz w:val="24"/>
                <w:szCs w:val="24"/>
                <w:highlight w:val="none"/>
                <w:lang w:val="en-US" w:eastAsia="zh-CN" w:bidi="ar"/>
              </w:rPr>
              <w:t>，临时占地</w:t>
            </w:r>
            <w:r>
              <w:rPr>
                <w:rFonts w:hint="eastAsia" w:cs="Times New Roman"/>
                <w:b w:val="0"/>
                <w:bCs w:val="0"/>
                <w:color w:val="auto"/>
                <w:kern w:val="0"/>
                <w:sz w:val="24"/>
                <w:szCs w:val="24"/>
                <w:highlight w:val="none"/>
                <w:lang w:val="en-US" w:eastAsia="zh-CN" w:bidi="ar"/>
              </w:rPr>
              <w:t>17.88</w:t>
            </w:r>
            <w:r>
              <w:rPr>
                <w:rFonts w:hint="default" w:ascii="Times New Roman" w:hAnsi="Times New Roman" w:eastAsia="宋体" w:cs="Times New Roman"/>
                <w:b w:val="0"/>
                <w:bCs w:val="0"/>
                <w:color w:val="auto"/>
                <w:kern w:val="0"/>
                <w:sz w:val="24"/>
                <w:szCs w:val="24"/>
                <w:highlight w:val="none"/>
                <w:lang w:val="en-US" w:eastAsia="zh-CN" w:bidi="ar"/>
              </w:rPr>
              <w:t>h</w:t>
            </w:r>
            <w:r>
              <w:rPr>
                <w:rFonts w:hint="default" w:ascii="Times New Roman" w:hAnsi="Times New Roman" w:eastAsia="宋体" w:cs="Times New Roman"/>
                <w:color w:val="auto"/>
                <w:highlight w:val="none"/>
              </w:rPr>
              <w:t>m</w:t>
            </w:r>
            <w:r>
              <w:rPr>
                <w:rFonts w:hint="default" w:ascii="Times New Roman" w:hAnsi="Times New Roman" w:eastAsia="宋体" w:cs="Times New Roman"/>
                <w:color w:val="auto"/>
                <w:highlight w:val="none"/>
                <w:vertAlign w:val="superscript"/>
              </w:rPr>
              <w:t>2</w:t>
            </w:r>
            <w:r>
              <w:rPr>
                <w:rFonts w:hint="default"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其</w:t>
            </w:r>
            <w:r>
              <w:rPr>
                <w:rFonts w:hint="eastAsia" w:ascii="Times New Roman" w:hAnsi="Times New Roman" w:eastAsia="宋体" w:cs="Times New Roman"/>
                <w:color w:val="000000"/>
                <w:highlight w:val="none"/>
                <w:lang w:val="en-US" w:eastAsia="zh-CN"/>
              </w:rPr>
              <w:t>中草地</w:t>
            </w:r>
            <w:r>
              <w:rPr>
                <w:rFonts w:hint="eastAsia" w:cs="Times New Roman"/>
                <w:color w:val="000000"/>
                <w:highlight w:val="none"/>
                <w:lang w:val="en-US" w:eastAsia="zh-CN"/>
              </w:rPr>
              <w:t>25.996</w:t>
            </w:r>
            <w:r>
              <w:rPr>
                <w:rFonts w:hint="default" w:ascii="Times New Roman" w:hAnsi="Times New Roman" w:eastAsia="宋体" w:cs="Times New Roman"/>
                <w:b w:val="0"/>
                <w:bCs w:val="0"/>
                <w:color w:val="auto"/>
                <w:sz w:val="24"/>
                <w:szCs w:val="24"/>
                <w:highlight w:val="none"/>
              </w:rPr>
              <w:t>h</w:t>
            </w:r>
            <w:r>
              <w:rPr>
                <w:rFonts w:hint="default" w:ascii="Times New Roman" w:hAnsi="Times New Roman" w:eastAsia="宋体" w:cs="Times New Roman"/>
                <w:color w:val="auto"/>
                <w:highlight w:val="none"/>
              </w:rPr>
              <w:t>m</w:t>
            </w:r>
            <w:r>
              <w:rPr>
                <w:rFonts w:hint="default" w:ascii="Times New Roman" w:hAnsi="Times New Roman" w:eastAsia="宋体" w:cs="Times New Roman"/>
                <w:color w:val="auto"/>
                <w:highlight w:val="none"/>
                <w:vertAlign w:val="superscript"/>
              </w:rPr>
              <w:t>2</w:t>
            </w:r>
            <w:r>
              <w:rPr>
                <w:rFonts w:hint="eastAsia" w:ascii="Times New Roman" w:hAnsi="Times New Roman" w:eastAsia="宋体" w:cs="Times New Roman"/>
                <w:color w:val="000000"/>
                <w:highlight w:val="none"/>
                <w:lang w:val="en-US" w:eastAsia="zh-CN"/>
              </w:rPr>
              <w:t>，水域及水利设施用地</w:t>
            </w:r>
            <w:r>
              <w:rPr>
                <w:rFonts w:hint="eastAsia" w:cs="Times New Roman"/>
                <w:color w:val="000000"/>
                <w:highlight w:val="none"/>
                <w:lang w:val="en-US" w:eastAsia="zh-CN"/>
              </w:rPr>
              <w:t>24.3565</w:t>
            </w:r>
            <w:r>
              <w:rPr>
                <w:rFonts w:hint="default" w:ascii="Times New Roman" w:hAnsi="Times New Roman" w:eastAsia="宋体" w:cs="Times New Roman"/>
                <w:b w:val="0"/>
                <w:bCs w:val="0"/>
                <w:color w:val="auto"/>
                <w:sz w:val="24"/>
                <w:szCs w:val="24"/>
                <w:highlight w:val="none"/>
              </w:rPr>
              <w:t>h</w:t>
            </w:r>
            <w:r>
              <w:rPr>
                <w:rFonts w:hint="default" w:ascii="Times New Roman" w:hAnsi="Times New Roman" w:eastAsia="宋体" w:cs="Times New Roman"/>
                <w:color w:val="auto"/>
                <w:highlight w:val="none"/>
              </w:rPr>
              <w:t>m</w:t>
            </w:r>
            <w:r>
              <w:rPr>
                <w:rFonts w:hint="default" w:ascii="Times New Roman" w:hAnsi="Times New Roman" w:eastAsia="宋体" w:cs="Times New Roman"/>
                <w:color w:val="auto"/>
                <w:highlight w:val="none"/>
                <w:vertAlign w:val="superscript"/>
              </w:rPr>
              <w:t>2</w:t>
            </w:r>
            <w:r>
              <w:rPr>
                <w:rFonts w:hint="eastAsia" w:cs="Times New Roman"/>
                <w:color w:val="000000"/>
                <w:highlight w:val="none"/>
                <w:lang w:val="en-US" w:eastAsia="zh-CN"/>
              </w:rPr>
              <w:t>，耕地2.49</w:t>
            </w:r>
            <w:r>
              <w:rPr>
                <w:rFonts w:hint="default" w:ascii="Times New Roman" w:hAnsi="Times New Roman" w:eastAsia="宋体" w:cs="Times New Roman"/>
                <w:b w:val="0"/>
                <w:bCs w:val="0"/>
                <w:color w:val="auto"/>
                <w:sz w:val="24"/>
                <w:szCs w:val="24"/>
                <w:highlight w:val="none"/>
              </w:rPr>
              <w:t>h</w:t>
            </w:r>
            <w:r>
              <w:rPr>
                <w:rFonts w:hint="default" w:ascii="Times New Roman" w:hAnsi="Times New Roman" w:eastAsia="宋体" w:cs="Times New Roman"/>
                <w:color w:val="auto"/>
                <w:highlight w:val="none"/>
              </w:rPr>
              <w:t>m</w:t>
            </w:r>
            <w:r>
              <w:rPr>
                <w:rFonts w:hint="default" w:ascii="Times New Roman" w:hAnsi="Times New Roman" w:eastAsia="宋体" w:cs="Times New Roman"/>
                <w:color w:val="auto"/>
                <w:highlight w:val="none"/>
                <w:vertAlign w:val="superscript"/>
              </w:rPr>
              <w:t>2</w:t>
            </w:r>
            <w:r>
              <w:rPr>
                <w:rFonts w:hint="eastAsia" w:cs="Times New Roman"/>
                <w:color w:val="000000"/>
                <w:highlight w:val="none"/>
                <w:lang w:val="en-US" w:eastAsia="zh-CN"/>
              </w:rPr>
              <w:t>，未利用地1.6475</w:t>
            </w:r>
            <w:r>
              <w:rPr>
                <w:rFonts w:hint="default" w:ascii="Times New Roman" w:hAnsi="Times New Roman" w:eastAsia="宋体" w:cs="Times New Roman"/>
                <w:b w:val="0"/>
                <w:bCs w:val="0"/>
                <w:color w:val="auto"/>
                <w:sz w:val="24"/>
                <w:szCs w:val="24"/>
                <w:highlight w:val="none"/>
              </w:rPr>
              <w:t>h</w:t>
            </w:r>
            <w:r>
              <w:rPr>
                <w:rFonts w:hint="default" w:ascii="Times New Roman" w:hAnsi="Times New Roman" w:eastAsia="宋体" w:cs="Times New Roman"/>
                <w:color w:val="auto"/>
                <w:highlight w:val="none"/>
              </w:rPr>
              <w:t>m</w:t>
            </w:r>
            <w:r>
              <w:rPr>
                <w:rFonts w:hint="default" w:ascii="Times New Roman" w:hAnsi="Times New Roman" w:eastAsia="宋体" w:cs="Times New Roman"/>
                <w:color w:val="auto"/>
                <w:highlight w:val="none"/>
                <w:vertAlign w:val="superscript"/>
              </w:rPr>
              <w:t>2</w:t>
            </w:r>
            <w:r>
              <w:rPr>
                <w:rFonts w:hint="eastAsia" w:cs="Times New Roman"/>
                <w:color w:val="000000"/>
                <w:highlight w:val="none"/>
                <w:lang w:val="en-US" w:eastAsia="zh-CN"/>
              </w:rPr>
              <w:t>，详见附图8土地利用图。</w:t>
            </w:r>
          </w:p>
          <w:p>
            <w:pPr>
              <w:adjustRightInd w:val="0"/>
              <w:snapToGrid w:val="0"/>
              <w:spacing w:line="360" w:lineRule="auto"/>
              <w:ind w:firstLine="0" w:firstLineChars="0"/>
              <w:rPr>
                <w:rFonts w:hint="default"/>
                <w:b/>
                <w:color w:val="000000"/>
                <w:highlight w:val="none"/>
                <w:lang w:val="en-US" w:eastAsia="zh-CN"/>
              </w:rPr>
            </w:pPr>
            <w:r>
              <w:rPr>
                <w:rFonts w:hint="eastAsia"/>
                <w:b/>
                <w:color w:val="000000"/>
                <w:lang w:val="en-US" w:eastAsia="zh-CN"/>
              </w:rPr>
              <w:t>8、土石方平衡</w:t>
            </w:r>
          </w:p>
          <w:p>
            <w:pPr>
              <w:pStyle w:val="143"/>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kern w:val="2"/>
                <w:sz w:val="24"/>
                <w:szCs w:val="24"/>
                <w:highlight w:val="none"/>
                <w:lang w:val="en-US" w:eastAsia="zh-CN" w:bidi="ar-SA"/>
              </w:rPr>
              <w:t>项目区挖方总量为</w:t>
            </w:r>
            <w:r>
              <w:rPr>
                <w:rFonts w:hint="eastAsia" w:cs="Times New Roman"/>
                <w:color w:val="000000"/>
                <w:kern w:val="2"/>
                <w:sz w:val="24"/>
                <w:szCs w:val="24"/>
                <w:highlight w:val="none"/>
                <w:lang w:val="en-US" w:eastAsia="zh-CN" w:bidi="ar-SA"/>
              </w:rPr>
              <w:t>39.86</w:t>
            </w:r>
            <w:r>
              <w:rPr>
                <w:rFonts w:hint="default" w:ascii="Times New Roman" w:hAnsi="Times New Roman" w:eastAsia="宋体" w:cs="Times New Roman"/>
                <w:color w:val="000000"/>
                <w:kern w:val="2"/>
                <w:sz w:val="24"/>
                <w:szCs w:val="24"/>
                <w:highlight w:val="none"/>
                <w:lang w:val="en-US" w:eastAsia="zh-CN" w:bidi="ar-SA"/>
              </w:rPr>
              <w:t>万m</w:t>
            </w:r>
            <w:r>
              <w:rPr>
                <w:rFonts w:hint="default" w:ascii="Times New Roman" w:hAnsi="Times New Roman" w:eastAsia="宋体" w:cs="Times New Roman"/>
                <w:color w:val="000000"/>
                <w:kern w:val="2"/>
                <w:sz w:val="24"/>
                <w:szCs w:val="24"/>
                <w:highlight w:val="none"/>
                <w:vertAlign w:val="superscript"/>
                <w:lang w:val="en-US" w:eastAsia="zh-CN" w:bidi="ar-SA"/>
              </w:rPr>
              <w:t>3</w:t>
            </w:r>
            <w:r>
              <w:rPr>
                <w:rFonts w:hint="default" w:ascii="Times New Roman" w:hAnsi="Times New Roman" w:eastAsia="宋体" w:cs="Times New Roman"/>
                <w:color w:val="000000"/>
                <w:kern w:val="2"/>
                <w:sz w:val="24"/>
                <w:szCs w:val="24"/>
                <w:highlight w:val="none"/>
                <w:lang w:val="en-US" w:eastAsia="zh-CN" w:bidi="ar-SA"/>
              </w:rPr>
              <w:t>，填方量为</w:t>
            </w:r>
            <w:r>
              <w:rPr>
                <w:rFonts w:hint="eastAsia" w:cs="Times New Roman"/>
                <w:color w:val="000000"/>
                <w:kern w:val="2"/>
                <w:sz w:val="24"/>
                <w:szCs w:val="24"/>
                <w:highlight w:val="none"/>
                <w:lang w:val="en-US" w:eastAsia="zh-CN" w:bidi="ar-SA"/>
              </w:rPr>
              <w:t>56.36</w:t>
            </w:r>
            <w:r>
              <w:rPr>
                <w:rFonts w:hint="eastAsia" w:ascii="Times New Roman" w:hAnsi="Times New Roman" w:eastAsia="宋体" w:cs="Times New Roman"/>
                <w:color w:val="000000"/>
                <w:kern w:val="2"/>
                <w:sz w:val="24"/>
                <w:szCs w:val="24"/>
                <w:highlight w:val="none"/>
                <w:lang w:val="en-US" w:eastAsia="zh-CN" w:bidi="ar-SA"/>
              </w:rPr>
              <w:t>万</w:t>
            </w:r>
            <w:r>
              <w:rPr>
                <w:rFonts w:hint="default" w:ascii="Times New Roman" w:hAnsi="Times New Roman" w:eastAsia="宋体" w:cs="Times New Roman"/>
                <w:color w:val="000000"/>
                <w:kern w:val="2"/>
                <w:sz w:val="24"/>
                <w:szCs w:val="24"/>
                <w:highlight w:val="none"/>
                <w:lang w:val="en-US" w:eastAsia="zh-CN" w:bidi="ar-SA"/>
              </w:rPr>
              <w:t>m</w:t>
            </w:r>
            <w:r>
              <w:rPr>
                <w:rFonts w:hint="default" w:ascii="Times New Roman" w:hAnsi="Times New Roman" w:eastAsia="宋体" w:cs="Times New Roman"/>
                <w:color w:val="000000"/>
                <w:kern w:val="2"/>
                <w:sz w:val="24"/>
                <w:szCs w:val="24"/>
                <w:highlight w:val="none"/>
                <w:vertAlign w:val="superscript"/>
                <w:lang w:val="en-US" w:eastAsia="zh-CN" w:bidi="ar-SA"/>
              </w:rPr>
              <w:t>3</w:t>
            </w:r>
            <w:r>
              <w:rPr>
                <w:rFonts w:hint="default" w:ascii="Times New Roman" w:hAnsi="Times New Roman" w:eastAsia="宋体" w:cs="Times New Roman"/>
                <w:color w:val="000000"/>
                <w:kern w:val="2"/>
                <w:sz w:val="24"/>
                <w:szCs w:val="24"/>
                <w:highlight w:val="none"/>
                <w:lang w:val="en-US" w:eastAsia="zh-CN" w:bidi="ar-SA"/>
              </w:rPr>
              <w:t>，</w:t>
            </w:r>
            <w:r>
              <w:rPr>
                <w:rFonts w:hint="eastAsia" w:cs="Times New Roman"/>
                <w:color w:val="000000"/>
                <w:kern w:val="2"/>
                <w:sz w:val="24"/>
                <w:szCs w:val="24"/>
                <w:highlight w:val="none"/>
                <w:lang w:val="en-US" w:eastAsia="zh-CN" w:bidi="ar-SA"/>
              </w:rPr>
              <w:t>借方</w:t>
            </w:r>
            <w:r>
              <w:rPr>
                <w:rFonts w:hint="eastAsia" w:ascii="Times New Roman" w:hAnsi="Times New Roman" w:eastAsia="宋体" w:cs="Times New Roman"/>
                <w:color w:val="000000"/>
                <w:kern w:val="2"/>
                <w:sz w:val="24"/>
                <w:szCs w:val="24"/>
                <w:highlight w:val="none"/>
                <w:lang w:val="en-US" w:eastAsia="zh-CN" w:bidi="ar-SA"/>
              </w:rPr>
              <w:t>16.</w:t>
            </w:r>
            <w:r>
              <w:rPr>
                <w:rFonts w:hint="eastAsia" w:cs="Times New Roman"/>
                <w:color w:val="000000"/>
                <w:kern w:val="2"/>
                <w:sz w:val="24"/>
                <w:szCs w:val="24"/>
                <w:highlight w:val="none"/>
                <w:lang w:val="en-US" w:eastAsia="zh-CN" w:bidi="ar-SA"/>
              </w:rPr>
              <w:t>5</w:t>
            </w:r>
            <w:r>
              <w:rPr>
                <w:rFonts w:hint="eastAsia" w:ascii="Times New Roman" w:hAnsi="Times New Roman" w:eastAsia="宋体" w:cs="Times New Roman"/>
                <w:color w:val="000000"/>
                <w:kern w:val="2"/>
                <w:sz w:val="24"/>
                <w:szCs w:val="24"/>
                <w:highlight w:val="none"/>
                <w:lang w:val="en-US" w:eastAsia="zh-CN" w:bidi="ar-SA"/>
              </w:rPr>
              <w:t>万</w:t>
            </w:r>
            <w:r>
              <w:rPr>
                <w:rFonts w:hint="default" w:ascii="Times New Roman" w:hAnsi="Times New Roman" w:eastAsia="宋体" w:cs="Times New Roman"/>
                <w:color w:val="000000"/>
                <w:kern w:val="2"/>
                <w:sz w:val="24"/>
                <w:szCs w:val="24"/>
                <w:highlight w:val="none"/>
                <w:lang w:val="en-US" w:eastAsia="zh-CN" w:bidi="ar-SA"/>
              </w:rPr>
              <w:t>m</w:t>
            </w:r>
            <w:r>
              <w:rPr>
                <w:rFonts w:hint="default" w:ascii="Times New Roman" w:hAnsi="Times New Roman" w:eastAsia="宋体" w:cs="Times New Roman"/>
                <w:color w:val="000000"/>
                <w:kern w:val="2"/>
                <w:sz w:val="24"/>
                <w:szCs w:val="24"/>
                <w:highlight w:val="none"/>
                <w:vertAlign w:val="superscript"/>
                <w:lang w:val="en-US" w:eastAsia="zh-CN" w:bidi="ar-SA"/>
              </w:rPr>
              <w:t>3</w:t>
            </w:r>
            <w:r>
              <w:rPr>
                <w:rFonts w:hint="default" w:ascii="Times New Roman" w:hAnsi="Times New Roman" w:eastAsia="宋体" w:cs="Times New Roman"/>
                <w:color w:val="000000"/>
                <w:kern w:val="2"/>
                <w:sz w:val="24"/>
                <w:szCs w:val="24"/>
                <w:highlight w:val="none"/>
                <w:lang w:val="en-US" w:eastAsia="zh-CN" w:bidi="ar-SA"/>
              </w:rPr>
              <w:t>，无弃方</w:t>
            </w:r>
            <w:r>
              <w:rPr>
                <w:rFonts w:hint="eastAsia" w:cs="Times New Roman"/>
                <w:color w:val="000000"/>
                <w:kern w:val="2"/>
                <w:sz w:val="24"/>
                <w:szCs w:val="24"/>
                <w:highlight w:val="none"/>
                <w:lang w:val="en-US" w:eastAsia="zh-CN" w:bidi="ar-SA"/>
              </w:rPr>
              <w:t>，</w:t>
            </w:r>
            <w:r>
              <w:rPr>
                <w:rFonts w:hint="eastAsia" w:ascii="Times New Roman" w:hAnsi="Times New Roman" w:eastAsia="宋体" w:cs="Times New Roman"/>
                <w:color w:val="000000"/>
                <w:kern w:val="2"/>
                <w:sz w:val="24"/>
                <w:szCs w:val="24"/>
                <w:highlight w:val="none"/>
                <w:lang w:val="en-US" w:eastAsia="zh-CN" w:bidi="ar-SA"/>
              </w:rPr>
              <w:t>土石方平衡一览表详见表2</w:t>
            </w:r>
            <w:r>
              <w:rPr>
                <w:rFonts w:hint="eastAsia" w:cs="Times New Roman"/>
                <w:color w:val="000000"/>
                <w:highlight w:val="none"/>
                <w:lang w:val="en-US" w:eastAsia="zh-CN"/>
              </w:rPr>
              <w:t>-3</w:t>
            </w:r>
            <w:r>
              <w:rPr>
                <w:rFonts w:hint="default" w:ascii="Times New Roman" w:hAnsi="Times New Roman" w:eastAsia="宋体" w:cs="Times New Roman"/>
                <w:color w:val="000000"/>
                <w:highlight w:val="none"/>
                <w:lang w:val="en-US" w:eastAsia="zh-CN"/>
              </w:rPr>
              <w:t>。</w:t>
            </w:r>
          </w:p>
          <w:p>
            <w:pPr>
              <w:spacing w:line="240" w:lineRule="auto"/>
              <w:ind w:firstLine="422" w:firstLineChars="200"/>
              <w:jc w:val="center"/>
              <w:rPr>
                <w:rFonts w:hint="eastAsia" w:ascii="Times New Roman" w:hAnsi="Times New Roman" w:eastAsia="宋体" w:cs="Times New Roman"/>
                <w:b/>
                <w:bCs/>
                <w:snapToGrid w:val="0"/>
                <w:color w:val="000000"/>
                <w:kern w:val="0"/>
                <w:sz w:val="21"/>
                <w:szCs w:val="21"/>
                <w:highlight w:val="none"/>
                <w:lang w:val="en-US" w:eastAsia="zh-CN"/>
              </w:rPr>
            </w:pPr>
            <w:r>
              <w:rPr>
                <w:rFonts w:hint="eastAsia" w:ascii="Times New Roman" w:hAnsi="Times New Roman" w:eastAsia="宋体" w:cs="Times New Roman"/>
                <w:b/>
                <w:bCs/>
                <w:snapToGrid w:val="0"/>
                <w:color w:val="000000"/>
                <w:kern w:val="0"/>
                <w:sz w:val="21"/>
                <w:szCs w:val="21"/>
                <w:highlight w:val="none"/>
                <w:lang w:val="en-US" w:eastAsia="zh-CN"/>
              </w:rPr>
              <w:t>表2-</w:t>
            </w:r>
            <w:r>
              <w:rPr>
                <w:rFonts w:hint="eastAsia" w:cs="Times New Roman"/>
                <w:b/>
                <w:bCs/>
                <w:snapToGrid w:val="0"/>
                <w:color w:val="000000"/>
                <w:kern w:val="0"/>
                <w:sz w:val="21"/>
                <w:szCs w:val="21"/>
                <w:highlight w:val="none"/>
                <w:lang w:val="en-US" w:eastAsia="zh-CN"/>
              </w:rPr>
              <w:t>3</w:t>
            </w:r>
            <w:r>
              <w:rPr>
                <w:rFonts w:hint="eastAsia" w:ascii="Times New Roman" w:hAnsi="Times New Roman" w:eastAsia="宋体" w:cs="Times New Roman"/>
                <w:b/>
                <w:bCs/>
                <w:snapToGrid w:val="0"/>
                <w:color w:val="000000"/>
                <w:kern w:val="0"/>
                <w:sz w:val="21"/>
                <w:szCs w:val="21"/>
                <w:highlight w:val="none"/>
                <w:lang w:val="en-US" w:eastAsia="zh-CN"/>
              </w:rPr>
              <w:t xml:space="preserve">            主体工程量统计表</w:t>
            </w:r>
          </w:p>
          <w:tbl>
            <w:tblPr>
              <w:tblStyle w:val="3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477"/>
              <w:gridCol w:w="508"/>
              <w:gridCol w:w="593"/>
              <w:gridCol w:w="599"/>
              <w:gridCol w:w="649"/>
              <w:gridCol w:w="557"/>
              <w:gridCol w:w="637"/>
              <w:gridCol w:w="536"/>
              <w:gridCol w:w="621"/>
              <w:gridCol w:w="552"/>
              <w:gridCol w:w="577"/>
              <w:gridCol w:w="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942" w:type="pct"/>
                  <w:vMerge w:val="restart"/>
                  <w:noWrap w:val="0"/>
                  <w:vAlign w:val="center"/>
                </w:tcPr>
                <w:p>
                  <w:pPr>
                    <w:pStyle w:val="269"/>
                    <w:bidi w:val="0"/>
                    <w:spacing w:line="240" w:lineRule="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lang w:val="en-US" w:eastAsia="zh-CN"/>
                    </w:rPr>
                    <w:t>项目组成</w:t>
                  </w:r>
                </w:p>
              </w:tc>
              <w:tc>
                <w:tcPr>
                  <w:tcW w:w="324" w:type="pct"/>
                  <w:vMerge w:val="restart"/>
                  <w:noWrap w:val="0"/>
                  <w:vAlign w:val="center"/>
                </w:tcPr>
                <w:p>
                  <w:pPr>
                    <w:pStyle w:val="269"/>
                    <w:bidi w:val="0"/>
                    <w:spacing w:line="240" w:lineRule="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lang w:val="en-US" w:eastAsia="zh-CN"/>
                    </w:rPr>
                    <w:t>编号</w:t>
                  </w:r>
                </w:p>
              </w:tc>
              <w:tc>
                <w:tcPr>
                  <w:tcW w:w="378" w:type="pct"/>
                  <w:vMerge w:val="restart"/>
                  <w:noWrap w:val="0"/>
                  <w:vAlign w:val="center"/>
                </w:tcPr>
                <w:p>
                  <w:pPr>
                    <w:pStyle w:val="269"/>
                    <w:bidi w:val="0"/>
                    <w:spacing w:line="240" w:lineRule="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lang w:val="en-US" w:eastAsia="zh-CN"/>
                    </w:rPr>
                    <w:t>挖方</w:t>
                  </w:r>
                </w:p>
              </w:tc>
              <w:tc>
                <w:tcPr>
                  <w:tcW w:w="382" w:type="pct"/>
                  <w:vMerge w:val="restart"/>
                  <w:noWrap w:val="0"/>
                  <w:vAlign w:val="center"/>
                </w:tcPr>
                <w:p>
                  <w:pPr>
                    <w:pStyle w:val="269"/>
                    <w:bidi w:val="0"/>
                    <w:spacing w:line="240" w:lineRule="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lang w:val="en-US" w:eastAsia="zh-CN"/>
                    </w:rPr>
                    <w:t>填方</w:t>
                  </w:r>
                </w:p>
              </w:tc>
              <w:tc>
                <w:tcPr>
                  <w:tcW w:w="769" w:type="pct"/>
                  <w:gridSpan w:val="2"/>
                  <w:noWrap w:val="0"/>
                  <w:vAlign w:val="center"/>
                </w:tcPr>
                <w:p>
                  <w:pPr>
                    <w:pStyle w:val="269"/>
                    <w:bidi w:val="0"/>
                    <w:spacing w:line="240" w:lineRule="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lang w:val="en-US" w:eastAsia="zh-CN"/>
                    </w:rPr>
                    <w:t>调入</w:t>
                  </w:r>
                </w:p>
              </w:tc>
              <w:tc>
                <w:tcPr>
                  <w:tcW w:w="748" w:type="pct"/>
                  <w:gridSpan w:val="2"/>
                  <w:noWrap w:val="0"/>
                  <w:vAlign w:val="center"/>
                </w:tcPr>
                <w:p>
                  <w:pPr>
                    <w:pStyle w:val="269"/>
                    <w:bidi w:val="0"/>
                    <w:spacing w:line="240" w:lineRule="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lang w:val="en-US" w:eastAsia="zh-CN"/>
                    </w:rPr>
                    <w:t>调出</w:t>
                  </w:r>
                </w:p>
              </w:tc>
              <w:tc>
                <w:tcPr>
                  <w:tcW w:w="748" w:type="pct"/>
                  <w:gridSpan w:val="2"/>
                  <w:noWrap w:val="0"/>
                  <w:vAlign w:val="center"/>
                </w:tcPr>
                <w:p>
                  <w:pPr>
                    <w:pStyle w:val="269"/>
                    <w:bidi w:val="0"/>
                    <w:spacing w:line="240" w:lineRule="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lang w:val="en-US" w:eastAsia="zh-CN"/>
                    </w:rPr>
                    <w:t>借方</w:t>
                  </w:r>
                </w:p>
              </w:tc>
              <w:tc>
                <w:tcPr>
                  <w:tcW w:w="705" w:type="pct"/>
                  <w:gridSpan w:val="2"/>
                  <w:noWrap w:val="0"/>
                  <w:vAlign w:val="center"/>
                </w:tcPr>
                <w:p>
                  <w:pPr>
                    <w:pStyle w:val="269"/>
                    <w:bidi w:val="0"/>
                    <w:spacing w:line="240" w:lineRule="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lang w:val="en-US" w:eastAsia="zh-CN"/>
                    </w:rPr>
                    <w:t>弃方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942" w:type="pct"/>
                  <w:vMerge w:val="continue"/>
                  <w:noWrap w:val="0"/>
                  <w:vAlign w:val="center"/>
                </w:tcPr>
                <w:p>
                  <w:pPr>
                    <w:pStyle w:val="269"/>
                    <w:bidi w:val="0"/>
                    <w:spacing w:line="240" w:lineRule="auto"/>
                    <w:rPr>
                      <w:rFonts w:hint="default" w:ascii="Times New Roman" w:hAnsi="Times New Roman" w:eastAsia="宋体" w:cs="Times New Roman"/>
                      <w:color w:val="000000"/>
                      <w:sz w:val="18"/>
                      <w:szCs w:val="18"/>
                      <w:highlight w:val="none"/>
                    </w:rPr>
                  </w:pPr>
                </w:p>
              </w:tc>
              <w:tc>
                <w:tcPr>
                  <w:tcW w:w="324" w:type="pct"/>
                  <w:vMerge w:val="continue"/>
                  <w:noWrap w:val="0"/>
                  <w:vAlign w:val="center"/>
                </w:tcPr>
                <w:p>
                  <w:pPr>
                    <w:pStyle w:val="269"/>
                    <w:bidi w:val="0"/>
                    <w:spacing w:line="240" w:lineRule="auto"/>
                    <w:rPr>
                      <w:rFonts w:hint="default" w:ascii="Times New Roman" w:hAnsi="Times New Roman" w:eastAsia="宋体" w:cs="Times New Roman"/>
                      <w:color w:val="000000"/>
                      <w:sz w:val="18"/>
                      <w:szCs w:val="18"/>
                      <w:highlight w:val="none"/>
                    </w:rPr>
                  </w:pPr>
                </w:p>
              </w:tc>
              <w:tc>
                <w:tcPr>
                  <w:tcW w:w="378" w:type="pct"/>
                  <w:vMerge w:val="continue"/>
                  <w:noWrap w:val="0"/>
                  <w:vAlign w:val="center"/>
                </w:tcPr>
                <w:p>
                  <w:pPr>
                    <w:pStyle w:val="269"/>
                    <w:bidi w:val="0"/>
                    <w:spacing w:line="240" w:lineRule="auto"/>
                    <w:rPr>
                      <w:rFonts w:hint="default" w:ascii="Times New Roman" w:hAnsi="Times New Roman" w:eastAsia="宋体" w:cs="Times New Roman"/>
                      <w:color w:val="000000"/>
                      <w:sz w:val="18"/>
                      <w:szCs w:val="18"/>
                      <w:highlight w:val="none"/>
                    </w:rPr>
                  </w:pPr>
                </w:p>
              </w:tc>
              <w:tc>
                <w:tcPr>
                  <w:tcW w:w="382" w:type="pct"/>
                  <w:vMerge w:val="continue"/>
                  <w:noWrap w:val="0"/>
                  <w:vAlign w:val="center"/>
                </w:tcPr>
                <w:p>
                  <w:pPr>
                    <w:pStyle w:val="269"/>
                    <w:bidi w:val="0"/>
                    <w:spacing w:line="240" w:lineRule="auto"/>
                    <w:rPr>
                      <w:rFonts w:hint="default" w:ascii="Times New Roman" w:hAnsi="Times New Roman" w:eastAsia="宋体" w:cs="Times New Roman"/>
                      <w:color w:val="000000"/>
                      <w:sz w:val="18"/>
                      <w:szCs w:val="18"/>
                      <w:highlight w:val="none"/>
                    </w:rPr>
                  </w:pPr>
                </w:p>
              </w:tc>
              <w:tc>
                <w:tcPr>
                  <w:tcW w:w="414" w:type="pct"/>
                  <w:noWrap w:val="0"/>
                  <w:vAlign w:val="center"/>
                </w:tcPr>
                <w:p>
                  <w:pPr>
                    <w:pStyle w:val="269"/>
                    <w:bidi w:val="0"/>
                    <w:spacing w:line="240" w:lineRule="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lang w:val="en-US" w:eastAsia="zh-CN"/>
                    </w:rPr>
                    <w:t>数量</w:t>
                  </w:r>
                </w:p>
              </w:tc>
              <w:tc>
                <w:tcPr>
                  <w:tcW w:w="355" w:type="pct"/>
                  <w:noWrap w:val="0"/>
                  <w:vAlign w:val="center"/>
                </w:tcPr>
                <w:p>
                  <w:pPr>
                    <w:pStyle w:val="269"/>
                    <w:bidi w:val="0"/>
                    <w:spacing w:line="240" w:lineRule="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lang w:val="en-US" w:eastAsia="zh-CN"/>
                    </w:rPr>
                    <w:t>来源</w:t>
                  </w:r>
                </w:p>
              </w:tc>
              <w:tc>
                <w:tcPr>
                  <w:tcW w:w="406" w:type="pct"/>
                  <w:noWrap w:val="0"/>
                  <w:vAlign w:val="center"/>
                </w:tcPr>
                <w:p>
                  <w:pPr>
                    <w:pStyle w:val="269"/>
                    <w:bidi w:val="0"/>
                    <w:spacing w:line="240" w:lineRule="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lang w:val="en-US" w:eastAsia="zh-CN"/>
                    </w:rPr>
                    <w:t>数量</w:t>
                  </w:r>
                </w:p>
              </w:tc>
              <w:tc>
                <w:tcPr>
                  <w:tcW w:w="342" w:type="pct"/>
                  <w:noWrap w:val="0"/>
                  <w:vAlign w:val="center"/>
                </w:tcPr>
                <w:p>
                  <w:pPr>
                    <w:pStyle w:val="269"/>
                    <w:bidi w:val="0"/>
                    <w:spacing w:line="240" w:lineRule="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lang w:val="en-US" w:eastAsia="zh-CN"/>
                    </w:rPr>
                    <w:t>去向</w:t>
                  </w:r>
                </w:p>
              </w:tc>
              <w:tc>
                <w:tcPr>
                  <w:tcW w:w="396" w:type="pct"/>
                  <w:noWrap w:val="0"/>
                  <w:vAlign w:val="center"/>
                </w:tcPr>
                <w:p>
                  <w:pPr>
                    <w:pStyle w:val="269"/>
                    <w:bidi w:val="0"/>
                    <w:spacing w:line="240" w:lineRule="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lang w:val="en-US" w:eastAsia="zh-CN"/>
                    </w:rPr>
                    <w:t>数量</w:t>
                  </w:r>
                </w:p>
              </w:tc>
              <w:tc>
                <w:tcPr>
                  <w:tcW w:w="352" w:type="pct"/>
                  <w:noWrap w:val="0"/>
                  <w:vAlign w:val="center"/>
                </w:tcPr>
                <w:p>
                  <w:pPr>
                    <w:pStyle w:val="269"/>
                    <w:bidi w:val="0"/>
                    <w:spacing w:line="240" w:lineRule="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lang w:val="en-US" w:eastAsia="zh-CN"/>
                    </w:rPr>
                    <w:t>来源</w:t>
                  </w:r>
                </w:p>
              </w:tc>
              <w:tc>
                <w:tcPr>
                  <w:tcW w:w="368" w:type="pct"/>
                  <w:noWrap w:val="0"/>
                  <w:vAlign w:val="center"/>
                </w:tcPr>
                <w:p>
                  <w:pPr>
                    <w:pStyle w:val="269"/>
                    <w:bidi w:val="0"/>
                    <w:spacing w:line="240" w:lineRule="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lang w:val="en-US" w:eastAsia="zh-CN"/>
                    </w:rPr>
                    <w:t>数量</w:t>
                  </w:r>
                </w:p>
              </w:tc>
              <w:tc>
                <w:tcPr>
                  <w:tcW w:w="336" w:type="pct"/>
                  <w:noWrap w:val="0"/>
                  <w:vAlign w:val="center"/>
                </w:tcPr>
                <w:p>
                  <w:pPr>
                    <w:pStyle w:val="269"/>
                    <w:bidi w:val="0"/>
                    <w:spacing w:line="240" w:lineRule="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lang w:val="en-US" w:eastAsia="zh-CN"/>
                    </w:rPr>
                    <w:t>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942" w:type="pct"/>
                  <w:noWrap w:val="0"/>
                  <w:vAlign w:val="center"/>
                </w:tcPr>
                <w:p>
                  <w:pPr>
                    <w:pStyle w:val="269"/>
                    <w:bidi w:val="0"/>
                    <w:spacing w:line="240" w:lineRule="auto"/>
                    <w:jc w:val="center"/>
                    <w:rPr>
                      <w:rFonts w:hint="default" w:ascii="Times New Roman" w:hAnsi="Times New Roman" w:eastAsia="宋体" w:cs="Times New Roman"/>
                      <w:color w:val="000000"/>
                      <w:sz w:val="18"/>
                      <w:szCs w:val="18"/>
                      <w:lang w:val="en-US" w:eastAsia="zh-CN"/>
                    </w:rPr>
                  </w:pPr>
                  <w:r>
                    <w:rPr>
                      <w:rFonts w:hint="eastAsia" w:eastAsia="宋体" w:cs="Times New Roman"/>
                      <w:color w:val="000000"/>
                      <w:sz w:val="18"/>
                      <w:szCs w:val="18"/>
                      <w:lang w:val="en-US" w:eastAsia="zh-CN"/>
                    </w:rPr>
                    <w:t>主体</w:t>
                  </w:r>
                  <w:r>
                    <w:rPr>
                      <w:rFonts w:hint="default" w:ascii="Times New Roman" w:hAnsi="Times New Roman" w:eastAsia="宋体" w:cs="Times New Roman"/>
                      <w:color w:val="000000"/>
                      <w:sz w:val="18"/>
                      <w:szCs w:val="18"/>
                      <w:lang w:val="en-US" w:eastAsia="zh-CN"/>
                    </w:rPr>
                    <w:t>工程区</w:t>
                  </w:r>
                </w:p>
              </w:tc>
              <w:tc>
                <w:tcPr>
                  <w:tcW w:w="324" w:type="pct"/>
                  <w:noWrap w:val="0"/>
                  <w:vAlign w:val="center"/>
                </w:tcPr>
                <w:p>
                  <w:pPr>
                    <w:pStyle w:val="269"/>
                    <w:bidi w:val="0"/>
                    <w:spacing w:line="240" w:lineRule="auto"/>
                    <w:rPr>
                      <w:rFonts w:hint="default" w:ascii="Times New Roman" w:hAnsi="Times New Roman" w:eastAsia="宋体" w:cs="Times New Roman"/>
                      <w:color w:val="000000"/>
                      <w:sz w:val="18"/>
                      <w:szCs w:val="18"/>
                      <w:highlight w:val="none"/>
                      <w:lang w:val="en-US" w:eastAsia="zh-CN"/>
                    </w:rPr>
                  </w:pPr>
                  <w:r>
                    <w:rPr>
                      <w:rFonts w:hint="default" w:ascii="Times New Roman" w:hAnsi="Times New Roman" w:eastAsia="宋体" w:cs="Times New Roman"/>
                      <w:color w:val="000000"/>
                      <w:sz w:val="18"/>
                      <w:szCs w:val="18"/>
                      <w:lang w:val="en-US" w:eastAsia="zh-CN"/>
                    </w:rPr>
                    <w:t>①</w:t>
                  </w:r>
                </w:p>
              </w:tc>
              <w:tc>
                <w:tcPr>
                  <w:tcW w:w="378" w:type="pct"/>
                  <w:noWrap w:val="0"/>
                  <w:vAlign w:val="center"/>
                </w:tcPr>
                <w:p>
                  <w:pPr>
                    <w:pStyle w:val="269"/>
                    <w:bidi w:val="0"/>
                    <w:spacing w:line="240" w:lineRule="auto"/>
                    <w:rPr>
                      <w:rFonts w:hint="default" w:ascii="Times New Roman" w:hAnsi="Times New Roman" w:eastAsia="宋体" w:cs="Times New Roman"/>
                      <w:color w:val="000000"/>
                      <w:sz w:val="18"/>
                      <w:szCs w:val="18"/>
                      <w:lang w:val="en-US" w:eastAsia="zh-CN"/>
                    </w:rPr>
                  </w:pPr>
                  <w:r>
                    <w:rPr>
                      <w:rFonts w:hint="eastAsia" w:eastAsia="宋体" w:cs="Times New Roman"/>
                      <w:color w:val="000000"/>
                      <w:sz w:val="18"/>
                      <w:szCs w:val="18"/>
                      <w:lang w:val="en-US" w:eastAsia="zh-CN"/>
                    </w:rPr>
                    <w:t>36.57</w:t>
                  </w:r>
                </w:p>
              </w:tc>
              <w:tc>
                <w:tcPr>
                  <w:tcW w:w="382" w:type="pct"/>
                  <w:noWrap w:val="0"/>
                  <w:vAlign w:val="center"/>
                </w:tcPr>
                <w:p>
                  <w:pPr>
                    <w:pStyle w:val="269"/>
                    <w:bidi w:val="0"/>
                    <w:spacing w:line="240" w:lineRule="auto"/>
                    <w:rPr>
                      <w:rFonts w:hint="default" w:ascii="Times New Roman" w:hAnsi="Times New Roman" w:eastAsia="宋体" w:cs="Times New Roman"/>
                      <w:color w:val="000000"/>
                      <w:sz w:val="18"/>
                      <w:szCs w:val="18"/>
                      <w:lang w:val="en-US" w:eastAsia="zh-CN"/>
                    </w:rPr>
                  </w:pPr>
                  <w:r>
                    <w:rPr>
                      <w:rFonts w:hint="eastAsia" w:eastAsia="宋体" w:cs="Times New Roman"/>
                      <w:color w:val="000000"/>
                      <w:sz w:val="18"/>
                      <w:szCs w:val="18"/>
                      <w:lang w:val="en-US" w:eastAsia="zh-CN"/>
                    </w:rPr>
                    <w:t>53.34</w:t>
                  </w:r>
                </w:p>
              </w:tc>
              <w:tc>
                <w:tcPr>
                  <w:tcW w:w="414" w:type="pct"/>
                  <w:noWrap w:val="0"/>
                  <w:vAlign w:val="center"/>
                </w:tcPr>
                <w:p>
                  <w:pPr>
                    <w:pStyle w:val="269"/>
                    <w:bidi w:val="0"/>
                    <w:spacing w:line="240" w:lineRule="auto"/>
                    <w:rPr>
                      <w:rFonts w:hint="default" w:ascii="Times New Roman" w:hAnsi="Times New Roman" w:eastAsia="宋体" w:cs="Times New Roman"/>
                      <w:color w:val="000000"/>
                      <w:sz w:val="18"/>
                      <w:szCs w:val="18"/>
                      <w:lang w:val="en-US" w:eastAsia="zh-CN"/>
                    </w:rPr>
                  </w:pPr>
                  <w:r>
                    <w:rPr>
                      <w:rFonts w:hint="eastAsia" w:eastAsia="宋体" w:cs="Times New Roman"/>
                      <w:color w:val="000000"/>
                      <w:sz w:val="18"/>
                      <w:szCs w:val="18"/>
                      <w:lang w:val="en-US" w:eastAsia="zh-CN"/>
                    </w:rPr>
                    <w:t>1.57</w:t>
                  </w:r>
                </w:p>
              </w:tc>
              <w:tc>
                <w:tcPr>
                  <w:tcW w:w="355" w:type="pct"/>
                  <w:noWrap w:val="0"/>
                  <w:vAlign w:val="center"/>
                </w:tcPr>
                <w:p>
                  <w:pPr>
                    <w:pStyle w:val="269"/>
                    <w:bidi w:val="0"/>
                    <w:spacing w:line="240" w:lineRule="auto"/>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sz w:val="18"/>
                      <w:szCs w:val="18"/>
                      <w:lang w:val="en-US" w:eastAsia="zh-CN"/>
                    </w:rPr>
                    <w:t>②</w:t>
                  </w:r>
                </w:p>
              </w:tc>
              <w:tc>
                <w:tcPr>
                  <w:tcW w:w="406" w:type="pct"/>
                  <w:noWrap w:val="0"/>
                  <w:vAlign w:val="center"/>
                </w:tcPr>
                <w:p>
                  <w:pPr>
                    <w:pStyle w:val="269"/>
                    <w:bidi w:val="0"/>
                    <w:spacing w:line="240" w:lineRule="auto"/>
                    <w:rPr>
                      <w:rFonts w:hint="default" w:ascii="Times New Roman" w:hAnsi="Times New Roman" w:eastAsia="宋体" w:cs="Times New Roman"/>
                      <w:color w:val="000000"/>
                      <w:sz w:val="18"/>
                      <w:szCs w:val="18"/>
                      <w:lang w:val="en-US" w:eastAsia="zh-CN"/>
                    </w:rPr>
                  </w:pPr>
                </w:p>
              </w:tc>
              <w:tc>
                <w:tcPr>
                  <w:tcW w:w="342" w:type="pct"/>
                  <w:noWrap w:val="0"/>
                  <w:vAlign w:val="center"/>
                </w:tcPr>
                <w:p>
                  <w:pPr>
                    <w:pStyle w:val="269"/>
                    <w:bidi w:val="0"/>
                    <w:spacing w:line="240" w:lineRule="auto"/>
                    <w:rPr>
                      <w:rFonts w:hint="default" w:ascii="Times New Roman" w:hAnsi="Times New Roman" w:eastAsia="宋体" w:cs="Times New Roman"/>
                      <w:color w:val="000000"/>
                      <w:sz w:val="18"/>
                      <w:szCs w:val="18"/>
                      <w:lang w:val="en-US" w:eastAsia="zh-CN"/>
                    </w:rPr>
                  </w:pPr>
                </w:p>
              </w:tc>
              <w:tc>
                <w:tcPr>
                  <w:tcW w:w="396" w:type="pct"/>
                  <w:noWrap w:val="0"/>
                  <w:vAlign w:val="center"/>
                </w:tcPr>
                <w:p>
                  <w:pPr>
                    <w:pStyle w:val="269"/>
                    <w:bidi w:val="0"/>
                    <w:spacing w:line="240" w:lineRule="auto"/>
                    <w:rPr>
                      <w:rFonts w:hint="default" w:ascii="Times New Roman" w:hAnsi="Times New Roman" w:eastAsia="宋体" w:cs="Times New Roman"/>
                      <w:color w:val="000000"/>
                      <w:sz w:val="18"/>
                      <w:szCs w:val="18"/>
                      <w:lang w:val="en-US" w:eastAsia="zh-CN"/>
                    </w:rPr>
                  </w:pPr>
                  <w:r>
                    <w:rPr>
                      <w:rFonts w:hint="eastAsia" w:eastAsia="宋体" w:cs="Times New Roman"/>
                      <w:color w:val="000000"/>
                      <w:sz w:val="18"/>
                      <w:szCs w:val="18"/>
                      <w:lang w:val="en-US" w:eastAsia="zh-CN"/>
                    </w:rPr>
                    <w:t>16.36</w:t>
                  </w:r>
                </w:p>
              </w:tc>
              <w:tc>
                <w:tcPr>
                  <w:tcW w:w="352" w:type="pct"/>
                  <w:noWrap w:val="0"/>
                  <w:vAlign w:val="center"/>
                </w:tcPr>
                <w:p>
                  <w:pPr>
                    <w:pStyle w:val="269"/>
                    <w:bidi w:val="0"/>
                    <w:spacing w:line="240" w:lineRule="auto"/>
                    <w:rPr>
                      <w:rFonts w:hint="default" w:ascii="Times New Roman" w:hAnsi="Times New Roman" w:eastAsia="宋体" w:cs="Times New Roman"/>
                      <w:color w:val="000000"/>
                      <w:sz w:val="18"/>
                      <w:szCs w:val="18"/>
                      <w:lang w:val="en-US" w:eastAsia="zh-CN"/>
                    </w:rPr>
                  </w:pPr>
                  <w:r>
                    <w:rPr>
                      <w:rFonts w:hint="eastAsia" w:eastAsia="宋体" w:cs="Times New Roman"/>
                      <w:color w:val="000000"/>
                      <w:sz w:val="18"/>
                      <w:szCs w:val="18"/>
                      <w:lang w:val="en-US" w:eastAsia="zh-CN"/>
                    </w:rPr>
                    <w:t>外购</w:t>
                  </w:r>
                </w:p>
              </w:tc>
              <w:tc>
                <w:tcPr>
                  <w:tcW w:w="368" w:type="pct"/>
                  <w:noWrap w:val="0"/>
                  <w:vAlign w:val="center"/>
                </w:tcPr>
                <w:p>
                  <w:pPr>
                    <w:pStyle w:val="269"/>
                    <w:bidi w:val="0"/>
                    <w:spacing w:line="240" w:lineRule="auto"/>
                    <w:rPr>
                      <w:rFonts w:hint="default" w:ascii="Times New Roman" w:hAnsi="Times New Roman" w:eastAsia="宋体" w:cs="Times New Roman"/>
                      <w:color w:val="000000"/>
                      <w:sz w:val="18"/>
                      <w:szCs w:val="18"/>
                      <w:highlight w:val="none"/>
                      <w:lang w:val="en-US" w:eastAsia="zh-CN"/>
                    </w:rPr>
                  </w:pPr>
                </w:p>
              </w:tc>
              <w:tc>
                <w:tcPr>
                  <w:tcW w:w="336" w:type="pct"/>
                  <w:noWrap w:val="0"/>
                  <w:vAlign w:val="center"/>
                </w:tcPr>
                <w:p>
                  <w:pPr>
                    <w:pStyle w:val="269"/>
                    <w:bidi w:val="0"/>
                    <w:spacing w:line="240" w:lineRule="auto"/>
                    <w:rPr>
                      <w:rFonts w:hint="default" w:ascii="Times New Roman" w:hAnsi="Times New Roman" w:eastAsia="宋体" w:cs="Times New Roman"/>
                      <w:color w:val="00000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942" w:type="pct"/>
                  <w:noWrap w:val="0"/>
                  <w:vAlign w:val="center"/>
                </w:tcPr>
                <w:p>
                  <w:pPr>
                    <w:pStyle w:val="269"/>
                    <w:bidi w:val="0"/>
                    <w:spacing w:line="240" w:lineRule="auto"/>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val="en-US" w:eastAsia="zh-CN"/>
                    </w:rPr>
                    <w:t>附属建筑物工程区</w:t>
                  </w:r>
                </w:p>
              </w:tc>
              <w:tc>
                <w:tcPr>
                  <w:tcW w:w="324" w:type="pct"/>
                  <w:noWrap w:val="0"/>
                  <w:vAlign w:val="center"/>
                </w:tcPr>
                <w:p>
                  <w:pPr>
                    <w:pStyle w:val="269"/>
                    <w:bidi w:val="0"/>
                    <w:spacing w:line="240" w:lineRule="auto"/>
                    <w:rPr>
                      <w:rFonts w:hint="default" w:ascii="Times New Roman" w:hAnsi="Times New Roman" w:eastAsia="宋体" w:cs="Times New Roman"/>
                      <w:color w:val="000000"/>
                      <w:sz w:val="18"/>
                      <w:szCs w:val="18"/>
                      <w:highlight w:val="none"/>
                      <w:lang w:val="en-US" w:eastAsia="zh-CN"/>
                    </w:rPr>
                  </w:pPr>
                  <w:r>
                    <w:rPr>
                      <w:rFonts w:hint="default" w:ascii="Times New Roman" w:hAnsi="Times New Roman" w:eastAsia="宋体" w:cs="Times New Roman"/>
                      <w:color w:val="000000"/>
                      <w:sz w:val="18"/>
                      <w:szCs w:val="18"/>
                      <w:lang w:val="en-US" w:eastAsia="zh-CN"/>
                    </w:rPr>
                    <w:t>②</w:t>
                  </w:r>
                </w:p>
              </w:tc>
              <w:tc>
                <w:tcPr>
                  <w:tcW w:w="378" w:type="pct"/>
                  <w:noWrap w:val="0"/>
                  <w:vAlign w:val="center"/>
                </w:tcPr>
                <w:p>
                  <w:pPr>
                    <w:pStyle w:val="269"/>
                    <w:bidi w:val="0"/>
                    <w:spacing w:line="240" w:lineRule="auto"/>
                    <w:rPr>
                      <w:rFonts w:hint="default" w:ascii="Times New Roman" w:hAnsi="Times New Roman" w:eastAsia="宋体" w:cs="Times New Roman"/>
                      <w:color w:val="000000"/>
                      <w:sz w:val="18"/>
                      <w:szCs w:val="18"/>
                      <w:lang w:val="en-US" w:eastAsia="zh-CN"/>
                    </w:rPr>
                  </w:pPr>
                  <w:r>
                    <w:rPr>
                      <w:rFonts w:hint="eastAsia" w:eastAsia="宋体" w:cs="Times New Roman"/>
                      <w:color w:val="000000"/>
                      <w:sz w:val="18"/>
                      <w:szCs w:val="18"/>
                      <w:lang w:val="en-US" w:eastAsia="zh-CN"/>
                    </w:rPr>
                    <w:t>2.21</w:t>
                  </w:r>
                </w:p>
              </w:tc>
              <w:tc>
                <w:tcPr>
                  <w:tcW w:w="382" w:type="pct"/>
                  <w:noWrap w:val="0"/>
                  <w:vAlign w:val="center"/>
                </w:tcPr>
                <w:p>
                  <w:pPr>
                    <w:pStyle w:val="269"/>
                    <w:bidi w:val="0"/>
                    <w:spacing w:line="240" w:lineRule="auto"/>
                    <w:rPr>
                      <w:rFonts w:hint="default" w:ascii="Times New Roman" w:hAnsi="Times New Roman" w:eastAsia="宋体" w:cs="Times New Roman"/>
                      <w:color w:val="000000"/>
                      <w:sz w:val="18"/>
                      <w:szCs w:val="18"/>
                      <w:lang w:val="en-US" w:eastAsia="zh-CN"/>
                    </w:rPr>
                  </w:pPr>
                  <w:r>
                    <w:rPr>
                      <w:rFonts w:hint="eastAsia" w:eastAsia="宋体" w:cs="Times New Roman"/>
                      <w:color w:val="000000"/>
                      <w:sz w:val="18"/>
                      <w:szCs w:val="18"/>
                      <w:lang w:val="en-US" w:eastAsia="zh-CN"/>
                    </w:rPr>
                    <w:t>1.37</w:t>
                  </w:r>
                </w:p>
              </w:tc>
              <w:tc>
                <w:tcPr>
                  <w:tcW w:w="414" w:type="pct"/>
                  <w:noWrap w:val="0"/>
                  <w:vAlign w:val="center"/>
                </w:tcPr>
                <w:p>
                  <w:pPr>
                    <w:pStyle w:val="269"/>
                    <w:bidi w:val="0"/>
                    <w:spacing w:line="240" w:lineRule="auto"/>
                    <w:rPr>
                      <w:rFonts w:hint="default" w:ascii="Times New Roman" w:hAnsi="Times New Roman" w:eastAsia="宋体" w:cs="Times New Roman"/>
                      <w:color w:val="000000"/>
                      <w:sz w:val="18"/>
                      <w:szCs w:val="18"/>
                      <w:lang w:val="en-US" w:eastAsia="zh-CN"/>
                    </w:rPr>
                  </w:pPr>
                </w:p>
              </w:tc>
              <w:tc>
                <w:tcPr>
                  <w:tcW w:w="355" w:type="pct"/>
                  <w:noWrap w:val="0"/>
                  <w:vAlign w:val="center"/>
                </w:tcPr>
                <w:p>
                  <w:pPr>
                    <w:pStyle w:val="269"/>
                    <w:bidi w:val="0"/>
                    <w:spacing w:line="240" w:lineRule="auto"/>
                    <w:rPr>
                      <w:rFonts w:hint="default" w:ascii="Times New Roman" w:hAnsi="Times New Roman" w:eastAsia="宋体" w:cs="Times New Roman"/>
                      <w:color w:val="000000"/>
                      <w:sz w:val="18"/>
                      <w:szCs w:val="18"/>
                      <w:lang w:val="en-US" w:eastAsia="zh-CN"/>
                    </w:rPr>
                  </w:pPr>
                </w:p>
              </w:tc>
              <w:tc>
                <w:tcPr>
                  <w:tcW w:w="406" w:type="pct"/>
                  <w:noWrap w:val="0"/>
                  <w:vAlign w:val="center"/>
                </w:tcPr>
                <w:p>
                  <w:pPr>
                    <w:pStyle w:val="269"/>
                    <w:bidi w:val="0"/>
                    <w:spacing w:line="240" w:lineRule="auto"/>
                    <w:rPr>
                      <w:rFonts w:hint="default" w:ascii="Times New Roman" w:hAnsi="Times New Roman" w:eastAsia="宋体" w:cs="Times New Roman"/>
                      <w:color w:val="000000"/>
                      <w:sz w:val="18"/>
                      <w:szCs w:val="18"/>
                      <w:lang w:val="en-US" w:eastAsia="zh-CN"/>
                    </w:rPr>
                  </w:pPr>
                  <w:r>
                    <w:rPr>
                      <w:rFonts w:hint="eastAsia" w:eastAsia="宋体" w:cs="Times New Roman"/>
                      <w:color w:val="000000"/>
                      <w:sz w:val="18"/>
                      <w:szCs w:val="18"/>
                      <w:lang w:val="en-US" w:eastAsia="zh-CN"/>
                    </w:rPr>
                    <w:t>0.94</w:t>
                  </w:r>
                </w:p>
              </w:tc>
              <w:tc>
                <w:tcPr>
                  <w:tcW w:w="342" w:type="pct"/>
                  <w:noWrap w:val="0"/>
                  <w:vAlign w:val="center"/>
                </w:tcPr>
                <w:p>
                  <w:pPr>
                    <w:pStyle w:val="269"/>
                    <w:bidi w:val="0"/>
                    <w:spacing w:line="240" w:lineRule="auto"/>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sz w:val="18"/>
                      <w:szCs w:val="18"/>
                      <w:lang w:val="en-US" w:eastAsia="zh-CN"/>
                    </w:rPr>
                    <w:t>①</w:t>
                  </w:r>
                </w:p>
              </w:tc>
              <w:tc>
                <w:tcPr>
                  <w:tcW w:w="396" w:type="pct"/>
                  <w:noWrap w:val="0"/>
                  <w:vAlign w:val="center"/>
                </w:tcPr>
                <w:p>
                  <w:pPr>
                    <w:pStyle w:val="269"/>
                    <w:bidi w:val="0"/>
                    <w:spacing w:line="240" w:lineRule="auto"/>
                    <w:rPr>
                      <w:rFonts w:hint="default" w:ascii="Times New Roman" w:hAnsi="Times New Roman" w:eastAsia="宋体" w:cs="Times New Roman"/>
                      <w:color w:val="000000"/>
                      <w:sz w:val="18"/>
                      <w:szCs w:val="18"/>
                      <w:lang w:val="en-US" w:eastAsia="zh-CN"/>
                    </w:rPr>
                  </w:pPr>
                  <w:r>
                    <w:rPr>
                      <w:rFonts w:hint="eastAsia" w:eastAsia="宋体" w:cs="Times New Roman"/>
                      <w:color w:val="000000"/>
                      <w:sz w:val="18"/>
                      <w:szCs w:val="18"/>
                      <w:lang w:val="en-US" w:eastAsia="zh-CN"/>
                    </w:rPr>
                    <w:t>0.14</w:t>
                  </w:r>
                </w:p>
              </w:tc>
              <w:tc>
                <w:tcPr>
                  <w:tcW w:w="352" w:type="pct"/>
                  <w:noWrap w:val="0"/>
                  <w:vAlign w:val="center"/>
                </w:tcPr>
                <w:p>
                  <w:pPr>
                    <w:pStyle w:val="269"/>
                    <w:bidi w:val="0"/>
                    <w:spacing w:line="240" w:lineRule="auto"/>
                    <w:rPr>
                      <w:rFonts w:hint="default" w:ascii="Times New Roman" w:hAnsi="Times New Roman" w:eastAsia="宋体" w:cs="Times New Roman"/>
                      <w:color w:val="000000"/>
                      <w:sz w:val="18"/>
                      <w:szCs w:val="18"/>
                      <w:lang w:val="en-US" w:eastAsia="zh-CN"/>
                    </w:rPr>
                  </w:pPr>
                  <w:r>
                    <w:rPr>
                      <w:rFonts w:hint="eastAsia" w:eastAsia="宋体" w:cs="Times New Roman"/>
                      <w:color w:val="000000"/>
                      <w:sz w:val="18"/>
                      <w:szCs w:val="18"/>
                      <w:lang w:val="en-US" w:eastAsia="zh-CN"/>
                    </w:rPr>
                    <w:t>外购</w:t>
                  </w:r>
                </w:p>
              </w:tc>
              <w:tc>
                <w:tcPr>
                  <w:tcW w:w="368" w:type="pct"/>
                  <w:noWrap w:val="0"/>
                  <w:vAlign w:val="center"/>
                </w:tcPr>
                <w:p>
                  <w:pPr>
                    <w:pStyle w:val="269"/>
                    <w:bidi w:val="0"/>
                    <w:spacing w:line="240" w:lineRule="auto"/>
                    <w:rPr>
                      <w:rFonts w:hint="default" w:ascii="Times New Roman" w:hAnsi="Times New Roman" w:eastAsia="宋体" w:cs="Times New Roman"/>
                      <w:color w:val="000000"/>
                      <w:sz w:val="18"/>
                      <w:szCs w:val="18"/>
                      <w:highlight w:val="none"/>
                      <w:lang w:val="en-US" w:eastAsia="zh-CN"/>
                    </w:rPr>
                  </w:pPr>
                </w:p>
              </w:tc>
              <w:tc>
                <w:tcPr>
                  <w:tcW w:w="336" w:type="pct"/>
                  <w:noWrap w:val="0"/>
                  <w:vAlign w:val="center"/>
                </w:tcPr>
                <w:p>
                  <w:pPr>
                    <w:pStyle w:val="269"/>
                    <w:bidi w:val="0"/>
                    <w:spacing w:line="240" w:lineRule="auto"/>
                    <w:rPr>
                      <w:rFonts w:hint="default" w:ascii="Times New Roman" w:hAnsi="Times New Roman" w:eastAsia="宋体" w:cs="Times New Roman"/>
                      <w:color w:val="00000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6" w:hRule="atLeast"/>
                <w:jc w:val="center"/>
              </w:trPr>
              <w:tc>
                <w:tcPr>
                  <w:tcW w:w="942" w:type="pct"/>
                  <w:noWrap w:val="0"/>
                  <w:vAlign w:val="center"/>
                </w:tcPr>
                <w:p>
                  <w:pPr>
                    <w:pStyle w:val="269"/>
                    <w:bidi w:val="0"/>
                    <w:spacing w:line="240" w:lineRule="auto"/>
                    <w:jc w:val="center"/>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sz w:val="18"/>
                      <w:szCs w:val="18"/>
                      <w:lang w:val="en-US" w:eastAsia="zh-CN"/>
                    </w:rPr>
                    <w:t>施工道路区</w:t>
                  </w:r>
                </w:p>
              </w:tc>
              <w:tc>
                <w:tcPr>
                  <w:tcW w:w="324" w:type="pct"/>
                  <w:noWrap w:val="0"/>
                  <w:vAlign w:val="center"/>
                </w:tcPr>
                <w:p>
                  <w:pPr>
                    <w:pStyle w:val="269"/>
                    <w:bidi w:val="0"/>
                    <w:spacing w:line="240" w:lineRule="auto"/>
                    <w:rPr>
                      <w:rFonts w:hint="default" w:ascii="Times New Roman" w:hAnsi="Times New Roman" w:eastAsia="宋体" w:cs="Times New Roman"/>
                      <w:color w:val="000000"/>
                      <w:sz w:val="18"/>
                      <w:szCs w:val="18"/>
                      <w:highlight w:val="none"/>
                      <w:lang w:val="en-US" w:eastAsia="zh-CN"/>
                    </w:rPr>
                  </w:pPr>
                  <w:r>
                    <w:rPr>
                      <w:rFonts w:hint="default" w:ascii="Times New Roman" w:hAnsi="Times New Roman" w:eastAsia="宋体" w:cs="Times New Roman"/>
                      <w:color w:val="000000"/>
                      <w:sz w:val="18"/>
                      <w:szCs w:val="18"/>
                      <w:lang w:val="en-US" w:eastAsia="zh-CN"/>
                    </w:rPr>
                    <w:t>③</w:t>
                  </w:r>
                </w:p>
              </w:tc>
              <w:tc>
                <w:tcPr>
                  <w:tcW w:w="378" w:type="pct"/>
                  <w:noWrap w:val="0"/>
                  <w:vAlign w:val="center"/>
                </w:tcPr>
                <w:p>
                  <w:pPr>
                    <w:pStyle w:val="269"/>
                    <w:bidi w:val="0"/>
                    <w:spacing w:line="240" w:lineRule="auto"/>
                    <w:rPr>
                      <w:rFonts w:hint="default" w:ascii="Times New Roman" w:hAnsi="Times New Roman" w:eastAsia="宋体" w:cs="Times New Roman"/>
                      <w:color w:val="000000"/>
                      <w:sz w:val="18"/>
                      <w:szCs w:val="18"/>
                      <w:lang w:val="en-US" w:eastAsia="zh-CN"/>
                    </w:rPr>
                  </w:pPr>
                  <w:r>
                    <w:rPr>
                      <w:rFonts w:hint="eastAsia" w:eastAsia="宋体" w:cs="Times New Roman"/>
                      <w:color w:val="000000"/>
                      <w:sz w:val="18"/>
                      <w:szCs w:val="18"/>
                      <w:lang w:val="en-US" w:eastAsia="zh-CN"/>
                    </w:rPr>
                    <w:t>0.98</w:t>
                  </w:r>
                </w:p>
              </w:tc>
              <w:tc>
                <w:tcPr>
                  <w:tcW w:w="382" w:type="pct"/>
                  <w:noWrap w:val="0"/>
                  <w:vAlign w:val="center"/>
                </w:tcPr>
                <w:p>
                  <w:pPr>
                    <w:pStyle w:val="269"/>
                    <w:bidi w:val="0"/>
                    <w:spacing w:line="240" w:lineRule="auto"/>
                    <w:rPr>
                      <w:rFonts w:hint="default" w:ascii="Times New Roman" w:hAnsi="Times New Roman" w:eastAsia="宋体" w:cs="Times New Roman"/>
                      <w:color w:val="000000"/>
                      <w:sz w:val="18"/>
                      <w:szCs w:val="18"/>
                      <w:lang w:val="en-US" w:eastAsia="zh-CN"/>
                    </w:rPr>
                  </w:pPr>
                  <w:r>
                    <w:rPr>
                      <w:rFonts w:hint="eastAsia" w:eastAsia="宋体" w:cs="Times New Roman"/>
                      <w:color w:val="000000"/>
                      <w:sz w:val="18"/>
                      <w:szCs w:val="18"/>
                      <w:lang w:val="en-US" w:eastAsia="zh-CN"/>
                    </w:rPr>
                    <w:t>0.98</w:t>
                  </w:r>
                </w:p>
              </w:tc>
              <w:tc>
                <w:tcPr>
                  <w:tcW w:w="414" w:type="pct"/>
                  <w:noWrap w:val="0"/>
                  <w:vAlign w:val="center"/>
                </w:tcPr>
                <w:p>
                  <w:pPr>
                    <w:pStyle w:val="269"/>
                    <w:bidi w:val="0"/>
                    <w:spacing w:line="240" w:lineRule="auto"/>
                    <w:rPr>
                      <w:rFonts w:hint="default" w:ascii="Times New Roman" w:hAnsi="Times New Roman" w:eastAsia="宋体" w:cs="Times New Roman"/>
                      <w:color w:val="000000"/>
                      <w:sz w:val="18"/>
                      <w:szCs w:val="18"/>
                      <w:lang w:val="en-US" w:eastAsia="zh-CN"/>
                    </w:rPr>
                  </w:pPr>
                </w:p>
              </w:tc>
              <w:tc>
                <w:tcPr>
                  <w:tcW w:w="355" w:type="pct"/>
                  <w:noWrap w:val="0"/>
                  <w:vAlign w:val="center"/>
                </w:tcPr>
                <w:p>
                  <w:pPr>
                    <w:pStyle w:val="269"/>
                    <w:bidi w:val="0"/>
                    <w:spacing w:line="240" w:lineRule="auto"/>
                    <w:rPr>
                      <w:rFonts w:hint="default" w:ascii="Times New Roman" w:hAnsi="Times New Roman" w:eastAsia="宋体" w:cs="Times New Roman"/>
                      <w:color w:val="000000"/>
                      <w:sz w:val="18"/>
                      <w:szCs w:val="18"/>
                      <w:lang w:val="en-US" w:eastAsia="zh-CN"/>
                    </w:rPr>
                  </w:pPr>
                </w:p>
              </w:tc>
              <w:tc>
                <w:tcPr>
                  <w:tcW w:w="406" w:type="pct"/>
                  <w:noWrap w:val="0"/>
                  <w:vAlign w:val="center"/>
                </w:tcPr>
                <w:p>
                  <w:pPr>
                    <w:pStyle w:val="269"/>
                    <w:bidi w:val="0"/>
                    <w:spacing w:line="240" w:lineRule="auto"/>
                    <w:rPr>
                      <w:rFonts w:hint="default" w:ascii="Times New Roman" w:hAnsi="Times New Roman" w:eastAsia="宋体" w:cs="Times New Roman"/>
                      <w:color w:val="000000"/>
                      <w:sz w:val="18"/>
                      <w:szCs w:val="18"/>
                      <w:lang w:val="en-US" w:eastAsia="zh-CN"/>
                    </w:rPr>
                  </w:pPr>
                </w:p>
              </w:tc>
              <w:tc>
                <w:tcPr>
                  <w:tcW w:w="342" w:type="pct"/>
                  <w:noWrap w:val="0"/>
                  <w:vAlign w:val="center"/>
                </w:tcPr>
                <w:p>
                  <w:pPr>
                    <w:pStyle w:val="269"/>
                    <w:bidi w:val="0"/>
                    <w:spacing w:line="240" w:lineRule="auto"/>
                    <w:rPr>
                      <w:rFonts w:hint="default" w:ascii="Times New Roman" w:hAnsi="Times New Roman" w:eastAsia="宋体" w:cs="Times New Roman"/>
                      <w:color w:val="000000"/>
                      <w:sz w:val="18"/>
                      <w:szCs w:val="18"/>
                      <w:lang w:val="en-US" w:eastAsia="zh-CN"/>
                    </w:rPr>
                  </w:pPr>
                </w:p>
              </w:tc>
              <w:tc>
                <w:tcPr>
                  <w:tcW w:w="396" w:type="pct"/>
                  <w:noWrap w:val="0"/>
                  <w:vAlign w:val="center"/>
                </w:tcPr>
                <w:p>
                  <w:pPr>
                    <w:pStyle w:val="269"/>
                    <w:bidi w:val="0"/>
                    <w:spacing w:line="240" w:lineRule="auto"/>
                    <w:rPr>
                      <w:rFonts w:hint="default" w:ascii="Times New Roman" w:hAnsi="Times New Roman" w:eastAsia="宋体" w:cs="Times New Roman"/>
                      <w:color w:val="000000"/>
                      <w:sz w:val="18"/>
                      <w:szCs w:val="18"/>
                      <w:lang w:val="en-US" w:eastAsia="zh-CN"/>
                    </w:rPr>
                  </w:pPr>
                </w:p>
              </w:tc>
              <w:tc>
                <w:tcPr>
                  <w:tcW w:w="352" w:type="pct"/>
                  <w:noWrap w:val="0"/>
                  <w:vAlign w:val="center"/>
                </w:tcPr>
                <w:p>
                  <w:pPr>
                    <w:pStyle w:val="269"/>
                    <w:bidi w:val="0"/>
                    <w:spacing w:line="240" w:lineRule="auto"/>
                    <w:rPr>
                      <w:rFonts w:hint="default" w:ascii="Times New Roman" w:hAnsi="Times New Roman" w:eastAsia="宋体" w:cs="Times New Roman"/>
                      <w:color w:val="000000"/>
                      <w:sz w:val="18"/>
                      <w:szCs w:val="18"/>
                      <w:lang w:val="en-US" w:eastAsia="zh-CN"/>
                    </w:rPr>
                  </w:pPr>
                </w:p>
              </w:tc>
              <w:tc>
                <w:tcPr>
                  <w:tcW w:w="368" w:type="pct"/>
                  <w:noWrap w:val="0"/>
                  <w:vAlign w:val="center"/>
                </w:tcPr>
                <w:p>
                  <w:pPr>
                    <w:pStyle w:val="269"/>
                    <w:bidi w:val="0"/>
                    <w:spacing w:line="240" w:lineRule="auto"/>
                    <w:rPr>
                      <w:rFonts w:hint="default" w:ascii="Times New Roman" w:hAnsi="Times New Roman" w:eastAsia="宋体" w:cs="Times New Roman"/>
                      <w:color w:val="000000"/>
                      <w:sz w:val="18"/>
                      <w:szCs w:val="18"/>
                      <w:highlight w:val="none"/>
                      <w:lang w:val="en-US" w:eastAsia="zh-CN"/>
                    </w:rPr>
                  </w:pPr>
                </w:p>
              </w:tc>
              <w:tc>
                <w:tcPr>
                  <w:tcW w:w="336" w:type="pct"/>
                  <w:noWrap w:val="0"/>
                  <w:vAlign w:val="center"/>
                </w:tcPr>
                <w:p>
                  <w:pPr>
                    <w:pStyle w:val="269"/>
                    <w:bidi w:val="0"/>
                    <w:spacing w:line="240" w:lineRule="auto"/>
                    <w:rPr>
                      <w:rFonts w:hint="default" w:ascii="Times New Roman" w:hAnsi="Times New Roman" w:eastAsia="宋体" w:cs="Times New Roman"/>
                      <w:color w:val="00000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942" w:type="pct"/>
                  <w:noWrap w:val="0"/>
                  <w:vAlign w:val="center"/>
                </w:tcPr>
                <w:p>
                  <w:pPr>
                    <w:pStyle w:val="269"/>
                    <w:bidi w:val="0"/>
                    <w:spacing w:line="240" w:lineRule="auto"/>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val="en-US" w:eastAsia="zh-CN"/>
                    </w:rPr>
                    <w:t>施工生产区</w:t>
                  </w:r>
                </w:p>
              </w:tc>
              <w:tc>
                <w:tcPr>
                  <w:tcW w:w="324" w:type="pct"/>
                  <w:noWrap w:val="0"/>
                  <w:vAlign w:val="center"/>
                </w:tcPr>
                <w:p>
                  <w:pPr>
                    <w:pStyle w:val="269"/>
                    <w:bidi w:val="0"/>
                    <w:spacing w:line="240" w:lineRule="auto"/>
                    <w:rPr>
                      <w:rFonts w:hint="default" w:ascii="Times New Roman" w:hAnsi="Times New Roman" w:eastAsia="宋体" w:cs="Times New Roman"/>
                      <w:color w:val="000000"/>
                      <w:sz w:val="18"/>
                      <w:szCs w:val="18"/>
                      <w:highlight w:val="none"/>
                      <w:lang w:val="en-US" w:eastAsia="zh-CN"/>
                    </w:rPr>
                  </w:pPr>
                  <w:r>
                    <w:rPr>
                      <w:rFonts w:hint="default" w:ascii="Times New Roman" w:hAnsi="Times New Roman" w:eastAsia="宋体" w:cs="Times New Roman"/>
                      <w:color w:val="000000"/>
                      <w:sz w:val="18"/>
                      <w:szCs w:val="18"/>
                      <w:lang w:val="en-US" w:eastAsia="zh-CN"/>
                    </w:rPr>
                    <w:t>④</w:t>
                  </w:r>
                </w:p>
              </w:tc>
              <w:tc>
                <w:tcPr>
                  <w:tcW w:w="378" w:type="pct"/>
                  <w:noWrap w:val="0"/>
                  <w:vAlign w:val="center"/>
                </w:tcPr>
                <w:p>
                  <w:pPr>
                    <w:pStyle w:val="269"/>
                    <w:bidi w:val="0"/>
                    <w:spacing w:line="240" w:lineRule="auto"/>
                    <w:rPr>
                      <w:rFonts w:hint="default" w:ascii="Times New Roman" w:hAnsi="Times New Roman" w:eastAsia="宋体" w:cs="Times New Roman"/>
                      <w:color w:val="000000"/>
                      <w:sz w:val="18"/>
                      <w:szCs w:val="18"/>
                      <w:lang w:val="en-US" w:eastAsia="zh-CN"/>
                    </w:rPr>
                  </w:pPr>
                  <w:r>
                    <w:rPr>
                      <w:rFonts w:hint="eastAsia" w:eastAsia="宋体" w:cs="Times New Roman"/>
                      <w:color w:val="000000"/>
                      <w:sz w:val="18"/>
                      <w:szCs w:val="18"/>
                      <w:lang w:val="en-US" w:eastAsia="zh-CN"/>
                    </w:rPr>
                    <w:t>0.1</w:t>
                  </w:r>
                </w:p>
              </w:tc>
              <w:tc>
                <w:tcPr>
                  <w:tcW w:w="382" w:type="pct"/>
                  <w:noWrap w:val="0"/>
                  <w:vAlign w:val="center"/>
                </w:tcPr>
                <w:p>
                  <w:pPr>
                    <w:pStyle w:val="269"/>
                    <w:bidi w:val="0"/>
                    <w:spacing w:line="240" w:lineRule="auto"/>
                    <w:rPr>
                      <w:rFonts w:hint="default" w:ascii="Times New Roman" w:hAnsi="Times New Roman" w:eastAsia="宋体" w:cs="Times New Roman"/>
                      <w:color w:val="000000"/>
                      <w:sz w:val="18"/>
                      <w:szCs w:val="18"/>
                      <w:lang w:val="en-US" w:eastAsia="zh-CN"/>
                    </w:rPr>
                  </w:pPr>
                  <w:r>
                    <w:rPr>
                      <w:rFonts w:hint="eastAsia" w:eastAsia="宋体" w:cs="Times New Roman"/>
                      <w:color w:val="000000"/>
                      <w:sz w:val="18"/>
                      <w:szCs w:val="18"/>
                      <w:lang w:val="en-US" w:eastAsia="zh-CN"/>
                    </w:rPr>
                    <w:t>0.1</w:t>
                  </w:r>
                </w:p>
              </w:tc>
              <w:tc>
                <w:tcPr>
                  <w:tcW w:w="414" w:type="pct"/>
                  <w:noWrap w:val="0"/>
                  <w:vAlign w:val="center"/>
                </w:tcPr>
                <w:p>
                  <w:pPr>
                    <w:pStyle w:val="269"/>
                    <w:bidi w:val="0"/>
                    <w:spacing w:line="240" w:lineRule="auto"/>
                    <w:rPr>
                      <w:rFonts w:hint="default" w:ascii="Times New Roman" w:hAnsi="Times New Roman" w:eastAsia="宋体" w:cs="Times New Roman"/>
                      <w:color w:val="000000"/>
                      <w:sz w:val="18"/>
                      <w:szCs w:val="18"/>
                      <w:lang w:val="en-US" w:eastAsia="zh-CN"/>
                    </w:rPr>
                  </w:pPr>
                </w:p>
              </w:tc>
              <w:tc>
                <w:tcPr>
                  <w:tcW w:w="355" w:type="pct"/>
                  <w:noWrap w:val="0"/>
                  <w:vAlign w:val="center"/>
                </w:tcPr>
                <w:p>
                  <w:pPr>
                    <w:pStyle w:val="269"/>
                    <w:bidi w:val="0"/>
                    <w:spacing w:line="240" w:lineRule="auto"/>
                    <w:rPr>
                      <w:rFonts w:hint="default" w:ascii="Times New Roman" w:hAnsi="Times New Roman" w:eastAsia="宋体" w:cs="Times New Roman"/>
                      <w:color w:val="000000"/>
                      <w:sz w:val="18"/>
                      <w:szCs w:val="18"/>
                      <w:lang w:val="en-US" w:eastAsia="zh-CN"/>
                    </w:rPr>
                  </w:pPr>
                </w:p>
              </w:tc>
              <w:tc>
                <w:tcPr>
                  <w:tcW w:w="406" w:type="pct"/>
                  <w:noWrap w:val="0"/>
                  <w:vAlign w:val="center"/>
                </w:tcPr>
                <w:p>
                  <w:pPr>
                    <w:pStyle w:val="269"/>
                    <w:bidi w:val="0"/>
                    <w:spacing w:line="240" w:lineRule="auto"/>
                    <w:rPr>
                      <w:rFonts w:hint="default" w:ascii="Times New Roman" w:hAnsi="Times New Roman" w:eastAsia="宋体" w:cs="Times New Roman"/>
                      <w:color w:val="000000"/>
                      <w:sz w:val="18"/>
                      <w:szCs w:val="18"/>
                      <w:lang w:val="en-US" w:eastAsia="zh-CN"/>
                    </w:rPr>
                  </w:pPr>
                </w:p>
              </w:tc>
              <w:tc>
                <w:tcPr>
                  <w:tcW w:w="342" w:type="pct"/>
                  <w:noWrap w:val="0"/>
                  <w:vAlign w:val="center"/>
                </w:tcPr>
                <w:p>
                  <w:pPr>
                    <w:pStyle w:val="269"/>
                    <w:bidi w:val="0"/>
                    <w:spacing w:line="240" w:lineRule="auto"/>
                    <w:rPr>
                      <w:rFonts w:hint="default" w:ascii="Times New Roman" w:hAnsi="Times New Roman" w:eastAsia="宋体" w:cs="Times New Roman"/>
                      <w:color w:val="000000"/>
                      <w:sz w:val="18"/>
                      <w:szCs w:val="18"/>
                      <w:lang w:val="en-US" w:eastAsia="zh-CN"/>
                    </w:rPr>
                  </w:pPr>
                </w:p>
              </w:tc>
              <w:tc>
                <w:tcPr>
                  <w:tcW w:w="396" w:type="pct"/>
                  <w:noWrap w:val="0"/>
                  <w:vAlign w:val="center"/>
                </w:tcPr>
                <w:p>
                  <w:pPr>
                    <w:pStyle w:val="269"/>
                    <w:bidi w:val="0"/>
                    <w:spacing w:line="240" w:lineRule="auto"/>
                    <w:rPr>
                      <w:rFonts w:hint="default" w:ascii="Times New Roman" w:hAnsi="Times New Roman" w:eastAsia="宋体" w:cs="Times New Roman"/>
                      <w:color w:val="000000"/>
                      <w:sz w:val="18"/>
                      <w:szCs w:val="18"/>
                      <w:lang w:val="en-US" w:eastAsia="zh-CN"/>
                    </w:rPr>
                  </w:pPr>
                </w:p>
              </w:tc>
              <w:tc>
                <w:tcPr>
                  <w:tcW w:w="352" w:type="pct"/>
                  <w:noWrap w:val="0"/>
                  <w:vAlign w:val="center"/>
                </w:tcPr>
                <w:p>
                  <w:pPr>
                    <w:pStyle w:val="269"/>
                    <w:bidi w:val="0"/>
                    <w:spacing w:line="240" w:lineRule="auto"/>
                    <w:rPr>
                      <w:rFonts w:hint="default" w:ascii="Times New Roman" w:hAnsi="Times New Roman" w:eastAsia="宋体" w:cs="Times New Roman"/>
                      <w:color w:val="000000"/>
                      <w:sz w:val="18"/>
                      <w:szCs w:val="18"/>
                      <w:lang w:val="en-US" w:eastAsia="zh-CN"/>
                    </w:rPr>
                  </w:pPr>
                </w:p>
              </w:tc>
              <w:tc>
                <w:tcPr>
                  <w:tcW w:w="368" w:type="pct"/>
                  <w:noWrap w:val="0"/>
                  <w:vAlign w:val="center"/>
                </w:tcPr>
                <w:p>
                  <w:pPr>
                    <w:pStyle w:val="269"/>
                    <w:bidi w:val="0"/>
                    <w:spacing w:line="240" w:lineRule="auto"/>
                    <w:rPr>
                      <w:rFonts w:hint="default" w:ascii="Times New Roman" w:hAnsi="Times New Roman" w:eastAsia="宋体" w:cs="Times New Roman"/>
                      <w:color w:val="000000"/>
                      <w:sz w:val="18"/>
                      <w:szCs w:val="18"/>
                      <w:highlight w:val="none"/>
                      <w:lang w:val="en-US" w:eastAsia="zh-CN"/>
                    </w:rPr>
                  </w:pPr>
                </w:p>
              </w:tc>
              <w:tc>
                <w:tcPr>
                  <w:tcW w:w="336" w:type="pct"/>
                  <w:noWrap w:val="0"/>
                  <w:vAlign w:val="center"/>
                </w:tcPr>
                <w:p>
                  <w:pPr>
                    <w:pStyle w:val="269"/>
                    <w:bidi w:val="0"/>
                    <w:spacing w:line="240" w:lineRule="auto"/>
                    <w:rPr>
                      <w:rFonts w:hint="default" w:ascii="Times New Roman" w:hAnsi="Times New Roman" w:eastAsia="宋体" w:cs="Times New Roman"/>
                      <w:color w:val="000000"/>
                      <w:sz w:val="18"/>
                      <w:szCs w:val="18"/>
                      <w:highlight w:val="none"/>
                      <w:lang w:val="en-US" w:eastAsia="zh-CN"/>
                    </w:rPr>
                  </w:pPr>
                </w:p>
              </w:tc>
            </w:tr>
          </w:tbl>
          <w:p>
            <w:pPr>
              <w:adjustRightInd w:val="0"/>
              <w:snapToGrid w:val="0"/>
              <w:spacing w:line="360" w:lineRule="auto"/>
              <w:ind w:firstLine="0" w:firstLineChars="0"/>
              <w:rPr>
                <w:rFonts w:hint="default"/>
                <w:b/>
                <w:color w:val="000000"/>
                <w:highlight w:val="none"/>
                <w:lang w:val="en-US" w:eastAsia="zh-CN"/>
              </w:rPr>
            </w:pPr>
            <w:r>
              <w:rPr>
                <w:rFonts w:hint="eastAsia"/>
                <w:b/>
                <w:color w:val="000000"/>
                <w:highlight w:val="none"/>
                <w:lang w:val="en-US" w:eastAsia="zh-CN"/>
              </w:rPr>
              <w:t>9、</w:t>
            </w:r>
            <w:r>
              <w:rPr>
                <w:rFonts w:hint="default"/>
                <w:b/>
                <w:color w:val="000000"/>
                <w:highlight w:val="none"/>
                <w:lang w:val="en-US" w:eastAsia="zh-CN"/>
              </w:rPr>
              <w:t>施工导流</w:t>
            </w:r>
          </w:p>
          <w:p>
            <w:pPr>
              <w:keepNext w:val="0"/>
              <w:keepLines w:val="0"/>
              <w:widowControl/>
              <w:suppressLineNumbers w:val="0"/>
              <w:spacing w:line="360" w:lineRule="auto"/>
              <w:jc w:val="left"/>
              <w:rPr>
                <w:rFonts w:hint="default" w:ascii="Times New Roman" w:hAnsi="Times New Roman" w:eastAsia="宋体" w:cs="Times New Roman"/>
                <w:b w:val="0"/>
                <w:bCs w:val="0"/>
                <w:snapToGrid w:val="0"/>
                <w:color w:val="000000"/>
                <w:kern w:val="0"/>
                <w:sz w:val="24"/>
                <w:szCs w:val="24"/>
                <w:lang w:val="en-US" w:eastAsia="zh-CN"/>
              </w:rPr>
            </w:pPr>
            <w:r>
              <w:rPr>
                <w:rFonts w:hint="eastAsia" w:ascii="Times New Roman" w:hAnsi="Times New Roman" w:eastAsia="宋体" w:cs="Times New Roman"/>
                <w:b w:val="0"/>
                <w:bCs w:val="0"/>
                <w:color w:val="000000"/>
                <w:kern w:val="0"/>
                <w:sz w:val="24"/>
                <w:szCs w:val="24"/>
                <w:lang w:val="en-US" w:eastAsia="zh-CN" w:bidi="ar-SA"/>
              </w:rPr>
              <w:t>（</w:t>
            </w:r>
            <w:r>
              <w:rPr>
                <w:rFonts w:hint="eastAsia" w:cs="Times New Roman"/>
                <w:b w:val="0"/>
                <w:bCs w:val="0"/>
                <w:snapToGrid w:val="0"/>
                <w:color w:val="000000"/>
                <w:kern w:val="0"/>
                <w:sz w:val="24"/>
                <w:szCs w:val="24"/>
                <w:lang w:val="en-US" w:eastAsia="zh-CN"/>
              </w:rPr>
              <w:t>1</w:t>
            </w:r>
            <w:r>
              <w:rPr>
                <w:rFonts w:hint="default" w:ascii="Times New Roman" w:hAnsi="Times New Roman" w:eastAsia="宋体" w:cs="Times New Roman"/>
                <w:b w:val="0"/>
                <w:bCs w:val="0"/>
                <w:snapToGrid w:val="0"/>
                <w:color w:val="000000"/>
                <w:kern w:val="0"/>
                <w:sz w:val="24"/>
                <w:szCs w:val="24"/>
                <w:lang w:val="en-US" w:eastAsia="zh-CN"/>
              </w:rPr>
              <w:t>）导流标准</w:t>
            </w:r>
          </w:p>
          <w:p>
            <w:pPr>
              <w:keepNext w:val="0"/>
              <w:keepLines w:val="0"/>
              <w:widowControl/>
              <w:suppressLineNumbers w:val="0"/>
              <w:spacing w:line="360" w:lineRule="auto"/>
              <w:jc w:val="left"/>
              <w:rPr>
                <w:rFonts w:hint="default" w:ascii="Times New Roman" w:hAnsi="Times New Roman" w:eastAsia="宋体" w:cs="Times New Roman"/>
                <w:b w:val="0"/>
                <w:bCs w:val="0"/>
                <w:snapToGrid w:val="0"/>
                <w:color w:val="000000"/>
                <w:kern w:val="0"/>
                <w:sz w:val="24"/>
                <w:szCs w:val="24"/>
                <w:lang w:val="en-US" w:eastAsia="zh-CN" w:bidi="ar-SA"/>
              </w:rPr>
            </w:pPr>
            <w:r>
              <w:rPr>
                <w:rFonts w:hint="default" w:ascii="Times New Roman" w:hAnsi="Times New Roman" w:eastAsia="宋体" w:cs="Times New Roman"/>
                <w:b w:val="0"/>
                <w:bCs w:val="0"/>
                <w:snapToGrid w:val="0"/>
                <w:color w:val="000000"/>
                <w:kern w:val="0"/>
                <w:sz w:val="24"/>
                <w:szCs w:val="24"/>
                <w:lang w:val="en-US" w:eastAsia="zh-CN" w:bidi="ar-SA"/>
              </w:rPr>
              <w:t>本工程护岸为5级建筑物，次要建筑物为5级建筑物，临时建筑物为5级，根据《水利水电工程等级划分及洪水标准》</w:t>
            </w:r>
            <w:r>
              <w:rPr>
                <w:rFonts w:hint="eastAsia" w:ascii="Times New Roman" w:hAnsi="Times New Roman" w:eastAsia="宋体" w:cs="Times New Roman"/>
                <w:b w:val="0"/>
                <w:bCs w:val="0"/>
                <w:color w:val="000000"/>
                <w:kern w:val="0"/>
                <w:sz w:val="24"/>
                <w:szCs w:val="24"/>
                <w:lang w:val="en-US" w:eastAsia="zh-CN" w:bidi="ar-SA"/>
              </w:rPr>
              <w:t>（</w:t>
            </w:r>
            <w:r>
              <w:rPr>
                <w:rFonts w:hint="default" w:ascii="Times New Roman" w:hAnsi="Times New Roman" w:eastAsia="宋体" w:cs="Times New Roman"/>
                <w:b w:val="0"/>
                <w:bCs w:val="0"/>
                <w:snapToGrid w:val="0"/>
                <w:color w:val="000000"/>
                <w:kern w:val="0"/>
                <w:sz w:val="24"/>
                <w:szCs w:val="24"/>
                <w:lang w:val="en-US" w:eastAsia="zh-CN" w:bidi="ar-SA"/>
              </w:rPr>
              <w:t>SL252-2020）的规定，导流建筑物为5级，相应的导流标准为P=10%~20%</w:t>
            </w:r>
            <w:r>
              <w:rPr>
                <w:rFonts w:hint="eastAsia" w:cs="Times New Roman"/>
                <w:b w:val="0"/>
                <w:bCs w:val="0"/>
                <w:snapToGrid w:val="0"/>
                <w:color w:val="000000"/>
                <w:kern w:val="0"/>
                <w:sz w:val="24"/>
                <w:szCs w:val="24"/>
                <w:lang w:val="en-US" w:eastAsia="zh-CN" w:bidi="ar-SA"/>
              </w:rPr>
              <w:t>，</w:t>
            </w:r>
            <w:r>
              <w:rPr>
                <w:rFonts w:hint="default" w:ascii="Times New Roman" w:hAnsi="Times New Roman" w:eastAsia="宋体" w:cs="Times New Roman"/>
                <w:b w:val="0"/>
                <w:bCs w:val="0"/>
                <w:snapToGrid w:val="0"/>
                <w:color w:val="000000"/>
                <w:kern w:val="0"/>
                <w:sz w:val="24"/>
                <w:szCs w:val="24"/>
                <w:lang w:val="en-US" w:eastAsia="zh-CN" w:bidi="ar-SA"/>
              </w:rPr>
              <w:t>本工程导流设计洪水标准初步确定采用P=20%（5年一遇）洪水频率，洪峰流量18.0~47.6m</w:t>
            </w:r>
            <w:r>
              <w:rPr>
                <w:rFonts w:hint="default" w:ascii="Times New Roman" w:hAnsi="Times New Roman" w:eastAsia="宋体" w:cs="Times New Roman"/>
                <w:b w:val="0"/>
                <w:bCs w:val="0"/>
                <w:snapToGrid w:val="0"/>
                <w:color w:val="000000"/>
                <w:kern w:val="0"/>
                <w:sz w:val="24"/>
                <w:szCs w:val="24"/>
                <w:vertAlign w:val="superscript"/>
                <w:lang w:val="en-US" w:eastAsia="zh-CN" w:bidi="ar-SA"/>
              </w:rPr>
              <w:t>3</w:t>
            </w:r>
            <w:r>
              <w:rPr>
                <w:rFonts w:hint="default" w:ascii="Times New Roman" w:hAnsi="Times New Roman" w:eastAsia="宋体" w:cs="Times New Roman"/>
                <w:b w:val="0"/>
                <w:bCs w:val="0"/>
                <w:snapToGrid w:val="0"/>
                <w:color w:val="000000"/>
                <w:kern w:val="0"/>
                <w:sz w:val="24"/>
                <w:szCs w:val="24"/>
                <w:lang w:val="en-US" w:eastAsia="zh-CN" w:bidi="ar-SA"/>
              </w:rPr>
              <w:t>/s。</w:t>
            </w:r>
          </w:p>
          <w:p>
            <w:pPr>
              <w:keepNext w:val="0"/>
              <w:keepLines w:val="0"/>
              <w:widowControl/>
              <w:suppressLineNumbers w:val="0"/>
              <w:spacing w:line="360" w:lineRule="auto"/>
              <w:jc w:val="left"/>
              <w:rPr>
                <w:rFonts w:hint="default" w:ascii="Times New Roman" w:hAnsi="Times New Roman" w:eastAsia="宋体" w:cs="Times New Roman"/>
                <w:b w:val="0"/>
                <w:bCs w:val="0"/>
                <w:snapToGrid w:val="0"/>
                <w:color w:val="000000"/>
                <w:kern w:val="0"/>
                <w:sz w:val="24"/>
                <w:szCs w:val="24"/>
                <w:lang w:val="en-US" w:eastAsia="zh-CN"/>
              </w:rPr>
            </w:pPr>
            <w:r>
              <w:rPr>
                <w:rFonts w:hint="eastAsia" w:ascii="Times New Roman" w:hAnsi="Times New Roman" w:eastAsia="宋体" w:cs="Times New Roman"/>
                <w:b w:val="0"/>
                <w:bCs w:val="0"/>
                <w:color w:val="000000"/>
                <w:kern w:val="0"/>
                <w:sz w:val="24"/>
                <w:szCs w:val="24"/>
                <w:lang w:val="en-US" w:eastAsia="zh-CN" w:bidi="ar-SA"/>
              </w:rPr>
              <w:t>（</w:t>
            </w:r>
            <w:r>
              <w:rPr>
                <w:rFonts w:hint="eastAsia" w:cs="Times New Roman"/>
                <w:b w:val="0"/>
                <w:bCs w:val="0"/>
                <w:snapToGrid w:val="0"/>
                <w:color w:val="000000"/>
                <w:kern w:val="0"/>
                <w:sz w:val="24"/>
                <w:szCs w:val="24"/>
                <w:lang w:val="en-US" w:eastAsia="zh-CN"/>
              </w:rPr>
              <w:t>2</w:t>
            </w:r>
            <w:r>
              <w:rPr>
                <w:rFonts w:hint="default" w:ascii="Times New Roman" w:hAnsi="Times New Roman" w:eastAsia="宋体" w:cs="Times New Roman"/>
                <w:b w:val="0"/>
                <w:bCs w:val="0"/>
                <w:snapToGrid w:val="0"/>
                <w:color w:val="000000"/>
                <w:kern w:val="0"/>
                <w:sz w:val="24"/>
                <w:szCs w:val="24"/>
                <w:lang w:val="en-US" w:eastAsia="zh-CN"/>
              </w:rPr>
              <w:t>）导流时段划分</w:t>
            </w:r>
          </w:p>
          <w:p>
            <w:pPr>
              <w:keepNext w:val="0"/>
              <w:keepLines w:val="0"/>
              <w:widowControl/>
              <w:suppressLineNumbers w:val="0"/>
              <w:spacing w:line="360" w:lineRule="auto"/>
              <w:jc w:val="left"/>
              <w:rPr>
                <w:rFonts w:hint="default" w:ascii="Times New Roman" w:hAnsi="Times New Roman" w:eastAsia="宋体" w:cs="Times New Roman"/>
                <w:b w:val="0"/>
                <w:bCs w:val="0"/>
                <w:snapToGrid w:val="0"/>
                <w:color w:val="000000"/>
                <w:kern w:val="0"/>
                <w:sz w:val="24"/>
                <w:szCs w:val="24"/>
                <w:lang w:val="en-US" w:eastAsia="zh-CN"/>
              </w:rPr>
            </w:pPr>
            <w:r>
              <w:rPr>
                <w:rFonts w:hint="default" w:ascii="Times New Roman" w:hAnsi="Times New Roman" w:eastAsia="宋体" w:cs="Times New Roman"/>
                <w:b w:val="0"/>
                <w:bCs w:val="0"/>
                <w:snapToGrid w:val="0"/>
                <w:color w:val="000000"/>
                <w:kern w:val="0"/>
                <w:sz w:val="24"/>
                <w:szCs w:val="24"/>
                <w:lang w:val="en-US" w:eastAsia="zh-CN"/>
              </w:rPr>
              <w:t>根据施工总进度计划安排，单个年度工程建设工期为4个月，即当年3月～6月，其中主体工程施工错开主汛期，安排在3月中旬～5月底</w:t>
            </w:r>
            <w:r>
              <w:rPr>
                <w:rFonts w:hint="eastAsia" w:cs="Times New Roman"/>
                <w:b w:val="0"/>
                <w:bCs w:val="0"/>
                <w:snapToGrid w:val="0"/>
                <w:color w:val="000000"/>
                <w:kern w:val="0"/>
                <w:sz w:val="24"/>
                <w:szCs w:val="24"/>
                <w:lang w:val="en-US" w:eastAsia="zh-CN"/>
              </w:rPr>
              <w:t>，</w:t>
            </w:r>
            <w:r>
              <w:rPr>
                <w:rFonts w:hint="default" w:ascii="Times New Roman" w:hAnsi="Times New Roman" w:eastAsia="宋体" w:cs="Times New Roman"/>
                <w:b w:val="0"/>
                <w:bCs w:val="0"/>
                <w:snapToGrid w:val="0"/>
                <w:color w:val="000000"/>
                <w:kern w:val="0"/>
                <w:sz w:val="24"/>
                <w:szCs w:val="24"/>
                <w:lang w:val="en-US" w:eastAsia="zh-CN"/>
              </w:rPr>
              <w:t>在整个施工期内，工程施工时段划分为一个时段，即主体工程施工期。</w:t>
            </w:r>
          </w:p>
          <w:p>
            <w:pPr>
              <w:keepNext w:val="0"/>
              <w:keepLines w:val="0"/>
              <w:widowControl/>
              <w:suppressLineNumbers w:val="0"/>
              <w:spacing w:line="360" w:lineRule="auto"/>
              <w:jc w:val="left"/>
              <w:rPr>
                <w:rFonts w:hint="default" w:ascii="Times New Roman" w:hAnsi="Times New Roman" w:eastAsia="宋体" w:cs="Times New Roman"/>
                <w:b w:val="0"/>
                <w:bCs w:val="0"/>
                <w:snapToGrid w:val="0"/>
                <w:color w:val="000000"/>
                <w:kern w:val="0"/>
                <w:sz w:val="24"/>
                <w:szCs w:val="24"/>
                <w:lang w:val="en-US" w:eastAsia="zh-CN"/>
              </w:rPr>
            </w:pPr>
            <w:r>
              <w:rPr>
                <w:rFonts w:hint="eastAsia" w:ascii="Times New Roman" w:hAnsi="Times New Roman" w:eastAsia="宋体" w:cs="Times New Roman"/>
                <w:b w:val="0"/>
                <w:bCs w:val="0"/>
                <w:color w:val="000000"/>
                <w:kern w:val="0"/>
                <w:sz w:val="24"/>
                <w:szCs w:val="24"/>
                <w:lang w:val="en-US" w:eastAsia="zh-CN" w:bidi="ar-SA"/>
              </w:rPr>
              <w:t>（</w:t>
            </w:r>
            <w:r>
              <w:rPr>
                <w:rFonts w:hint="eastAsia" w:cs="Times New Roman"/>
                <w:b w:val="0"/>
                <w:bCs w:val="0"/>
                <w:snapToGrid w:val="0"/>
                <w:color w:val="000000"/>
                <w:kern w:val="0"/>
                <w:sz w:val="24"/>
                <w:szCs w:val="24"/>
                <w:lang w:val="en-US" w:eastAsia="zh-CN"/>
              </w:rPr>
              <w:t>3</w:t>
            </w:r>
            <w:r>
              <w:rPr>
                <w:rFonts w:hint="default" w:ascii="Times New Roman" w:hAnsi="Times New Roman" w:eastAsia="宋体" w:cs="Times New Roman"/>
                <w:b w:val="0"/>
                <w:bCs w:val="0"/>
                <w:snapToGrid w:val="0"/>
                <w:color w:val="000000"/>
                <w:kern w:val="0"/>
                <w:sz w:val="24"/>
                <w:szCs w:val="24"/>
                <w:lang w:val="en-US" w:eastAsia="zh-CN"/>
              </w:rPr>
              <w:t>）导流方式</w:t>
            </w:r>
          </w:p>
          <w:p>
            <w:pPr>
              <w:keepNext w:val="0"/>
              <w:keepLines w:val="0"/>
              <w:widowControl/>
              <w:suppressLineNumbers w:val="0"/>
              <w:spacing w:line="360" w:lineRule="auto"/>
              <w:jc w:val="left"/>
              <w:rPr>
                <w:rFonts w:hint="default" w:ascii="Times New Roman" w:hAnsi="Times New Roman" w:eastAsia="宋体" w:cs="Times New Roman"/>
                <w:b w:val="0"/>
                <w:bCs w:val="0"/>
                <w:snapToGrid w:val="0"/>
                <w:color w:val="000000"/>
                <w:kern w:val="0"/>
                <w:sz w:val="24"/>
                <w:szCs w:val="24"/>
                <w:lang w:val="en-US" w:eastAsia="zh-CN"/>
              </w:rPr>
            </w:pPr>
            <w:r>
              <w:rPr>
                <w:rFonts w:hint="default" w:ascii="Times New Roman" w:hAnsi="Times New Roman" w:eastAsia="宋体" w:cs="Times New Roman"/>
                <w:b w:val="0"/>
                <w:bCs w:val="0"/>
                <w:snapToGrid w:val="0"/>
                <w:color w:val="000000"/>
                <w:kern w:val="0"/>
                <w:sz w:val="24"/>
                <w:szCs w:val="24"/>
                <w:lang w:val="en-US" w:eastAsia="zh-CN"/>
              </w:rPr>
              <w:t>单个年度主体工程施工期安排在当年3月中旬～5月底，施工导流以将河道施工期洪水导向对岸为原则，利用主河槽导流，不影响本次工程的施工</w:t>
            </w:r>
            <w:r>
              <w:rPr>
                <w:rFonts w:hint="eastAsia" w:cs="Times New Roman"/>
                <w:b w:val="0"/>
                <w:bCs w:val="0"/>
                <w:snapToGrid w:val="0"/>
                <w:color w:val="000000"/>
                <w:kern w:val="0"/>
                <w:sz w:val="24"/>
                <w:szCs w:val="24"/>
                <w:lang w:val="en-US" w:eastAsia="zh-CN"/>
              </w:rPr>
              <w:t>，</w:t>
            </w:r>
            <w:r>
              <w:rPr>
                <w:rFonts w:hint="default" w:ascii="Times New Roman" w:hAnsi="Times New Roman" w:eastAsia="宋体" w:cs="Times New Roman"/>
                <w:b w:val="0"/>
                <w:bCs w:val="0"/>
                <w:snapToGrid w:val="0"/>
                <w:color w:val="000000"/>
                <w:kern w:val="0"/>
                <w:sz w:val="24"/>
                <w:szCs w:val="24"/>
                <w:lang w:val="en-US" w:eastAsia="zh-CN"/>
              </w:rPr>
              <w:t>由于河道宽浅，施工期应修建导流设施，保证工程安全实施。根据河流特点和工程施工工期安排，在每个防洪段上游、距离防洪段约10m处修建临时导流坝，主要作用是将主流导向对岸，保证施工工期和施工安全。导流坝采用护岸基础的开挖料用推土机推筑砂砾石坝，坝顶宽1.5m，高约1.0m，上下游坝坡均为1：1.5；分段护岸施工完成后，导流坝料可用于护岸基础回填，恢复河道原状。</w:t>
            </w:r>
          </w:p>
          <w:p>
            <w:pPr>
              <w:keepNext w:val="0"/>
              <w:keepLines w:val="0"/>
              <w:widowControl/>
              <w:suppressLineNumbers w:val="0"/>
              <w:spacing w:line="360" w:lineRule="auto"/>
              <w:jc w:val="left"/>
              <w:rPr>
                <w:rFonts w:hint="default" w:ascii="Times New Roman" w:hAnsi="Times New Roman" w:eastAsia="宋体" w:cs="Times New Roman"/>
                <w:b w:val="0"/>
                <w:bCs w:val="0"/>
                <w:snapToGrid w:val="0"/>
                <w:color w:val="000000"/>
                <w:kern w:val="0"/>
                <w:sz w:val="24"/>
                <w:szCs w:val="24"/>
                <w:lang w:val="en-US" w:eastAsia="zh-CN"/>
              </w:rPr>
            </w:pPr>
            <w:r>
              <w:rPr>
                <w:rFonts w:hint="eastAsia" w:ascii="Times New Roman" w:hAnsi="Times New Roman" w:eastAsia="宋体" w:cs="Times New Roman"/>
                <w:b w:val="0"/>
                <w:bCs w:val="0"/>
                <w:color w:val="000000"/>
                <w:kern w:val="0"/>
                <w:sz w:val="24"/>
                <w:szCs w:val="24"/>
                <w:lang w:val="en-US" w:eastAsia="zh-CN" w:bidi="ar-SA"/>
              </w:rPr>
              <w:t>（</w:t>
            </w:r>
            <w:r>
              <w:rPr>
                <w:rFonts w:hint="eastAsia" w:cs="Times New Roman"/>
                <w:b w:val="0"/>
                <w:bCs w:val="0"/>
                <w:snapToGrid w:val="0"/>
                <w:color w:val="000000"/>
                <w:kern w:val="0"/>
                <w:sz w:val="24"/>
                <w:szCs w:val="24"/>
                <w:lang w:val="en-US" w:eastAsia="zh-CN"/>
              </w:rPr>
              <w:t>4</w:t>
            </w:r>
            <w:r>
              <w:rPr>
                <w:rFonts w:hint="default" w:ascii="Times New Roman" w:hAnsi="Times New Roman" w:eastAsia="宋体" w:cs="Times New Roman"/>
                <w:b w:val="0"/>
                <w:bCs w:val="0"/>
                <w:snapToGrid w:val="0"/>
                <w:color w:val="000000"/>
                <w:kern w:val="0"/>
                <w:sz w:val="24"/>
                <w:szCs w:val="24"/>
                <w:lang w:val="en-US" w:eastAsia="zh-CN"/>
              </w:rPr>
              <w:t>）导流建筑物</w:t>
            </w:r>
          </w:p>
          <w:p>
            <w:pPr>
              <w:keepNext w:val="0"/>
              <w:keepLines w:val="0"/>
              <w:widowControl/>
              <w:suppressLineNumbers w:val="0"/>
              <w:spacing w:line="360" w:lineRule="auto"/>
              <w:jc w:val="left"/>
              <w:rPr>
                <w:rFonts w:hint="default" w:ascii="Times New Roman" w:hAnsi="Times New Roman" w:eastAsia="宋体" w:cs="Times New Roman"/>
                <w:b w:val="0"/>
                <w:bCs w:val="0"/>
                <w:snapToGrid w:val="0"/>
                <w:color w:val="000000"/>
                <w:kern w:val="0"/>
                <w:sz w:val="24"/>
                <w:szCs w:val="24"/>
                <w:lang w:val="en-US" w:eastAsia="zh-CN"/>
              </w:rPr>
            </w:pPr>
            <w:r>
              <w:rPr>
                <w:rFonts w:hint="default" w:ascii="Times New Roman" w:hAnsi="Times New Roman" w:eastAsia="宋体" w:cs="Times New Roman"/>
                <w:b w:val="0"/>
                <w:bCs w:val="0"/>
                <w:snapToGrid w:val="0"/>
                <w:color w:val="000000"/>
                <w:kern w:val="0"/>
                <w:sz w:val="24"/>
                <w:szCs w:val="24"/>
                <w:lang w:val="en-US" w:eastAsia="zh-CN"/>
              </w:rPr>
              <w:t>导流坝结合河床主河槽进行修整，可不衬砌，要求顶宽1.5m，高度不小于1.0m，内、外边坡1：1.5，采用挖掘机就近挖料、摊铺，分层碾压，每层厚度不超过30cm，控制相对密度不小于0.75</w:t>
            </w:r>
            <w:r>
              <w:rPr>
                <w:rFonts w:hint="eastAsia" w:cs="Times New Roman"/>
                <w:b w:val="0"/>
                <w:bCs w:val="0"/>
                <w:snapToGrid w:val="0"/>
                <w:color w:val="000000"/>
                <w:kern w:val="0"/>
                <w:sz w:val="24"/>
                <w:szCs w:val="24"/>
                <w:lang w:val="en-US" w:eastAsia="zh-CN"/>
              </w:rPr>
              <w:t>，</w:t>
            </w:r>
            <w:r>
              <w:rPr>
                <w:rFonts w:hint="default" w:ascii="Times New Roman" w:hAnsi="Times New Roman" w:eastAsia="宋体" w:cs="Times New Roman"/>
                <w:b w:val="0"/>
                <w:bCs w:val="0"/>
                <w:snapToGrid w:val="0"/>
                <w:color w:val="000000"/>
                <w:kern w:val="0"/>
                <w:sz w:val="24"/>
                <w:szCs w:val="24"/>
                <w:lang w:val="en-US" w:eastAsia="zh-CN"/>
              </w:rPr>
              <w:t>分段护岸施工完成后，导流坝料可用于护岸基础回填或就近推平，恢复河道原状。</w:t>
            </w:r>
          </w:p>
          <w:p>
            <w:pPr>
              <w:keepNext w:val="0"/>
              <w:keepLines w:val="0"/>
              <w:widowControl/>
              <w:suppressLineNumbers w:val="0"/>
              <w:spacing w:line="360" w:lineRule="auto"/>
              <w:jc w:val="left"/>
              <w:rPr>
                <w:rFonts w:hint="default" w:ascii="Times New Roman" w:hAnsi="Times New Roman" w:eastAsia="宋体" w:cs="Times New Roman"/>
                <w:b w:val="0"/>
                <w:bCs w:val="0"/>
                <w:snapToGrid w:val="0"/>
                <w:color w:val="000000"/>
                <w:kern w:val="0"/>
                <w:sz w:val="24"/>
                <w:szCs w:val="24"/>
                <w:lang w:val="en-US" w:eastAsia="zh-CN"/>
              </w:rPr>
            </w:pPr>
            <w:r>
              <w:rPr>
                <w:rFonts w:hint="eastAsia" w:ascii="Times New Roman" w:hAnsi="Times New Roman" w:eastAsia="宋体" w:cs="Times New Roman"/>
                <w:b w:val="0"/>
                <w:bCs w:val="0"/>
                <w:color w:val="000000"/>
                <w:kern w:val="0"/>
                <w:sz w:val="24"/>
                <w:szCs w:val="24"/>
                <w:lang w:val="en-US" w:eastAsia="zh-CN" w:bidi="ar-SA"/>
              </w:rPr>
              <w:t>（</w:t>
            </w:r>
            <w:r>
              <w:rPr>
                <w:rFonts w:hint="eastAsia" w:cs="Times New Roman"/>
                <w:b w:val="0"/>
                <w:bCs w:val="0"/>
                <w:snapToGrid w:val="0"/>
                <w:color w:val="000000"/>
                <w:kern w:val="0"/>
                <w:sz w:val="24"/>
                <w:szCs w:val="24"/>
                <w:lang w:val="en-US" w:eastAsia="zh-CN"/>
              </w:rPr>
              <w:t>5</w:t>
            </w:r>
            <w:r>
              <w:rPr>
                <w:rFonts w:hint="default" w:ascii="Times New Roman" w:hAnsi="Times New Roman" w:eastAsia="宋体" w:cs="Times New Roman"/>
                <w:b w:val="0"/>
                <w:bCs w:val="0"/>
                <w:snapToGrid w:val="0"/>
                <w:color w:val="000000"/>
                <w:kern w:val="0"/>
                <w:sz w:val="24"/>
                <w:szCs w:val="24"/>
                <w:lang w:val="en-US" w:eastAsia="zh-CN"/>
              </w:rPr>
              <w:t>）基坑排水</w:t>
            </w:r>
          </w:p>
          <w:p>
            <w:pPr>
              <w:keepNext w:val="0"/>
              <w:keepLines w:val="0"/>
              <w:widowControl/>
              <w:suppressLineNumbers w:val="0"/>
              <w:spacing w:line="360" w:lineRule="auto"/>
              <w:jc w:val="left"/>
              <w:rPr>
                <w:rFonts w:hint="default" w:ascii="Times New Roman" w:hAnsi="Times New Roman" w:eastAsia="宋体" w:cs="Times New Roman"/>
                <w:b w:val="0"/>
                <w:bCs w:val="0"/>
                <w:snapToGrid w:val="0"/>
                <w:color w:val="000000"/>
                <w:kern w:val="0"/>
                <w:sz w:val="24"/>
                <w:szCs w:val="24"/>
                <w:lang w:val="en-US" w:eastAsia="zh-CN"/>
              </w:rPr>
            </w:pPr>
            <w:r>
              <w:rPr>
                <w:rFonts w:hint="default" w:ascii="Times New Roman" w:hAnsi="Times New Roman" w:eastAsia="宋体" w:cs="Times New Roman"/>
                <w:b w:val="0"/>
                <w:bCs w:val="0"/>
                <w:snapToGrid w:val="0"/>
                <w:color w:val="000000"/>
                <w:kern w:val="0"/>
                <w:sz w:val="24"/>
                <w:szCs w:val="24"/>
                <w:lang w:val="en-US" w:eastAsia="zh-CN"/>
              </w:rPr>
              <w:t>基坑排水组合为：基坑积水+围堰渗水</w:t>
            </w:r>
            <w:r>
              <w:rPr>
                <w:rFonts w:hint="eastAsia" w:cs="Times New Roman"/>
                <w:b w:val="0"/>
                <w:bCs w:val="0"/>
                <w:snapToGrid w:val="0"/>
                <w:color w:val="000000"/>
                <w:kern w:val="0"/>
                <w:sz w:val="24"/>
                <w:szCs w:val="24"/>
                <w:lang w:val="en-US" w:eastAsia="zh-CN"/>
              </w:rPr>
              <w:t>，</w:t>
            </w:r>
            <w:r>
              <w:rPr>
                <w:rFonts w:hint="default" w:ascii="Times New Roman" w:hAnsi="Times New Roman" w:eastAsia="宋体" w:cs="Times New Roman"/>
                <w:b w:val="0"/>
                <w:bCs w:val="0"/>
                <w:snapToGrid w:val="0"/>
                <w:color w:val="000000"/>
                <w:kern w:val="0"/>
                <w:sz w:val="24"/>
                <w:szCs w:val="24"/>
                <w:lang w:val="en-US" w:eastAsia="zh-CN"/>
              </w:rPr>
              <w:t>其中基坑积水为建筑物处基坑内积水和围堰覆盖层孔隙水</w:t>
            </w:r>
            <w:r>
              <w:rPr>
                <w:rFonts w:hint="eastAsia" w:cs="Times New Roman"/>
                <w:b w:val="0"/>
                <w:bCs w:val="0"/>
                <w:snapToGrid w:val="0"/>
                <w:color w:val="000000"/>
                <w:kern w:val="0"/>
                <w:sz w:val="24"/>
                <w:szCs w:val="24"/>
                <w:lang w:val="en-US" w:eastAsia="zh-CN"/>
              </w:rPr>
              <w:t>，</w:t>
            </w:r>
            <w:r>
              <w:rPr>
                <w:rFonts w:hint="default" w:ascii="Times New Roman" w:hAnsi="Times New Roman" w:eastAsia="宋体" w:cs="Times New Roman"/>
                <w:b w:val="0"/>
                <w:bCs w:val="0"/>
                <w:snapToGrid w:val="0"/>
                <w:color w:val="000000"/>
                <w:kern w:val="0"/>
                <w:sz w:val="24"/>
                <w:szCs w:val="24"/>
                <w:lang w:val="en-US" w:eastAsia="zh-CN"/>
              </w:rPr>
              <w:t>由于基坑内涌水量不大，且水位快速下降不会影响围堰的稳定，因此可加大排水强度，建议采用6台</w:t>
            </w:r>
            <w:r>
              <w:rPr>
                <w:rFonts w:hint="eastAsia" w:cs="Times New Roman"/>
                <w:b w:val="0"/>
                <w:bCs w:val="0"/>
                <w:snapToGrid w:val="0"/>
                <w:color w:val="000000"/>
                <w:kern w:val="0"/>
                <w:sz w:val="24"/>
                <w:szCs w:val="24"/>
                <w:lang w:val="en-US" w:eastAsia="zh-CN"/>
              </w:rPr>
              <w:t>，</w:t>
            </w:r>
            <w:r>
              <w:rPr>
                <w:rFonts w:hint="default" w:ascii="Times New Roman" w:hAnsi="Times New Roman" w:eastAsia="宋体" w:cs="Times New Roman"/>
                <w:b w:val="0"/>
                <w:bCs w:val="0"/>
                <w:snapToGrid w:val="0"/>
                <w:color w:val="000000"/>
                <w:kern w:val="0"/>
                <w:sz w:val="24"/>
                <w:szCs w:val="24"/>
                <w:lang w:val="en-US" w:eastAsia="zh-CN"/>
              </w:rPr>
              <w:t>JYWQ-65-50-13-1200-7.5型排污泵排水，以充分利用枯水期进行基坑施工</w:t>
            </w:r>
            <w:r>
              <w:rPr>
                <w:rFonts w:hint="eastAsia" w:cs="Times New Roman"/>
                <w:b w:val="0"/>
                <w:bCs w:val="0"/>
                <w:snapToGrid w:val="0"/>
                <w:color w:val="000000"/>
                <w:kern w:val="0"/>
                <w:sz w:val="24"/>
                <w:szCs w:val="24"/>
                <w:lang w:val="en-US" w:eastAsia="zh-CN"/>
              </w:rPr>
              <w:t>，</w:t>
            </w:r>
            <w:r>
              <w:rPr>
                <w:rFonts w:hint="default" w:ascii="Times New Roman" w:hAnsi="Times New Roman" w:eastAsia="宋体" w:cs="Times New Roman"/>
                <w:b w:val="0"/>
                <w:bCs w:val="0"/>
                <w:snapToGrid w:val="0"/>
                <w:color w:val="000000"/>
                <w:kern w:val="0"/>
                <w:sz w:val="24"/>
                <w:szCs w:val="24"/>
                <w:lang w:val="en-US" w:eastAsia="zh-CN"/>
              </w:rPr>
              <w:t>基坑排水时间可根据现场实际情况进行集水坑的抽排。</w:t>
            </w:r>
          </w:p>
          <w:p>
            <w:pPr>
              <w:adjustRightInd w:val="0"/>
              <w:snapToGrid w:val="0"/>
              <w:spacing w:line="360" w:lineRule="auto"/>
              <w:ind w:firstLine="0" w:firstLineChars="0"/>
              <w:rPr>
                <w:rFonts w:hint="default"/>
                <w:b/>
                <w:color w:val="000000"/>
                <w:lang w:val="en-US" w:eastAsia="zh-CN"/>
              </w:rPr>
            </w:pPr>
            <w:r>
              <w:rPr>
                <w:rFonts w:hint="eastAsia"/>
                <w:b/>
                <w:color w:val="000000"/>
                <w:lang w:val="en-US" w:eastAsia="zh-CN"/>
              </w:rPr>
              <w:t>10</w:t>
            </w:r>
            <w:r>
              <w:rPr>
                <w:rFonts w:hint="eastAsia" w:ascii="Times New Roman" w:hAnsi="Times New Roman" w:eastAsia="宋体" w:cs="Times New Roman"/>
                <w:b/>
                <w:color w:val="000000"/>
                <w:lang w:val="en-US" w:eastAsia="zh-CN"/>
              </w:rPr>
              <w:t>、施工组织</w:t>
            </w:r>
            <w:r>
              <w:rPr>
                <w:rFonts w:hint="eastAsia" w:cs="Times New Roman"/>
                <w:b/>
                <w:color w:val="000000"/>
                <w:lang w:val="en-US" w:eastAsia="zh-CN"/>
              </w:rPr>
              <w:t>管理</w:t>
            </w:r>
          </w:p>
          <w:p>
            <w:pPr>
              <w:widowControl/>
              <w:spacing w:line="360" w:lineRule="auto"/>
              <w:ind w:firstLine="480"/>
              <w:jc w:val="both"/>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（1）</w:t>
            </w:r>
            <w:r>
              <w:rPr>
                <w:rFonts w:hint="default" w:ascii="Times New Roman" w:hAnsi="Times New Roman" w:eastAsia="宋体" w:cs="Times New Roman"/>
                <w:sz w:val="24"/>
                <w:szCs w:val="24"/>
                <w:highlight w:val="none"/>
              </w:rPr>
              <w:t>施工组织机构</w:t>
            </w:r>
          </w:p>
          <w:p>
            <w:pPr>
              <w:widowControl/>
              <w:spacing w:line="360" w:lineRule="auto"/>
              <w:ind w:firstLine="48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本着建管一体的原则，明确项目法人的责任和权力</w:t>
            </w:r>
            <w:r>
              <w:rPr>
                <w:rFonts w:hint="eastAsia" w:cs="Times New Roman"/>
                <w:sz w:val="24"/>
                <w:szCs w:val="24"/>
                <w:lang w:eastAsia="zh-CN"/>
              </w:rPr>
              <w:t>，</w:t>
            </w:r>
            <w:r>
              <w:rPr>
                <w:rFonts w:hint="default" w:ascii="Times New Roman" w:hAnsi="Times New Roman" w:eastAsia="宋体" w:cs="Times New Roman"/>
                <w:sz w:val="24"/>
                <w:szCs w:val="24"/>
              </w:rPr>
              <w:t>吉木萨尔县水利管理站作为工程建设的项目法人，具体负责辖区内工程项目的招标投标、工程建设、竣工验收等管理工作，严格依照有关规定和章程，对工程项目的建设进行管理</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为便于项目严格按照国家基本建设程序进行，各部必须制定出工作职责和任务，项目直接落实到人。</w:t>
            </w:r>
          </w:p>
          <w:p>
            <w:pPr>
              <w:widowControl/>
              <w:spacing w:line="360" w:lineRule="auto"/>
              <w:ind w:firstLine="48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施工条件</w:t>
            </w:r>
          </w:p>
          <w:p>
            <w:pPr>
              <w:widowControl/>
              <w:spacing w:line="360" w:lineRule="auto"/>
              <w:ind w:firstLine="48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①</w:t>
            </w:r>
            <w:r>
              <w:rPr>
                <w:rFonts w:hint="default" w:ascii="Times New Roman" w:hAnsi="Times New Roman" w:eastAsia="宋体" w:cs="Times New Roman"/>
                <w:sz w:val="24"/>
                <w:szCs w:val="24"/>
              </w:rPr>
              <w:t>对外交通运输</w:t>
            </w:r>
          </w:p>
          <w:p>
            <w:pPr>
              <w:widowControl/>
              <w:spacing w:line="360" w:lineRule="auto"/>
              <w:ind w:firstLine="480"/>
              <w:jc w:val="both"/>
              <w:rPr>
                <w:rFonts w:hint="default" w:ascii="Times New Roman" w:hAnsi="Times New Roman" w:eastAsia="宋体" w:cs="Times New Roman"/>
                <w:sz w:val="24"/>
                <w:szCs w:val="24"/>
                <w:lang w:val="en-US" w:eastAsia="zh-CN"/>
              </w:rPr>
            </w:pPr>
            <w:r>
              <w:rPr>
                <w:rFonts w:hint="eastAsia" w:ascii="Times New Roman" w:hAnsi="Times New Roman" w:eastAsia="宋体" w:cs="Times New Roman"/>
                <w:color w:val="000000"/>
                <w:lang w:val="en-US" w:eastAsia="zh-CN"/>
              </w:rPr>
              <w:t>工程位于吉木萨尔县白杨河五圣宫水文站至S303省道</w:t>
            </w:r>
            <w:r>
              <w:rPr>
                <w:rFonts w:hint="default" w:ascii="Times New Roman" w:hAnsi="Times New Roman" w:eastAsia="宋体" w:cs="Times New Roman"/>
                <w:color w:val="000000"/>
                <w:lang w:val="en-US" w:eastAsia="zh-CN"/>
              </w:rPr>
              <w:t>29.15km</w:t>
            </w:r>
            <w:r>
              <w:rPr>
                <w:rFonts w:hint="eastAsia" w:ascii="Times New Roman" w:hAnsi="Times New Roman" w:eastAsia="宋体" w:cs="Times New Roman"/>
                <w:color w:val="000000"/>
                <w:lang w:val="en-US" w:eastAsia="zh-CN"/>
              </w:rPr>
              <w:t>范围的河段，地处吉木萨尔县牧业村、二工乡红山子村、苏家庄村和魏家村，距离吉木萨尔县城区约</w:t>
            </w:r>
            <w:r>
              <w:rPr>
                <w:rFonts w:hint="default" w:ascii="Times New Roman" w:hAnsi="Times New Roman" w:eastAsia="宋体" w:cs="Times New Roman"/>
                <w:color w:val="000000"/>
                <w:lang w:val="en-US" w:eastAsia="zh-CN"/>
              </w:rPr>
              <w:t>15km</w:t>
            </w:r>
            <w:r>
              <w:rPr>
                <w:rFonts w:hint="eastAsia" w:cs="Times New Roman"/>
                <w:color w:val="000000"/>
                <w:lang w:val="en-US" w:eastAsia="zh-CN"/>
              </w:rPr>
              <w:t>，</w:t>
            </w:r>
            <w:r>
              <w:rPr>
                <w:rFonts w:hint="eastAsia" w:ascii="Times New Roman" w:hAnsi="Times New Roman" w:eastAsia="宋体" w:cs="Times New Roman"/>
                <w:color w:val="000000"/>
                <w:lang w:val="en-US" w:eastAsia="zh-CN"/>
              </w:rPr>
              <w:t>目前项目区通向县城的对外交通主要依靠乡村柏油路。根据本工程特点，结合现有交通条件，项目区附近现有路网发达，可与项目内部相连；施工车辆可直达项目区，施工交通较为方便。</w:t>
            </w:r>
          </w:p>
          <w:p>
            <w:pPr>
              <w:widowControl/>
              <w:spacing w:line="360" w:lineRule="auto"/>
              <w:ind w:firstLine="48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②</w:t>
            </w:r>
            <w:r>
              <w:rPr>
                <w:rFonts w:hint="default" w:ascii="Times New Roman" w:hAnsi="Times New Roman" w:eastAsia="宋体" w:cs="Times New Roman"/>
                <w:sz w:val="24"/>
                <w:szCs w:val="24"/>
              </w:rPr>
              <w:t>场内交通运输</w:t>
            </w:r>
          </w:p>
          <w:p>
            <w:pPr>
              <w:adjustRightInd w:val="0"/>
              <w:snapToGrid w:val="0"/>
              <w:spacing w:line="360" w:lineRule="auto"/>
              <w:ind w:firstLine="31680"/>
              <w:rPr>
                <w:rFonts w:hint="default" w:ascii="Times New Roman" w:hAnsi="Times New Roman" w:eastAsia="宋体" w:cs="Times New Roman"/>
                <w:color w:val="000000"/>
                <w:lang w:val="en-US" w:eastAsia="zh-CN"/>
              </w:rPr>
            </w:pPr>
            <w:r>
              <w:rPr>
                <w:rFonts w:hint="default" w:ascii="Times New Roman" w:hAnsi="Times New Roman" w:eastAsia="宋体" w:cs="Times New Roman"/>
                <w:color w:val="000000"/>
                <w:lang w:val="en-US" w:eastAsia="zh-CN"/>
              </w:rPr>
              <w:t>本项目为线性工程，共布设伴行施工便道3条：</w:t>
            </w:r>
          </w:p>
          <w:p>
            <w:pPr>
              <w:adjustRightInd w:val="0"/>
              <w:snapToGrid w:val="0"/>
              <w:spacing w:line="360" w:lineRule="auto"/>
              <w:ind w:firstLine="31680"/>
              <w:rPr>
                <w:rFonts w:hint="default" w:ascii="Times New Roman" w:hAnsi="Times New Roman" w:eastAsia="宋体" w:cs="Times New Roman"/>
                <w:color w:val="000000"/>
                <w:lang w:val="en-US" w:eastAsia="zh-CN"/>
              </w:rPr>
            </w:pPr>
            <w:r>
              <w:rPr>
                <w:rFonts w:hint="default" w:ascii="Times New Roman" w:hAnsi="Times New Roman" w:eastAsia="宋体" w:cs="Times New Roman"/>
                <w:color w:val="000000"/>
                <w:lang w:val="en-US" w:eastAsia="zh-CN"/>
              </w:rPr>
              <w:t>①低山丘陵区防洪堤一侧布设伴行施工便道，起点与终点均与防洪堤位置一致，长度15.78km，路宽4.0m，占地面积6.31hm</w:t>
            </w:r>
            <w:r>
              <w:rPr>
                <w:rFonts w:hint="eastAsia" w:ascii="Times New Roman" w:hAnsi="Times New Roman" w:eastAsia="宋体" w:cs="Times New Roman"/>
                <w:color w:val="000000"/>
                <w:vertAlign w:val="superscript"/>
                <w:lang w:val="en-US" w:eastAsia="zh-CN"/>
              </w:rPr>
              <w:t>2</w:t>
            </w:r>
            <w:r>
              <w:rPr>
                <w:rFonts w:hint="eastAsia" w:ascii="Times New Roman" w:hAnsi="Times New Roman" w:eastAsia="宋体" w:cs="Times New Roman"/>
                <w:color w:val="000000"/>
                <w:lang w:val="en-US" w:eastAsia="zh-CN"/>
              </w:rPr>
              <w:t>；</w:t>
            </w:r>
          </w:p>
          <w:p>
            <w:pPr>
              <w:adjustRightInd w:val="0"/>
              <w:snapToGrid w:val="0"/>
              <w:spacing w:line="360" w:lineRule="auto"/>
              <w:ind w:firstLine="31680"/>
              <w:rPr>
                <w:rFonts w:hint="default" w:ascii="Times New Roman" w:hAnsi="Times New Roman" w:eastAsia="宋体" w:cs="Times New Roman"/>
                <w:lang w:val="en-US" w:eastAsia="zh-CN"/>
              </w:rPr>
            </w:pPr>
            <w:r>
              <w:rPr>
                <w:rFonts w:hint="default" w:ascii="Times New Roman" w:hAnsi="Times New Roman" w:eastAsia="宋体" w:cs="Times New Roman"/>
                <w:color w:val="000000"/>
                <w:lang w:val="en-US" w:eastAsia="zh-CN"/>
              </w:rPr>
              <w:t>②冲洪积平原区防洪堤一侧布设伴行施工便道，起点与终点均与防洪堤位置一致，长度3.9km，路宽4.0m，在排洪渠两侧布设伴行施工便</w:t>
            </w:r>
            <w:r>
              <w:rPr>
                <w:rFonts w:hint="default" w:ascii="Times New Roman" w:hAnsi="Times New Roman" w:eastAsia="宋体" w:cs="Times New Roman"/>
                <w:b w:val="0"/>
                <w:bCs/>
                <w:color w:val="000000"/>
                <w:kern w:val="2"/>
                <w:sz w:val="21"/>
                <w:szCs w:val="21"/>
                <w:lang w:val="en-US" w:eastAsia="zh-CN" w:bidi="ar-SA"/>
              </w:rPr>
              <w:t>道</w:t>
            </w:r>
            <w:r>
              <w:rPr>
                <w:rFonts w:hint="default" w:ascii="Times New Roman" w:hAnsi="Times New Roman" w:eastAsia="宋体" w:cs="Times New Roman"/>
                <w:b w:val="0"/>
                <w:bCs w:val="0"/>
                <w:color w:val="000000"/>
                <w:sz w:val="24"/>
                <w:szCs w:val="24"/>
              </w:rPr>
              <w:t>，起点与终点均与排洪渠位置一致，长度4.82km，路宽4.0m，占地面积3.49hm</w:t>
            </w:r>
            <w:r>
              <w:rPr>
                <w:rFonts w:hint="eastAsia" w:ascii="Times New Roman" w:hAnsi="Times New Roman" w:eastAsia="宋体" w:cs="Times New Roman"/>
                <w:b w:val="0"/>
                <w:bCs w:val="0"/>
                <w:color w:val="000000"/>
                <w:sz w:val="24"/>
                <w:szCs w:val="24"/>
                <w:vertAlign w:val="superscript"/>
                <w:lang w:val="en-US" w:eastAsia="zh-CN"/>
              </w:rPr>
              <w:t>2</w:t>
            </w:r>
            <w:r>
              <w:rPr>
                <w:rFonts w:hint="default" w:ascii="Times New Roman" w:hAnsi="Times New Roman" w:eastAsia="宋体" w:cs="Times New Roman"/>
                <w:b w:val="0"/>
                <w:bCs w:val="0"/>
                <w:color w:val="000000"/>
                <w:sz w:val="24"/>
                <w:szCs w:val="24"/>
              </w:rPr>
              <w:t>。</w:t>
            </w:r>
          </w:p>
          <w:p>
            <w:pPr>
              <w:adjustRightInd w:val="0"/>
              <w:snapToGrid w:val="0"/>
              <w:spacing w:line="360" w:lineRule="auto"/>
              <w:ind w:firstLine="31680"/>
              <w:rPr>
                <w:rFonts w:hint="default" w:ascii="Times New Roman" w:hAnsi="Times New Roman" w:eastAsia="宋体" w:cs="Times New Roman"/>
                <w:color w:val="000000"/>
                <w:lang w:val="en-US" w:eastAsia="zh-CN"/>
              </w:rPr>
            </w:pPr>
            <w:r>
              <w:rPr>
                <w:rFonts w:hint="default" w:ascii="Times New Roman" w:hAnsi="Times New Roman" w:eastAsia="宋体" w:cs="Times New Roman"/>
                <w:color w:val="000000"/>
                <w:lang w:val="en-US" w:eastAsia="zh-CN"/>
              </w:rPr>
              <w:t>（3）建筑材料供应</w:t>
            </w:r>
          </w:p>
          <w:p>
            <w:pPr>
              <w:adjustRightInd w:val="0"/>
              <w:snapToGrid w:val="0"/>
              <w:spacing w:line="360" w:lineRule="auto"/>
              <w:ind w:firstLine="31680"/>
              <w:rPr>
                <w:rFonts w:hint="default" w:ascii="Times New Roman" w:hAnsi="Times New Roman" w:eastAsia="宋体" w:cs="Times New Roman"/>
                <w:color w:val="000000"/>
                <w:lang w:val="en-US" w:eastAsia="zh-CN"/>
              </w:rPr>
            </w:pPr>
            <w:r>
              <w:rPr>
                <w:rFonts w:hint="default" w:ascii="Times New Roman" w:hAnsi="Times New Roman" w:eastAsia="宋体" w:cs="Times New Roman"/>
                <w:color w:val="000000"/>
                <w:lang w:val="en-US" w:eastAsia="zh-CN"/>
              </w:rPr>
              <w:t>①砂砾石垫层料：可到商品料场购买</w:t>
            </w:r>
            <w:r>
              <w:rPr>
                <w:rFonts w:hint="eastAsia" w:ascii="Times New Roman" w:hAnsi="Times New Roman" w:eastAsia="宋体" w:cs="Times New Roman"/>
                <w:color w:val="000000"/>
                <w:lang w:val="en-US" w:eastAsia="zh-CN"/>
              </w:rPr>
              <w:t>，</w:t>
            </w:r>
            <w:r>
              <w:rPr>
                <w:rFonts w:hint="default" w:ascii="Times New Roman" w:hAnsi="Times New Roman" w:eastAsia="宋体" w:cs="Times New Roman"/>
                <w:color w:val="000000"/>
                <w:lang w:val="en-US" w:eastAsia="zh-CN"/>
              </w:rPr>
              <w:t>河岸有乡村公路，交通便利，最大运距约15km</w:t>
            </w:r>
            <w:r>
              <w:rPr>
                <w:rFonts w:hint="eastAsia" w:ascii="Times New Roman" w:hAnsi="Times New Roman" w:eastAsia="宋体" w:cs="Times New Roman"/>
                <w:color w:val="000000"/>
                <w:lang w:val="en-US" w:eastAsia="zh-CN"/>
              </w:rPr>
              <w:t>；</w:t>
            </w:r>
          </w:p>
          <w:p>
            <w:pPr>
              <w:adjustRightInd w:val="0"/>
              <w:snapToGrid w:val="0"/>
              <w:spacing w:line="360" w:lineRule="auto"/>
              <w:ind w:firstLine="31680"/>
              <w:rPr>
                <w:rFonts w:hint="default" w:ascii="Times New Roman" w:hAnsi="Times New Roman" w:eastAsia="宋体" w:cs="Times New Roman"/>
                <w:color w:val="000000"/>
                <w:lang w:val="en-US" w:eastAsia="zh-CN"/>
              </w:rPr>
            </w:pPr>
            <w:r>
              <w:rPr>
                <w:rFonts w:hint="default" w:ascii="Times New Roman" w:hAnsi="Times New Roman" w:eastAsia="宋体" w:cs="Times New Roman"/>
                <w:color w:val="000000"/>
                <w:lang w:val="en-US" w:eastAsia="zh-CN"/>
              </w:rPr>
              <w:t>②</w:t>
            </w:r>
            <w:r>
              <w:rPr>
                <w:rFonts w:hint="eastAsia" w:ascii="Times New Roman" w:hAnsi="Times New Roman" w:eastAsia="宋体" w:cs="Times New Roman"/>
                <w:color w:val="000000"/>
                <w:lang w:val="en-US" w:eastAsia="zh-CN"/>
              </w:rPr>
              <w:t>混凝土骨料：</w:t>
            </w:r>
            <w:r>
              <w:rPr>
                <w:rFonts w:hint="default" w:ascii="Times New Roman" w:hAnsi="Times New Roman" w:eastAsia="宋体" w:cs="Times New Roman"/>
                <w:color w:val="000000"/>
                <w:lang w:val="en-US" w:eastAsia="zh-CN"/>
              </w:rPr>
              <w:t>引水渡槽至林区公路段河道末端附近分布有商品砂场</w:t>
            </w:r>
            <w:r>
              <w:rPr>
                <w:rFonts w:hint="eastAsia" w:ascii="Times New Roman" w:hAnsi="Times New Roman" w:eastAsia="宋体" w:cs="Times New Roman"/>
                <w:color w:val="000000"/>
                <w:lang w:val="en-US" w:eastAsia="zh-CN"/>
              </w:rPr>
              <w:t>，</w:t>
            </w:r>
            <w:r>
              <w:rPr>
                <w:rFonts w:hint="default" w:ascii="Times New Roman" w:hAnsi="Times New Roman" w:eastAsia="宋体" w:cs="Times New Roman"/>
                <w:color w:val="000000"/>
                <w:lang w:val="en-US" w:eastAsia="zh-CN"/>
              </w:rPr>
              <w:t>质量、储量满足要求，平均运距15km</w:t>
            </w:r>
            <w:r>
              <w:rPr>
                <w:rFonts w:hint="eastAsia" w:ascii="Times New Roman" w:hAnsi="Times New Roman" w:eastAsia="宋体" w:cs="Times New Roman"/>
                <w:color w:val="000000"/>
                <w:lang w:val="en-US" w:eastAsia="zh-CN"/>
              </w:rPr>
              <w:t>；</w:t>
            </w:r>
          </w:p>
          <w:p>
            <w:pPr>
              <w:adjustRightInd w:val="0"/>
              <w:snapToGrid w:val="0"/>
              <w:spacing w:line="360" w:lineRule="auto"/>
              <w:ind w:firstLine="31680"/>
              <w:rPr>
                <w:rFonts w:hint="default" w:ascii="Times New Roman" w:hAnsi="Times New Roman" w:eastAsia="宋体" w:cs="Times New Roman"/>
                <w:color w:val="000000"/>
                <w:lang w:val="en-US" w:eastAsia="zh-CN"/>
              </w:rPr>
            </w:pPr>
            <w:r>
              <w:rPr>
                <w:rFonts w:hint="default" w:ascii="Times New Roman" w:hAnsi="Times New Roman" w:eastAsia="宋体" w:cs="Times New Roman"/>
                <w:color w:val="000000"/>
                <w:lang w:val="en-US" w:eastAsia="zh-CN"/>
              </w:rPr>
              <w:t>③</w:t>
            </w:r>
            <w:r>
              <w:rPr>
                <w:rFonts w:hint="eastAsia" w:ascii="Times New Roman" w:hAnsi="Times New Roman" w:eastAsia="宋体" w:cs="Times New Roman"/>
                <w:color w:val="000000"/>
                <w:lang w:val="en-US" w:eastAsia="zh-CN"/>
              </w:rPr>
              <w:t>浆砌石料：</w:t>
            </w:r>
            <w:r>
              <w:rPr>
                <w:rFonts w:hint="default" w:ascii="Times New Roman" w:hAnsi="Times New Roman" w:eastAsia="宋体" w:cs="Times New Roman"/>
                <w:color w:val="000000"/>
                <w:lang w:val="en-US" w:eastAsia="zh-CN"/>
              </w:rPr>
              <w:t>可到商品料场购买</w:t>
            </w:r>
            <w:r>
              <w:rPr>
                <w:rFonts w:hint="eastAsia" w:ascii="Times New Roman" w:hAnsi="Times New Roman" w:eastAsia="宋体" w:cs="Times New Roman"/>
                <w:color w:val="000000"/>
                <w:lang w:val="en-US" w:eastAsia="zh-CN"/>
              </w:rPr>
              <w:t>，</w:t>
            </w:r>
            <w:r>
              <w:rPr>
                <w:rFonts w:hint="default" w:ascii="Times New Roman" w:hAnsi="Times New Roman" w:eastAsia="宋体" w:cs="Times New Roman"/>
                <w:color w:val="000000"/>
                <w:lang w:val="en-US" w:eastAsia="zh-CN"/>
              </w:rPr>
              <w:t>河岸有乡村公路，交通便利，最大运距约15km</w:t>
            </w:r>
            <w:r>
              <w:rPr>
                <w:rFonts w:hint="eastAsia" w:ascii="Times New Roman" w:hAnsi="Times New Roman" w:eastAsia="宋体" w:cs="Times New Roman"/>
                <w:color w:val="000000"/>
                <w:lang w:val="en-US" w:eastAsia="zh-CN"/>
              </w:rPr>
              <w:t>；</w:t>
            </w:r>
          </w:p>
          <w:p>
            <w:pPr>
              <w:adjustRightInd w:val="0"/>
              <w:snapToGrid w:val="0"/>
              <w:spacing w:line="360" w:lineRule="auto"/>
              <w:ind w:firstLine="31680"/>
              <w:rPr>
                <w:rFonts w:hint="default" w:ascii="Times New Roman" w:hAnsi="Times New Roman" w:eastAsia="宋体" w:cs="Times New Roman"/>
                <w:color w:val="000000"/>
                <w:lang w:val="en-US" w:eastAsia="zh-CN"/>
              </w:rPr>
            </w:pPr>
            <w:r>
              <w:rPr>
                <w:rFonts w:hint="default" w:ascii="Times New Roman" w:hAnsi="Times New Roman" w:eastAsia="宋体" w:cs="Times New Roman"/>
                <w:color w:val="000000"/>
                <w:lang w:val="en-US" w:eastAsia="zh-CN"/>
              </w:rPr>
              <w:t>④水泥：自甘河子水泥厂购进，平均运距65km</w:t>
            </w:r>
            <w:r>
              <w:rPr>
                <w:rFonts w:hint="eastAsia" w:ascii="Times New Roman" w:hAnsi="Times New Roman" w:eastAsia="宋体" w:cs="Times New Roman"/>
                <w:color w:val="000000"/>
                <w:lang w:val="en-US" w:eastAsia="zh-CN"/>
              </w:rPr>
              <w:t>；</w:t>
            </w:r>
          </w:p>
          <w:p>
            <w:pPr>
              <w:adjustRightInd w:val="0"/>
              <w:snapToGrid w:val="0"/>
              <w:spacing w:line="360" w:lineRule="auto"/>
              <w:ind w:firstLine="31680"/>
              <w:rPr>
                <w:rFonts w:hint="default" w:ascii="Times New Roman" w:hAnsi="Times New Roman" w:eastAsia="宋体" w:cs="Times New Roman"/>
                <w:color w:val="000000"/>
                <w:lang w:val="en-US" w:eastAsia="zh-CN"/>
              </w:rPr>
            </w:pPr>
            <w:r>
              <w:rPr>
                <w:rFonts w:hint="default" w:ascii="Times New Roman" w:hAnsi="Times New Roman" w:eastAsia="宋体" w:cs="Times New Roman"/>
                <w:color w:val="000000"/>
                <w:lang w:val="en-US" w:eastAsia="zh-CN"/>
              </w:rPr>
              <w:t>⑤钢筋：自宝钢集团新疆八钢购进，平均运距115km</w:t>
            </w:r>
            <w:r>
              <w:rPr>
                <w:rFonts w:hint="eastAsia" w:ascii="Times New Roman" w:hAnsi="Times New Roman" w:eastAsia="宋体" w:cs="Times New Roman"/>
                <w:color w:val="000000"/>
                <w:lang w:val="en-US" w:eastAsia="zh-CN"/>
              </w:rPr>
              <w:t>；</w:t>
            </w:r>
          </w:p>
          <w:p>
            <w:pPr>
              <w:adjustRightInd w:val="0"/>
              <w:snapToGrid w:val="0"/>
              <w:spacing w:line="360" w:lineRule="auto"/>
              <w:ind w:firstLine="31680"/>
              <w:rPr>
                <w:rFonts w:hint="eastAsia" w:ascii="Times New Roman" w:hAnsi="Times New Roman" w:eastAsia="宋体" w:cs="Times New Roman"/>
                <w:color w:val="000000"/>
                <w:lang w:val="en-US" w:eastAsia="zh-CN"/>
              </w:rPr>
            </w:pPr>
            <w:r>
              <w:rPr>
                <w:rFonts w:hint="default" w:ascii="Times New Roman" w:hAnsi="Times New Roman" w:eastAsia="宋体" w:cs="Times New Roman"/>
                <w:color w:val="000000"/>
                <w:lang w:val="en-US" w:eastAsia="zh-CN"/>
              </w:rPr>
              <w:t>⑥木材：自吉木萨尔县城区木材市场购进，平均运距25km</w:t>
            </w:r>
            <w:r>
              <w:rPr>
                <w:rFonts w:hint="eastAsia" w:ascii="Times New Roman" w:hAnsi="Times New Roman" w:eastAsia="宋体" w:cs="Times New Roman"/>
                <w:color w:val="000000"/>
                <w:lang w:val="en-US" w:eastAsia="zh-CN"/>
              </w:rPr>
              <w:t>；</w:t>
            </w:r>
          </w:p>
          <w:p>
            <w:pPr>
              <w:adjustRightInd w:val="0"/>
              <w:snapToGrid w:val="0"/>
              <w:spacing w:line="360" w:lineRule="auto"/>
              <w:ind w:firstLine="31680"/>
              <w:rPr>
                <w:rFonts w:hint="eastAsia" w:ascii="Times New Roman" w:hAnsi="Times New Roman" w:eastAsia="宋体" w:cs="Times New Roman"/>
                <w:color w:val="000000"/>
                <w:lang w:val="en-US" w:eastAsia="zh-CN"/>
              </w:rPr>
            </w:pPr>
            <w:r>
              <w:rPr>
                <w:rFonts w:hint="default" w:ascii="Times New Roman" w:hAnsi="Times New Roman" w:eastAsia="宋体" w:cs="Times New Roman"/>
                <w:color w:val="000000"/>
                <w:lang w:val="en-US" w:eastAsia="zh-CN"/>
              </w:rPr>
              <w:t>⑦油料：自周边加油站购进，平均运距20km</w:t>
            </w:r>
            <w:r>
              <w:rPr>
                <w:rFonts w:hint="eastAsia" w:ascii="Times New Roman" w:hAnsi="Times New Roman" w:eastAsia="宋体" w:cs="Times New Roman"/>
                <w:color w:val="000000"/>
                <w:lang w:val="en-US" w:eastAsia="zh-CN"/>
              </w:rPr>
              <w:t>。</w:t>
            </w:r>
          </w:p>
          <w:p>
            <w:pPr>
              <w:adjustRightInd w:val="0"/>
              <w:snapToGrid w:val="0"/>
              <w:spacing w:line="360" w:lineRule="auto"/>
              <w:ind w:firstLine="31680"/>
              <w:rPr>
                <w:rFonts w:hint="default" w:ascii="Times New Roman" w:hAnsi="Times New Roman" w:eastAsia="宋体" w:cs="Times New Roman"/>
                <w:color w:val="000000"/>
                <w:lang w:val="en-US" w:eastAsia="zh-CN"/>
              </w:rPr>
            </w:pPr>
            <w:r>
              <w:rPr>
                <w:rFonts w:hint="eastAsia" w:ascii="Times New Roman" w:hAnsi="Times New Roman" w:eastAsia="宋体" w:cs="Times New Roman"/>
                <w:color w:val="000000"/>
                <w:lang w:val="en-US" w:eastAsia="zh-CN"/>
              </w:rPr>
              <w:t>⑧</w:t>
            </w:r>
            <w:r>
              <w:rPr>
                <w:rFonts w:hint="default" w:ascii="Times New Roman" w:hAnsi="Times New Roman" w:eastAsia="宋体" w:cs="Times New Roman"/>
                <w:color w:val="000000"/>
                <w:lang w:val="en-US" w:eastAsia="zh-CN"/>
              </w:rPr>
              <w:t>生活物资：</w:t>
            </w:r>
            <w:r>
              <w:rPr>
                <w:rFonts w:hint="eastAsia" w:cs="Times New Roman"/>
                <w:color w:val="000000"/>
                <w:lang w:val="en-US" w:eastAsia="zh-CN"/>
              </w:rPr>
              <w:t>施工人员住在泉街子镇，</w:t>
            </w:r>
            <w:r>
              <w:rPr>
                <w:rFonts w:hint="default" w:ascii="Times New Roman" w:hAnsi="Times New Roman" w:eastAsia="宋体" w:cs="Times New Roman"/>
                <w:color w:val="000000"/>
                <w:lang w:val="en-US" w:eastAsia="zh-CN"/>
              </w:rPr>
              <w:t>可由</w:t>
            </w:r>
            <w:r>
              <w:rPr>
                <w:rFonts w:hint="eastAsia" w:cs="Times New Roman"/>
                <w:color w:val="000000"/>
                <w:lang w:val="en-US" w:eastAsia="zh-CN"/>
              </w:rPr>
              <w:t>泉街子镇</w:t>
            </w:r>
            <w:r>
              <w:rPr>
                <w:rFonts w:hint="default" w:ascii="Times New Roman" w:hAnsi="Times New Roman" w:eastAsia="宋体" w:cs="Times New Roman"/>
                <w:color w:val="000000"/>
                <w:lang w:val="en-US" w:eastAsia="zh-CN"/>
              </w:rPr>
              <w:t>采购解决</w:t>
            </w:r>
            <w:r>
              <w:rPr>
                <w:rFonts w:hint="eastAsia" w:cs="Times New Roman"/>
                <w:color w:val="000000"/>
                <w:lang w:val="en-US" w:eastAsia="zh-CN"/>
              </w:rPr>
              <w:t>，项目区不设置生活区</w:t>
            </w:r>
            <w:r>
              <w:rPr>
                <w:rFonts w:hint="default" w:ascii="Times New Roman" w:hAnsi="Times New Roman" w:eastAsia="宋体" w:cs="Times New Roman"/>
                <w:color w:val="000000"/>
                <w:lang w:val="en-US" w:eastAsia="zh-CN"/>
              </w:rPr>
              <w:t>；</w:t>
            </w:r>
            <w:r>
              <w:rPr>
                <w:rFonts w:hint="default" w:ascii="Times New Roman" w:hAnsi="Times New Roman" w:eastAsia="宋体" w:cs="Times New Roman"/>
                <w:sz w:val="24"/>
                <w:szCs w:val="24"/>
              </w:rPr>
              <w:t>工程</w:t>
            </w:r>
            <w:r>
              <w:rPr>
                <w:rFonts w:hint="eastAsia" w:cs="Times New Roman"/>
                <w:sz w:val="24"/>
                <w:szCs w:val="24"/>
                <w:lang w:val="en-US" w:eastAsia="zh-CN"/>
              </w:rPr>
              <w:t>使用的车辆</w:t>
            </w:r>
            <w:r>
              <w:rPr>
                <w:rFonts w:hint="default" w:ascii="Times New Roman" w:hAnsi="Times New Roman" w:eastAsia="宋体" w:cs="Times New Roman"/>
                <w:sz w:val="24"/>
                <w:szCs w:val="24"/>
              </w:rPr>
              <w:t>维修、保养</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清洗、均</w:t>
            </w:r>
            <w:r>
              <w:rPr>
                <w:rFonts w:hint="default" w:ascii="Times New Roman" w:hAnsi="Times New Roman" w:eastAsia="宋体" w:cs="Times New Roman"/>
                <w:sz w:val="24"/>
                <w:szCs w:val="24"/>
              </w:rPr>
              <w:t>在</w:t>
            </w:r>
            <w:r>
              <w:rPr>
                <w:rFonts w:hint="eastAsia" w:cs="Times New Roman"/>
                <w:color w:val="000000"/>
                <w:lang w:val="en-US" w:eastAsia="zh-CN"/>
              </w:rPr>
              <w:t>泉街子镇</w:t>
            </w:r>
            <w:r>
              <w:rPr>
                <w:rFonts w:hint="default" w:ascii="Times New Roman" w:hAnsi="Times New Roman" w:eastAsia="宋体" w:cs="Times New Roman"/>
                <w:sz w:val="24"/>
                <w:szCs w:val="24"/>
              </w:rPr>
              <w:t>进行。</w:t>
            </w:r>
          </w:p>
          <w:p>
            <w:pPr>
              <w:adjustRightInd w:val="0"/>
              <w:snapToGrid w:val="0"/>
              <w:spacing w:line="360" w:lineRule="auto"/>
              <w:ind w:firstLine="0" w:firstLineChars="0"/>
              <w:rPr>
                <w:rFonts w:hint="default"/>
                <w:b/>
                <w:color w:val="000000"/>
                <w:lang w:val="en-US" w:eastAsia="zh-CN"/>
              </w:rPr>
            </w:pPr>
            <w:r>
              <w:rPr>
                <w:rFonts w:hint="eastAsia"/>
                <w:b/>
                <w:color w:val="000000"/>
                <w:lang w:val="en-US" w:eastAsia="zh-CN"/>
              </w:rPr>
              <w:t>11、施工工期及总进度</w:t>
            </w:r>
          </w:p>
          <w:p>
            <w:pPr>
              <w:adjustRightInd w:val="0"/>
              <w:snapToGrid w:val="0"/>
              <w:spacing w:line="360" w:lineRule="auto"/>
              <w:ind w:firstLine="31680"/>
              <w:rPr>
                <w:rFonts w:hint="eastAsia" w:ascii="Times New Roman" w:hAnsi="Times New Roman" w:eastAsia="宋体" w:cs="Times New Roman"/>
                <w:color w:val="000000"/>
                <w:lang w:val="en-US" w:eastAsia="zh-CN"/>
              </w:rPr>
            </w:pPr>
            <w:r>
              <w:rPr>
                <w:rFonts w:hint="default" w:ascii="Times New Roman" w:hAnsi="Times New Roman" w:eastAsia="宋体" w:cs="Times New Roman"/>
                <w:color w:val="000000"/>
                <w:lang w:val="en-US" w:eastAsia="zh-CN"/>
              </w:rPr>
              <w:t>（</w:t>
            </w:r>
            <w:r>
              <w:rPr>
                <w:rFonts w:hint="eastAsia" w:ascii="Times New Roman" w:hAnsi="Times New Roman" w:eastAsia="宋体" w:cs="Times New Roman"/>
                <w:color w:val="000000"/>
                <w:lang w:val="en-US" w:eastAsia="zh-CN"/>
              </w:rPr>
              <w:t>1</w:t>
            </w:r>
            <w:r>
              <w:rPr>
                <w:rFonts w:hint="default" w:ascii="Times New Roman" w:hAnsi="Times New Roman" w:eastAsia="宋体" w:cs="Times New Roman"/>
                <w:color w:val="000000"/>
                <w:lang w:val="en-US" w:eastAsia="zh-CN"/>
              </w:rPr>
              <w:t>）</w:t>
            </w:r>
            <w:r>
              <w:rPr>
                <w:rFonts w:hint="eastAsia" w:ascii="Times New Roman" w:hAnsi="Times New Roman" w:eastAsia="宋体" w:cs="Times New Roman"/>
                <w:color w:val="000000"/>
                <w:lang w:val="en-US" w:eastAsia="zh-CN"/>
              </w:rPr>
              <w:t>施工工期</w:t>
            </w:r>
          </w:p>
          <w:p>
            <w:pPr>
              <w:adjustRightInd w:val="0"/>
              <w:snapToGrid w:val="0"/>
              <w:spacing w:line="360" w:lineRule="auto"/>
              <w:ind w:firstLine="31680"/>
              <w:rPr>
                <w:rFonts w:hint="eastAsia" w:ascii="Times New Roman" w:hAnsi="Times New Roman" w:eastAsia="宋体" w:cs="Times New Roman"/>
                <w:color w:val="000000"/>
                <w:lang w:val="en-US" w:eastAsia="zh-CN"/>
              </w:rPr>
            </w:pPr>
            <w:r>
              <w:rPr>
                <w:rFonts w:hint="eastAsia" w:ascii="Times New Roman" w:hAnsi="Times New Roman" w:eastAsia="宋体" w:cs="Times New Roman"/>
                <w:color w:val="000000"/>
                <w:lang w:val="en-US" w:eastAsia="zh-CN"/>
              </w:rPr>
              <w:t>根据本工程施工特点，工程线路短，交通方便，投资不大，本工程总工期4个月</w:t>
            </w:r>
            <w:r>
              <w:rPr>
                <w:rFonts w:hint="eastAsia" w:cs="Times New Roman"/>
                <w:color w:val="000000"/>
                <w:lang w:val="en-US" w:eastAsia="zh-CN"/>
              </w:rPr>
              <w:t>，</w:t>
            </w:r>
            <w:r>
              <w:rPr>
                <w:rFonts w:hint="eastAsia" w:ascii="Times New Roman" w:hAnsi="Times New Roman" w:eastAsia="宋体" w:cs="Times New Roman"/>
                <w:color w:val="000000"/>
                <w:lang w:val="en-US" w:eastAsia="zh-CN"/>
              </w:rPr>
              <w:t>工程筹建准备期半个月，主体工程施工期3个月，完建期半个月</w:t>
            </w:r>
            <w:r>
              <w:rPr>
                <w:rFonts w:hint="eastAsia" w:cs="Times New Roman"/>
                <w:color w:val="000000"/>
                <w:lang w:val="en-US" w:eastAsia="zh-CN"/>
              </w:rPr>
              <w:t>，</w:t>
            </w:r>
            <w:r>
              <w:rPr>
                <w:rFonts w:hint="eastAsia" w:ascii="Times New Roman" w:hAnsi="Times New Roman" w:eastAsia="宋体" w:cs="Times New Roman"/>
                <w:color w:val="000000"/>
                <w:lang w:val="en-US" w:eastAsia="zh-CN"/>
              </w:rPr>
              <w:t>施工筹建准备期主要进行工程的招投标工作；完建期主要进行场地清理等工作。</w:t>
            </w:r>
          </w:p>
          <w:p>
            <w:pPr>
              <w:adjustRightInd w:val="0"/>
              <w:snapToGrid w:val="0"/>
              <w:spacing w:line="360" w:lineRule="auto"/>
              <w:ind w:firstLine="31680"/>
              <w:rPr>
                <w:rFonts w:hint="default" w:ascii="Times New Roman" w:hAnsi="Times New Roman" w:eastAsia="宋体" w:cs="Times New Roman"/>
                <w:color w:val="000000"/>
                <w:lang w:val="en-US" w:eastAsia="zh-CN"/>
              </w:rPr>
            </w:pPr>
            <w:r>
              <w:rPr>
                <w:rFonts w:hint="default" w:ascii="Times New Roman" w:hAnsi="Times New Roman" w:eastAsia="宋体" w:cs="Times New Roman"/>
                <w:color w:val="000000"/>
                <w:lang w:val="en-US" w:eastAsia="zh-CN"/>
              </w:rPr>
              <w:t>（</w:t>
            </w:r>
            <w:r>
              <w:rPr>
                <w:rFonts w:hint="eastAsia" w:ascii="Times New Roman" w:hAnsi="Times New Roman" w:eastAsia="宋体" w:cs="Times New Roman"/>
                <w:color w:val="000000"/>
                <w:lang w:val="en-US" w:eastAsia="zh-CN"/>
              </w:rPr>
              <w:t>2</w:t>
            </w:r>
            <w:r>
              <w:rPr>
                <w:rFonts w:hint="default" w:ascii="Times New Roman" w:hAnsi="Times New Roman" w:eastAsia="宋体" w:cs="Times New Roman"/>
                <w:color w:val="000000"/>
                <w:lang w:val="en-US" w:eastAsia="zh-CN"/>
              </w:rPr>
              <w:t>）施工总进度</w:t>
            </w:r>
          </w:p>
          <w:p>
            <w:pPr>
              <w:adjustRightInd w:val="0"/>
              <w:snapToGrid w:val="0"/>
              <w:spacing w:line="360" w:lineRule="auto"/>
              <w:ind w:firstLine="31680"/>
              <w:rPr>
                <w:rFonts w:hint="eastAsia" w:ascii="Times New Roman" w:hAnsi="Times New Roman" w:eastAsia="宋体" w:cs="Times New Roman"/>
                <w:color w:val="000000"/>
                <w:lang w:val="en-US" w:eastAsia="zh-CN"/>
              </w:rPr>
            </w:pPr>
            <w:r>
              <w:rPr>
                <w:rFonts w:hint="eastAsia" w:ascii="Times New Roman" w:hAnsi="Times New Roman" w:eastAsia="宋体" w:cs="Times New Roman"/>
                <w:color w:val="000000"/>
                <w:lang w:val="en-US" w:eastAsia="zh-CN"/>
              </w:rPr>
              <w:t>主体工程错开主汛期施工，2024年</w:t>
            </w:r>
            <w:r>
              <w:rPr>
                <w:rFonts w:hint="eastAsia" w:cs="Times New Roman"/>
                <w:color w:val="000000"/>
                <w:lang w:val="en-US" w:eastAsia="zh-CN"/>
              </w:rPr>
              <w:t>8</w:t>
            </w:r>
            <w:r>
              <w:rPr>
                <w:rFonts w:hint="eastAsia" w:ascii="Times New Roman" w:hAnsi="Times New Roman" w:eastAsia="宋体" w:cs="Times New Roman"/>
                <w:color w:val="000000"/>
                <w:lang w:val="en-US" w:eastAsia="zh-CN"/>
              </w:rPr>
              <w:t>月1日～</w:t>
            </w:r>
            <w:r>
              <w:rPr>
                <w:rFonts w:hint="eastAsia" w:cs="Times New Roman"/>
                <w:color w:val="000000"/>
                <w:lang w:val="en-US" w:eastAsia="zh-CN"/>
              </w:rPr>
              <w:t>9</w:t>
            </w:r>
            <w:r>
              <w:rPr>
                <w:rFonts w:hint="eastAsia" w:ascii="Times New Roman" w:hAnsi="Times New Roman" w:eastAsia="宋体" w:cs="Times New Roman"/>
                <w:color w:val="000000"/>
                <w:lang w:val="en-US" w:eastAsia="zh-CN"/>
              </w:rPr>
              <w:t>月31日施工；工程有效工期75d</w:t>
            </w:r>
            <w:r>
              <w:rPr>
                <w:rFonts w:hint="eastAsia" w:cs="Times New Roman"/>
                <w:color w:val="000000"/>
                <w:lang w:val="en-US" w:eastAsia="zh-CN"/>
              </w:rPr>
              <w:t>，</w:t>
            </w:r>
            <w:r>
              <w:rPr>
                <w:rFonts w:hint="eastAsia" w:ascii="Times New Roman" w:hAnsi="Times New Roman" w:eastAsia="宋体" w:cs="Times New Roman"/>
                <w:color w:val="000000"/>
                <w:lang w:val="en-US" w:eastAsia="zh-CN"/>
              </w:rPr>
              <w:t>施工工期已考虑雨天和施工人员休息天的时间，该时间由施工单位自行掌握，但不得影响各时段的最迟完成时间。</w:t>
            </w:r>
          </w:p>
          <w:p>
            <w:pPr>
              <w:snapToGrid w:val="0"/>
              <w:spacing w:line="360" w:lineRule="auto"/>
              <w:ind w:firstLine="0" w:firstLineChars="0"/>
              <w:rPr>
                <w:rFonts w:hint="eastAsia" w:cs="Times New Roman"/>
                <w:b/>
                <w:color w:val="000000"/>
                <w:lang w:val="en-US" w:eastAsia="zh-CN"/>
              </w:rPr>
            </w:pPr>
            <w:r>
              <w:rPr>
                <w:rFonts w:hint="eastAsia" w:cs="Times New Roman"/>
                <w:b/>
                <w:color w:val="000000"/>
                <w:lang w:val="en-US" w:eastAsia="zh-CN"/>
              </w:rPr>
              <w:t>12、环境管理</w:t>
            </w:r>
          </w:p>
          <w:p>
            <w:pPr>
              <w:adjustRightInd w:val="0"/>
              <w:snapToGrid w:val="0"/>
              <w:spacing w:line="360" w:lineRule="auto"/>
              <w:ind w:firstLine="31680"/>
              <w:rPr>
                <w:rFonts w:hint="eastAsia" w:ascii="Times New Roman" w:hAnsi="Times New Roman" w:eastAsia="宋体" w:cs="Times New Roman"/>
                <w:color w:val="000000"/>
                <w:lang w:val="en-US" w:eastAsia="zh-CN"/>
              </w:rPr>
            </w:pPr>
            <w:r>
              <w:rPr>
                <w:rFonts w:hint="eastAsia" w:ascii="Times New Roman" w:hAnsi="Times New Roman" w:eastAsia="宋体" w:cs="Times New Roman"/>
                <w:color w:val="000000"/>
                <w:lang w:val="en-US" w:eastAsia="zh-CN"/>
              </w:rPr>
              <w:t>（</w:t>
            </w:r>
            <w:r>
              <w:rPr>
                <w:rFonts w:hint="eastAsia" w:cs="Times New Roman"/>
                <w:color w:val="000000"/>
                <w:lang w:val="en-US" w:eastAsia="zh-CN"/>
              </w:rPr>
              <w:t>1</w:t>
            </w:r>
            <w:r>
              <w:rPr>
                <w:rFonts w:hint="eastAsia" w:ascii="Times New Roman" w:hAnsi="Times New Roman" w:eastAsia="宋体" w:cs="Times New Roman"/>
                <w:color w:val="000000"/>
                <w:lang w:val="en-US" w:eastAsia="zh-CN"/>
              </w:rPr>
              <w:t>）管理机构</w:t>
            </w:r>
          </w:p>
          <w:p>
            <w:pPr>
              <w:adjustRightInd w:val="0"/>
              <w:snapToGrid w:val="0"/>
              <w:spacing w:line="360" w:lineRule="auto"/>
              <w:ind w:firstLine="31680"/>
              <w:rPr>
                <w:rFonts w:hint="eastAsia" w:ascii="Times New Roman" w:hAnsi="Times New Roman" w:eastAsia="宋体" w:cs="Times New Roman"/>
                <w:color w:val="000000"/>
                <w:lang w:val="en-US" w:eastAsia="zh-CN"/>
              </w:rPr>
            </w:pPr>
            <w:r>
              <w:rPr>
                <w:rFonts w:hint="eastAsia" w:ascii="Times New Roman" w:hAnsi="Times New Roman" w:eastAsia="宋体" w:cs="Times New Roman"/>
                <w:color w:val="000000"/>
                <w:lang w:val="en-US" w:eastAsia="zh-CN"/>
              </w:rPr>
              <w:t>1）防止在施工期和运行期引起生态环境破坏；</w:t>
            </w:r>
          </w:p>
          <w:p>
            <w:pPr>
              <w:adjustRightInd w:val="0"/>
              <w:snapToGrid w:val="0"/>
              <w:spacing w:line="360" w:lineRule="auto"/>
              <w:ind w:firstLine="31680"/>
              <w:rPr>
                <w:rFonts w:hint="eastAsia" w:ascii="Times New Roman" w:hAnsi="Times New Roman" w:eastAsia="宋体" w:cs="Times New Roman"/>
                <w:color w:val="000000"/>
                <w:lang w:val="en-US" w:eastAsia="zh-CN"/>
              </w:rPr>
            </w:pPr>
            <w:r>
              <w:rPr>
                <w:rFonts w:hint="eastAsia" w:ascii="Times New Roman" w:hAnsi="Times New Roman" w:eastAsia="宋体" w:cs="Times New Roman"/>
                <w:color w:val="000000"/>
                <w:lang w:val="en-US" w:eastAsia="zh-CN"/>
              </w:rPr>
              <w:t>2）防止施工环境污染，保护好工程及下游区水质；</w:t>
            </w:r>
          </w:p>
          <w:p>
            <w:pPr>
              <w:adjustRightInd w:val="0"/>
              <w:snapToGrid w:val="0"/>
              <w:spacing w:line="360" w:lineRule="auto"/>
              <w:ind w:firstLine="31680"/>
              <w:rPr>
                <w:rFonts w:hint="eastAsia" w:ascii="Times New Roman" w:hAnsi="Times New Roman" w:eastAsia="宋体" w:cs="Times New Roman"/>
                <w:color w:val="000000"/>
                <w:lang w:val="en-US" w:eastAsia="zh-CN"/>
              </w:rPr>
            </w:pPr>
            <w:r>
              <w:rPr>
                <w:rFonts w:hint="eastAsia" w:ascii="Times New Roman" w:hAnsi="Times New Roman" w:eastAsia="宋体" w:cs="Times New Roman"/>
                <w:color w:val="000000"/>
                <w:lang w:val="en-US" w:eastAsia="zh-CN"/>
              </w:rPr>
              <w:t>3）保护好施工区域地表植被，搞好水土保持，保护护岸引洪、排洪能力，保证达到设计的防洪功能；</w:t>
            </w:r>
          </w:p>
          <w:p>
            <w:pPr>
              <w:adjustRightInd w:val="0"/>
              <w:snapToGrid w:val="0"/>
              <w:spacing w:line="360" w:lineRule="auto"/>
              <w:ind w:firstLine="31680"/>
              <w:rPr>
                <w:rFonts w:hint="eastAsia" w:ascii="Times New Roman" w:hAnsi="Times New Roman" w:eastAsia="宋体" w:cs="Times New Roman"/>
                <w:color w:val="000000"/>
                <w:lang w:val="en-US" w:eastAsia="zh-CN"/>
              </w:rPr>
            </w:pPr>
            <w:r>
              <w:rPr>
                <w:rFonts w:hint="eastAsia" w:ascii="Times New Roman" w:hAnsi="Times New Roman" w:eastAsia="宋体" w:cs="Times New Roman"/>
                <w:color w:val="000000"/>
                <w:lang w:val="en-US" w:eastAsia="zh-CN"/>
              </w:rPr>
              <w:t>4）负责对水污染事故和破坏生态事故的处理。</w:t>
            </w:r>
          </w:p>
          <w:p>
            <w:pPr>
              <w:adjustRightInd w:val="0"/>
              <w:snapToGrid w:val="0"/>
              <w:spacing w:line="360" w:lineRule="auto"/>
              <w:ind w:firstLine="31680"/>
              <w:rPr>
                <w:rFonts w:hint="eastAsia" w:ascii="Times New Roman" w:hAnsi="Times New Roman" w:eastAsia="宋体" w:cs="Times New Roman"/>
                <w:color w:val="000000"/>
                <w:lang w:val="en-US" w:eastAsia="zh-CN"/>
              </w:rPr>
            </w:pPr>
            <w:r>
              <w:rPr>
                <w:rFonts w:hint="eastAsia" w:ascii="Times New Roman" w:hAnsi="Times New Roman" w:eastAsia="宋体" w:cs="Times New Roman"/>
                <w:color w:val="000000"/>
                <w:lang w:val="en-US" w:eastAsia="zh-CN"/>
              </w:rPr>
              <w:t>（</w:t>
            </w:r>
            <w:r>
              <w:rPr>
                <w:rFonts w:hint="eastAsia" w:cs="Times New Roman"/>
                <w:color w:val="000000"/>
                <w:lang w:val="en-US" w:eastAsia="zh-CN"/>
              </w:rPr>
              <w:t>2</w:t>
            </w:r>
            <w:r>
              <w:rPr>
                <w:rFonts w:hint="eastAsia" w:ascii="Times New Roman" w:hAnsi="Times New Roman" w:eastAsia="宋体" w:cs="Times New Roman"/>
                <w:color w:val="000000"/>
                <w:lang w:val="en-US" w:eastAsia="zh-CN"/>
              </w:rPr>
              <w:t>）管理内容</w:t>
            </w:r>
          </w:p>
          <w:p>
            <w:pPr>
              <w:adjustRightInd w:val="0"/>
              <w:snapToGrid w:val="0"/>
              <w:spacing w:line="360" w:lineRule="auto"/>
              <w:ind w:firstLine="31680"/>
              <w:rPr>
                <w:rFonts w:hint="eastAsia" w:ascii="Times New Roman" w:hAnsi="Times New Roman" w:eastAsia="宋体" w:cs="Times New Roman"/>
                <w:color w:val="000000"/>
                <w:lang w:val="en-US" w:eastAsia="zh-CN"/>
              </w:rPr>
            </w:pPr>
            <w:r>
              <w:rPr>
                <w:rFonts w:hint="eastAsia" w:ascii="Times New Roman" w:hAnsi="Times New Roman" w:eastAsia="宋体" w:cs="Times New Roman"/>
                <w:color w:val="000000"/>
                <w:lang w:val="en-US" w:eastAsia="zh-CN"/>
              </w:rPr>
              <w:t>1）施工前期：落实生态补偿和污染防治的各项费用，部署工程施工过程中的环保工作，作好施工区环保工作的各项准备</w:t>
            </w:r>
            <w:r>
              <w:rPr>
                <w:rFonts w:hint="eastAsia" w:cs="Times New Roman"/>
                <w:color w:val="000000"/>
                <w:lang w:val="en-US" w:eastAsia="zh-CN"/>
              </w:rPr>
              <w:t>；</w:t>
            </w:r>
          </w:p>
          <w:p>
            <w:pPr>
              <w:adjustRightInd w:val="0"/>
              <w:snapToGrid w:val="0"/>
              <w:spacing w:line="360" w:lineRule="auto"/>
              <w:ind w:firstLine="31680"/>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lang w:val="en-US" w:eastAsia="zh-CN"/>
              </w:rPr>
              <w:t>2）施工期：①对工程施工中的各项环保措施执行情况进行督察，作好改善生态破坏和污染事故的防治工作；②对突发性事故应有应急措施；③组织实施施工期环境监测，按照环境监测进度，按时编制环境监测报告并及时上报；④在施工后期，组织好施工区生态环境恢复和改善工作，如施工用地恢复、</w:t>
            </w:r>
            <w:r>
              <w:rPr>
                <w:rFonts w:hint="eastAsia" w:ascii="Times New Roman" w:hAnsi="Times New Roman" w:eastAsia="宋体" w:cs="Times New Roman"/>
                <w:color w:val="000000"/>
                <w:highlight w:val="none"/>
                <w:lang w:val="en-US" w:eastAsia="zh-CN"/>
              </w:rPr>
              <w:t>施工区绿化等</w:t>
            </w:r>
            <w:r>
              <w:rPr>
                <w:rFonts w:hint="eastAsia" w:cs="Times New Roman"/>
                <w:color w:val="000000"/>
                <w:highlight w:val="none"/>
                <w:lang w:val="en-US" w:eastAsia="zh-CN"/>
              </w:rPr>
              <w:t>；</w:t>
            </w:r>
          </w:p>
          <w:p>
            <w:pPr>
              <w:adjustRightInd w:val="0"/>
              <w:snapToGrid w:val="0"/>
              <w:spacing w:line="360" w:lineRule="auto"/>
              <w:ind w:firstLine="31680"/>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3）运行期：①重点作好河流水质保护，并根据水质保护办法，加强工程区环境管理；②组织实施运行期的水质等监测工作；③预防并处理水污染事故等</w:t>
            </w:r>
            <w:r>
              <w:rPr>
                <w:rFonts w:hint="eastAsia" w:cs="Times New Roman"/>
                <w:color w:val="000000"/>
                <w:highlight w:val="none"/>
                <w:lang w:val="en-US" w:eastAsia="zh-CN"/>
              </w:rPr>
              <w:t>；</w:t>
            </w:r>
          </w:p>
          <w:p>
            <w:pPr>
              <w:adjustRightInd w:val="0"/>
              <w:snapToGrid w:val="0"/>
              <w:spacing w:line="360" w:lineRule="auto"/>
              <w:ind w:firstLine="31680"/>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w:t>
            </w:r>
            <w:r>
              <w:rPr>
                <w:rFonts w:hint="eastAsia" w:cs="Times New Roman"/>
                <w:color w:val="000000"/>
                <w:highlight w:val="none"/>
                <w:lang w:val="en-US" w:eastAsia="zh-CN"/>
              </w:rPr>
              <w:t>3</w:t>
            </w:r>
            <w:r>
              <w:rPr>
                <w:rFonts w:hint="eastAsia" w:ascii="Times New Roman" w:hAnsi="Times New Roman" w:eastAsia="宋体" w:cs="Times New Roman"/>
                <w:color w:val="000000"/>
                <w:highlight w:val="none"/>
                <w:lang w:val="en-US" w:eastAsia="zh-CN"/>
              </w:rPr>
              <w:t>）管理人员设置</w:t>
            </w:r>
          </w:p>
          <w:p>
            <w:pPr>
              <w:adjustRightInd w:val="0"/>
              <w:snapToGrid w:val="0"/>
              <w:spacing w:line="360" w:lineRule="auto"/>
              <w:ind w:firstLine="31680"/>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管理机构重新核定编制时，安排环境管理人员1人，可兼职</w:t>
            </w:r>
            <w:r>
              <w:rPr>
                <w:rFonts w:hint="eastAsia" w:cs="Times New Roman"/>
                <w:color w:val="000000"/>
                <w:highlight w:val="none"/>
                <w:lang w:val="en-US" w:eastAsia="zh-CN"/>
              </w:rPr>
              <w:t>，</w:t>
            </w:r>
            <w:r>
              <w:rPr>
                <w:rFonts w:hint="eastAsia" w:ascii="Times New Roman" w:hAnsi="Times New Roman" w:eastAsia="宋体" w:cs="Times New Roman"/>
                <w:color w:val="000000"/>
                <w:highlight w:val="none"/>
                <w:lang w:val="en-US" w:eastAsia="zh-CN"/>
              </w:rPr>
              <w:t>环境水文监测可利用水文观测人员进行水质、水文、泥沙等的监测，其监测可委托其它相关部门进行。</w:t>
            </w:r>
          </w:p>
          <w:p>
            <w:pPr>
              <w:snapToGrid w:val="0"/>
              <w:spacing w:line="360" w:lineRule="auto"/>
              <w:ind w:firstLine="0" w:firstLineChars="0"/>
              <w:rPr>
                <w:rFonts w:hint="default" w:ascii="Times New Roman" w:hAnsi="Times New Roman" w:eastAsia="宋体" w:cs="Times New Roman"/>
                <w:b/>
                <w:color w:val="000000"/>
                <w:lang w:val="en-US" w:eastAsia="zh-CN"/>
              </w:rPr>
            </w:pPr>
            <w:r>
              <w:rPr>
                <w:rFonts w:hint="eastAsia" w:cs="Times New Roman"/>
                <w:b/>
                <w:color w:val="000000"/>
                <w:lang w:val="en-US" w:eastAsia="zh-CN"/>
              </w:rPr>
              <w:t>13</w:t>
            </w:r>
            <w:r>
              <w:rPr>
                <w:rFonts w:hint="eastAsia" w:ascii="Times New Roman" w:hAnsi="Times New Roman" w:eastAsia="宋体" w:cs="Times New Roman"/>
                <w:b/>
                <w:color w:val="000000"/>
                <w:lang w:val="en-US" w:eastAsia="zh-CN"/>
              </w:rPr>
              <w:t>、投资概算与资金筹措</w:t>
            </w:r>
          </w:p>
          <w:p>
            <w:pPr>
              <w:adjustRightInd w:val="0"/>
              <w:snapToGrid w:val="0"/>
              <w:spacing w:line="360" w:lineRule="auto"/>
              <w:ind w:firstLine="31680"/>
            </w:pPr>
            <w:r>
              <w:rPr>
                <w:rFonts w:hint="eastAsia" w:ascii="Times New Roman" w:hAnsi="Times New Roman" w:eastAsia="宋体" w:cs="Times New Roman"/>
                <w:color w:val="000000"/>
                <w:lang w:val="en-US" w:eastAsia="zh-CN"/>
              </w:rPr>
              <w:t>本工程总投资6100万元，其中申请国债资金4800万元，县财政自筹资金1300万元</w:t>
            </w:r>
            <w:r>
              <w:rPr>
                <w:rFonts w:hint="eastAsia" w:cs="Times New Roman"/>
                <w:color w:val="00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791" w:type="dxa"/>
            <w:vAlign w:val="center"/>
          </w:tcPr>
          <w:p>
            <w:pPr>
              <w:adjustRightInd w:val="0"/>
              <w:snapToGrid w:val="0"/>
              <w:spacing w:line="240" w:lineRule="auto"/>
              <w:ind w:firstLine="0" w:firstLineChars="0"/>
              <w:jc w:val="center"/>
              <w:rPr>
                <w:rFonts w:hint="eastAsia" w:ascii="宋体" w:eastAsia="宋体" w:cs="宋体"/>
                <w:b/>
                <w:color w:val="000000"/>
                <w:kern w:val="0"/>
                <w:lang w:val="en-US" w:eastAsia="zh-CN"/>
              </w:rPr>
            </w:pPr>
            <w:r>
              <w:rPr>
                <w:rFonts w:hint="eastAsia" w:ascii="宋体" w:hAnsi="宋体" w:cs="宋体"/>
                <w:b/>
                <w:color w:val="000000"/>
                <w:kern w:val="0"/>
              </w:rPr>
              <w:t>总平面</w:t>
            </w:r>
            <w:r>
              <w:rPr>
                <w:rFonts w:hint="eastAsia" w:ascii="宋体" w:hAnsi="宋体" w:cs="宋体"/>
                <w:b/>
                <w:color w:val="000000"/>
                <w:kern w:val="0"/>
                <w:lang w:val="en-US" w:eastAsia="zh-CN"/>
              </w:rPr>
              <w:t>布置</w:t>
            </w:r>
          </w:p>
        </w:tc>
        <w:tc>
          <w:tcPr>
            <w:tcW w:w="8063" w:type="dxa"/>
            <w:vAlign w:val="center"/>
          </w:tcPr>
          <w:p>
            <w:pPr>
              <w:adjustRightInd w:val="0"/>
              <w:snapToGrid w:val="0"/>
              <w:spacing w:line="360" w:lineRule="auto"/>
              <w:ind w:firstLine="31680"/>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工程总体布局是：修建堤防工程，增强河道行洪能力，提高设防标准，防止洪水冲毁河岸威胁村庄、农田及水利设施。本次修建堤防工程在吉木萨尔县一侧五圣宫水文站至S303省道29.16km范围的河段内共22.09km，该段河道吉木萨尔县一侧自上而下依次分布有牧业村、红山子村、苏家庄村和魏家村等村组，大量的农田、民房、牲圈及水利设施临河而建。</w:t>
            </w:r>
          </w:p>
          <w:p>
            <w:pPr>
              <w:adjustRightInd w:val="0"/>
              <w:snapToGrid w:val="0"/>
              <w:spacing w:line="360" w:lineRule="auto"/>
              <w:ind w:firstLine="31680"/>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1）五圣宫水文站</w:t>
            </w:r>
            <w:r>
              <w:rPr>
                <w:rFonts w:hint="default" w:ascii="Times New Roman" w:hAnsi="Times New Roman" w:eastAsia="宋体" w:cs="Times New Roman"/>
                <w:b w:val="0"/>
                <w:bCs w:val="0"/>
                <w:snapToGrid w:val="0"/>
                <w:color w:val="000000"/>
                <w:kern w:val="0"/>
                <w:sz w:val="24"/>
                <w:szCs w:val="24"/>
                <w:lang w:val="en-US" w:eastAsia="zh-CN"/>
              </w:rPr>
              <w:t>（</w:t>
            </w:r>
            <w:r>
              <w:rPr>
                <w:rFonts w:hint="default" w:ascii="Times New Roman" w:hAnsi="Times New Roman" w:eastAsia="宋体" w:cs="Times New Roman"/>
                <w:color w:val="000000"/>
                <w:kern w:val="0"/>
                <w:sz w:val="24"/>
                <w:szCs w:val="24"/>
                <w:lang w:val="en-US" w:eastAsia="zh-CN" w:bidi="ar"/>
              </w:rPr>
              <w:t>桩号0+000～1+880）段</w:t>
            </w:r>
          </w:p>
          <w:p>
            <w:pPr>
              <w:adjustRightInd w:val="0"/>
              <w:snapToGrid w:val="0"/>
              <w:spacing w:line="360" w:lineRule="auto"/>
              <w:ind w:firstLine="31680"/>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河道左侧属吉木萨尔县管辖，该段仅考虑河道左岸进行防护</w:t>
            </w:r>
            <w:r>
              <w:rPr>
                <w:rFonts w:hint="eastAsia"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沿河岸坡多为牧业村的农田，该段河道位于河道中上游，纵坡大，水流急，河宽在16～54m左右，为防止洪水漫溢进入农田，本次设计堤线基本按现状岸坡陡坎位置布置，局部稍作调整，采用单侧护岸的形式。</w:t>
            </w:r>
          </w:p>
          <w:p>
            <w:pPr>
              <w:adjustRightInd w:val="0"/>
              <w:snapToGrid w:val="0"/>
              <w:spacing w:line="360" w:lineRule="auto"/>
              <w:ind w:firstLine="31680"/>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（2）白杨河水库至林区公路</w:t>
            </w:r>
            <w:r>
              <w:rPr>
                <w:rFonts w:hint="default" w:ascii="Times New Roman" w:hAnsi="Times New Roman" w:eastAsia="宋体" w:cs="Times New Roman"/>
                <w:b w:val="0"/>
                <w:bCs w:val="0"/>
                <w:snapToGrid w:val="0"/>
                <w:color w:val="000000"/>
                <w:kern w:val="0"/>
                <w:sz w:val="24"/>
                <w:szCs w:val="24"/>
                <w:lang w:val="en-US" w:eastAsia="zh-CN"/>
              </w:rPr>
              <w:t>（</w:t>
            </w:r>
            <w:r>
              <w:rPr>
                <w:rFonts w:hint="default" w:ascii="Times New Roman" w:hAnsi="Times New Roman" w:eastAsia="宋体" w:cs="Times New Roman"/>
                <w:color w:val="000000"/>
                <w:kern w:val="0"/>
                <w:sz w:val="24"/>
                <w:szCs w:val="24"/>
                <w:lang w:val="en-US" w:eastAsia="zh-CN" w:bidi="ar"/>
              </w:rPr>
              <w:t>4+100～21+900）段</w:t>
            </w:r>
          </w:p>
          <w:p>
            <w:pPr>
              <w:adjustRightInd w:val="0"/>
              <w:snapToGrid w:val="0"/>
              <w:spacing w:line="360" w:lineRule="auto"/>
              <w:ind w:firstLine="31680"/>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河道左侧属吉木萨尔县管辖，该段仅考虑河道左岸进行防护</w:t>
            </w:r>
            <w:r>
              <w:rPr>
                <w:rFonts w:hint="eastAsia" w:cs="Times New Roman"/>
                <w:color w:val="000000"/>
                <w:kern w:val="0"/>
                <w:sz w:val="24"/>
                <w:szCs w:val="24"/>
                <w:lang w:val="en-US" w:eastAsia="zh-CN" w:bidi="ar"/>
              </w:rPr>
              <w:t>，</w:t>
            </w:r>
            <w:r>
              <w:rPr>
                <w:rFonts w:hint="eastAsia" w:ascii="Times New Roman" w:hAnsi="Times New Roman" w:eastAsia="宋体" w:cs="Times New Roman"/>
                <w:color w:val="000000"/>
                <w:kern w:val="0"/>
                <w:sz w:val="24"/>
                <w:szCs w:val="24"/>
                <w:lang w:val="en-US" w:eastAsia="zh-CN" w:bidi="ar"/>
              </w:rPr>
              <w:t>左岸临河多为红山子村和苏家庄村和农田、村庄及水利设施，该河段河面比较开阔，河宽在150～350m左右，为防止洪水漫溢进入农田和村庄，本次设计堤线基本按现状岸坡堤脚位置布置，局部稍作调整，采用单侧护岸的形式。</w:t>
            </w:r>
          </w:p>
          <w:p>
            <w:pPr>
              <w:adjustRightInd w:val="0"/>
              <w:snapToGrid w:val="0"/>
              <w:spacing w:line="360" w:lineRule="auto"/>
              <w:ind w:firstLine="31680"/>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（3）魏家村至S303省道（桩号26+750～29+160）段</w:t>
            </w:r>
          </w:p>
          <w:p>
            <w:pPr>
              <w:adjustRightInd w:val="0"/>
              <w:snapToGrid w:val="0"/>
              <w:spacing w:line="360" w:lineRule="auto"/>
              <w:ind w:firstLine="31680"/>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河道两侧均属吉木萨尔县管辖，河道左、右两岸临河均建有魏家村的村庄、农田、民房、牲圈及水利设施，因此该段考虑需双侧防护。</w:t>
            </w:r>
          </w:p>
          <w:p>
            <w:pPr>
              <w:adjustRightInd w:val="0"/>
              <w:snapToGrid w:val="0"/>
              <w:spacing w:line="360" w:lineRule="auto"/>
              <w:ind w:firstLine="31680"/>
              <w:rPr>
                <w:rFonts w:hAnsi="宋体"/>
                <w:color w:val="FF0000"/>
                <w:kern w:val="0"/>
              </w:rPr>
            </w:pPr>
            <w:r>
              <w:rPr>
                <w:rFonts w:hint="eastAsia" w:ascii="Times New Roman" w:hAnsi="Times New Roman" w:eastAsia="宋体" w:cs="Times New Roman"/>
                <w:color w:val="000000"/>
                <w:kern w:val="0"/>
                <w:sz w:val="24"/>
                <w:szCs w:val="24"/>
                <w:lang w:val="en-US" w:eastAsia="zh-CN" w:bidi="ar"/>
              </w:rPr>
              <w:t>该段已形成天然排洪渠，由于为天然土渠，两岸掏刷严重，渠道南北走向，左右两侧多是农田、民房、牲圈，沿线无坡积洪水的汇入，主要任务是将上游来水导入下游洪沟</w:t>
            </w:r>
            <w:r>
              <w:rPr>
                <w:rFonts w:hint="eastAsia" w:cs="Times New Roman"/>
                <w:color w:val="000000"/>
                <w:kern w:val="0"/>
                <w:sz w:val="24"/>
                <w:szCs w:val="24"/>
                <w:lang w:val="en-US" w:eastAsia="zh-CN" w:bidi="ar"/>
              </w:rPr>
              <w:t>，</w:t>
            </w:r>
            <w:r>
              <w:rPr>
                <w:rFonts w:hint="eastAsia" w:ascii="Times New Roman" w:hAnsi="Times New Roman" w:eastAsia="宋体" w:cs="Times New Roman"/>
                <w:color w:val="000000"/>
                <w:kern w:val="0"/>
                <w:sz w:val="24"/>
                <w:szCs w:val="24"/>
                <w:lang w:val="en-US" w:eastAsia="zh-CN" w:bidi="ar"/>
              </w:rPr>
              <w:t>因此，本次设计结合现场的实际情况，为减少工程投资，利用现状已形成的土渠，修建排洪渠工程，采用全断面衬砌形式，将洪水导入下游</w:t>
            </w:r>
            <w:r>
              <w:rPr>
                <w:rFonts w:hint="eastAsia" w:cs="Times New Roman"/>
                <w:color w:val="000000"/>
                <w:kern w:val="0"/>
                <w:sz w:val="24"/>
                <w:szCs w:val="24"/>
                <w:lang w:val="en-US" w:eastAsia="zh-CN" w:bidi="ar"/>
              </w:rPr>
              <w:t>，</w:t>
            </w:r>
            <w:r>
              <w:rPr>
                <w:rFonts w:hint="eastAsia" w:ascii="Times New Roman" w:hAnsi="Times New Roman" w:eastAsia="宋体" w:cs="Times New Roman"/>
                <w:color w:val="000000"/>
                <w:kern w:val="0"/>
                <w:sz w:val="24"/>
                <w:szCs w:val="24"/>
                <w:lang w:val="en-US" w:eastAsia="zh-CN" w:bidi="ar"/>
              </w:rPr>
              <w:t>由于该段防洪渠两侧均多为耕地和民房，场地条件有限，因此，本次布置渠线仍采用原渠道布置的线路，不作大的改动。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791" w:type="dxa"/>
            <w:vAlign w:val="center"/>
          </w:tcPr>
          <w:p>
            <w:pPr>
              <w:adjustRightInd w:val="0"/>
              <w:snapToGrid w:val="0"/>
              <w:spacing w:line="240" w:lineRule="auto"/>
              <w:ind w:firstLine="0" w:firstLineChars="0"/>
              <w:jc w:val="center"/>
              <w:rPr>
                <w:rFonts w:hint="eastAsia" w:ascii="宋体" w:hAnsi="宋体" w:cs="宋体"/>
                <w:b/>
                <w:color w:val="000000"/>
                <w:kern w:val="0"/>
                <w:highlight w:val="none"/>
              </w:rPr>
            </w:pPr>
          </w:p>
          <w:p>
            <w:pPr>
              <w:adjustRightInd w:val="0"/>
              <w:snapToGrid w:val="0"/>
              <w:spacing w:line="240" w:lineRule="auto"/>
              <w:ind w:firstLine="0" w:firstLineChars="0"/>
              <w:jc w:val="center"/>
              <w:rPr>
                <w:rFonts w:hint="eastAsia" w:ascii="宋体" w:hAnsi="宋体" w:cs="宋体"/>
                <w:b/>
                <w:color w:val="000000"/>
                <w:kern w:val="0"/>
                <w:highlight w:val="none"/>
              </w:rPr>
            </w:pPr>
          </w:p>
          <w:p>
            <w:pPr>
              <w:adjustRightInd w:val="0"/>
              <w:snapToGrid w:val="0"/>
              <w:spacing w:line="240" w:lineRule="auto"/>
              <w:ind w:firstLine="0" w:firstLineChars="0"/>
              <w:jc w:val="center"/>
              <w:rPr>
                <w:rFonts w:hint="eastAsia" w:ascii="宋体" w:hAnsi="宋体" w:cs="宋体"/>
                <w:b/>
                <w:color w:val="000000"/>
                <w:kern w:val="0"/>
                <w:highlight w:val="none"/>
              </w:rPr>
            </w:pPr>
          </w:p>
          <w:p>
            <w:pPr>
              <w:adjustRightInd w:val="0"/>
              <w:snapToGrid w:val="0"/>
              <w:spacing w:line="240" w:lineRule="auto"/>
              <w:ind w:firstLine="0" w:firstLineChars="0"/>
              <w:jc w:val="center"/>
              <w:rPr>
                <w:rFonts w:hint="eastAsia" w:ascii="宋体" w:hAnsi="宋体" w:cs="宋体"/>
                <w:b/>
                <w:color w:val="000000"/>
                <w:kern w:val="0"/>
                <w:highlight w:val="none"/>
              </w:rPr>
            </w:pPr>
          </w:p>
          <w:p>
            <w:pPr>
              <w:adjustRightInd w:val="0"/>
              <w:snapToGrid w:val="0"/>
              <w:spacing w:line="240" w:lineRule="auto"/>
              <w:ind w:firstLine="0" w:firstLineChars="0"/>
              <w:jc w:val="center"/>
              <w:rPr>
                <w:rFonts w:hint="eastAsia" w:ascii="宋体" w:hAnsi="宋体" w:cs="宋体"/>
                <w:b/>
                <w:color w:val="000000"/>
                <w:kern w:val="0"/>
                <w:highlight w:val="none"/>
              </w:rPr>
            </w:pPr>
          </w:p>
          <w:p>
            <w:pPr>
              <w:adjustRightInd w:val="0"/>
              <w:snapToGrid w:val="0"/>
              <w:spacing w:line="240" w:lineRule="auto"/>
              <w:ind w:firstLine="0" w:firstLineChars="0"/>
              <w:jc w:val="center"/>
              <w:rPr>
                <w:rFonts w:hint="eastAsia" w:ascii="宋体" w:hAnsi="宋体" w:cs="宋体"/>
                <w:b/>
                <w:color w:val="000000"/>
                <w:kern w:val="0"/>
                <w:highlight w:val="none"/>
              </w:rPr>
            </w:pPr>
          </w:p>
          <w:p>
            <w:pPr>
              <w:adjustRightInd w:val="0"/>
              <w:snapToGrid w:val="0"/>
              <w:spacing w:line="240" w:lineRule="auto"/>
              <w:ind w:firstLine="0" w:firstLineChars="0"/>
              <w:jc w:val="center"/>
              <w:rPr>
                <w:rFonts w:hint="default" w:ascii="宋体" w:eastAsia="宋体" w:cs="宋体"/>
                <w:b/>
                <w:color w:val="000000"/>
                <w:kern w:val="0"/>
                <w:lang w:val="en-US" w:eastAsia="zh-CN"/>
              </w:rPr>
            </w:pPr>
            <w:r>
              <w:rPr>
                <w:rFonts w:hint="eastAsia" w:ascii="宋体" w:hAnsi="宋体" w:cs="宋体"/>
                <w:b/>
                <w:color w:val="000000"/>
                <w:kern w:val="0"/>
                <w:highlight w:val="none"/>
              </w:rPr>
              <w:t>施工方案</w:t>
            </w:r>
            <w:r>
              <w:rPr>
                <w:rFonts w:hint="eastAsia" w:ascii="宋体" w:hAnsi="宋体" w:cs="宋体"/>
                <w:b/>
                <w:color w:val="000000"/>
                <w:kern w:val="0"/>
                <w:highlight w:val="none"/>
                <w:lang w:val="en-US" w:eastAsia="zh-CN"/>
              </w:rPr>
              <w:t>及施工总布置</w:t>
            </w:r>
          </w:p>
        </w:tc>
        <w:tc>
          <w:tcPr>
            <w:tcW w:w="8063" w:type="dxa"/>
            <w:vAlign w:val="center"/>
          </w:tcPr>
          <w:p>
            <w:pPr>
              <w:pStyle w:val="53"/>
              <w:ind w:left="0" w:leftChars="0" w:firstLine="0" w:firstLineChars="0"/>
              <w:rPr>
                <w:rFonts w:hint="default" w:ascii="Times New Roman" w:hAnsi="Times New Roman" w:eastAsia="宋体" w:cs="Times New Roman"/>
                <w:b/>
                <w:bCs/>
                <w:color w:val="000000"/>
                <w:kern w:val="0"/>
                <w:sz w:val="24"/>
                <w:szCs w:val="24"/>
                <w:lang w:val="en-US" w:eastAsia="zh-CN" w:bidi="ar"/>
              </w:rPr>
            </w:pPr>
            <w:r>
              <w:rPr>
                <w:rFonts w:hint="eastAsia" w:ascii="Times New Roman" w:cs="Times New Roman"/>
                <w:b/>
                <w:bCs/>
                <w:color w:val="000000"/>
                <w:kern w:val="0"/>
                <w:sz w:val="24"/>
                <w:szCs w:val="24"/>
                <w:lang w:val="en-US" w:eastAsia="zh-CN" w:bidi="ar"/>
              </w:rPr>
              <w:t>1</w:t>
            </w:r>
            <w:r>
              <w:rPr>
                <w:rFonts w:hint="eastAsia" w:ascii="Times New Roman" w:hAnsi="Times New Roman" w:eastAsia="宋体" w:cs="Times New Roman"/>
                <w:b/>
                <w:bCs/>
                <w:color w:val="000000"/>
                <w:kern w:val="0"/>
                <w:sz w:val="24"/>
                <w:szCs w:val="24"/>
                <w:lang w:val="en-US" w:eastAsia="zh-CN" w:bidi="ar"/>
              </w:rPr>
              <w:t>、施工方案</w:t>
            </w:r>
          </w:p>
          <w:p>
            <w:pPr>
              <w:pStyle w:val="53"/>
              <w:ind w:left="0" w:leftChars="0" w:firstLine="480" w:firstLineChars="200"/>
              <w:rPr>
                <w:rFonts w:hint="default" w:ascii="Times New Roman" w:hAnsi="Times New Roman" w:eastAsia="宋体" w:cs="Times New Roman"/>
                <w:color w:val="000000"/>
                <w:kern w:val="0"/>
                <w:sz w:val="24"/>
                <w:szCs w:val="24"/>
                <w:highlight w:val="none"/>
                <w:lang w:val="en-US" w:eastAsia="zh-CN" w:bidi="ar"/>
              </w:rPr>
            </w:pPr>
            <w:r>
              <w:rPr>
                <w:rFonts w:hint="eastAsia" w:ascii="Times New Roman" w:hAnsi="Times New Roman" w:eastAsia="宋体" w:cs="Times New Roman"/>
                <w:color w:val="000000"/>
                <w:kern w:val="0"/>
                <w:sz w:val="24"/>
                <w:szCs w:val="24"/>
                <w:highlight w:val="none"/>
                <w:lang w:val="en-US" w:eastAsia="zh-CN" w:bidi="ar"/>
              </w:rPr>
              <w:t>（1）</w:t>
            </w:r>
            <w:r>
              <w:rPr>
                <w:rFonts w:hint="default" w:ascii="Times New Roman" w:hAnsi="Times New Roman" w:eastAsia="宋体" w:cs="Times New Roman"/>
                <w:color w:val="000000"/>
                <w:kern w:val="0"/>
                <w:sz w:val="24"/>
                <w:szCs w:val="24"/>
                <w:highlight w:val="none"/>
                <w:lang w:val="en-US" w:eastAsia="zh-CN" w:bidi="ar"/>
              </w:rPr>
              <w:t>施工准备</w:t>
            </w:r>
          </w:p>
          <w:p>
            <w:pPr>
              <w:pStyle w:val="53"/>
              <w:ind w:left="0" w:leftChars="0" w:firstLine="480" w:firstLineChars="200"/>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堤防主体工程分为三大部分，一是堤防砼板砌筑，二是防冲隔墙现浇砼浇筑三是堤身填筑。根据现行的水利水电工程施工规范的要求，并结合当地的实际情况进行施工。</w:t>
            </w:r>
          </w:p>
          <w:p>
            <w:pPr>
              <w:pStyle w:val="53"/>
              <w:ind w:left="0" w:leftChars="0" w:firstLine="480" w:firstLineChars="200"/>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（2）土石方开挖</w:t>
            </w:r>
          </w:p>
          <w:p>
            <w:pPr>
              <w:pStyle w:val="53"/>
              <w:ind w:left="0" w:leftChars="0" w:firstLine="480" w:firstLineChars="200"/>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土石方开挖主要是指堤防工程基础、建筑物工作断面开挖等</w:t>
            </w:r>
            <w:r>
              <w:rPr>
                <w:rFonts w:hint="eastAsia" w:ascii="Times New Roman" w:cs="Times New Roman"/>
                <w:color w:val="000000"/>
                <w:kern w:val="0"/>
                <w:sz w:val="24"/>
                <w:szCs w:val="24"/>
                <w:lang w:val="en-US" w:eastAsia="zh-CN" w:bidi="ar"/>
              </w:rPr>
              <w:t>，</w:t>
            </w:r>
            <w:r>
              <w:rPr>
                <w:rFonts w:hint="eastAsia" w:ascii="Times New Roman" w:hAnsi="Times New Roman" w:eastAsia="宋体" w:cs="Times New Roman"/>
                <w:color w:val="000000"/>
                <w:kern w:val="0"/>
                <w:sz w:val="24"/>
                <w:szCs w:val="24"/>
                <w:lang w:val="en-US" w:eastAsia="zh-CN" w:bidi="ar"/>
              </w:rPr>
              <w:t>土方开挖采用0.5～</w:t>
            </w:r>
            <w:r>
              <w:rPr>
                <w:rFonts w:hint="default" w:ascii="Times New Roman" w:hAnsi="Times New Roman" w:eastAsia="宋体" w:cs="Times New Roman"/>
                <w:color w:val="000000"/>
                <w:kern w:val="0"/>
                <w:sz w:val="24"/>
                <w:szCs w:val="24"/>
                <w:lang w:val="en-US" w:eastAsia="zh-CN" w:bidi="ar"/>
              </w:rPr>
              <w:t>1.0m</w:t>
            </w:r>
            <w:r>
              <w:rPr>
                <w:rFonts w:hint="eastAsia" w:ascii="Times New Roman" w:hAnsi="Times New Roman" w:eastAsia="宋体" w:cs="Times New Roman"/>
                <w:color w:val="000000"/>
                <w:kern w:val="0"/>
                <w:sz w:val="24"/>
                <w:szCs w:val="24"/>
                <w:lang w:val="en-US" w:eastAsia="zh-CN" w:bidi="ar"/>
              </w:rPr>
              <w:t>反铲挖掘机，</w:t>
            </w:r>
            <w:r>
              <w:rPr>
                <w:rFonts w:hint="default" w:ascii="Times New Roman" w:hAnsi="Times New Roman" w:eastAsia="宋体" w:cs="Times New Roman"/>
                <w:color w:val="000000"/>
                <w:kern w:val="0"/>
                <w:sz w:val="24"/>
                <w:szCs w:val="24"/>
                <w:lang w:val="en-US" w:eastAsia="zh-CN" w:bidi="ar"/>
              </w:rPr>
              <w:t>80~120HP</w:t>
            </w:r>
            <w:r>
              <w:rPr>
                <w:rFonts w:hint="eastAsia" w:ascii="Times New Roman" w:hAnsi="Times New Roman" w:eastAsia="宋体" w:cs="Times New Roman"/>
                <w:color w:val="000000"/>
                <w:kern w:val="0"/>
                <w:sz w:val="24"/>
                <w:szCs w:val="24"/>
                <w:lang w:val="en-US" w:eastAsia="zh-CN" w:bidi="ar"/>
              </w:rPr>
              <w:t>推土机配合施工，多余开挖料由</w:t>
            </w:r>
            <w:r>
              <w:rPr>
                <w:rFonts w:hint="default" w:ascii="Times New Roman" w:hAnsi="Times New Roman" w:eastAsia="宋体" w:cs="Times New Roman"/>
                <w:color w:val="000000"/>
                <w:kern w:val="0"/>
                <w:sz w:val="24"/>
                <w:szCs w:val="24"/>
                <w:lang w:val="en-US" w:eastAsia="zh-CN" w:bidi="ar"/>
              </w:rPr>
              <w:t>5</w:t>
            </w:r>
            <w:r>
              <w:rPr>
                <w:rFonts w:hint="eastAsia" w:ascii="Times New Roman" w:hAnsi="Times New Roman" w:eastAsia="宋体"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8t</w:t>
            </w:r>
            <w:r>
              <w:rPr>
                <w:rFonts w:hint="eastAsia" w:ascii="Times New Roman" w:hAnsi="Times New Roman" w:eastAsia="宋体" w:cs="Times New Roman"/>
                <w:color w:val="000000"/>
                <w:kern w:val="0"/>
                <w:sz w:val="24"/>
                <w:szCs w:val="24"/>
                <w:lang w:val="en-US" w:eastAsia="zh-CN" w:bidi="ar"/>
              </w:rPr>
              <w:t>自卸汽车运输出渣。</w:t>
            </w:r>
          </w:p>
          <w:p>
            <w:pPr>
              <w:pStyle w:val="53"/>
              <w:ind w:left="0" w:leftChars="0" w:firstLine="480" w:firstLineChars="200"/>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（3）筑堤料回填</w:t>
            </w:r>
          </w:p>
          <w:p>
            <w:pPr>
              <w:pStyle w:val="53"/>
              <w:ind w:left="0" w:leftChars="0" w:firstLine="480" w:firstLineChars="200"/>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筑堤料可利用开挖料，采用振动碾压实。填筑应分层进行，层厚不宜超过30cm，需要机械压实的遍数，应通过填筑前期的压实试验来确定</w:t>
            </w:r>
            <w:r>
              <w:rPr>
                <w:rFonts w:hint="eastAsia" w:ascii="Times New Roman" w:cs="Times New Roman"/>
                <w:color w:val="000000"/>
                <w:kern w:val="0"/>
                <w:sz w:val="24"/>
                <w:szCs w:val="24"/>
                <w:lang w:val="en-US" w:eastAsia="zh-CN" w:bidi="ar"/>
              </w:rPr>
              <w:t>，</w:t>
            </w:r>
            <w:r>
              <w:rPr>
                <w:rFonts w:hint="eastAsia" w:ascii="Times New Roman" w:hAnsi="Times New Roman" w:eastAsia="宋体" w:cs="Times New Roman"/>
                <w:color w:val="000000"/>
                <w:kern w:val="0"/>
                <w:sz w:val="24"/>
                <w:szCs w:val="24"/>
                <w:lang w:val="en-US" w:eastAsia="zh-CN" w:bidi="ar"/>
              </w:rPr>
              <w:t>填筑料应分层现场取样试验，并做好验收签证工作，严格按照《堤防工程施工规范》（</w:t>
            </w:r>
            <w:r>
              <w:rPr>
                <w:rFonts w:hint="default" w:ascii="Times New Roman" w:hAnsi="Times New Roman" w:eastAsia="宋体" w:cs="Times New Roman"/>
                <w:color w:val="000000"/>
                <w:kern w:val="0"/>
                <w:sz w:val="24"/>
                <w:szCs w:val="24"/>
                <w:lang w:val="en-US" w:eastAsia="zh-CN" w:bidi="ar"/>
              </w:rPr>
              <w:t>SL260-98</w:t>
            </w:r>
            <w:r>
              <w:rPr>
                <w:rFonts w:hint="eastAsia" w:ascii="Times New Roman" w:hAnsi="Times New Roman" w:eastAsia="宋体" w:cs="Times New Roman"/>
                <w:color w:val="000000"/>
                <w:kern w:val="0"/>
                <w:sz w:val="24"/>
                <w:szCs w:val="24"/>
                <w:lang w:val="en-US" w:eastAsia="zh-CN" w:bidi="ar"/>
              </w:rPr>
              <w:t>）的有关规定来执行。</w:t>
            </w:r>
          </w:p>
          <w:p>
            <w:pPr>
              <w:pStyle w:val="53"/>
              <w:ind w:left="0" w:leftChars="0" w:firstLine="480" w:firstLineChars="200"/>
              <w:rPr>
                <w:rFonts w:hint="default" w:ascii="Times New Roman" w:hAnsi="Times New Roman" w:eastAsia="宋体" w:cs="Times New Roman"/>
                <w:color w:val="000000"/>
                <w:kern w:val="0"/>
                <w:sz w:val="24"/>
                <w:szCs w:val="24"/>
                <w:lang w:val="en-US" w:eastAsia="zh-CN" w:bidi="ar"/>
              </w:rPr>
            </w:pPr>
            <w:r>
              <w:rPr>
                <w:rFonts w:hint="eastAsia" w:ascii="Times New Roman" w:cs="Times New Roman"/>
                <w:color w:val="000000"/>
                <w:kern w:val="0"/>
                <w:sz w:val="24"/>
                <w:szCs w:val="24"/>
                <w:lang w:val="en-US" w:eastAsia="zh-CN" w:bidi="ar"/>
              </w:rPr>
              <w:t>4</w:t>
            </w:r>
            <w:r>
              <w:rPr>
                <w:rFonts w:hint="eastAsia" w:ascii="Times New Roman" w:hAnsi="Times New Roman" w:eastAsia="宋体" w:cs="Times New Roman"/>
                <w:color w:val="000000"/>
                <w:kern w:val="0"/>
                <w:sz w:val="24"/>
                <w:szCs w:val="24"/>
                <w:lang w:val="en-US" w:eastAsia="zh-CN" w:bidi="ar"/>
              </w:rPr>
              <w:t>）砼板施工</w:t>
            </w:r>
          </w:p>
          <w:p>
            <w:pPr>
              <w:pStyle w:val="53"/>
              <w:ind w:left="0" w:leftChars="0" w:firstLine="480" w:firstLineChars="200"/>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砼护坡、护底砼等砼施工采用半机械化施工，模板以机械化加工为主，辅以人工，砼浇筑采用机械拌制、人工运输、振捣器捣实。</w:t>
            </w:r>
          </w:p>
          <w:p>
            <w:pPr>
              <w:pStyle w:val="53"/>
              <w:ind w:left="0" w:leftChars="0" w:firstLine="480" w:firstLineChars="200"/>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拌和站布置河道沿线宽敞合适位置处，按《水工砼施工技术规范》的要求进行拌制，5t自卸汽车运至河道沿线，经溜槽送至施工点，局部地段的搅拌设备也可采用移动式0.4</w:t>
            </w:r>
            <w:r>
              <w:rPr>
                <w:rFonts w:hint="eastAsia" w:ascii="Times New Roman" w:hAnsi="Times New Roman" w:eastAsia="宋体" w:cs="Times New Roman"/>
                <w:b w:val="0"/>
                <w:bCs w:val="0"/>
                <w:snapToGrid w:val="0"/>
                <w:color w:val="000000"/>
                <w:kern w:val="0"/>
                <w:sz w:val="24"/>
                <w:szCs w:val="24"/>
                <w:vertAlign w:val="baseline"/>
                <w:lang w:val="en-US" w:eastAsia="zh-CN"/>
              </w:rPr>
              <w:t>m</w:t>
            </w:r>
            <w:r>
              <w:rPr>
                <w:rFonts w:hint="eastAsia" w:ascii="Times New Roman" w:hAnsi="Times New Roman" w:eastAsia="宋体" w:cs="Times New Roman"/>
                <w:b w:val="0"/>
                <w:bCs w:val="0"/>
                <w:snapToGrid w:val="0"/>
                <w:color w:val="000000"/>
                <w:kern w:val="0"/>
                <w:sz w:val="24"/>
                <w:szCs w:val="24"/>
                <w:vertAlign w:val="superscript"/>
                <w:lang w:val="en-US" w:eastAsia="zh-CN"/>
              </w:rPr>
              <w:t>3</w:t>
            </w:r>
            <w:r>
              <w:rPr>
                <w:rFonts w:hint="eastAsia" w:ascii="Times New Roman" w:hAnsi="Times New Roman" w:eastAsia="宋体" w:cs="Times New Roman"/>
                <w:color w:val="000000"/>
                <w:kern w:val="0"/>
                <w:sz w:val="24"/>
                <w:szCs w:val="24"/>
                <w:lang w:val="en-US" w:eastAsia="zh-CN" w:bidi="ar"/>
              </w:rPr>
              <w:t>CJG400拌和机，砼骨料由自卸汽车自料厂运输至拌和站，自卸汽车将拌好的成品砼运至施工用料点，</w:t>
            </w:r>
          </w:p>
          <w:p>
            <w:pPr>
              <w:pStyle w:val="53"/>
              <w:ind w:left="0" w:leftChars="0" w:firstLine="480" w:firstLineChars="200"/>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浇筑砼时，砼塌落度应根据试验确定，不宜过大，以防止滑动，入仓时如高度超过2m，宜采用溜槽下料，以防砼离析，人工平仓后，采用4kw的平板振动板振捣。</w:t>
            </w:r>
          </w:p>
          <w:p>
            <w:pPr>
              <w:pStyle w:val="53"/>
              <w:ind w:left="0" w:leftChars="0" w:firstLine="0" w:firstLineChars="0"/>
              <w:rPr>
                <w:rFonts w:hint="default" w:ascii="Times New Roman" w:cs="Times New Roman"/>
                <w:b/>
                <w:bCs/>
                <w:color w:val="000000"/>
                <w:kern w:val="0"/>
                <w:sz w:val="24"/>
                <w:szCs w:val="20"/>
                <w:lang w:val="en-US" w:eastAsia="zh-CN" w:bidi="ar-SA"/>
              </w:rPr>
            </w:pPr>
            <w:r>
              <w:rPr>
                <w:rFonts w:hint="eastAsia" w:ascii="Times New Roman" w:cs="Times New Roman"/>
                <w:b/>
                <w:bCs/>
                <w:color w:val="000000"/>
                <w:kern w:val="0"/>
                <w:sz w:val="24"/>
                <w:szCs w:val="20"/>
                <w:lang w:val="en-US" w:eastAsia="zh-CN" w:bidi="ar-SA"/>
              </w:rPr>
              <w:t>2、施工布置</w:t>
            </w:r>
          </w:p>
          <w:p>
            <w:pPr>
              <w:pStyle w:val="53"/>
              <w:spacing w:line="360" w:lineRule="auto"/>
              <w:ind w:left="0" w:leftChars="0" w:firstLine="480" w:firstLineChars="200"/>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（1）</w:t>
            </w:r>
            <w:r>
              <w:rPr>
                <w:rFonts w:ascii="宋体" w:hAnsi="宋体" w:eastAsia="宋体" w:cs="宋体"/>
                <w:sz w:val="24"/>
                <w:szCs w:val="24"/>
              </w:rPr>
              <w:t>取土场布置</w:t>
            </w:r>
          </w:p>
          <w:p>
            <w:pPr>
              <w:pStyle w:val="53"/>
              <w:spacing w:line="360" w:lineRule="auto"/>
              <w:ind w:left="0" w:leftChars="0" w:firstLine="480" w:firstLineChars="200"/>
              <w:rPr>
                <w:rFonts w:hint="default" w:ascii="Times New Roman" w:hAnsi="Times New Roman" w:eastAsia="宋体" w:cs="Times New Roman"/>
                <w:color w:val="000000"/>
                <w:kern w:val="2"/>
                <w:sz w:val="24"/>
                <w:szCs w:val="24"/>
                <w:lang w:val="en-US" w:eastAsia="zh-CN" w:bidi="ar-SA"/>
              </w:rPr>
            </w:pPr>
            <w:r>
              <w:rPr>
                <w:rFonts w:ascii="宋体" w:hAnsi="宋体" w:eastAsia="宋体" w:cs="宋体"/>
                <w:sz w:val="24"/>
                <w:szCs w:val="24"/>
              </w:rPr>
              <w:t>本工程不设置专用取土（石、料）场，工程建设所需的砂、石、级配碎石等材料，项目区所需的混凝土骨料从吉木萨尔县的砂石料场购买获得，工程区与料场有县乡道路相通，交通较为方便。</w:t>
            </w:r>
          </w:p>
          <w:p>
            <w:pPr>
              <w:pStyle w:val="53"/>
              <w:spacing w:line="360" w:lineRule="auto"/>
              <w:ind w:left="0" w:leftChars="0" w:firstLine="480" w:firstLineChars="200"/>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w:t>
            </w:r>
            <w:r>
              <w:rPr>
                <w:rFonts w:hint="eastAsia" w:ascii="Times New Roman" w:cs="Times New Roman"/>
                <w:color w:val="000000"/>
                <w:kern w:val="2"/>
                <w:sz w:val="24"/>
                <w:szCs w:val="24"/>
                <w:lang w:val="en-US" w:eastAsia="zh-CN" w:bidi="ar-SA"/>
              </w:rPr>
              <w:t>2</w:t>
            </w:r>
            <w:r>
              <w:rPr>
                <w:rFonts w:hint="default" w:ascii="Times New Roman" w:hAnsi="Times New Roman" w:eastAsia="宋体" w:cs="Times New Roman"/>
                <w:color w:val="000000"/>
                <w:kern w:val="2"/>
                <w:sz w:val="24"/>
                <w:szCs w:val="24"/>
                <w:lang w:val="en-US" w:eastAsia="zh-CN" w:bidi="ar-SA"/>
              </w:rPr>
              <w:t>）</w:t>
            </w:r>
            <w:r>
              <w:rPr>
                <w:rFonts w:ascii="宋体" w:hAnsi="宋体" w:eastAsia="宋体" w:cs="宋体"/>
                <w:sz w:val="24"/>
                <w:szCs w:val="24"/>
              </w:rPr>
              <w:t>弃土场布置</w:t>
            </w:r>
          </w:p>
          <w:p>
            <w:pPr>
              <w:pStyle w:val="53"/>
              <w:spacing w:line="360" w:lineRule="auto"/>
              <w:ind w:left="0" w:leftChars="0" w:firstLine="480" w:firstLineChars="200"/>
              <w:rPr>
                <w:rFonts w:hint="default" w:ascii="Times New Roman" w:hAnsi="Times New Roman" w:eastAsia="宋体" w:cs="Times New Roman"/>
                <w:color w:val="000000"/>
                <w:kern w:val="2"/>
                <w:sz w:val="24"/>
                <w:szCs w:val="24"/>
                <w:lang w:val="en-US" w:eastAsia="zh-CN" w:bidi="ar-SA"/>
              </w:rPr>
            </w:pPr>
            <w:r>
              <w:rPr>
                <w:rFonts w:ascii="宋体" w:hAnsi="宋体" w:eastAsia="宋体" w:cs="宋体"/>
                <w:sz w:val="24"/>
                <w:szCs w:val="24"/>
              </w:rPr>
              <w:t>主体工程施工组织设计对土石方进行了合理的调配，开挖土方大部分用于回填，剩余的土石方用于防洪堤沿线外坡培筑，不产生永久弃渣，本项目建设不设置永久弃渣场。</w:t>
            </w:r>
          </w:p>
          <w:p>
            <w:pPr>
              <w:pStyle w:val="53"/>
              <w:spacing w:line="360" w:lineRule="auto"/>
              <w:ind w:left="0" w:leftChars="0" w:firstLine="480" w:firstLineChars="200"/>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w:t>
            </w:r>
            <w:r>
              <w:rPr>
                <w:rFonts w:hint="default" w:ascii="Times New Roman" w:hAnsi="Times New Roman" w:cs="Times New Roman"/>
                <w:color w:val="000000"/>
                <w:kern w:val="2"/>
                <w:sz w:val="24"/>
                <w:szCs w:val="24"/>
                <w:lang w:val="en-US" w:eastAsia="zh-CN" w:bidi="ar-SA"/>
              </w:rPr>
              <w:t>3</w:t>
            </w:r>
            <w:r>
              <w:rPr>
                <w:rFonts w:hint="default" w:ascii="Times New Roman" w:hAnsi="Times New Roman" w:eastAsia="宋体" w:cs="Times New Roman"/>
                <w:color w:val="000000"/>
                <w:kern w:val="2"/>
                <w:sz w:val="24"/>
                <w:szCs w:val="24"/>
                <w:lang w:val="en-US" w:eastAsia="zh-CN" w:bidi="ar-SA"/>
              </w:rPr>
              <w:t>）</w:t>
            </w:r>
            <w:r>
              <w:rPr>
                <w:rFonts w:hint="default" w:ascii="Times New Roman" w:hAnsi="Times New Roman" w:eastAsia="宋体" w:cs="Times New Roman"/>
                <w:sz w:val="24"/>
                <w:szCs w:val="24"/>
              </w:rPr>
              <w:t>施工生产区</w:t>
            </w:r>
          </w:p>
          <w:p>
            <w:pPr>
              <w:pStyle w:val="53"/>
              <w:spacing w:line="360" w:lineRule="auto"/>
              <w:ind w:left="0" w:leftChars="0" w:firstLine="480" w:firstLineChars="200"/>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sz w:val="24"/>
                <w:szCs w:val="24"/>
              </w:rPr>
              <w:t>本项目为线性工程，低山丘陵区设置三处施工生产区，占地1.14hm</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4"/>
                <w:szCs w:val="24"/>
              </w:rPr>
              <w:t>；冲洪积平原设置一处施工生产区，占地0.38hm</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4"/>
                <w:szCs w:val="24"/>
              </w:rPr>
              <w:t>，占地类型</w:t>
            </w:r>
            <w:r>
              <w:rPr>
                <w:rFonts w:hint="eastAsia" w:ascii="Times New Roman" w:cs="Times New Roman"/>
                <w:sz w:val="24"/>
                <w:szCs w:val="24"/>
                <w:lang w:val="en-US" w:eastAsia="zh-CN"/>
              </w:rPr>
              <w:t>为</w:t>
            </w:r>
            <w:r>
              <w:rPr>
                <w:rFonts w:hint="default" w:ascii="Times New Roman" w:hAnsi="Times New Roman" w:eastAsia="宋体" w:cs="Times New Roman"/>
                <w:sz w:val="24"/>
                <w:szCs w:val="24"/>
              </w:rPr>
              <w:t>未利用地</w:t>
            </w:r>
            <w:r>
              <w:rPr>
                <w:rFonts w:hint="eastAsia" w:ascii="Times New Roman" w:cs="Times New Roman"/>
                <w:sz w:val="24"/>
                <w:szCs w:val="24"/>
                <w:lang w:eastAsia="zh-CN"/>
              </w:rPr>
              <w:t>，</w:t>
            </w:r>
            <w:r>
              <w:rPr>
                <w:rFonts w:hint="eastAsia" w:ascii="Times New Roman" w:cs="Times New Roman"/>
                <w:sz w:val="24"/>
                <w:szCs w:val="24"/>
                <w:highlight w:val="none"/>
                <w:lang w:val="en-US" w:eastAsia="zh-CN"/>
              </w:rPr>
              <w:t>均布置在距离施工区域1公里处，离生态红线和江布拉克国家森林公园有一定距离。</w:t>
            </w:r>
          </w:p>
          <w:p>
            <w:pPr>
              <w:pStyle w:val="53"/>
              <w:spacing w:line="360" w:lineRule="auto"/>
              <w:ind w:left="0" w:leftChars="0" w:firstLine="480" w:firstLineChars="200"/>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w:t>
            </w:r>
            <w:r>
              <w:rPr>
                <w:rFonts w:hint="eastAsia" w:ascii="Times New Roman" w:cs="Times New Roman"/>
                <w:color w:val="000000"/>
                <w:kern w:val="2"/>
                <w:sz w:val="24"/>
                <w:szCs w:val="24"/>
                <w:lang w:val="en-US" w:eastAsia="zh-CN" w:bidi="ar-SA"/>
              </w:rPr>
              <w:t>4</w:t>
            </w:r>
            <w:r>
              <w:rPr>
                <w:rFonts w:hint="default" w:ascii="Times New Roman" w:hAnsi="Times New Roman" w:eastAsia="宋体" w:cs="Times New Roman"/>
                <w:color w:val="000000"/>
                <w:kern w:val="2"/>
                <w:sz w:val="24"/>
                <w:szCs w:val="24"/>
                <w:lang w:val="en-US" w:eastAsia="zh-CN" w:bidi="ar-SA"/>
              </w:rPr>
              <w:t>）</w:t>
            </w:r>
            <w:r>
              <w:rPr>
                <w:rFonts w:ascii="宋体" w:hAnsi="宋体" w:eastAsia="宋体" w:cs="宋体"/>
                <w:sz w:val="24"/>
                <w:szCs w:val="24"/>
              </w:rPr>
              <w:t>临时堆土区</w:t>
            </w:r>
          </w:p>
          <w:p>
            <w:pPr>
              <w:rPr>
                <w:rFonts w:ascii="宋体" w:hAnsi="宋体" w:eastAsia="宋体" w:cs="宋体"/>
                <w:sz w:val="24"/>
                <w:szCs w:val="24"/>
              </w:rPr>
            </w:pPr>
            <w:r>
              <w:rPr>
                <w:rFonts w:ascii="宋体" w:hAnsi="宋体" w:eastAsia="宋体" w:cs="宋体"/>
                <w:sz w:val="24"/>
                <w:szCs w:val="24"/>
              </w:rPr>
              <w:t>本项目为线性工程，主体考虑本项目为线性工程，沿线土方主要为防洪堤区及排洪渠基坑开挖土方，主体考虑布设临时堆土区域3处：</w:t>
            </w:r>
          </w:p>
          <w:p>
            <w:pP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①低山丘陵区防洪堤临时堆土区布设于防洪坝一侧，宽度4m，长度15.78km，占地面积6.31hm</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4"/>
                <w:szCs w:val="24"/>
              </w:rPr>
              <w:t>，临时堆土堆高5m，边坡1:1.5，可容纳最大土方量为30万m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w:t>
            </w:r>
          </w:p>
          <w:p>
            <w:pP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sz w:val="24"/>
                <w:szCs w:val="24"/>
              </w:rPr>
              <w:t>②冲洪积平原区：防洪堤临时堆土区布设于防洪坝一侧，宽度4m，长度3.9km，占地面积1.56hm</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4"/>
                <w:szCs w:val="24"/>
              </w:rPr>
              <w:t>，临时堆土堆5m，边1:1.5，可最大土方量7.50m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；排洪渠临时堆土区布设于排洪渠两侧，宽度6m，长度2.41*2km，占地面积1.45hm</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4"/>
                <w:szCs w:val="24"/>
              </w:rPr>
              <w:t>，临时堆土堆高5m，边坡1:1.5，可容纳最大土方量为6.80万m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w:t>
            </w:r>
          </w:p>
          <w:p>
            <w:pPr>
              <w:pStyle w:val="53"/>
              <w:spacing w:line="360" w:lineRule="auto"/>
              <w:ind w:left="0" w:leftChars="0" w:firstLine="480" w:firstLineChars="200"/>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w:t>
            </w:r>
            <w:r>
              <w:rPr>
                <w:rFonts w:hint="eastAsia" w:ascii="Times New Roman" w:cs="Times New Roman"/>
                <w:color w:val="000000"/>
                <w:kern w:val="2"/>
                <w:sz w:val="24"/>
                <w:szCs w:val="24"/>
                <w:lang w:val="en-US" w:eastAsia="zh-CN" w:bidi="ar-SA"/>
              </w:rPr>
              <w:t>5</w:t>
            </w:r>
            <w:r>
              <w:rPr>
                <w:rFonts w:hint="default" w:ascii="Times New Roman" w:hAnsi="Times New Roman" w:eastAsia="宋体" w:cs="Times New Roman"/>
                <w:color w:val="000000"/>
                <w:kern w:val="2"/>
                <w:sz w:val="24"/>
                <w:szCs w:val="24"/>
                <w:lang w:val="en-US" w:eastAsia="zh-CN" w:bidi="ar-SA"/>
              </w:rPr>
              <w:t>）</w:t>
            </w:r>
            <w:r>
              <w:rPr>
                <w:rFonts w:hint="eastAsia" w:ascii="Times New Roman" w:cs="Times New Roman"/>
                <w:color w:val="000000"/>
                <w:kern w:val="2"/>
                <w:sz w:val="24"/>
                <w:szCs w:val="24"/>
                <w:lang w:val="en-US" w:eastAsia="zh-CN" w:bidi="ar-SA"/>
              </w:rPr>
              <w:t>施</w:t>
            </w:r>
            <w:r>
              <w:rPr>
                <w:rFonts w:hint="eastAsia" w:ascii="Times New Roman" w:hAnsi="Times New Roman" w:eastAsia="宋体" w:cs="Times New Roman"/>
                <w:color w:val="000000"/>
                <w:kern w:val="2"/>
                <w:sz w:val="24"/>
                <w:szCs w:val="24"/>
                <w:lang w:val="en-US" w:eastAsia="zh-CN" w:bidi="ar-SA"/>
              </w:rPr>
              <w:t>工</w:t>
            </w:r>
            <w:r>
              <w:rPr>
                <w:rFonts w:hint="default" w:ascii="Times New Roman" w:hAnsi="Times New Roman" w:eastAsia="宋体" w:cs="Times New Roman"/>
                <w:color w:val="000000"/>
                <w:kern w:val="2"/>
                <w:sz w:val="24"/>
                <w:szCs w:val="24"/>
                <w:lang w:val="en-US" w:eastAsia="zh-CN" w:bidi="ar-SA"/>
              </w:rPr>
              <w:t>便道</w:t>
            </w:r>
          </w:p>
          <w:p>
            <w:pPr>
              <w:adjustRightInd w:val="0"/>
              <w:snapToGrid w:val="0"/>
              <w:spacing w:line="360" w:lineRule="auto"/>
              <w:ind w:firstLine="31680"/>
              <w:rPr>
                <w:rFonts w:hint="default" w:ascii="Times New Roman" w:hAnsi="Times New Roman" w:eastAsia="宋体" w:cs="Times New Roman"/>
                <w:color w:val="000000"/>
                <w:lang w:val="en-US" w:eastAsia="zh-CN"/>
              </w:rPr>
            </w:pPr>
            <w:r>
              <w:rPr>
                <w:rFonts w:hint="default" w:ascii="Times New Roman" w:hAnsi="Times New Roman" w:eastAsia="宋体" w:cs="Times New Roman"/>
                <w:color w:val="000000"/>
                <w:lang w:val="en-US" w:eastAsia="zh-CN"/>
              </w:rPr>
              <w:t>本项目为线性工程，共布设伴行施工便道3条：</w:t>
            </w:r>
          </w:p>
          <w:p>
            <w:pPr>
              <w:adjustRightInd w:val="0"/>
              <w:snapToGrid w:val="0"/>
              <w:spacing w:line="360" w:lineRule="auto"/>
              <w:ind w:firstLine="31680"/>
              <w:rPr>
                <w:rFonts w:hint="default" w:ascii="Times New Roman" w:hAnsi="Times New Roman" w:eastAsia="宋体" w:cs="Times New Roman"/>
                <w:color w:val="000000"/>
                <w:lang w:val="en-US" w:eastAsia="zh-CN"/>
              </w:rPr>
            </w:pPr>
            <w:r>
              <w:rPr>
                <w:rFonts w:hint="default" w:ascii="Times New Roman" w:hAnsi="Times New Roman" w:eastAsia="宋体" w:cs="Times New Roman"/>
                <w:color w:val="000000"/>
                <w:lang w:val="en-US" w:eastAsia="zh-CN"/>
              </w:rPr>
              <w:t>①低山丘陵区防洪堤一侧布设伴行施工便道</w:t>
            </w:r>
            <w:r>
              <w:rPr>
                <w:rFonts w:hint="default" w:ascii="Times New Roman" w:hAnsi="Times New Roman" w:eastAsia="宋体" w:cs="Times New Roman"/>
                <w:b w:val="0"/>
                <w:bCs w:val="0"/>
                <w:color w:val="000000"/>
                <w:sz w:val="24"/>
                <w:szCs w:val="24"/>
              </w:rPr>
              <w:t>，起点与终点均与防洪堤位置一致，长度15.78km，路宽4.0m，</w:t>
            </w:r>
            <w:r>
              <w:rPr>
                <w:rFonts w:hint="default" w:ascii="Times New Roman" w:hAnsi="Times New Roman" w:eastAsia="宋体" w:cs="Times New Roman"/>
                <w:color w:val="000000"/>
                <w:lang w:val="en-US" w:eastAsia="zh-CN"/>
              </w:rPr>
              <w:t>占地面积6.31hm</w:t>
            </w:r>
            <w:r>
              <w:rPr>
                <w:rFonts w:hint="eastAsia" w:ascii="Times New Roman" w:hAnsi="Times New Roman" w:eastAsia="宋体" w:cs="Times New Roman"/>
                <w:color w:val="000000"/>
                <w:vertAlign w:val="superscript"/>
                <w:lang w:val="en-US" w:eastAsia="zh-CN"/>
              </w:rPr>
              <w:t>2</w:t>
            </w:r>
            <w:r>
              <w:rPr>
                <w:rFonts w:hint="eastAsia" w:ascii="Times New Roman" w:hAnsi="Times New Roman" w:eastAsia="宋体" w:cs="Times New Roman"/>
                <w:color w:val="000000"/>
                <w:lang w:val="en-US" w:eastAsia="zh-CN"/>
              </w:rPr>
              <w:t>；</w:t>
            </w:r>
          </w:p>
          <w:p>
            <w:pPr>
              <w:adjustRightInd w:val="0"/>
              <w:snapToGrid w:val="0"/>
              <w:spacing w:line="360" w:lineRule="auto"/>
              <w:ind w:firstLine="31680"/>
            </w:pPr>
            <w:r>
              <w:rPr>
                <w:rFonts w:hint="default" w:ascii="Times New Roman" w:hAnsi="Times New Roman" w:eastAsia="宋体" w:cs="Times New Roman"/>
                <w:color w:val="000000"/>
                <w:lang w:val="en-US" w:eastAsia="zh-CN"/>
              </w:rPr>
              <w:t>②冲洪积平原区防洪堤一侧布设伴行施工便道，起点与</w:t>
            </w:r>
            <w:r>
              <w:rPr>
                <w:rFonts w:hint="default" w:ascii="Times New Roman" w:hAnsi="Times New Roman" w:eastAsia="宋体" w:cs="Times New Roman"/>
                <w:b w:val="0"/>
                <w:bCs w:val="0"/>
                <w:color w:val="000000"/>
                <w:sz w:val="24"/>
                <w:szCs w:val="24"/>
              </w:rPr>
              <w:t>终点均与防洪堤位置一致，长度3.9km，路宽4.0m，在排洪渠两侧布设伴行施工</w:t>
            </w:r>
            <w:r>
              <w:rPr>
                <w:rFonts w:hint="default" w:ascii="Times New Roman" w:hAnsi="Times New Roman" w:eastAsia="宋体" w:cs="Times New Roman"/>
                <w:b w:val="0"/>
                <w:bCs w:val="0"/>
                <w:color w:val="000000"/>
                <w:sz w:val="24"/>
                <w:szCs w:val="24"/>
                <w:lang w:val="en-US" w:eastAsia="zh-CN"/>
              </w:rPr>
              <w:t>便道</w:t>
            </w:r>
            <w:r>
              <w:rPr>
                <w:rFonts w:hint="default" w:ascii="Times New Roman" w:hAnsi="Times New Roman" w:eastAsia="宋体" w:cs="Times New Roman"/>
                <w:b w:val="0"/>
                <w:bCs w:val="0"/>
                <w:color w:val="000000"/>
                <w:sz w:val="24"/>
                <w:szCs w:val="24"/>
              </w:rPr>
              <w:t>，起点与终点均与排洪渠位置一致，长度4.82km，路宽4.0m，占地面积3.49hm</w:t>
            </w:r>
            <w:r>
              <w:rPr>
                <w:rFonts w:hint="eastAsia" w:ascii="Times New Roman" w:hAnsi="Times New Roman" w:eastAsia="宋体" w:cs="Times New Roman"/>
                <w:b w:val="0"/>
                <w:bCs w:val="0"/>
                <w:color w:val="000000"/>
                <w:sz w:val="24"/>
                <w:szCs w:val="24"/>
                <w:vertAlign w:val="superscript"/>
                <w:lang w:val="en-US" w:eastAsia="zh-CN"/>
              </w:rPr>
              <w:t>2</w:t>
            </w:r>
            <w:r>
              <w:rPr>
                <w:rFonts w:hint="default" w:ascii="Times New Roman" w:hAnsi="Times New Roman" w:eastAsia="宋体" w:cs="Times New Roman"/>
                <w:b w:val="0"/>
                <w:bCs w:val="0"/>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5" w:hRule="atLeast"/>
          <w:jc w:val="center"/>
        </w:trPr>
        <w:tc>
          <w:tcPr>
            <w:tcW w:w="791" w:type="dxa"/>
            <w:vAlign w:val="center"/>
          </w:tcPr>
          <w:p>
            <w:pPr>
              <w:adjustRightInd w:val="0"/>
              <w:snapToGrid w:val="0"/>
              <w:ind w:firstLine="0" w:firstLineChars="0"/>
              <w:rPr>
                <w:rFonts w:ascii="宋体" w:cs="宋体"/>
                <w:b/>
                <w:color w:val="000000"/>
                <w:kern w:val="0"/>
              </w:rPr>
            </w:pPr>
            <w:r>
              <w:rPr>
                <w:rFonts w:hint="eastAsia" w:ascii="宋体" w:hAnsi="宋体" w:cs="宋体"/>
                <w:b/>
                <w:color w:val="000000"/>
                <w:kern w:val="0"/>
              </w:rPr>
              <w:t>其他</w:t>
            </w:r>
          </w:p>
        </w:tc>
        <w:tc>
          <w:tcPr>
            <w:tcW w:w="8063" w:type="dxa"/>
            <w:vAlign w:val="bottom"/>
          </w:tcPr>
          <w:p>
            <w:pPr>
              <w:snapToGrid w:val="0"/>
              <w:spacing w:line="360" w:lineRule="auto"/>
              <w:ind w:left="0" w:leftChars="0" w:firstLine="0" w:firstLineChars="0"/>
              <w:rPr>
                <w:rFonts w:hint="default" w:ascii="Times New Roman" w:hAnsi="Times New Roman" w:eastAsia="宋体" w:cs="宋体"/>
                <w:b/>
                <w:bCs/>
                <w:sz w:val="24"/>
                <w:szCs w:val="22"/>
                <w:lang w:val="en-US" w:eastAsia="zh-CN" w:bidi="ar-SA"/>
              </w:rPr>
            </w:pPr>
            <w:r>
              <w:rPr>
                <w:rFonts w:hint="eastAsia" w:cs="宋体"/>
                <w:b/>
                <w:bCs/>
                <w:sz w:val="24"/>
                <w:szCs w:val="22"/>
                <w:lang w:val="en-US" w:eastAsia="zh-CN" w:bidi="ar-SA"/>
              </w:rPr>
              <w:t>1、</w:t>
            </w:r>
            <w:r>
              <w:rPr>
                <w:rFonts w:hint="default" w:ascii="Times New Roman" w:hAnsi="Times New Roman" w:eastAsia="宋体" w:cs="宋体"/>
                <w:b/>
                <w:bCs/>
                <w:sz w:val="24"/>
                <w:szCs w:val="22"/>
                <w:lang w:val="en-US" w:eastAsia="zh-CN" w:bidi="ar-SA"/>
              </w:rPr>
              <w:t>护岸断面形式</w:t>
            </w:r>
          </w:p>
          <w:p>
            <w:pPr>
              <w:keepNext w:val="0"/>
              <w:keepLines w:val="0"/>
              <w:widowControl/>
              <w:suppressLineNumbers w:val="0"/>
              <w:spacing w:line="360" w:lineRule="auto"/>
              <w:ind w:left="0" w:leftChars="0" w:firstLine="480" w:firstLineChars="200"/>
              <w:jc w:val="left"/>
              <w:rPr>
                <w:rFonts w:hint="eastAsia" w:cs="宋体"/>
                <w:sz w:val="24"/>
                <w:szCs w:val="22"/>
                <w:lang w:val="en-US" w:eastAsia="zh-CN" w:bidi="ar-SA"/>
              </w:rPr>
            </w:pPr>
            <w:r>
              <w:drawing>
                <wp:anchor distT="0" distB="0" distL="114300" distR="114300" simplePos="0" relativeHeight="251661312" behindDoc="0" locked="0" layoutInCell="1" allowOverlap="1">
                  <wp:simplePos x="0" y="0"/>
                  <wp:positionH relativeFrom="column">
                    <wp:posOffset>3175</wp:posOffset>
                  </wp:positionH>
                  <wp:positionV relativeFrom="paragraph">
                    <wp:posOffset>1464310</wp:posOffset>
                  </wp:positionV>
                  <wp:extent cx="5022215" cy="1743075"/>
                  <wp:effectExtent l="0" t="0" r="6985"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022215" cy="1743075"/>
                          </a:xfrm>
                          <a:prstGeom prst="rect">
                            <a:avLst/>
                          </a:prstGeom>
                          <a:noFill/>
                          <a:ln>
                            <a:noFill/>
                          </a:ln>
                        </pic:spPr>
                      </pic:pic>
                    </a:graphicData>
                  </a:graphic>
                </wp:anchor>
              </w:drawing>
            </w:r>
            <w:r>
              <w:rPr>
                <w:rFonts w:hint="default"/>
                <w:lang w:val="en-US" w:eastAsia="zh-CN"/>
              </w:rPr>
              <w:t>护岸断面型式从施工工艺、施工难度、适应地基变形能力、材料来源、工程造价等方面综合考虑，设计推荐五圣宫水文站段</w:t>
            </w:r>
            <w:r>
              <w:rPr>
                <w:rFonts w:hint="default" w:ascii="Times New Roman" w:hAnsi="Times New Roman" w:eastAsia="宋体" w:cs="Times New Roman"/>
                <w:b w:val="0"/>
                <w:bCs w:val="0"/>
                <w:snapToGrid w:val="0"/>
                <w:color w:val="000000"/>
                <w:kern w:val="0"/>
                <w:sz w:val="24"/>
                <w:szCs w:val="24"/>
                <w:lang w:val="en-US" w:eastAsia="zh-CN"/>
              </w:rPr>
              <w:t>（</w:t>
            </w:r>
            <w:r>
              <w:rPr>
                <w:rFonts w:hint="default"/>
                <w:lang w:val="en-US" w:eastAsia="zh-CN"/>
              </w:rPr>
              <w:t>桩号0+000～1+880</w:t>
            </w:r>
            <w:r>
              <w:rPr>
                <w:rFonts w:hint="default" w:ascii="Times New Roman" w:hAnsi="Times New Roman" w:eastAsia="宋体" w:cs="Times New Roman"/>
                <w:b w:val="0"/>
                <w:bCs w:val="0"/>
                <w:snapToGrid w:val="0"/>
                <w:color w:val="000000"/>
                <w:kern w:val="0"/>
                <w:sz w:val="24"/>
                <w:szCs w:val="24"/>
                <w:lang w:val="en-US" w:eastAsia="zh-CN"/>
              </w:rPr>
              <w:t>）</w:t>
            </w:r>
            <w:r>
              <w:rPr>
                <w:rFonts w:hint="default"/>
                <w:lang w:val="en-US" w:eastAsia="zh-CN"/>
              </w:rPr>
              <w:t>、白杨河水库至林区公路段</w:t>
            </w:r>
            <w:r>
              <w:rPr>
                <w:rFonts w:hint="default" w:ascii="Times New Roman" w:hAnsi="Times New Roman" w:eastAsia="宋体" w:cs="Times New Roman"/>
                <w:b w:val="0"/>
                <w:bCs w:val="0"/>
                <w:snapToGrid w:val="0"/>
                <w:color w:val="000000"/>
                <w:kern w:val="0"/>
                <w:sz w:val="24"/>
                <w:szCs w:val="24"/>
                <w:lang w:val="en-US" w:eastAsia="zh-CN"/>
              </w:rPr>
              <w:t>（</w:t>
            </w:r>
            <w:r>
              <w:rPr>
                <w:rFonts w:hint="default"/>
                <w:lang w:val="en-US" w:eastAsia="zh-CN"/>
              </w:rPr>
              <w:t>桩号4+100～21+900</w:t>
            </w:r>
            <w:r>
              <w:rPr>
                <w:rFonts w:hint="default" w:ascii="Times New Roman" w:hAnsi="Times New Roman" w:eastAsia="宋体" w:cs="Times New Roman"/>
                <w:b w:val="0"/>
                <w:bCs w:val="0"/>
                <w:snapToGrid w:val="0"/>
                <w:color w:val="000000"/>
                <w:kern w:val="0"/>
                <w:sz w:val="24"/>
                <w:szCs w:val="24"/>
                <w:lang w:val="en-US" w:eastAsia="zh-CN"/>
              </w:rPr>
              <w:t>）</w:t>
            </w:r>
            <w:r>
              <w:rPr>
                <w:rFonts w:hint="default"/>
                <w:lang w:val="en-US" w:eastAsia="zh-CN"/>
              </w:rPr>
              <w:t>采用坡式护砌作为护岸的断面型式</w:t>
            </w:r>
            <w:r>
              <w:rPr>
                <w:rFonts w:hint="eastAsia"/>
                <w:lang w:val="en-US" w:eastAsia="zh-CN"/>
              </w:rPr>
              <w:t>，</w:t>
            </w:r>
            <w:r>
              <w:rPr>
                <w:rFonts w:hint="eastAsia" w:cs="宋体"/>
                <w:sz w:val="24"/>
                <w:szCs w:val="22"/>
                <w:lang w:val="en-US" w:eastAsia="zh-CN" w:bidi="ar-SA"/>
              </w:rPr>
              <w:t>对护岸等建筑物迎水河床面以上至河床面以下冲刷深度间边坡均为1：1.5，护岸的背水坡为1：1.5。</w:t>
            </w:r>
          </w:p>
          <w:p>
            <w:pPr>
              <w:snapToGrid w:val="0"/>
              <w:spacing w:line="360" w:lineRule="auto"/>
              <w:ind w:firstLine="240" w:firstLineChars="100"/>
              <w:rPr>
                <w:rFonts w:hint="default" w:ascii="Times New Roman" w:hAnsi="Times New Roman" w:eastAsia="宋体" w:cs="宋体"/>
                <w:sz w:val="24"/>
                <w:szCs w:val="22"/>
                <w:lang w:val="en-US" w:eastAsia="zh-CN" w:bidi="ar-SA"/>
              </w:rPr>
            </w:pPr>
          </w:p>
          <w:p>
            <w:pPr>
              <w:snapToGrid w:val="0"/>
              <w:spacing w:line="360" w:lineRule="auto"/>
              <w:ind w:firstLine="240" w:firstLineChars="100"/>
              <w:rPr>
                <w:rFonts w:hint="default" w:ascii="Times New Roman" w:hAnsi="Times New Roman" w:eastAsia="宋体" w:cs="宋体"/>
                <w:sz w:val="24"/>
                <w:szCs w:val="22"/>
                <w:lang w:val="en-US" w:eastAsia="zh-CN" w:bidi="ar-SA"/>
              </w:rPr>
            </w:pPr>
          </w:p>
          <w:p>
            <w:pPr>
              <w:snapToGrid w:val="0"/>
              <w:spacing w:line="360" w:lineRule="auto"/>
              <w:ind w:firstLine="241" w:firstLineChars="100"/>
              <w:rPr>
                <w:rFonts w:hint="default" w:ascii="Times New Roman" w:hAnsi="Times New Roman" w:eastAsia="宋体" w:cs="宋体"/>
                <w:b/>
                <w:color w:val="000000"/>
                <w:sz w:val="24"/>
                <w:szCs w:val="22"/>
                <w:lang w:val="en-US" w:eastAsia="zh-CN" w:bidi="ar-SA"/>
              </w:rPr>
            </w:pPr>
          </w:p>
          <w:p>
            <w:pPr>
              <w:snapToGrid w:val="0"/>
              <w:spacing w:line="360" w:lineRule="auto"/>
              <w:ind w:firstLine="0" w:firstLineChars="0"/>
              <w:rPr>
                <w:rFonts w:hint="eastAsia"/>
                <w:b/>
                <w:color w:val="000000"/>
                <w:lang w:val="en-US" w:eastAsia="zh-CN"/>
              </w:rPr>
            </w:pPr>
          </w:p>
          <w:p>
            <w:pPr>
              <w:snapToGrid w:val="0"/>
              <w:spacing w:line="360" w:lineRule="auto"/>
              <w:ind w:firstLine="0" w:firstLineChars="0"/>
              <w:rPr>
                <w:rFonts w:hint="eastAsia"/>
                <w:b/>
                <w:color w:val="000000"/>
                <w:lang w:val="en-US" w:eastAsia="zh-CN"/>
              </w:rPr>
            </w:pPr>
          </w:p>
          <w:p>
            <w:pPr>
              <w:snapToGrid w:val="0"/>
              <w:spacing w:line="360" w:lineRule="auto"/>
              <w:ind w:firstLine="0" w:firstLineChars="0"/>
              <w:rPr>
                <w:rFonts w:hint="eastAsia"/>
                <w:b/>
                <w:color w:val="000000"/>
                <w:lang w:val="en-US" w:eastAsia="zh-CN"/>
              </w:rPr>
            </w:pPr>
          </w:p>
          <w:p>
            <w:pPr>
              <w:snapToGrid w:val="0"/>
              <w:spacing w:line="360" w:lineRule="auto"/>
              <w:ind w:firstLine="0" w:firstLineChars="0"/>
              <w:jc w:val="center"/>
              <w:rPr>
                <w:rFonts w:hint="eastAsia"/>
                <w:b/>
                <w:bCs w:val="0"/>
                <w:color w:val="000000"/>
                <w:sz w:val="21"/>
                <w:szCs w:val="21"/>
                <w:lang w:val="en-US" w:eastAsia="zh-CN"/>
              </w:rPr>
            </w:pPr>
          </w:p>
          <w:p>
            <w:pPr>
              <w:snapToGrid w:val="0"/>
              <w:spacing w:line="360" w:lineRule="auto"/>
              <w:ind w:firstLine="0" w:firstLineChars="0"/>
              <w:jc w:val="center"/>
              <w:rPr>
                <w:rFonts w:hint="eastAsia"/>
                <w:b/>
                <w:bCs w:val="0"/>
                <w:color w:val="000000"/>
                <w:sz w:val="21"/>
                <w:szCs w:val="21"/>
                <w:lang w:val="en-US" w:eastAsia="zh-CN"/>
              </w:rPr>
            </w:pPr>
            <w:r>
              <w:rPr>
                <w:rFonts w:hint="eastAsia"/>
                <w:b/>
                <w:bCs w:val="0"/>
                <w:color w:val="000000"/>
                <w:sz w:val="21"/>
                <w:szCs w:val="21"/>
                <w:lang w:val="en-US" w:eastAsia="zh-CN"/>
              </w:rPr>
              <w:t>方案1          典型横断面图</w:t>
            </w:r>
          </w:p>
          <w:p>
            <w:pPr>
              <w:keepNext w:val="0"/>
              <w:keepLines w:val="0"/>
              <w:widowControl/>
              <w:suppressLineNumbers w:val="0"/>
              <w:spacing w:line="360" w:lineRule="auto"/>
              <w:ind w:left="0" w:leftChars="0" w:firstLine="0" w:firstLineChars="0"/>
              <w:jc w:val="left"/>
              <w:rPr>
                <w:rFonts w:hint="default"/>
                <w:b/>
                <w:bCs/>
                <w:lang w:val="en-US" w:eastAsia="zh-CN"/>
              </w:rPr>
            </w:pPr>
            <w:r>
              <w:rPr>
                <w:rFonts w:hint="eastAsia"/>
                <w:b/>
                <w:bCs/>
                <w:lang w:val="en-US" w:eastAsia="zh-CN"/>
              </w:rPr>
              <w:t>2、</w:t>
            </w:r>
            <w:r>
              <w:rPr>
                <w:rFonts w:hint="default"/>
                <w:b/>
                <w:bCs/>
                <w:lang w:val="en-US" w:eastAsia="zh-CN"/>
              </w:rPr>
              <w:t>堤防坡式护砌形式比选</w:t>
            </w:r>
          </w:p>
          <w:p>
            <w:pPr>
              <w:keepNext w:val="0"/>
              <w:keepLines w:val="0"/>
              <w:widowControl/>
              <w:suppressLineNumbers w:val="0"/>
              <w:spacing w:line="360" w:lineRule="auto"/>
              <w:ind w:left="0" w:leftChars="0" w:firstLine="480" w:firstLineChars="200"/>
              <w:jc w:val="left"/>
              <w:rPr>
                <w:rFonts w:hint="default"/>
                <w:lang w:val="en-US" w:eastAsia="zh-CN"/>
              </w:rPr>
            </w:pPr>
            <w:r>
              <w:rPr>
                <w:rFonts w:hint="eastAsia"/>
                <w:lang w:val="en-US" w:eastAsia="zh-CN"/>
              </w:rPr>
              <w:t>综合从</w:t>
            </w:r>
            <w:r>
              <w:rPr>
                <w:rFonts w:hint="default"/>
                <w:lang w:val="en-US" w:eastAsia="zh-CN"/>
              </w:rPr>
              <w:t>投资、施工技术难度及与周围村庄建设协调性等方面</w:t>
            </w:r>
            <w:r>
              <w:rPr>
                <w:rFonts w:hint="eastAsia"/>
                <w:lang w:val="en-US" w:eastAsia="zh-CN"/>
              </w:rPr>
              <w:t>考虑</w:t>
            </w:r>
            <w:r>
              <w:rPr>
                <w:rFonts w:hint="default"/>
                <w:lang w:val="en-US" w:eastAsia="zh-CN"/>
              </w:rPr>
              <w:t>，本次设计推荐白杨河水库至林区公路段（桩号4+100～21+900）采用方案1衬砌形式，坡式堤防采用15cm厚砼板衬砌形式</w:t>
            </w:r>
            <w:r>
              <w:rPr>
                <w:rFonts w:hint="eastAsia"/>
                <w:lang w:val="en-US" w:eastAsia="zh-CN"/>
              </w:rPr>
              <w:t>；</w:t>
            </w:r>
            <w:r>
              <w:rPr>
                <w:rFonts w:hint="default"/>
                <w:lang w:val="en-US" w:eastAsia="zh-CN"/>
              </w:rPr>
              <w:t>五圣宫水文站段由于位于河道中上游，纵坡大，水流急，且河道卵石丰富，采用方案2（浆砌石）衬砌形式，坡式堤防采用30cm厚浆砌石衬砌形式。</w:t>
            </w:r>
          </w:p>
          <w:p>
            <w:pPr>
              <w:keepNext w:val="0"/>
              <w:keepLines w:val="0"/>
              <w:widowControl/>
              <w:suppressLineNumbers w:val="0"/>
              <w:spacing w:line="360" w:lineRule="auto"/>
              <w:ind w:left="0" w:leftChars="0" w:firstLine="480" w:firstLineChars="200"/>
              <w:jc w:val="left"/>
              <w:rPr>
                <w:rFonts w:hint="default"/>
                <w:lang w:val="en-US" w:eastAsia="zh-CN"/>
              </w:rPr>
            </w:pPr>
            <w:r>
              <w:rPr>
                <w:rFonts w:hint="default"/>
                <w:lang w:val="en-US" w:eastAsia="zh-CN"/>
              </w:rPr>
              <w:t>方案1：白杨河水库至林区公路段采用现浇混凝土板护坡形式建设堤防工程，护坡厚15cm。</w:t>
            </w:r>
          </w:p>
          <w:p>
            <w:pPr>
              <w:keepNext w:val="0"/>
              <w:keepLines w:val="0"/>
              <w:widowControl/>
              <w:suppressLineNumbers w:val="0"/>
              <w:spacing w:line="360" w:lineRule="auto"/>
              <w:ind w:left="0" w:leftChars="0" w:firstLine="480" w:firstLineChars="200"/>
              <w:jc w:val="left"/>
              <w:rPr>
                <w:rFonts w:hint="default"/>
                <w:lang w:val="en-US" w:eastAsia="zh-CN"/>
              </w:rPr>
            </w:pPr>
            <w:r>
              <w:rPr>
                <w:rFonts w:hint="default"/>
                <w:lang w:val="en-US" w:eastAsia="zh-CN"/>
              </w:rPr>
              <w:t>方案2：白杨河水库至林区公路段采用浆砌石护坡形式建设堤防工程，护坡厚30cm。</w:t>
            </w:r>
          </w:p>
          <w:p>
            <w:pPr>
              <w:spacing w:line="240" w:lineRule="auto"/>
              <w:ind w:firstLine="422" w:firstLineChars="200"/>
              <w:jc w:val="center"/>
              <w:rPr>
                <w:rFonts w:hint="eastAsia" w:ascii="Times New Roman" w:hAnsi="Times New Roman" w:eastAsia="宋体" w:cs="Times New Roman"/>
                <w:b/>
                <w:bCs/>
                <w:snapToGrid w:val="0"/>
                <w:color w:val="000000"/>
                <w:kern w:val="0"/>
                <w:sz w:val="21"/>
                <w:szCs w:val="21"/>
                <w:lang w:val="en-US" w:eastAsia="zh-CN"/>
              </w:rPr>
            </w:pPr>
            <w:r>
              <w:rPr>
                <w:rFonts w:hint="eastAsia" w:ascii="Times New Roman" w:hAnsi="Times New Roman" w:eastAsia="宋体" w:cs="Times New Roman"/>
                <w:b/>
                <w:bCs/>
                <w:snapToGrid w:val="0"/>
                <w:color w:val="000000"/>
                <w:kern w:val="0"/>
                <w:sz w:val="21"/>
                <w:szCs w:val="21"/>
                <w:lang w:val="en-US" w:eastAsia="zh-CN"/>
              </w:rPr>
              <w:t>表2-6            坡式堤防衬砌形式比选表</w:t>
            </w:r>
          </w:p>
          <w:tbl>
            <w:tblPr>
              <w:tblStyle w:val="3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2075"/>
              <w:gridCol w:w="1843"/>
              <w:gridCol w:w="1607"/>
              <w:gridCol w:w="1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序号</w:t>
                  </w:r>
                </w:p>
              </w:tc>
              <w:tc>
                <w:tcPr>
                  <w:tcW w:w="1324"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default" w:ascii="Times New Roman" w:hAnsi="Times New Roman" w:eastAsia="宋体" w:cs="Times New Roman"/>
                      <w:b w:val="0"/>
                      <w:bCs w:val="0"/>
                      <w:snapToGrid w:val="0"/>
                      <w:color w:val="000000"/>
                      <w:kern w:val="0"/>
                      <w:sz w:val="21"/>
                      <w:szCs w:val="21"/>
                      <w:vertAlign w:val="baseline"/>
                      <w:lang w:val="en-US" w:eastAsia="zh-CN"/>
                    </w:rPr>
                    <w:t>比选项目</w:t>
                  </w:r>
                </w:p>
              </w:tc>
              <w:tc>
                <w:tcPr>
                  <w:tcW w:w="1176"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方案1</w:t>
                  </w:r>
                </w:p>
              </w:tc>
              <w:tc>
                <w:tcPr>
                  <w:tcW w:w="1025"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方案2</w:t>
                  </w:r>
                </w:p>
              </w:tc>
              <w:tc>
                <w:tcPr>
                  <w:tcW w:w="968"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较优方案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1</w:t>
                  </w:r>
                </w:p>
              </w:tc>
              <w:tc>
                <w:tcPr>
                  <w:tcW w:w="1324"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default" w:ascii="Times New Roman" w:hAnsi="Times New Roman" w:eastAsia="宋体" w:cs="Times New Roman"/>
                      <w:b w:val="0"/>
                      <w:bCs w:val="0"/>
                      <w:snapToGrid w:val="0"/>
                      <w:color w:val="000000"/>
                      <w:kern w:val="0"/>
                      <w:sz w:val="21"/>
                      <w:szCs w:val="21"/>
                      <w:vertAlign w:val="baseline"/>
                      <w:lang w:val="en-US" w:eastAsia="zh-CN"/>
                    </w:rPr>
                    <w:t>衬砌形式</w:t>
                  </w:r>
                </w:p>
              </w:tc>
              <w:tc>
                <w:tcPr>
                  <w:tcW w:w="1176"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default" w:ascii="Times New Roman" w:hAnsi="Times New Roman" w:eastAsia="宋体" w:cs="Times New Roman"/>
                      <w:b w:val="0"/>
                      <w:bCs w:val="0"/>
                      <w:snapToGrid w:val="0"/>
                      <w:color w:val="000000"/>
                      <w:kern w:val="0"/>
                      <w:sz w:val="21"/>
                      <w:szCs w:val="21"/>
                      <w:vertAlign w:val="baseline"/>
                      <w:lang w:val="en-US" w:eastAsia="zh-CN"/>
                    </w:rPr>
                    <w:t>砼板边坡</w:t>
                  </w:r>
                </w:p>
              </w:tc>
              <w:tc>
                <w:tcPr>
                  <w:tcW w:w="1025"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浆砌石边坡</w:t>
                  </w:r>
                </w:p>
              </w:tc>
              <w:tc>
                <w:tcPr>
                  <w:tcW w:w="968"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2</w:t>
                  </w:r>
                </w:p>
              </w:tc>
              <w:tc>
                <w:tcPr>
                  <w:tcW w:w="1324"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default" w:ascii="Times New Roman" w:hAnsi="Times New Roman" w:eastAsia="宋体" w:cs="Times New Roman"/>
                      <w:b w:val="0"/>
                      <w:bCs w:val="0"/>
                      <w:snapToGrid w:val="0"/>
                      <w:color w:val="000000"/>
                      <w:kern w:val="0"/>
                      <w:sz w:val="21"/>
                      <w:szCs w:val="21"/>
                      <w:vertAlign w:val="baseline"/>
                      <w:lang w:val="en-US" w:eastAsia="zh-CN"/>
                    </w:rPr>
                    <w:t>坡式衬砌厚度</w:t>
                  </w:r>
                </w:p>
              </w:tc>
              <w:tc>
                <w:tcPr>
                  <w:tcW w:w="1176"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15cm</w:t>
                  </w:r>
                </w:p>
              </w:tc>
              <w:tc>
                <w:tcPr>
                  <w:tcW w:w="1025"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30cm</w:t>
                  </w:r>
                </w:p>
              </w:tc>
              <w:tc>
                <w:tcPr>
                  <w:tcW w:w="968"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3</w:t>
                  </w:r>
                </w:p>
              </w:tc>
              <w:tc>
                <w:tcPr>
                  <w:tcW w:w="1324"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天然建材运距</w:t>
                  </w:r>
                </w:p>
              </w:tc>
              <w:tc>
                <w:tcPr>
                  <w:tcW w:w="1176"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default" w:ascii="Times New Roman" w:hAnsi="Times New Roman" w:eastAsia="宋体" w:cs="Times New Roman"/>
                      <w:b w:val="0"/>
                      <w:bCs w:val="0"/>
                      <w:snapToGrid w:val="0"/>
                      <w:color w:val="000000"/>
                      <w:kern w:val="0"/>
                      <w:sz w:val="21"/>
                      <w:szCs w:val="21"/>
                      <w:vertAlign w:val="baseline"/>
                      <w:lang w:val="en-US" w:eastAsia="zh-CN"/>
                    </w:rPr>
                    <w:t>18km</w:t>
                  </w:r>
                </w:p>
              </w:tc>
              <w:tc>
                <w:tcPr>
                  <w:tcW w:w="1025"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25km</w:t>
                  </w:r>
                </w:p>
              </w:tc>
              <w:tc>
                <w:tcPr>
                  <w:tcW w:w="968"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方案1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4</w:t>
                  </w:r>
                </w:p>
              </w:tc>
              <w:tc>
                <w:tcPr>
                  <w:tcW w:w="1324"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default" w:ascii="Times New Roman" w:hAnsi="Times New Roman" w:eastAsia="宋体" w:cs="Times New Roman"/>
                      <w:b w:val="0"/>
                      <w:bCs w:val="0"/>
                      <w:snapToGrid w:val="0"/>
                      <w:color w:val="000000"/>
                      <w:kern w:val="0"/>
                      <w:sz w:val="21"/>
                      <w:szCs w:val="21"/>
                      <w:vertAlign w:val="baseline"/>
                      <w:lang w:val="en-US" w:eastAsia="zh-CN"/>
                    </w:rPr>
                    <w:t>施工技术难度</w:t>
                  </w:r>
                </w:p>
              </w:tc>
              <w:tc>
                <w:tcPr>
                  <w:tcW w:w="1176"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简单</w:t>
                  </w:r>
                </w:p>
              </w:tc>
              <w:tc>
                <w:tcPr>
                  <w:tcW w:w="1025"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default" w:ascii="Times New Roman" w:hAnsi="Times New Roman" w:eastAsia="宋体" w:cs="Times New Roman"/>
                      <w:b w:val="0"/>
                      <w:bCs w:val="0"/>
                      <w:snapToGrid w:val="0"/>
                      <w:color w:val="000000"/>
                      <w:kern w:val="0"/>
                      <w:sz w:val="21"/>
                      <w:szCs w:val="21"/>
                      <w:vertAlign w:val="baseline"/>
                      <w:lang w:val="en-US" w:eastAsia="zh-CN"/>
                    </w:rPr>
                    <w:t>稍难</w:t>
                  </w:r>
                </w:p>
              </w:tc>
              <w:tc>
                <w:tcPr>
                  <w:tcW w:w="968"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方案1、2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5</w:t>
                  </w:r>
                </w:p>
              </w:tc>
              <w:tc>
                <w:tcPr>
                  <w:tcW w:w="1324"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default" w:ascii="Times New Roman" w:hAnsi="Times New Roman" w:eastAsia="宋体" w:cs="Times New Roman"/>
                      <w:b w:val="0"/>
                      <w:bCs w:val="0"/>
                      <w:snapToGrid w:val="0"/>
                      <w:color w:val="000000"/>
                      <w:kern w:val="0"/>
                      <w:sz w:val="21"/>
                      <w:szCs w:val="21"/>
                      <w:vertAlign w:val="baseline"/>
                      <w:lang w:val="en-US" w:eastAsia="zh-CN"/>
                    </w:rPr>
                    <w:t>施工周期</w:t>
                  </w:r>
                </w:p>
              </w:tc>
              <w:tc>
                <w:tcPr>
                  <w:tcW w:w="1176"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短</w:t>
                  </w:r>
                </w:p>
              </w:tc>
              <w:tc>
                <w:tcPr>
                  <w:tcW w:w="1025"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短</w:t>
                  </w:r>
                </w:p>
              </w:tc>
              <w:tc>
                <w:tcPr>
                  <w:tcW w:w="968"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方案1、2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6</w:t>
                  </w:r>
                </w:p>
              </w:tc>
              <w:tc>
                <w:tcPr>
                  <w:tcW w:w="1324"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抗冲刷和耐磨性</w:t>
                  </w:r>
                </w:p>
              </w:tc>
              <w:tc>
                <w:tcPr>
                  <w:tcW w:w="1176"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一般</w:t>
                  </w:r>
                </w:p>
              </w:tc>
              <w:tc>
                <w:tcPr>
                  <w:tcW w:w="1025"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较强</w:t>
                  </w:r>
                </w:p>
              </w:tc>
              <w:tc>
                <w:tcPr>
                  <w:tcW w:w="968"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方案2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3"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7</w:t>
                  </w:r>
                </w:p>
              </w:tc>
              <w:tc>
                <w:tcPr>
                  <w:tcW w:w="1324"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日常维护</w:t>
                  </w:r>
                </w:p>
              </w:tc>
              <w:tc>
                <w:tcPr>
                  <w:tcW w:w="1176"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便利</w:t>
                  </w:r>
                </w:p>
              </w:tc>
              <w:tc>
                <w:tcPr>
                  <w:tcW w:w="1025"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便利</w:t>
                  </w:r>
                </w:p>
              </w:tc>
              <w:tc>
                <w:tcPr>
                  <w:tcW w:w="968"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方案1、2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8</w:t>
                  </w:r>
                </w:p>
              </w:tc>
              <w:tc>
                <w:tcPr>
                  <w:tcW w:w="1324"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外观效果</w:t>
                  </w:r>
                </w:p>
              </w:tc>
              <w:tc>
                <w:tcPr>
                  <w:tcW w:w="1176"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优良</w:t>
                  </w:r>
                </w:p>
              </w:tc>
              <w:tc>
                <w:tcPr>
                  <w:tcW w:w="1025"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一般</w:t>
                  </w:r>
                </w:p>
              </w:tc>
              <w:tc>
                <w:tcPr>
                  <w:tcW w:w="968"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方案2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9</w:t>
                  </w:r>
                </w:p>
              </w:tc>
              <w:tc>
                <w:tcPr>
                  <w:tcW w:w="1324"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单侧每km工程投资</w:t>
                  </w:r>
                </w:p>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default" w:ascii="Times New Roman" w:hAnsi="Times New Roman" w:eastAsia="宋体" w:cs="Times New Roman"/>
                      <w:b w:val="0"/>
                      <w:bCs w:val="0"/>
                      <w:snapToGrid w:val="0"/>
                      <w:color w:val="000000"/>
                      <w:kern w:val="0"/>
                      <w:sz w:val="21"/>
                      <w:szCs w:val="21"/>
                      <w:vertAlign w:val="baseline"/>
                      <w:lang w:val="en-US" w:eastAsia="zh-CN"/>
                    </w:rPr>
                    <w:t>（</w:t>
                  </w:r>
                  <w:r>
                    <w:rPr>
                      <w:rFonts w:hint="eastAsia" w:ascii="Times New Roman" w:hAnsi="Times New Roman" w:eastAsia="宋体" w:cs="Times New Roman"/>
                      <w:b w:val="0"/>
                      <w:bCs w:val="0"/>
                      <w:snapToGrid w:val="0"/>
                      <w:color w:val="000000"/>
                      <w:kern w:val="0"/>
                      <w:sz w:val="21"/>
                      <w:szCs w:val="21"/>
                      <w:vertAlign w:val="baseline"/>
                      <w:lang w:val="en-US" w:eastAsia="zh-CN"/>
                    </w:rPr>
                    <w:t>万元</w:t>
                  </w:r>
                  <w:r>
                    <w:rPr>
                      <w:rFonts w:hint="default" w:ascii="Times New Roman" w:hAnsi="Times New Roman" w:eastAsia="宋体" w:cs="Times New Roman"/>
                      <w:b w:val="0"/>
                      <w:bCs w:val="0"/>
                      <w:snapToGrid w:val="0"/>
                      <w:color w:val="000000"/>
                      <w:kern w:val="0"/>
                      <w:sz w:val="21"/>
                      <w:szCs w:val="21"/>
                      <w:vertAlign w:val="baseline"/>
                      <w:lang w:val="en-US" w:eastAsia="zh-CN"/>
                    </w:rPr>
                    <w:t>）</w:t>
                  </w:r>
                </w:p>
              </w:tc>
              <w:tc>
                <w:tcPr>
                  <w:tcW w:w="1176"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235.2</w:t>
                  </w:r>
                </w:p>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p>
              </w:tc>
              <w:tc>
                <w:tcPr>
                  <w:tcW w:w="1025"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256.3</w:t>
                  </w:r>
                </w:p>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p>
              </w:tc>
              <w:tc>
                <w:tcPr>
                  <w:tcW w:w="968"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方案1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10</w:t>
                  </w:r>
                </w:p>
              </w:tc>
              <w:tc>
                <w:tcPr>
                  <w:tcW w:w="1324"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推荐方案</w:t>
                  </w:r>
                </w:p>
              </w:tc>
              <w:tc>
                <w:tcPr>
                  <w:tcW w:w="3171" w:type="pct"/>
                  <w:gridSpan w:val="3"/>
                </w:tcPr>
                <w:p>
                  <w:pPr>
                    <w:spacing w:line="240" w:lineRule="auto"/>
                    <w:ind w:left="0" w:leftChars="0" w:firstLine="0" w:firstLineChars="0"/>
                    <w:jc w:val="both"/>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经综合比较，本次设计推荐白杨河水库至林区公路段</w:t>
                  </w:r>
                </w:p>
                <w:p>
                  <w:pPr>
                    <w:spacing w:line="240" w:lineRule="auto"/>
                    <w:ind w:left="0" w:leftChars="0" w:firstLine="0" w:firstLineChars="0"/>
                    <w:jc w:val="both"/>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堤防主要采用方案1</w:t>
                  </w:r>
                  <w:r>
                    <w:rPr>
                      <w:rFonts w:hint="default" w:ascii="Times New Roman" w:hAnsi="Times New Roman" w:eastAsia="宋体" w:cs="Times New Roman"/>
                      <w:b w:val="0"/>
                      <w:bCs w:val="0"/>
                      <w:snapToGrid w:val="0"/>
                      <w:color w:val="000000"/>
                      <w:kern w:val="0"/>
                      <w:sz w:val="21"/>
                      <w:szCs w:val="21"/>
                      <w:vertAlign w:val="baseline"/>
                      <w:lang w:val="en-US" w:eastAsia="zh-CN"/>
                    </w:rPr>
                    <w:t>（</w:t>
                  </w:r>
                  <w:r>
                    <w:rPr>
                      <w:rFonts w:hint="eastAsia" w:ascii="Times New Roman" w:hAnsi="Times New Roman" w:eastAsia="宋体" w:cs="Times New Roman"/>
                      <w:b w:val="0"/>
                      <w:bCs w:val="0"/>
                      <w:snapToGrid w:val="0"/>
                      <w:color w:val="000000"/>
                      <w:kern w:val="0"/>
                      <w:sz w:val="21"/>
                      <w:szCs w:val="21"/>
                      <w:vertAlign w:val="baseline"/>
                      <w:lang w:val="en-US" w:eastAsia="zh-CN"/>
                    </w:rPr>
                    <w:t>砼板边坡）衬砌形式，其中五圣宫水文站段由于位于河道中上游，纵坡大，水流急，且河道卵石丰富，采用方案2</w:t>
                  </w:r>
                  <w:r>
                    <w:rPr>
                      <w:rFonts w:hint="default" w:ascii="Times New Roman" w:hAnsi="Times New Roman" w:eastAsia="宋体" w:cs="Times New Roman"/>
                      <w:b w:val="0"/>
                      <w:bCs w:val="0"/>
                      <w:snapToGrid w:val="0"/>
                      <w:color w:val="000000"/>
                      <w:kern w:val="0"/>
                      <w:sz w:val="21"/>
                      <w:szCs w:val="21"/>
                      <w:vertAlign w:val="baseline"/>
                      <w:lang w:val="en-US" w:eastAsia="zh-CN"/>
                    </w:rPr>
                    <w:t>（</w:t>
                  </w:r>
                  <w:r>
                    <w:rPr>
                      <w:rFonts w:hint="eastAsia" w:ascii="Times New Roman" w:hAnsi="Times New Roman" w:eastAsia="宋体" w:cs="Times New Roman"/>
                      <w:b w:val="0"/>
                      <w:bCs w:val="0"/>
                      <w:snapToGrid w:val="0"/>
                      <w:color w:val="000000"/>
                      <w:kern w:val="0"/>
                      <w:sz w:val="21"/>
                      <w:szCs w:val="21"/>
                      <w:vertAlign w:val="baseline"/>
                      <w:lang w:val="en-US" w:eastAsia="zh-CN"/>
                    </w:rPr>
                    <w:t>浆砌石</w:t>
                  </w:r>
                  <w:r>
                    <w:rPr>
                      <w:rFonts w:hint="default" w:ascii="Times New Roman" w:hAnsi="Times New Roman" w:eastAsia="宋体" w:cs="Times New Roman"/>
                      <w:b w:val="0"/>
                      <w:bCs w:val="0"/>
                      <w:snapToGrid w:val="0"/>
                      <w:color w:val="000000"/>
                      <w:kern w:val="0"/>
                      <w:sz w:val="21"/>
                      <w:szCs w:val="21"/>
                      <w:vertAlign w:val="baseline"/>
                      <w:lang w:val="en-US" w:eastAsia="zh-CN"/>
                    </w:rPr>
                    <w:t>）</w:t>
                  </w:r>
                  <w:r>
                    <w:rPr>
                      <w:rFonts w:hint="eastAsia" w:ascii="Times New Roman" w:hAnsi="Times New Roman" w:eastAsia="宋体" w:cs="Times New Roman"/>
                      <w:b w:val="0"/>
                      <w:bCs w:val="0"/>
                      <w:snapToGrid w:val="0"/>
                      <w:color w:val="000000"/>
                      <w:kern w:val="0"/>
                      <w:sz w:val="21"/>
                      <w:szCs w:val="21"/>
                      <w:vertAlign w:val="baseline"/>
                      <w:lang w:val="en-US" w:eastAsia="zh-CN"/>
                    </w:rPr>
                    <w:t>衬砌形式。</w:t>
                  </w:r>
                </w:p>
              </w:tc>
            </w:tr>
          </w:tbl>
          <w:p>
            <w:pPr>
              <w:keepNext w:val="0"/>
              <w:keepLines w:val="0"/>
              <w:widowControl/>
              <w:suppressLineNumbers w:val="0"/>
              <w:spacing w:line="360" w:lineRule="auto"/>
              <w:ind w:left="0" w:leftChars="0" w:firstLine="0" w:firstLineChars="0"/>
              <w:jc w:val="left"/>
              <w:rPr>
                <w:rFonts w:hint="default"/>
                <w:b/>
                <w:bCs/>
                <w:lang w:val="en-US" w:eastAsia="zh-CN"/>
              </w:rPr>
            </w:pPr>
            <w:r>
              <w:rPr>
                <w:rFonts w:hint="eastAsia"/>
                <w:b/>
                <w:bCs/>
                <w:lang w:val="en-US" w:eastAsia="zh-CN"/>
              </w:rPr>
              <w:t>3、排洪渠断面形式比选</w:t>
            </w:r>
          </w:p>
          <w:p>
            <w:pPr>
              <w:numPr>
                <w:ilvl w:val="0"/>
                <w:numId w:val="0"/>
              </w:numPr>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考虑该段排洪渠两侧多为农田和民房，工程占地条件有限，从工程造价、运行安全、工程占地及工程施工等方面综合比选后，采用矩形断面</w:t>
            </w:r>
            <w:r>
              <w:rPr>
                <w:rFonts w:hint="eastAsia" w:cs="Times New Roman"/>
                <w:b w:val="0"/>
                <w:bCs w:val="0"/>
                <w:snapToGrid w:val="0"/>
                <w:color w:val="000000"/>
                <w:kern w:val="0"/>
                <w:sz w:val="24"/>
                <w:szCs w:val="24"/>
                <w:lang w:val="en-US" w:eastAsia="zh-CN"/>
              </w:rPr>
              <w:t>。</w:t>
            </w:r>
          </w:p>
          <w:p>
            <w:pPr>
              <w:spacing w:line="240" w:lineRule="auto"/>
              <w:ind w:firstLine="422" w:firstLineChars="200"/>
              <w:jc w:val="center"/>
              <w:rPr>
                <w:rFonts w:hint="eastAsia" w:ascii="Times New Roman" w:hAnsi="Times New Roman" w:eastAsia="宋体" w:cs="Times New Roman"/>
                <w:b/>
                <w:bCs/>
                <w:snapToGrid w:val="0"/>
                <w:color w:val="000000"/>
                <w:kern w:val="0"/>
                <w:sz w:val="21"/>
                <w:szCs w:val="21"/>
                <w:lang w:val="en-US" w:eastAsia="zh-CN"/>
              </w:rPr>
            </w:pPr>
            <w:r>
              <w:rPr>
                <w:rFonts w:hint="eastAsia" w:ascii="Times New Roman" w:hAnsi="Times New Roman" w:eastAsia="宋体" w:cs="Times New Roman"/>
                <w:b/>
                <w:bCs/>
                <w:snapToGrid w:val="0"/>
                <w:color w:val="000000"/>
                <w:kern w:val="0"/>
                <w:sz w:val="21"/>
                <w:szCs w:val="21"/>
                <w:lang w:val="en-US" w:eastAsia="zh-CN"/>
              </w:rPr>
              <w:t>表2-7            排洪渠横断面形式比选</w:t>
            </w:r>
          </w:p>
          <w:tbl>
            <w:tblPr>
              <w:tblStyle w:val="3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1520"/>
              <w:gridCol w:w="5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序号</w:t>
                  </w:r>
                </w:p>
              </w:tc>
              <w:tc>
                <w:tcPr>
                  <w:tcW w:w="970"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default" w:ascii="Times New Roman" w:hAnsi="Times New Roman" w:eastAsia="宋体" w:cs="Times New Roman"/>
                      <w:b w:val="0"/>
                      <w:bCs w:val="0"/>
                      <w:snapToGrid w:val="0"/>
                      <w:color w:val="000000"/>
                      <w:kern w:val="0"/>
                      <w:sz w:val="21"/>
                      <w:szCs w:val="21"/>
                      <w:vertAlign w:val="baseline"/>
                      <w:lang w:val="en-US" w:eastAsia="zh-CN"/>
                    </w:rPr>
                    <w:t>项目</w:t>
                  </w:r>
                </w:p>
              </w:tc>
              <w:tc>
                <w:tcPr>
                  <w:tcW w:w="3586"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default" w:ascii="Times New Roman" w:hAnsi="Times New Roman" w:eastAsia="宋体" w:cs="Times New Roman"/>
                      <w:b w:val="0"/>
                      <w:bCs w:val="0"/>
                      <w:snapToGrid w:val="0"/>
                      <w:color w:val="000000"/>
                      <w:kern w:val="0"/>
                      <w:sz w:val="21"/>
                      <w:szCs w:val="21"/>
                      <w:vertAlign w:val="baseline"/>
                      <w:lang w:val="en-US" w:eastAsia="zh-CN"/>
                    </w:rPr>
                    <w:t>矩形断面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vAlign w:val="top"/>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1</w:t>
                  </w:r>
                </w:p>
              </w:tc>
              <w:tc>
                <w:tcPr>
                  <w:tcW w:w="970"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default" w:ascii="Times New Roman" w:hAnsi="Times New Roman" w:eastAsia="宋体" w:cs="Times New Roman"/>
                      <w:b w:val="0"/>
                      <w:bCs w:val="0"/>
                      <w:snapToGrid w:val="0"/>
                      <w:color w:val="000000"/>
                      <w:kern w:val="0"/>
                      <w:sz w:val="21"/>
                      <w:szCs w:val="21"/>
                      <w:vertAlign w:val="baseline"/>
                      <w:lang w:val="en-US" w:eastAsia="zh-CN"/>
                    </w:rPr>
                    <w:t>运行安全</w:t>
                  </w:r>
                </w:p>
              </w:tc>
              <w:tc>
                <w:tcPr>
                  <w:tcW w:w="3586"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default" w:ascii="Times New Roman" w:hAnsi="Times New Roman" w:eastAsia="宋体" w:cs="Times New Roman"/>
                      <w:b w:val="0"/>
                      <w:bCs w:val="0"/>
                      <w:snapToGrid w:val="0"/>
                      <w:color w:val="000000"/>
                      <w:kern w:val="0"/>
                      <w:sz w:val="21"/>
                      <w:szCs w:val="21"/>
                      <w:vertAlign w:val="baseline"/>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vAlign w:val="top"/>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2</w:t>
                  </w:r>
                </w:p>
              </w:tc>
              <w:tc>
                <w:tcPr>
                  <w:tcW w:w="970"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default" w:ascii="Times New Roman" w:hAnsi="Times New Roman" w:eastAsia="宋体" w:cs="Times New Roman"/>
                      <w:b w:val="0"/>
                      <w:bCs w:val="0"/>
                      <w:snapToGrid w:val="0"/>
                      <w:color w:val="000000"/>
                      <w:kern w:val="0"/>
                      <w:sz w:val="21"/>
                      <w:szCs w:val="21"/>
                      <w:vertAlign w:val="baseline"/>
                      <w:lang w:val="en-US" w:eastAsia="zh-CN"/>
                    </w:rPr>
                    <w:t>适用条件</w:t>
                  </w:r>
                </w:p>
              </w:tc>
              <w:tc>
                <w:tcPr>
                  <w:tcW w:w="3586"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default" w:ascii="Times New Roman" w:hAnsi="Times New Roman" w:eastAsia="宋体" w:cs="Times New Roman"/>
                      <w:b w:val="0"/>
                      <w:bCs w:val="0"/>
                      <w:snapToGrid w:val="0"/>
                      <w:color w:val="000000"/>
                      <w:kern w:val="0"/>
                      <w:sz w:val="21"/>
                      <w:szCs w:val="21"/>
                      <w:vertAlign w:val="baseline"/>
                      <w:lang w:val="en-US" w:eastAsia="zh-CN"/>
                    </w:rPr>
                    <w:t>主要适用中、小型河段，河堤两岸受占地条件限制</w:t>
                  </w:r>
                  <w:r>
                    <w:rPr>
                      <w:rFonts w:hint="eastAsia" w:ascii="Times New Roman" w:hAnsi="Times New Roman" w:eastAsia="宋体" w:cs="Times New Roman"/>
                      <w:b w:val="0"/>
                      <w:bCs w:val="0"/>
                      <w:snapToGrid w:val="0"/>
                      <w:color w:val="000000"/>
                      <w:kern w:val="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vAlign w:val="top"/>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3</w:t>
                  </w:r>
                </w:p>
              </w:tc>
              <w:tc>
                <w:tcPr>
                  <w:tcW w:w="970"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过水能力</w:t>
                  </w:r>
                </w:p>
              </w:tc>
              <w:tc>
                <w:tcPr>
                  <w:tcW w:w="3586"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输水效率相对低，满足要求。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vAlign w:val="top"/>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4</w:t>
                  </w:r>
                </w:p>
              </w:tc>
              <w:tc>
                <w:tcPr>
                  <w:tcW w:w="970"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抗冲能力</w:t>
                  </w:r>
                </w:p>
              </w:tc>
              <w:tc>
                <w:tcPr>
                  <w:tcW w:w="3586"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default" w:ascii="Times New Roman" w:hAnsi="Times New Roman" w:eastAsia="宋体" w:cs="Times New Roman"/>
                      <w:b w:val="0"/>
                      <w:bCs w:val="0"/>
                      <w:snapToGrid w:val="0"/>
                      <w:color w:val="000000"/>
                      <w:kern w:val="0"/>
                      <w:sz w:val="21"/>
                      <w:szCs w:val="21"/>
                      <w:vertAlign w:val="baseline"/>
                      <w:lang w:val="en-US" w:eastAsia="zh-CN"/>
                    </w:rPr>
                    <w:t>抗冲性能好</w:t>
                  </w:r>
                  <w:r>
                    <w:rPr>
                      <w:rFonts w:hint="eastAsia" w:ascii="Times New Roman" w:hAnsi="Times New Roman" w:eastAsia="宋体" w:cs="Times New Roman"/>
                      <w:b w:val="0"/>
                      <w:bCs w:val="0"/>
                      <w:snapToGrid w:val="0"/>
                      <w:color w:val="000000"/>
                      <w:kern w:val="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vAlign w:val="top"/>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5</w:t>
                  </w:r>
                </w:p>
              </w:tc>
              <w:tc>
                <w:tcPr>
                  <w:tcW w:w="970"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工程施工</w:t>
                  </w:r>
                </w:p>
              </w:tc>
              <w:tc>
                <w:tcPr>
                  <w:tcW w:w="3586"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施工方便，工艺简单；模板为常规的材料，不需要专门购买；支模稍复杂，施工周期相对长。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3" w:type="pct"/>
                  <w:vAlign w:val="top"/>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6</w:t>
                  </w:r>
                </w:p>
              </w:tc>
              <w:tc>
                <w:tcPr>
                  <w:tcW w:w="970"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工程维修</w:t>
                  </w:r>
                </w:p>
              </w:tc>
              <w:tc>
                <w:tcPr>
                  <w:tcW w:w="3586"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维修方便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vAlign w:val="top"/>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7</w:t>
                  </w:r>
                </w:p>
              </w:tc>
              <w:tc>
                <w:tcPr>
                  <w:tcW w:w="970"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抗冻性能</w:t>
                  </w:r>
                </w:p>
              </w:tc>
              <w:tc>
                <w:tcPr>
                  <w:tcW w:w="3586"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default" w:ascii="Times New Roman" w:hAnsi="Times New Roman" w:eastAsia="宋体" w:cs="Times New Roman"/>
                      <w:b w:val="0"/>
                      <w:bCs w:val="0"/>
                      <w:snapToGrid w:val="0"/>
                      <w:color w:val="000000"/>
                      <w:kern w:val="0"/>
                      <w:sz w:val="21"/>
                      <w:szCs w:val="21"/>
                      <w:vertAlign w:val="baseline"/>
                      <w:lang w:val="en-US" w:eastAsia="zh-CN"/>
                    </w:rPr>
                    <w:t>抗冻性能较好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vAlign w:val="top"/>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8</w:t>
                  </w:r>
                </w:p>
              </w:tc>
              <w:tc>
                <w:tcPr>
                  <w:tcW w:w="970"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工程占地</w:t>
                  </w:r>
                </w:p>
              </w:tc>
              <w:tc>
                <w:tcPr>
                  <w:tcW w:w="3586"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渠道上口小，占地面积相对较小。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43" w:type="pct"/>
                  <w:vAlign w:val="top"/>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9</w:t>
                  </w:r>
                </w:p>
              </w:tc>
              <w:tc>
                <w:tcPr>
                  <w:tcW w:w="970"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使用年限</w:t>
                  </w:r>
                </w:p>
              </w:tc>
              <w:tc>
                <w:tcPr>
                  <w:tcW w:w="3586"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20-30年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vAlign w:val="top"/>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10</w:t>
                  </w:r>
                </w:p>
              </w:tc>
              <w:tc>
                <w:tcPr>
                  <w:tcW w:w="970"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工程投资</w:t>
                  </w:r>
                  <w:r>
                    <w:rPr>
                      <w:rFonts w:hint="default" w:ascii="Times New Roman" w:hAnsi="Times New Roman" w:eastAsia="宋体" w:cs="Times New Roman"/>
                      <w:b w:val="0"/>
                      <w:bCs w:val="0"/>
                      <w:snapToGrid w:val="0"/>
                      <w:color w:val="000000"/>
                      <w:kern w:val="0"/>
                      <w:sz w:val="21"/>
                      <w:szCs w:val="21"/>
                      <w:vertAlign w:val="baseline"/>
                      <w:lang w:val="en-US" w:eastAsia="zh-CN"/>
                    </w:rPr>
                    <w:t>（</w:t>
                  </w:r>
                  <w:r>
                    <w:rPr>
                      <w:rFonts w:hint="eastAsia" w:ascii="Times New Roman" w:hAnsi="Times New Roman" w:eastAsia="宋体" w:cs="Times New Roman"/>
                      <w:b w:val="0"/>
                      <w:bCs w:val="0"/>
                      <w:snapToGrid w:val="0"/>
                      <w:color w:val="000000"/>
                      <w:kern w:val="0"/>
                      <w:sz w:val="21"/>
                      <w:szCs w:val="21"/>
                      <w:vertAlign w:val="baseline"/>
                      <w:lang w:val="en-US" w:eastAsia="zh-CN"/>
                    </w:rPr>
                    <w:t>万元/km</w:t>
                  </w:r>
                  <w:r>
                    <w:rPr>
                      <w:rFonts w:hint="default" w:ascii="Times New Roman" w:hAnsi="Times New Roman" w:cs="Times New Roman"/>
                      <w:b w:val="0"/>
                      <w:bCs w:val="0"/>
                      <w:snapToGrid w:val="0"/>
                      <w:color w:val="000000"/>
                      <w:kern w:val="0"/>
                      <w:sz w:val="24"/>
                      <w:szCs w:val="24"/>
                      <w:lang w:val="en-US" w:eastAsia="zh-CN"/>
                    </w:rPr>
                    <w:t>）</w:t>
                  </w:r>
                </w:p>
              </w:tc>
              <w:tc>
                <w:tcPr>
                  <w:tcW w:w="3586"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218.8</w:t>
                  </w:r>
                </w:p>
              </w:tc>
            </w:tr>
          </w:tbl>
          <w:p>
            <w:pPr>
              <w:rPr>
                <w:rFonts w:hint="default" w:ascii="Times New Roman" w:hAnsi="Times New Roman" w:eastAsia="宋体" w:cs="Times New Roman"/>
                <w:b w:val="0"/>
                <w:bCs w:val="0"/>
                <w:snapToGrid w:val="0"/>
                <w:color w:val="000000"/>
                <w:kern w:val="0"/>
                <w:sz w:val="24"/>
                <w:szCs w:val="24"/>
                <w:lang w:val="en-US" w:eastAsia="zh-CN"/>
              </w:rPr>
            </w:pPr>
            <w:r>
              <w:rPr>
                <w:rFonts w:hint="default" w:ascii="Times New Roman" w:hAnsi="Times New Roman" w:eastAsia="宋体" w:cs="Times New Roman"/>
                <w:b w:val="0"/>
                <w:bCs w:val="0"/>
                <w:snapToGrid w:val="0"/>
                <w:color w:val="000000"/>
                <w:kern w:val="0"/>
                <w:sz w:val="24"/>
                <w:szCs w:val="24"/>
                <w:lang w:val="en-US" w:eastAsia="zh-CN"/>
              </w:rPr>
              <w:t>（</w:t>
            </w:r>
            <w:r>
              <w:rPr>
                <w:rFonts w:hint="eastAsia" w:ascii="Times New Roman" w:hAnsi="Times New Roman" w:eastAsia="宋体" w:cs="Times New Roman"/>
                <w:b w:val="0"/>
                <w:bCs w:val="0"/>
                <w:snapToGrid w:val="0"/>
                <w:color w:val="000000"/>
                <w:kern w:val="0"/>
                <w:sz w:val="24"/>
                <w:szCs w:val="24"/>
                <w:lang w:val="en-US" w:eastAsia="zh-CN"/>
              </w:rPr>
              <w:t>2</w:t>
            </w:r>
            <w:r>
              <w:rPr>
                <w:rFonts w:hint="default" w:ascii="Times New Roman" w:hAnsi="Times New Roman" w:eastAsia="宋体" w:cs="Times New Roman"/>
                <w:b w:val="0"/>
                <w:bCs w:val="0"/>
                <w:snapToGrid w:val="0"/>
                <w:color w:val="000000"/>
                <w:kern w:val="0"/>
                <w:sz w:val="24"/>
                <w:szCs w:val="24"/>
                <w:lang w:val="en-US" w:eastAsia="zh-CN"/>
              </w:rPr>
              <w:t>）排洪渠护砌形式选择</w:t>
            </w:r>
          </w:p>
          <w:p>
            <w:pPr>
              <w:rPr>
                <w:rFonts w:hint="eastAsia"/>
                <w:lang w:val="en-US" w:eastAsia="zh-CN"/>
              </w:rPr>
            </w:pPr>
            <w:r>
              <w:rPr>
                <w:rFonts w:hint="eastAsia" w:ascii="Times New Roman" w:hAnsi="Times New Roman" w:eastAsia="宋体" w:cs="Times New Roman"/>
                <w:b w:val="0"/>
                <w:bCs w:val="0"/>
                <w:snapToGrid w:val="0"/>
                <w:color w:val="000000"/>
                <w:kern w:val="0"/>
                <w:sz w:val="24"/>
                <w:szCs w:val="24"/>
                <w:lang w:val="en-US" w:eastAsia="zh-CN"/>
              </w:rPr>
              <w:t>综合从断面尺寸、工程量、施工技术要求、工程造价、水环境保护等方面具考虑，采用</w:t>
            </w:r>
            <w:r>
              <w:rPr>
                <w:rFonts w:hint="default" w:ascii="Times New Roman" w:hAnsi="Times New Roman" w:eastAsia="宋体" w:cs="Times New Roman"/>
                <w:b w:val="0"/>
                <w:bCs w:val="0"/>
                <w:snapToGrid w:val="0"/>
                <w:color w:val="000000"/>
                <w:kern w:val="0"/>
                <w:sz w:val="24"/>
                <w:szCs w:val="24"/>
                <w:lang w:val="en-US" w:eastAsia="zh-CN"/>
              </w:rPr>
              <w:t>浆砌石挡墙+干砌石渠底</w:t>
            </w:r>
            <w:r>
              <w:rPr>
                <w:rFonts w:hint="eastAsia" w:ascii="Times New Roman" w:hAnsi="Times New Roman" w:eastAsia="宋体" w:cs="Times New Roman"/>
                <w:b w:val="0"/>
                <w:bCs w:val="0"/>
                <w:snapToGrid w:val="0"/>
                <w:color w:val="000000"/>
                <w:kern w:val="0"/>
                <w:sz w:val="24"/>
                <w:szCs w:val="24"/>
                <w:lang w:val="en-US" w:eastAsia="zh-CN"/>
              </w:rPr>
              <w:t>做为渠道的衬砌形式</w:t>
            </w:r>
            <w:r>
              <w:rPr>
                <w:rFonts w:hint="eastAsia"/>
                <w:lang w:val="en-US" w:eastAsia="zh-CN"/>
              </w:rPr>
              <w:t>。</w:t>
            </w:r>
          </w:p>
          <w:p>
            <w:pPr>
              <w:spacing w:line="240" w:lineRule="auto"/>
              <w:ind w:firstLine="422" w:firstLineChars="200"/>
              <w:jc w:val="center"/>
              <w:rPr>
                <w:rFonts w:hint="eastAsia" w:ascii="Times New Roman" w:hAnsi="Times New Roman" w:eastAsia="宋体" w:cs="Times New Roman"/>
                <w:b/>
                <w:bCs/>
                <w:snapToGrid w:val="0"/>
                <w:color w:val="000000"/>
                <w:kern w:val="0"/>
                <w:sz w:val="21"/>
                <w:szCs w:val="21"/>
                <w:lang w:val="en-US" w:eastAsia="zh-CN"/>
              </w:rPr>
            </w:pPr>
            <w:r>
              <w:rPr>
                <w:rFonts w:hint="eastAsia" w:ascii="Times New Roman" w:hAnsi="Times New Roman" w:eastAsia="宋体" w:cs="Times New Roman"/>
                <w:b/>
                <w:bCs/>
                <w:snapToGrid w:val="0"/>
                <w:color w:val="000000"/>
                <w:kern w:val="0"/>
                <w:sz w:val="21"/>
                <w:szCs w:val="21"/>
                <w:lang w:val="en-US" w:eastAsia="zh-CN"/>
              </w:rPr>
              <w:t xml:space="preserve">表2-8       </w:t>
            </w:r>
            <w:r>
              <w:rPr>
                <w:rFonts w:hint="eastAsia" w:cs="Times New Roman"/>
                <w:b/>
                <w:bCs/>
                <w:snapToGrid w:val="0"/>
                <w:color w:val="000000"/>
                <w:kern w:val="0"/>
                <w:sz w:val="21"/>
                <w:szCs w:val="21"/>
                <w:lang w:val="en-US" w:eastAsia="zh-CN"/>
              </w:rPr>
              <w:t xml:space="preserve"> </w:t>
            </w:r>
            <w:r>
              <w:rPr>
                <w:rFonts w:hint="eastAsia" w:ascii="Times New Roman" w:hAnsi="Times New Roman" w:eastAsia="宋体" w:cs="Times New Roman"/>
                <w:b/>
                <w:bCs/>
                <w:snapToGrid w:val="0"/>
                <w:color w:val="000000"/>
                <w:kern w:val="0"/>
                <w:sz w:val="21"/>
                <w:szCs w:val="21"/>
                <w:lang w:val="en-US" w:eastAsia="zh-CN"/>
              </w:rPr>
              <w:t xml:space="preserve">     排洪渠横断面形式比选</w:t>
            </w:r>
          </w:p>
          <w:tbl>
            <w:tblPr>
              <w:tblStyle w:val="3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1290"/>
              <w:gridCol w:w="5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cs="Times New Roman"/>
                      <w:b w:val="0"/>
                      <w:bCs w:val="0"/>
                      <w:snapToGrid w:val="0"/>
                      <w:color w:val="000000"/>
                      <w:kern w:val="0"/>
                      <w:sz w:val="21"/>
                      <w:szCs w:val="21"/>
                      <w:vertAlign w:val="baseline"/>
                      <w:lang w:val="en-US" w:eastAsia="zh-CN"/>
                    </w:rPr>
                    <w:t>序号</w:t>
                  </w:r>
                </w:p>
              </w:tc>
              <w:tc>
                <w:tcPr>
                  <w:tcW w:w="823"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cs="Times New Roman"/>
                      <w:b w:val="0"/>
                      <w:bCs w:val="0"/>
                      <w:snapToGrid w:val="0"/>
                      <w:color w:val="000000"/>
                      <w:kern w:val="0"/>
                      <w:sz w:val="21"/>
                      <w:szCs w:val="21"/>
                      <w:vertAlign w:val="baseline"/>
                      <w:lang w:val="en-US" w:eastAsia="zh-CN"/>
                    </w:rPr>
                    <w:t>项目</w:t>
                  </w:r>
                </w:p>
              </w:tc>
              <w:tc>
                <w:tcPr>
                  <w:tcW w:w="3736"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default" w:ascii="Times New Roman" w:hAnsi="Times New Roman" w:eastAsia="宋体" w:cs="Times New Roman"/>
                      <w:b w:val="0"/>
                      <w:bCs w:val="0"/>
                      <w:snapToGrid w:val="0"/>
                      <w:color w:val="000000"/>
                      <w:kern w:val="0"/>
                      <w:sz w:val="21"/>
                      <w:szCs w:val="21"/>
                      <w:vertAlign w:val="baseline"/>
                      <w:lang w:val="en-US" w:eastAsia="zh-CN"/>
                    </w:rPr>
                    <w:t>浆砌石挡墙+干砌石渠底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vAlign w:val="top"/>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p>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1</w:t>
                  </w:r>
                </w:p>
              </w:tc>
              <w:tc>
                <w:tcPr>
                  <w:tcW w:w="823"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default" w:ascii="Times New Roman" w:hAnsi="Times New Roman" w:eastAsia="宋体" w:cs="Times New Roman"/>
                      <w:b w:val="0"/>
                      <w:bCs w:val="0"/>
                      <w:snapToGrid w:val="0"/>
                      <w:color w:val="000000"/>
                      <w:kern w:val="0"/>
                      <w:sz w:val="21"/>
                      <w:szCs w:val="21"/>
                      <w:vertAlign w:val="baseline"/>
                      <w:lang w:val="en-US" w:eastAsia="zh-CN"/>
                    </w:rPr>
                    <w:t>横断面结构</w:t>
                  </w:r>
                </w:p>
              </w:tc>
              <w:tc>
                <w:tcPr>
                  <w:tcW w:w="3736"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default" w:ascii="Times New Roman" w:hAnsi="Times New Roman" w:eastAsia="宋体" w:cs="Times New Roman"/>
                      <w:b w:val="0"/>
                      <w:bCs w:val="0"/>
                      <w:snapToGrid w:val="0"/>
                      <w:color w:val="000000"/>
                      <w:kern w:val="0"/>
                      <w:sz w:val="21"/>
                      <w:szCs w:val="21"/>
                      <w:vertAlign w:val="baseline"/>
                      <w:lang w:val="en-US" w:eastAsia="zh-CN"/>
                    </w:rPr>
                    <w:t>边墙采用浆砌石砌筑，顶宽0.3m，底宽1.1m，高2.0m</w:t>
                  </w:r>
                  <w:r>
                    <w:rPr>
                      <w:rFonts w:hint="eastAsia" w:ascii="Times New Roman" w:hAnsi="Times New Roman" w:eastAsia="宋体" w:cs="Times New Roman"/>
                      <w:b w:val="0"/>
                      <w:bCs w:val="0"/>
                      <w:snapToGrid w:val="0"/>
                      <w:color w:val="000000"/>
                      <w:kern w:val="0"/>
                      <w:sz w:val="21"/>
                      <w:szCs w:val="21"/>
                      <w:vertAlign w:val="baseline"/>
                      <w:lang w:val="en-US" w:eastAsia="zh-CN"/>
                    </w:rPr>
                    <w:t>；</w:t>
                  </w:r>
                  <w:r>
                    <w:rPr>
                      <w:rFonts w:hint="default" w:ascii="Times New Roman" w:hAnsi="Times New Roman" w:eastAsia="宋体" w:cs="Times New Roman"/>
                      <w:b w:val="0"/>
                      <w:bCs w:val="0"/>
                      <w:snapToGrid w:val="0"/>
                      <w:color w:val="000000"/>
                      <w:kern w:val="0"/>
                      <w:sz w:val="21"/>
                      <w:szCs w:val="21"/>
                      <w:vertAlign w:val="baseline"/>
                      <w:lang w:val="en-US" w:eastAsia="zh-CN"/>
                    </w:rPr>
                    <w:t>渠底采用30cm厚干砌卵石砌筑</w:t>
                  </w:r>
                  <w:r>
                    <w:rPr>
                      <w:rFonts w:hint="eastAsia" w:ascii="Times New Roman" w:hAnsi="Times New Roman" w:eastAsia="宋体" w:cs="Times New Roman"/>
                      <w:b w:val="0"/>
                      <w:bCs w:val="0"/>
                      <w:snapToGrid w:val="0"/>
                      <w:color w:val="000000"/>
                      <w:kern w:val="0"/>
                      <w:sz w:val="21"/>
                      <w:szCs w:val="21"/>
                      <w:vertAlign w:val="baseline"/>
                      <w:lang w:val="en-US" w:eastAsia="zh-CN"/>
                    </w:rPr>
                    <w:t>；</w:t>
                  </w:r>
                  <w:r>
                    <w:rPr>
                      <w:rFonts w:hint="default" w:ascii="Times New Roman" w:hAnsi="Times New Roman" w:eastAsia="宋体" w:cs="Times New Roman"/>
                      <w:b w:val="0"/>
                      <w:bCs w:val="0"/>
                      <w:snapToGrid w:val="0"/>
                      <w:color w:val="000000"/>
                      <w:kern w:val="0"/>
                      <w:sz w:val="21"/>
                      <w:szCs w:val="21"/>
                      <w:vertAlign w:val="baseline"/>
                      <w:lang w:val="en-US" w:eastAsia="zh-CN"/>
                    </w:rPr>
                    <w:t>边墙及渠底基础设50cm砂砾石垫层</w:t>
                  </w:r>
                  <w:r>
                    <w:rPr>
                      <w:rFonts w:hint="eastAsia" w:ascii="Times New Roman" w:hAnsi="Times New Roman" w:eastAsia="宋体" w:cs="Times New Roman"/>
                      <w:b w:val="0"/>
                      <w:bCs w:val="0"/>
                      <w:snapToGrid w:val="0"/>
                      <w:color w:val="000000"/>
                      <w:kern w:val="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vAlign w:val="top"/>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2</w:t>
                  </w:r>
                </w:p>
              </w:tc>
              <w:tc>
                <w:tcPr>
                  <w:tcW w:w="823"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default" w:ascii="Times New Roman" w:hAnsi="Times New Roman" w:eastAsia="宋体" w:cs="Times New Roman"/>
                      <w:b w:val="0"/>
                      <w:bCs w:val="0"/>
                      <w:snapToGrid w:val="0"/>
                      <w:color w:val="000000"/>
                      <w:kern w:val="0"/>
                      <w:sz w:val="21"/>
                      <w:szCs w:val="21"/>
                      <w:vertAlign w:val="baseline"/>
                      <w:lang w:val="en-US" w:eastAsia="zh-CN"/>
                    </w:rPr>
                    <w:t>施工技术</w:t>
                  </w:r>
                </w:p>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default" w:ascii="Times New Roman" w:hAnsi="Times New Roman" w:eastAsia="宋体" w:cs="Times New Roman"/>
                      <w:b w:val="0"/>
                      <w:bCs w:val="0"/>
                      <w:snapToGrid w:val="0"/>
                      <w:color w:val="000000"/>
                      <w:kern w:val="0"/>
                      <w:sz w:val="21"/>
                      <w:szCs w:val="21"/>
                      <w:vertAlign w:val="baseline"/>
                      <w:lang w:val="en-US" w:eastAsia="zh-CN"/>
                    </w:rPr>
                    <w:t>要求</w:t>
                  </w:r>
                </w:p>
              </w:tc>
              <w:tc>
                <w:tcPr>
                  <w:tcW w:w="3736"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简单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vAlign w:val="top"/>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3</w:t>
                  </w:r>
                </w:p>
              </w:tc>
              <w:tc>
                <w:tcPr>
                  <w:tcW w:w="823"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default" w:ascii="Times New Roman" w:hAnsi="Times New Roman" w:eastAsia="宋体" w:cs="Times New Roman"/>
                      <w:b w:val="0"/>
                      <w:bCs w:val="0"/>
                      <w:snapToGrid w:val="0"/>
                      <w:color w:val="000000"/>
                      <w:kern w:val="0"/>
                      <w:sz w:val="21"/>
                      <w:szCs w:val="21"/>
                      <w:vertAlign w:val="baseline"/>
                      <w:lang w:val="en-US" w:eastAsia="zh-CN"/>
                    </w:rPr>
                    <w:t>抗冲能力</w:t>
                  </w:r>
                </w:p>
              </w:tc>
              <w:tc>
                <w:tcPr>
                  <w:tcW w:w="3736"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抗冲性能好，配套跌差建筑物相对少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vAlign w:val="top"/>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4</w:t>
                  </w:r>
                </w:p>
              </w:tc>
              <w:tc>
                <w:tcPr>
                  <w:tcW w:w="823"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建筑材料</w:t>
                  </w:r>
                </w:p>
              </w:tc>
              <w:tc>
                <w:tcPr>
                  <w:tcW w:w="3736"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default" w:ascii="Times New Roman" w:hAnsi="Times New Roman" w:eastAsia="宋体" w:cs="Times New Roman"/>
                      <w:b w:val="0"/>
                      <w:bCs w:val="0"/>
                      <w:snapToGrid w:val="0"/>
                      <w:color w:val="000000"/>
                      <w:kern w:val="0"/>
                      <w:sz w:val="21"/>
                      <w:szCs w:val="21"/>
                      <w:vertAlign w:val="baseline"/>
                      <w:lang w:val="en-US" w:eastAsia="zh-CN"/>
                    </w:rPr>
                    <w:t>主要建筑材料水泥和卵石运距均较近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9" w:type="pct"/>
                  <w:vAlign w:val="top"/>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5</w:t>
                  </w:r>
                </w:p>
              </w:tc>
              <w:tc>
                <w:tcPr>
                  <w:tcW w:w="823"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维护运行</w:t>
                  </w:r>
                </w:p>
              </w:tc>
              <w:tc>
                <w:tcPr>
                  <w:tcW w:w="3736"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相对复杂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9" w:type="pct"/>
                  <w:vAlign w:val="top"/>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6</w:t>
                  </w:r>
                </w:p>
              </w:tc>
              <w:tc>
                <w:tcPr>
                  <w:tcW w:w="823"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default" w:ascii="Times New Roman" w:hAnsi="Times New Roman" w:eastAsia="宋体" w:cs="Times New Roman"/>
                      <w:b w:val="0"/>
                      <w:bCs w:val="0"/>
                      <w:snapToGrid w:val="0"/>
                      <w:color w:val="000000"/>
                      <w:kern w:val="0"/>
                      <w:sz w:val="21"/>
                      <w:szCs w:val="21"/>
                      <w:vertAlign w:val="baseline"/>
                      <w:lang w:val="en-US" w:eastAsia="zh-CN"/>
                    </w:rPr>
                    <w:t>适应地基变形能力</w:t>
                  </w:r>
                </w:p>
              </w:tc>
              <w:tc>
                <w:tcPr>
                  <w:tcW w:w="3736"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较强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vAlign w:val="top"/>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7</w:t>
                  </w:r>
                </w:p>
              </w:tc>
              <w:tc>
                <w:tcPr>
                  <w:tcW w:w="823"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运行管理</w:t>
                  </w:r>
                </w:p>
              </w:tc>
              <w:tc>
                <w:tcPr>
                  <w:tcW w:w="3736"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default" w:ascii="Times New Roman" w:hAnsi="Times New Roman" w:eastAsia="宋体" w:cs="Times New Roman"/>
                      <w:b w:val="0"/>
                      <w:bCs w:val="0"/>
                      <w:snapToGrid w:val="0"/>
                      <w:color w:val="000000"/>
                      <w:kern w:val="0"/>
                      <w:sz w:val="21"/>
                      <w:szCs w:val="21"/>
                      <w:vertAlign w:val="baseline"/>
                      <w:lang w:val="en-US" w:eastAsia="zh-CN"/>
                    </w:rPr>
                    <w:t>运行安全，抗冻性能较好，运行管理方便，使用年限20~30年</w:t>
                  </w:r>
                  <w:r>
                    <w:rPr>
                      <w:rFonts w:hint="eastAsia" w:ascii="Times New Roman" w:hAnsi="Times New Roman" w:eastAsia="宋体" w:cs="Times New Roman"/>
                      <w:b w:val="0"/>
                      <w:bCs w:val="0"/>
                      <w:snapToGrid w:val="0"/>
                      <w:color w:val="000000"/>
                      <w:kern w:val="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vAlign w:val="top"/>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8</w:t>
                  </w:r>
                </w:p>
              </w:tc>
              <w:tc>
                <w:tcPr>
                  <w:tcW w:w="823"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水环境保护</w:t>
                  </w:r>
                </w:p>
              </w:tc>
              <w:tc>
                <w:tcPr>
                  <w:tcW w:w="3736" w:type="pct"/>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渠底不防渗，河水可下渗，尽可能保护河道生态水环境。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vAlign w:val="top"/>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9</w:t>
                  </w:r>
                </w:p>
              </w:tc>
              <w:tc>
                <w:tcPr>
                  <w:tcW w:w="823" w:type="pct"/>
                  <w:vAlign w:val="top"/>
                </w:tcPr>
                <w:p>
                  <w:pPr>
                    <w:spacing w:line="240" w:lineRule="auto"/>
                    <w:ind w:left="0" w:leftChars="0" w:firstLine="0" w:firstLineChars="0"/>
                    <w:jc w:val="center"/>
                    <w:rPr>
                      <w:rFonts w:hint="eastAsia"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工程投资</w:t>
                  </w:r>
                  <w:r>
                    <w:rPr>
                      <w:rFonts w:hint="default" w:ascii="Times New Roman" w:hAnsi="Times New Roman" w:eastAsia="宋体" w:cs="Times New Roman"/>
                      <w:b w:val="0"/>
                      <w:bCs w:val="0"/>
                      <w:snapToGrid w:val="0"/>
                      <w:color w:val="000000"/>
                      <w:kern w:val="0"/>
                      <w:sz w:val="21"/>
                      <w:szCs w:val="21"/>
                      <w:vertAlign w:val="baseline"/>
                      <w:lang w:val="en-US" w:eastAsia="zh-CN"/>
                    </w:rPr>
                    <w:t>（</w:t>
                  </w:r>
                  <w:r>
                    <w:rPr>
                      <w:rFonts w:hint="eastAsia" w:ascii="Times New Roman" w:hAnsi="Times New Roman" w:eastAsia="宋体" w:cs="Times New Roman"/>
                      <w:b w:val="0"/>
                      <w:bCs w:val="0"/>
                      <w:snapToGrid w:val="0"/>
                      <w:color w:val="000000"/>
                      <w:kern w:val="0"/>
                      <w:sz w:val="21"/>
                      <w:szCs w:val="21"/>
                      <w:vertAlign w:val="baseline"/>
                      <w:lang w:val="en-US" w:eastAsia="zh-CN"/>
                    </w:rPr>
                    <w:t>万元/km</w:t>
                  </w:r>
                  <w:r>
                    <w:rPr>
                      <w:rFonts w:hint="default" w:ascii="Times New Roman" w:hAnsi="Times New Roman" w:cs="Times New Roman"/>
                      <w:b w:val="0"/>
                      <w:bCs w:val="0"/>
                      <w:snapToGrid w:val="0"/>
                      <w:color w:val="000000"/>
                      <w:kern w:val="0"/>
                      <w:sz w:val="24"/>
                      <w:szCs w:val="24"/>
                      <w:lang w:val="en-US" w:eastAsia="zh-CN"/>
                    </w:rPr>
                    <w:t>）</w:t>
                  </w:r>
                </w:p>
              </w:tc>
              <w:tc>
                <w:tcPr>
                  <w:tcW w:w="3736" w:type="pct"/>
                  <w:vAlign w:val="top"/>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218.8</w:t>
                  </w:r>
                </w:p>
              </w:tc>
            </w:tr>
          </w:tbl>
          <w:p>
            <w:pPr>
              <w:numPr>
                <w:ilvl w:val="0"/>
                <w:numId w:val="0"/>
              </w:numPr>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4、堤防和排洪渠护坡抗冻涨材料的比选</w:t>
            </w:r>
          </w:p>
          <w:p>
            <w:pPr>
              <w:numPr>
                <w:ilvl w:val="0"/>
                <w:numId w:val="0"/>
              </w:numPr>
              <w:ind w:firstLine="480" w:firstLineChars="200"/>
              <w:rPr>
                <w:rFonts w:hint="eastAsia" w:ascii="Times New Roman" w:hAnsi="Times New Roman" w:eastAsia="宋体" w:cs="Times New Roman"/>
                <w:sz w:val="24"/>
                <w:szCs w:val="24"/>
                <w:lang w:val="en-US" w:eastAsia="zh-CN"/>
              </w:rPr>
            </w:pPr>
            <w:r>
              <w:rPr>
                <w:rFonts w:hint="eastAsia" w:cs="Times New Roman"/>
                <w:lang w:val="en-US" w:eastAsia="zh-CN"/>
              </w:rPr>
              <w:t>从</w:t>
            </w:r>
            <w:r>
              <w:rPr>
                <w:rFonts w:hint="eastAsia" w:ascii="Times New Roman" w:hAnsi="Times New Roman" w:cs="Times New Roman"/>
                <w:lang w:val="en-US" w:eastAsia="zh-CN"/>
              </w:rPr>
              <w:t>施工工艺、施工难度、材料来源、工程造价等方面综合考虑，</w:t>
            </w:r>
            <w:r>
              <w:rPr>
                <w:rFonts w:hint="eastAsia" w:cs="Times New Roman"/>
                <w:lang w:val="en-US" w:eastAsia="zh-CN"/>
              </w:rPr>
              <w:t>采用</w:t>
            </w:r>
            <w:r>
              <w:rPr>
                <w:rFonts w:hint="eastAsia" w:ascii="Times New Roman" w:hAnsi="Times New Roman" w:cs="Times New Roman"/>
                <w:lang w:val="en-US" w:eastAsia="zh-CN"/>
              </w:rPr>
              <w:t>堤防护坡基础抗冻胀材料采用砂砾石垫层料</w:t>
            </w:r>
            <w:r>
              <w:rPr>
                <w:rFonts w:hint="eastAsia" w:cs="Times New Roman"/>
                <w:lang w:val="en-US" w:eastAsia="zh-CN"/>
              </w:rPr>
              <w:t>。</w:t>
            </w:r>
          </w:p>
          <w:p>
            <w:pPr>
              <w:numPr>
                <w:ilvl w:val="0"/>
                <w:numId w:val="0"/>
              </w:numPr>
              <w:ind w:firstLine="480" w:firstLineChars="200"/>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sz w:val="24"/>
                <w:szCs w:val="24"/>
                <w:lang w:val="en-US" w:eastAsia="zh-CN"/>
              </w:rPr>
              <w:t>项目区最大冻土深达1.50m</w:t>
            </w:r>
            <w:r>
              <w:rPr>
                <w:rFonts w:hint="eastAsia" w:cs="Times New Roman"/>
                <w:sz w:val="24"/>
                <w:szCs w:val="24"/>
                <w:lang w:val="en-US" w:eastAsia="zh-CN"/>
              </w:rPr>
              <w:t>，</w:t>
            </w:r>
            <w:r>
              <w:rPr>
                <w:rFonts w:hint="eastAsia" w:ascii="Times New Roman" w:hAnsi="Times New Roman" w:eastAsia="宋体" w:cs="Times New Roman"/>
                <w:sz w:val="24"/>
                <w:szCs w:val="24"/>
                <w:lang w:val="en-US" w:eastAsia="zh-CN"/>
              </w:rPr>
              <w:t>根据地质资料计算，魏家村~S303省道段河道线地层岩性主要为第四系低液限粉土及冲洪积卵石混合土</w:t>
            </w:r>
            <w:r>
              <w:rPr>
                <w:rFonts w:hint="eastAsia" w:cs="Times New Roman"/>
                <w:sz w:val="24"/>
                <w:szCs w:val="24"/>
                <w:lang w:val="en-US" w:eastAsia="zh-CN"/>
              </w:rPr>
              <w:t>，</w:t>
            </w:r>
            <w:r>
              <w:rPr>
                <w:rFonts w:hint="eastAsia" w:ascii="Times New Roman" w:hAnsi="Times New Roman" w:eastAsia="宋体" w:cs="Times New Roman"/>
                <w:sz w:val="24"/>
                <w:szCs w:val="24"/>
                <w:lang w:val="en-US" w:eastAsia="zh-CN"/>
              </w:rPr>
              <w:t>液限粉土主要出露于岸坡及河床表层，属冻胀性土，因此需要进行抗冻胀设计</w:t>
            </w:r>
            <w:r>
              <w:rPr>
                <w:rFonts w:hint="eastAsia" w:cs="Times New Roman"/>
                <w:sz w:val="24"/>
                <w:szCs w:val="24"/>
                <w:lang w:val="en-US" w:eastAsia="zh-CN"/>
              </w:rPr>
              <w:t>，</w:t>
            </w:r>
            <w:r>
              <w:rPr>
                <w:rFonts w:hint="eastAsia" w:ascii="Times New Roman" w:hAnsi="Times New Roman" w:eastAsia="宋体" w:cs="Times New Roman"/>
                <w:sz w:val="24"/>
                <w:szCs w:val="24"/>
                <w:lang w:val="en-US" w:eastAsia="zh-CN"/>
              </w:rPr>
              <w:t>为防止河道衬砌在运行或施工期发生冻胀变形，采用在衬砌层下铺设防冻垫层</w:t>
            </w:r>
            <w:r>
              <w:rPr>
                <w:rFonts w:hint="eastAsia" w:cs="Times New Roman"/>
                <w:sz w:val="24"/>
                <w:szCs w:val="24"/>
                <w:lang w:val="en-US" w:eastAsia="zh-CN"/>
              </w:rPr>
              <w:t>，</w:t>
            </w:r>
            <w:r>
              <w:rPr>
                <w:rFonts w:hint="eastAsia" w:ascii="Times New Roman" w:hAnsi="Times New Roman" w:eastAsia="宋体" w:cs="Times New Roman"/>
                <w:sz w:val="24"/>
                <w:szCs w:val="24"/>
                <w:lang w:val="en-US" w:eastAsia="zh-CN"/>
              </w:rPr>
              <w:t>由于河道走向不同，根据规范要求，应按照阴、阳面分别计算，设计冻深计算采用《渠系工程抗冰冻设计规范》</w:t>
            </w:r>
            <w:r>
              <w:rPr>
                <w:rFonts w:hint="default" w:ascii="Times New Roman" w:hAnsi="Times New Roman" w:cs="Times New Roman"/>
                <w:b w:val="0"/>
                <w:bCs w:val="0"/>
                <w:snapToGrid w:val="0"/>
                <w:color w:val="000000"/>
                <w:kern w:val="0"/>
                <w:sz w:val="24"/>
                <w:szCs w:val="24"/>
                <w:lang w:val="en-US" w:eastAsia="zh-CN"/>
              </w:rPr>
              <w:t>（</w:t>
            </w:r>
            <w:r>
              <w:rPr>
                <w:rFonts w:hint="eastAsia" w:ascii="Times New Roman" w:hAnsi="Times New Roman" w:eastAsia="宋体" w:cs="Times New Roman"/>
                <w:sz w:val="24"/>
                <w:szCs w:val="24"/>
                <w:lang w:val="en-US" w:eastAsia="zh-CN"/>
              </w:rPr>
              <w:t>SL23-2006</w:t>
            </w:r>
            <w:r>
              <w:rPr>
                <w:rFonts w:hint="default" w:ascii="Times New Roman" w:hAnsi="Times New Roman" w:cs="Times New Roman"/>
                <w:b w:val="0"/>
                <w:bCs w:val="0"/>
                <w:snapToGrid w:val="0"/>
                <w:color w:val="000000"/>
                <w:kern w:val="0"/>
                <w:sz w:val="24"/>
                <w:szCs w:val="24"/>
                <w:lang w:val="en-US" w:eastAsia="zh-CN"/>
              </w:rPr>
              <w:t>）</w:t>
            </w:r>
            <w:r>
              <w:rPr>
                <w:rFonts w:hint="eastAsia" w:ascii="Times New Roman" w:hAnsi="Times New Roman" w:eastAsia="宋体" w:cs="Times New Roman"/>
                <w:sz w:val="24"/>
                <w:szCs w:val="24"/>
                <w:lang w:val="en-US" w:eastAsia="zh-CN"/>
              </w:rPr>
              <w:t>3.1.3进行计</w:t>
            </w:r>
            <w:r>
              <w:rPr>
                <w:rFonts w:hint="eastAsia" w:ascii="Times New Roman" w:hAnsi="Times New Roman" w:eastAsia="宋体" w:cs="Times New Roman"/>
                <w:b w:val="0"/>
                <w:bCs w:val="0"/>
                <w:kern w:val="2"/>
                <w:sz w:val="24"/>
                <w:szCs w:val="24"/>
                <w:lang w:val="en-US" w:eastAsia="zh-CN" w:bidi="ar-SA"/>
              </w:rPr>
              <w:t>算。</w:t>
            </w:r>
          </w:p>
          <w:p>
            <w:pPr>
              <w:keepNext w:val="0"/>
              <w:keepLines w:val="0"/>
              <w:widowControl/>
              <w:suppressLineNumbers w:val="0"/>
              <w:spacing w:line="360" w:lineRule="auto"/>
              <w:jc w:val="left"/>
              <w:rPr>
                <w:rFonts w:hint="default" w:ascii="Times New Roman" w:hAnsi="Times New Roman" w:cs="Times New Roman"/>
                <w:lang w:val="en-US" w:eastAsia="zh-CN"/>
              </w:rPr>
            </w:pPr>
            <w:r>
              <w:drawing>
                <wp:anchor distT="0" distB="0" distL="114300" distR="114300" simplePos="0" relativeHeight="251662336" behindDoc="0" locked="0" layoutInCell="1" allowOverlap="1">
                  <wp:simplePos x="0" y="0"/>
                  <wp:positionH relativeFrom="column">
                    <wp:posOffset>640080</wp:posOffset>
                  </wp:positionH>
                  <wp:positionV relativeFrom="paragraph">
                    <wp:posOffset>635</wp:posOffset>
                  </wp:positionV>
                  <wp:extent cx="3507740" cy="3977640"/>
                  <wp:effectExtent l="0" t="0" r="10160" b="10160"/>
                  <wp:wrapNone/>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pic:cNvPicPr>
                        </pic:nvPicPr>
                        <pic:blipFill>
                          <a:blip r:embed="rId10"/>
                          <a:stretch>
                            <a:fillRect/>
                          </a:stretch>
                        </pic:blipFill>
                        <pic:spPr>
                          <a:xfrm>
                            <a:off x="0" y="0"/>
                            <a:ext cx="3507740" cy="3977640"/>
                          </a:xfrm>
                          <a:prstGeom prst="rect">
                            <a:avLst/>
                          </a:prstGeom>
                          <a:noFill/>
                          <a:ln>
                            <a:noFill/>
                          </a:ln>
                        </pic:spPr>
                      </pic:pic>
                    </a:graphicData>
                  </a:graphic>
                </wp:anchor>
              </w:drawing>
            </w:r>
          </w:p>
          <w:p>
            <w:pPr>
              <w:keepNext w:val="0"/>
              <w:keepLines w:val="0"/>
              <w:widowControl/>
              <w:suppressLineNumbers w:val="0"/>
              <w:spacing w:line="360" w:lineRule="auto"/>
              <w:jc w:val="left"/>
              <w:rPr>
                <w:rFonts w:hint="default" w:ascii="Times New Roman" w:hAnsi="Times New Roman" w:cs="Times New Roman"/>
                <w:lang w:val="en-US" w:eastAsia="zh-CN"/>
              </w:rPr>
            </w:pPr>
          </w:p>
          <w:p>
            <w:pPr>
              <w:keepNext w:val="0"/>
              <w:keepLines w:val="0"/>
              <w:widowControl/>
              <w:suppressLineNumbers w:val="0"/>
              <w:spacing w:line="360" w:lineRule="auto"/>
              <w:jc w:val="left"/>
              <w:rPr>
                <w:rFonts w:hint="default" w:ascii="Times New Roman" w:hAnsi="Times New Roman" w:cs="Times New Roman"/>
                <w:lang w:val="en-US" w:eastAsia="zh-CN"/>
              </w:rPr>
            </w:pPr>
          </w:p>
          <w:p>
            <w:pPr>
              <w:keepNext w:val="0"/>
              <w:keepLines w:val="0"/>
              <w:widowControl/>
              <w:suppressLineNumbers w:val="0"/>
              <w:spacing w:line="360" w:lineRule="auto"/>
              <w:jc w:val="left"/>
              <w:rPr>
                <w:rFonts w:hint="default" w:ascii="Times New Roman" w:hAnsi="Times New Roman" w:cs="Times New Roman"/>
                <w:lang w:val="en-US" w:eastAsia="zh-CN"/>
              </w:rPr>
            </w:pPr>
          </w:p>
          <w:p>
            <w:pPr>
              <w:keepNext w:val="0"/>
              <w:keepLines w:val="0"/>
              <w:widowControl/>
              <w:suppressLineNumbers w:val="0"/>
              <w:spacing w:line="360" w:lineRule="auto"/>
              <w:jc w:val="left"/>
              <w:rPr>
                <w:rFonts w:hint="default" w:ascii="Times New Roman" w:hAnsi="Times New Roman" w:cs="Times New Roman"/>
                <w:lang w:val="en-US" w:eastAsia="zh-CN"/>
              </w:rPr>
            </w:pPr>
          </w:p>
          <w:p>
            <w:pPr>
              <w:pStyle w:val="5"/>
              <w:rPr>
                <w:rFonts w:hint="default" w:ascii="Times New Roman" w:hAnsi="Times New Roman" w:cs="Times New Roman"/>
                <w:lang w:val="en-US" w:eastAsia="zh-CN"/>
              </w:rPr>
            </w:pPr>
          </w:p>
          <w:p>
            <w:pPr>
              <w:rPr>
                <w:rFonts w:hint="default"/>
                <w:lang w:val="en-US" w:eastAsia="zh-CN"/>
              </w:rPr>
            </w:pPr>
          </w:p>
          <w:p>
            <w:pPr>
              <w:keepNext w:val="0"/>
              <w:keepLines w:val="0"/>
              <w:widowControl/>
              <w:suppressLineNumbers w:val="0"/>
              <w:spacing w:line="360" w:lineRule="auto"/>
              <w:jc w:val="left"/>
              <w:rPr>
                <w:rFonts w:hint="default" w:ascii="Times New Roman" w:hAnsi="Times New Roman" w:cs="Times New Roman"/>
                <w:lang w:val="en-US" w:eastAsia="zh-CN"/>
              </w:rPr>
            </w:pPr>
          </w:p>
          <w:p>
            <w:pPr>
              <w:keepNext w:val="0"/>
              <w:keepLines w:val="0"/>
              <w:widowControl/>
              <w:suppressLineNumbers w:val="0"/>
              <w:spacing w:line="360" w:lineRule="auto"/>
              <w:jc w:val="left"/>
              <w:rPr>
                <w:rFonts w:hint="default" w:ascii="Times New Roman" w:hAnsi="Times New Roman" w:cs="Times New Roman"/>
                <w:lang w:val="en-US" w:eastAsia="zh-CN"/>
              </w:rPr>
            </w:pPr>
          </w:p>
          <w:p>
            <w:pPr>
              <w:keepNext w:val="0"/>
              <w:keepLines w:val="0"/>
              <w:widowControl/>
              <w:suppressLineNumbers w:val="0"/>
              <w:spacing w:line="360" w:lineRule="auto"/>
              <w:jc w:val="left"/>
              <w:rPr>
                <w:rFonts w:hint="default" w:ascii="Times New Roman" w:hAnsi="Times New Roman" w:cs="Times New Roman"/>
                <w:lang w:val="en-US" w:eastAsia="zh-CN"/>
              </w:rPr>
            </w:pPr>
          </w:p>
          <w:p>
            <w:pPr>
              <w:keepNext w:val="0"/>
              <w:keepLines w:val="0"/>
              <w:widowControl/>
              <w:suppressLineNumbers w:val="0"/>
              <w:spacing w:line="360" w:lineRule="auto"/>
              <w:jc w:val="left"/>
              <w:rPr>
                <w:rFonts w:hint="default" w:ascii="Times New Roman" w:hAnsi="Times New Roman" w:cs="Times New Roman"/>
                <w:lang w:val="en-US" w:eastAsia="zh-CN"/>
              </w:rPr>
            </w:pPr>
          </w:p>
          <w:p>
            <w:pPr>
              <w:keepNext w:val="0"/>
              <w:keepLines w:val="0"/>
              <w:widowControl/>
              <w:suppressLineNumbers w:val="0"/>
              <w:spacing w:line="360" w:lineRule="auto"/>
              <w:jc w:val="left"/>
              <w:rPr>
                <w:rFonts w:hint="default" w:ascii="Times New Roman" w:hAnsi="Times New Roman" w:cs="Times New Roman"/>
                <w:lang w:val="en-US" w:eastAsia="zh-CN"/>
              </w:rPr>
            </w:pPr>
          </w:p>
          <w:p>
            <w:pPr>
              <w:keepNext w:val="0"/>
              <w:keepLines w:val="0"/>
              <w:widowControl/>
              <w:suppressLineNumbers w:val="0"/>
              <w:spacing w:line="360" w:lineRule="auto"/>
              <w:jc w:val="left"/>
              <w:rPr>
                <w:rFonts w:hint="default" w:ascii="Times New Roman" w:hAnsi="Times New Roman" w:cs="Times New Roman"/>
                <w:lang w:val="en-US" w:eastAsia="zh-CN"/>
              </w:rPr>
            </w:pPr>
          </w:p>
          <w:p>
            <w:pPr>
              <w:keepNext w:val="0"/>
              <w:keepLines w:val="0"/>
              <w:widowControl/>
              <w:suppressLineNumbers w:val="0"/>
              <w:spacing w:line="360" w:lineRule="auto"/>
              <w:jc w:val="left"/>
              <w:rPr>
                <w:rFonts w:hint="default" w:ascii="Times New Roman" w:hAnsi="Times New Roman" w:cs="Times New Roman"/>
                <w:lang w:val="en-US" w:eastAsia="zh-CN"/>
              </w:rPr>
            </w:pPr>
          </w:p>
          <w:p>
            <w:pPr>
              <w:pStyle w:val="5"/>
              <w:rPr>
                <w:rFonts w:hint="default" w:ascii="Times New Roman" w:hAnsi="Times New Roman" w:cs="Times New Roman"/>
                <w:lang w:val="en-US" w:eastAsia="zh-CN"/>
              </w:rPr>
            </w:pPr>
          </w:p>
          <w:p>
            <w:pPr>
              <w:spacing w:line="240" w:lineRule="auto"/>
              <w:ind w:firstLine="422" w:firstLineChars="200"/>
              <w:jc w:val="center"/>
              <w:rPr>
                <w:rFonts w:hint="eastAsia" w:ascii="Times New Roman" w:hAnsi="Times New Roman" w:eastAsia="宋体" w:cs="Times New Roman"/>
                <w:b/>
                <w:bCs/>
                <w:snapToGrid w:val="0"/>
                <w:color w:val="000000"/>
                <w:kern w:val="0"/>
                <w:sz w:val="21"/>
                <w:szCs w:val="21"/>
                <w:lang w:val="en-US" w:eastAsia="zh-CN"/>
              </w:rPr>
            </w:pPr>
            <w:r>
              <w:rPr>
                <w:rFonts w:hint="eastAsia" w:ascii="Times New Roman" w:hAnsi="Times New Roman" w:eastAsia="宋体" w:cs="Times New Roman"/>
                <w:b/>
                <w:bCs/>
                <w:snapToGrid w:val="0"/>
                <w:color w:val="000000"/>
                <w:kern w:val="0"/>
                <w:sz w:val="21"/>
                <w:szCs w:val="21"/>
                <w:lang w:val="en-US" w:eastAsia="zh-CN"/>
              </w:rPr>
              <w:t>表2-9           堤防护坡抗冻胀材料比选表</w:t>
            </w:r>
          </w:p>
          <w:tbl>
            <w:tblPr>
              <w:tblStyle w:val="3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0"/>
              <w:gridCol w:w="3717"/>
              <w:gridCol w:w="2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default" w:ascii="Times New Roman" w:hAnsi="Times New Roman" w:eastAsia="宋体" w:cs="Times New Roman"/>
                      <w:b w:val="0"/>
                      <w:bCs w:val="0"/>
                      <w:snapToGrid w:val="0"/>
                      <w:color w:val="000000"/>
                      <w:kern w:val="0"/>
                      <w:sz w:val="21"/>
                      <w:szCs w:val="21"/>
                      <w:vertAlign w:val="baseline"/>
                      <w:lang w:val="en-US" w:eastAsia="zh-CN"/>
                    </w:rPr>
                    <w:t>序号</w:t>
                  </w:r>
                </w:p>
              </w:tc>
              <w:tc>
                <w:tcPr>
                  <w:tcW w:w="2372"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default" w:ascii="Times New Roman" w:hAnsi="Times New Roman" w:eastAsia="宋体" w:cs="Times New Roman"/>
                      <w:b w:val="0"/>
                      <w:bCs w:val="0"/>
                      <w:snapToGrid w:val="0"/>
                      <w:color w:val="000000"/>
                      <w:kern w:val="0"/>
                      <w:sz w:val="21"/>
                      <w:szCs w:val="21"/>
                      <w:vertAlign w:val="baseline"/>
                      <w:lang w:val="en-US" w:eastAsia="zh-CN"/>
                    </w:rPr>
                    <w:t>必选项目</w:t>
                  </w:r>
                </w:p>
              </w:tc>
              <w:tc>
                <w:tcPr>
                  <w:tcW w:w="1842" w:type="pct"/>
                  <w:vAlign w:val="top"/>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cs="Times New Roman"/>
                      <w:b w:val="0"/>
                      <w:bCs w:val="0"/>
                      <w:snapToGrid w:val="0"/>
                      <w:color w:val="000000"/>
                      <w:kern w:val="0"/>
                      <w:sz w:val="21"/>
                      <w:szCs w:val="21"/>
                      <w:vertAlign w:val="baseline"/>
                      <w:lang w:val="en-US" w:eastAsia="zh-CN"/>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pct"/>
                  <w:vAlign w:val="top"/>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default" w:ascii="Times New Roman" w:hAnsi="Times New Roman" w:eastAsia="宋体" w:cs="Times New Roman"/>
                      <w:b w:val="0"/>
                      <w:bCs w:val="0"/>
                      <w:snapToGrid w:val="0"/>
                      <w:color w:val="000000"/>
                      <w:kern w:val="0"/>
                      <w:sz w:val="21"/>
                      <w:szCs w:val="21"/>
                      <w:vertAlign w:val="baseline"/>
                      <w:lang w:val="en-US" w:eastAsia="zh-CN"/>
                    </w:rPr>
                    <w:t>1</w:t>
                  </w:r>
                </w:p>
              </w:tc>
              <w:tc>
                <w:tcPr>
                  <w:tcW w:w="2372"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default" w:ascii="Times New Roman" w:hAnsi="Times New Roman" w:eastAsia="宋体" w:cs="Times New Roman"/>
                      <w:b w:val="0"/>
                      <w:bCs w:val="0"/>
                      <w:snapToGrid w:val="0"/>
                      <w:color w:val="000000"/>
                      <w:kern w:val="0"/>
                      <w:sz w:val="21"/>
                      <w:szCs w:val="21"/>
                      <w:vertAlign w:val="baseline"/>
                      <w:lang w:val="en-US" w:eastAsia="zh-CN"/>
                    </w:rPr>
                    <w:t>防冻垫层形式</w:t>
                  </w:r>
                </w:p>
              </w:tc>
              <w:tc>
                <w:tcPr>
                  <w:tcW w:w="1842"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default" w:ascii="Times New Roman" w:hAnsi="Times New Roman" w:eastAsia="宋体" w:cs="Times New Roman"/>
                      <w:b w:val="0"/>
                      <w:bCs w:val="0"/>
                      <w:snapToGrid w:val="0"/>
                      <w:color w:val="000000"/>
                      <w:kern w:val="0"/>
                      <w:sz w:val="21"/>
                      <w:szCs w:val="21"/>
                      <w:vertAlign w:val="baseline"/>
                      <w:lang w:val="en-US" w:eastAsia="zh-CN"/>
                    </w:rPr>
                    <w:t>砂砾料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pct"/>
                  <w:vAlign w:val="top"/>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default" w:ascii="Times New Roman" w:hAnsi="Times New Roman" w:eastAsia="宋体" w:cs="Times New Roman"/>
                      <w:b w:val="0"/>
                      <w:bCs w:val="0"/>
                      <w:snapToGrid w:val="0"/>
                      <w:color w:val="000000"/>
                      <w:kern w:val="0"/>
                      <w:sz w:val="21"/>
                      <w:szCs w:val="21"/>
                      <w:vertAlign w:val="baseline"/>
                      <w:lang w:val="en-US" w:eastAsia="zh-CN"/>
                    </w:rPr>
                    <w:t>2</w:t>
                  </w:r>
                </w:p>
              </w:tc>
              <w:tc>
                <w:tcPr>
                  <w:tcW w:w="2372"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default" w:ascii="Times New Roman" w:hAnsi="Times New Roman" w:eastAsia="宋体" w:cs="Times New Roman"/>
                      <w:b w:val="0"/>
                      <w:bCs w:val="0"/>
                      <w:snapToGrid w:val="0"/>
                      <w:color w:val="000000"/>
                      <w:kern w:val="0"/>
                      <w:sz w:val="21"/>
                      <w:szCs w:val="21"/>
                      <w:vertAlign w:val="baseline"/>
                      <w:lang w:val="en-US" w:eastAsia="zh-CN"/>
                    </w:rPr>
                    <w:t>防冻垫层厚度</w:t>
                  </w:r>
                </w:p>
              </w:tc>
              <w:tc>
                <w:tcPr>
                  <w:tcW w:w="1842"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default" w:ascii="Times New Roman" w:hAnsi="Times New Roman" w:eastAsia="宋体" w:cs="Times New Roman"/>
                      <w:b w:val="0"/>
                      <w:bCs w:val="0"/>
                      <w:snapToGrid w:val="0"/>
                      <w:color w:val="000000"/>
                      <w:kern w:val="0"/>
                      <w:sz w:val="21"/>
                      <w:szCs w:val="21"/>
                      <w:vertAlign w:val="baseline"/>
                      <w:lang w:val="en-US" w:eastAsia="zh-CN"/>
                    </w:rPr>
                    <w:t>50cm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pct"/>
                  <w:vAlign w:val="top"/>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default" w:ascii="Times New Roman" w:hAnsi="Times New Roman" w:eastAsia="宋体" w:cs="Times New Roman"/>
                      <w:b w:val="0"/>
                      <w:bCs w:val="0"/>
                      <w:snapToGrid w:val="0"/>
                      <w:color w:val="000000"/>
                      <w:kern w:val="0"/>
                      <w:sz w:val="21"/>
                      <w:szCs w:val="21"/>
                      <w:vertAlign w:val="baseline"/>
                      <w:lang w:val="en-US" w:eastAsia="zh-CN"/>
                    </w:rPr>
                    <w:t>3</w:t>
                  </w:r>
                </w:p>
              </w:tc>
              <w:tc>
                <w:tcPr>
                  <w:tcW w:w="2372"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default" w:ascii="Times New Roman" w:hAnsi="Times New Roman" w:eastAsia="宋体" w:cs="Times New Roman"/>
                      <w:b w:val="0"/>
                      <w:bCs w:val="0"/>
                      <w:snapToGrid w:val="0"/>
                      <w:color w:val="000000"/>
                      <w:kern w:val="0"/>
                      <w:sz w:val="21"/>
                      <w:szCs w:val="21"/>
                      <w:vertAlign w:val="baseline"/>
                      <w:lang w:val="en-US" w:eastAsia="zh-CN"/>
                    </w:rPr>
                    <w:t>天然建材运距</w:t>
                  </w:r>
                </w:p>
              </w:tc>
              <w:tc>
                <w:tcPr>
                  <w:tcW w:w="1842"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default" w:ascii="Times New Roman" w:hAnsi="Times New Roman" w:eastAsia="宋体" w:cs="Times New Roman"/>
                      <w:b w:val="0"/>
                      <w:bCs w:val="0"/>
                      <w:snapToGrid w:val="0"/>
                      <w:color w:val="000000"/>
                      <w:kern w:val="0"/>
                      <w:sz w:val="21"/>
                      <w:szCs w:val="21"/>
                      <w:vertAlign w:val="baseline"/>
                      <w:lang w:val="en-US" w:eastAsia="zh-CN"/>
                    </w:rPr>
                    <w:t>15km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pct"/>
                  <w:vAlign w:val="top"/>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default" w:ascii="Times New Roman" w:hAnsi="Times New Roman" w:eastAsia="宋体" w:cs="Times New Roman"/>
                      <w:b w:val="0"/>
                      <w:bCs w:val="0"/>
                      <w:snapToGrid w:val="0"/>
                      <w:color w:val="000000"/>
                      <w:kern w:val="0"/>
                      <w:sz w:val="21"/>
                      <w:szCs w:val="21"/>
                      <w:vertAlign w:val="baseline"/>
                      <w:lang w:val="en-US" w:eastAsia="zh-CN"/>
                    </w:rPr>
                    <w:t>4</w:t>
                  </w:r>
                </w:p>
              </w:tc>
              <w:tc>
                <w:tcPr>
                  <w:tcW w:w="2372"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default" w:ascii="Times New Roman" w:hAnsi="Times New Roman" w:eastAsia="宋体" w:cs="Times New Roman"/>
                      <w:b w:val="0"/>
                      <w:bCs w:val="0"/>
                      <w:snapToGrid w:val="0"/>
                      <w:color w:val="000000"/>
                      <w:kern w:val="0"/>
                      <w:sz w:val="21"/>
                      <w:szCs w:val="21"/>
                      <w:vertAlign w:val="baseline"/>
                      <w:lang w:val="en-US" w:eastAsia="zh-CN"/>
                    </w:rPr>
                    <w:t>施工技术难度</w:t>
                  </w:r>
                </w:p>
              </w:tc>
              <w:tc>
                <w:tcPr>
                  <w:tcW w:w="1842"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default" w:ascii="Times New Roman" w:hAnsi="Times New Roman" w:eastAsia="宋体" w:cs="Times New Roman"/>
                      <w:b w:val="0"/>
                      <w:bCs w:val="0"/>
                      <w:snapToGrid w:val="0"/>
                      <w:color w:val="000000"/>
                      <w:kern w:val="0"/>
                      <w:sz w:val="21"/>
                      <w:szCs w:val="21"/>
                      <w:vertAlign w:val="baseline"/>
                      <w:lang w:val="en-US" w:eastAsia="zh-CN"/>
                    </w:rPr>
                    <w:t>简单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pct"/>
                  <w:vAlign w:val="top"/>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default" w:ascii="Times New Roman" w:hAnsi="Times New Roman" w:eastAsia="宋体" w:cs="Times New Roman"/>
                      <w:b w:val="0"/>
                      <w:bCs w:val="0"/>
                      <w:snapToGrid w:val="0"/>
                      <w:color w:val="000000"/>
                      <w:kern w:val="0"/>
                      <w:sz w:val="21"/>
                      <w:szCs w:val="21"/>
                      <w:vertAlign w:val="baseline"/>
                      <w:lang w:val="en-US" w:eastAsia="zh-CN"/>
                    </w:rPr>
                    <w:t>5</w:t>
                  </w:r>
                </w:p>
              </w:tc>
              <w:tc>
                <w:tcPr>
                  <w:tcW w:w="2372"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default" w:ascii="Times New Roman" w:hAnsi="Times New Roman" w:eastAsia="宋体" w:cs="Times New Roman"/>
                      <w:b w:val="0"/>
                      <w:bCs w:val="0"/>
                      <w:snapToGrid w:val="0"/>
                      <w:color w:val="000000"/>
                      <w:kern w:val="0"/>
                      <w:sz w:val="21"/>
                      <w:szCs w:val="21"/>
                      <w:vertAlign w:val="baseline"/>
                      <w:lang w:val="en-US" w:eastAsia="zh-CN"/>
                    </w:rPr>
                    <w:t>施工周期</w:t>
                  </w:r>
                </w:p>
              </w:tc>
              <w:tc>
                <w:tcPr>
                  <w:tcW w:w="1842"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default" w:ascii="Times New Roman" w:hAnsi="Times New Roman" w:eastAsia="宋体" w:cs="Times New Roman"/>
                      <w:b w:val="0"/>
                      <w:bCs w:val="0"/>
                      <w:snapToGrid w:val="0"/>
                      <w:color w:val="000000"/>
                      <w:kern w:val="0"/>
                      <w:sz w:val="21"/>
                      <w:szCs w:val="21"/>
                      <w:vertAlign w:val="baseline"/>
                      <w:lang w:val="en-US" w:eastAsia="zh-CN"/>
                    </w:rPr>
                    <w:t>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785" w:type="pct"/>
                  <w:vAlign w:val="top"/>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default" w:ascii="Times New Roman" w:hAnsi="Times New Roman" w:eastAsia="宋体" w:cs="Times New Roman"/>
                      <w:b w:val="0"/>
                      <w:bCs w:val="0"/>
                      <w:snapToGrid w:val="0"/>
                      <w:color w:val="000000"/>
                      <w:kern w:val="0"/>
                      <w:sz w:val="21"/>
                      <w:szCs w:val="21"/>
                      <w:vertAlign w:val="baseline"/>
                      <w:lang w:val="en-US" w:eastAsia="zh-CN"/>
                    </w:rPr>
                    <w:t>6</w:t>
                  </w:r>
                </w:p>
              </w:tc>
              <w:tc>
                <w:tcPr>
                  <w:tcW w:w="2372"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default" w:ascii="Times New Roman" w:hAnsi="Times New Roman" w:eastAsia="宋体" w:cs="Times New Roman"/>
                      <w:b w:val="0"/>
                      <w:bCs w:val="0"/>
                      <w:snapToGrid w:val="0"/>
                      <w:color w:val="000000"/>
                      <w:kern w:val="0"/>
                      <w:sz w:val="21"/>
                      <w:szCs w:val="21"/>
                      <w:vertAlign w:val="baseline"/>
                      <w:lang w:val="en-US" w:eastAsia="zh-CN"/>
                    </w:rPr>
                    <w:t>施工质量控制</w:t>
                  </w:r>
                </w:p>
              </w:tc>
              <w:tc>
                <w:tcPr>
                  <w:tcW w:w="1842"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default" w:ascii="Times New Roman" w:hAnsi="Times New Roman" w:eastAsia="宋体" w:cs="Times New Roman"/>
                      <w:b w:val="0"/>
                      <w:bCs w:val="0"/>
                      <w:snapToGrid w:val="0"/>
                      <w:color w:val="000000"/>
                      <w:kern w:val="0"/>
                      <w:sz w:val="21"/>
                      <w:szCs w:val="21"/>
                      <w:vertAlign w:val="baseline"/>
                      <w:lang w:val="en-US" w:eastAsia="zh-CN"/>
                    </w:rPr>
                    <w:t>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785" w:type="pct"/>
                  <w:vAlign w:val="top"/>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7</w:t>
                  </w:r>
                </w:p>
              </w:tc>
              <w:tc>
                <w:tcPr>
                  <w:tcW w:w="2372"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运行检修</w:t>
                  </w:r>
                </w:p>
              </w:tc>
              <w:tc>
                <w:tcPr>
                  <w:tcW w:w="1842" w:type="pct"/>
                  <w:vAlign w:val="top"/>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default" w:ascii="Times New Roman" w:hAnsi="Times New Roman" w:eastAsia="宋体" w:cs="Times New Roman"/>
                      <w:b w:val="0"/>
                      <w:bCs w:val="0"/>
                      <w:snapToGrid w:val="0"/>
                      <w:color w:val="000000"/>
                      <w:kern w:val="0"/>
                      <w:sz w:val="21"/>
                      <w:szCs w:val="21"/>
                      <w:vertAlign w:val="baseline"/>
                      <w:lang w:val="en-US" w:eastAsia="zh-CN"/>
                    </w:rPr>
                    <w:t>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pct"/>
                  <w:vAlign w:val="top"/>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8</w:t>
                  </w:r>
                </w:p>
              </w:tc>
              <w:tc>
                <w:tcPr>
                  <w:tcW w:w="2372"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default" w:ascii="Times New Roman" w:hAnsi="Times New Roman" w:eastAsia="宋体" w:cs="Times New Roman"/>
                      <w:b w:val="0"/>
                      <w:bCs w:val="0"/>
                      <w:snapToGrid w:val="0"/>
                      <w:color w:val="000000"/>
                      <w:kern w:val="0"/>
                      <w:sz w:val="21"/>
                      <w:szCs w:val="21"/>
                      <w:vertAlign w:val="baseline"/>
                      <w:lang w:val="en-US" w:eastAsia="zh-CN"/>
                    </w:rPr>
                    <w:t>每km工程投资</w:t>
                  </w:r>
                </w:p>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default" w:ascii="Times New Roman" w:hAnsi="Times New Roman" w:eastAsia="宋体" w:cs="Times New Roman"/>
                      <w:b w:val="0"/>
                      <w:bCs w:val="0"/>
                      <w:snapToGrid w:val="0"/>
                      <w:color w:val="000000"/>
                      <w:kern w:val="0"/>
                      <w:sz w:val="21"/>
                      <w:szCs w:val="21"/>
                      <w:vertAlign w:val="baseline"/>
                      <w:lang w:val="en-US" w:eastAsia="zh-CN"/>
                    </w:rPr>
                    <w:t>（万元）</w:t>
                  </w:r>
                </w:p>
              </w:tc>
              <w:tc>
                <w:tcPr>
                  <w:tcW w:w="1842" w:type="pct"/>
                </w:tcPr>
                <w:p>
                  <w:pPr>
                    <w:spacing w:line="240" w:lineRule="auto"/>
                    <w:ind w:left="0" w:leftChars="0" w:firstLine="0" w:firstLineChars="0"/>
                    <w:jc w:val="center"/>
                    <w:rPr>
                      <w:rFonts w:hint="default" w:ascii="Times New Roman" w:hAnsi="Times New Roman" w:eastAsia="宋体" w:cs="Times New Roman"/>
                      <w:b w:val="0"/>
                      <w:bCs w:val="0"/>
                      <w:snapToGrid w:val="0"/>
                      <w:color w:val="000000"/>
                      <w:kern w:val="0"/>
                      <w:sz w:val="21"/>
                      <w:szCs w:val="21"/>
                      <w:vertAlign w:val="baseline"/>
                      <w:lang w:val="en-US" w:eastAsia="zh-CN"/>
                    </w:rPr>
                  </w:pPr>
                  <w:r>
                    <w:rPr>
                      <w:rFonts w:hint="eastAsia" w:ascii="Times New Roman" w:hAnsi="Times New Roman" w:eastAsia="宋体" w:cs="Times New Roman"/>
                      <w:b w:val="0"/>
                      <w:bCs w:val="0"/>
                      <w:snapToGrid w:val="0"/>
                      <w:color w:val="000000"/>
                      <w:kern w:val="0"/>
                      <w:sz w:val="21"/>
                      <w:szCs w:val="21"/>
                      <w:vertAlign w:val="baseline"/>
                      <w:lang w:val="en-US" w:eastAsia="zh-CN"/>
                    </w:rPr>
                    <w:t>39.85</w:t>
                  </w:r>
                </w:p>
              </w:tc>
            </w:tr>
          </w:tbl>
          <w:p>
            <w:pPr>
              <w:pStyle w:val="4"/>
              <w:rPr>
                <w:rFonts w:hint="eastAsia"/>
              </w:rPr>
            </w:pPr>
          </w:p>
        </w:tc>
      </w:tr>
    </w:tbl>
    <w:p>
      <w:pPr>
        <w:ind w:firstLine="31680"/>
        <w:rPr>
          <w:color w:val="000000"/>
        </w:rPr>
        <w:sectPr>
          <w:headerReference r:id="rId5" w:type="default"/>
          <w:footerReference r:id="rId6" w:type="default"/>
          <w:pgSz w:w="11907" w:h="16840"/>
          <w:pgMar w:top="1588" w:right="1559" w:bottom="1588" w:left="1559" w:header="851" w:footer="851" w:gutter="0"/>
          <w:cols w:space="720" w:num="1"/>
          <w:docGrid w:linePitch="312" w:charSpace="0"/>
        </w:sectPr>
      </w:pPr>
    </w:p>
    <w:p>
      <w:pPr>
        <w:pStyle w:val="31"/>
        <w:tabs>
          <w:tab w:val="left" w:pos="6412"/>
        </w:tabs>
        <w:snapToGrid w:val="0"/>
        <w:spacing w:beforeAutospacing="0" w:afterLines="50" w:afterAutospacing="0" w:line="240" w:lineRule="auto"/>
        <w:ind w:firstLine="0" w:firstLineChars="0"/>
        <w:jc w:val="center"/>
        <w:outlineLvl w:val="0"/>
        <w:rPr>
          <w:rFonts w:hint="default" w:ascii="Times New Roman" w:hAnsi="Times New Roman" w:eastAsia="宋体" w:cs="Times New Roman"/>
          <w:b/>
          <w:bCs/>
          <w:snapToGrid w:val="0"/>
          <w:color w:val="000000"/>
          <w:sz w:val="30"/>
          <w:szCs w:val="30"/>
        </w:rPr>
      </w:pPr>
      <w:bookmarkStart w:id="3" w:name="_Toc108783487"/>
      <w:r>
        <w:rPr>
          <w:rFonts w:hint="default" w:ascii="Times New Roman" w:hAnsi="Times New Roman" w:eastAsia="宋体" w:cs="Times New Roman"/>
          <w:b/>
          <w:bCs/>
          <w:snapToGrid w:val="0"/>
          <w:color w:val="000000"/>
          <w:sz w:val="30"/>
          <w:szCs w:val="30"/>
        </w:rPr>
        <w:t>三、生态环境现状、保护目标及评价标准</w:t>
      </w:r>
      <w:bookmarkEnd w:id="3"/>
    </w:p>
    <w:tbl>
      <w:tblPr>
        <w:tblStyle w:val="3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7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68" w:type="pct"/>
            <w:vAlign w:val="center"/>
          </w:tcPr>
          <w:p>
            <w:pPr>
              <w:adjustRightInd w:val="0"/>
              <w:snapToGrid w:val="0"/>
              <w:spacing w:line="240" w:lineRule="auto"/>
              <w:ind w:firstLine="0" w:firstLineChars="0"/>
              <w:jc w:val="center"/>
              <w:rPr>
                <w:rFonts w:ascii="宋体" w:cs="宋体"/>
                <w:b/>
                <w:color w:val="000000"/>
                <w:kern w:val="0"/>
              </w:rPr>
            </w:pPr>
            <w:bookmarkStart w:id="4" w:name="_Toc108783488"/>
            <w:r>
              <w:rPr>
                <w:rFonts w:hint="eastAsia" w:ascii="宋体" w:hAnsi="宋体" w:cs="宋体"/>
                <w:b/>
                <w:color w:val="000000"/>
                <w:kern w:val="0"/>
              </w:rPr>
              <w:t>生态</w:t>
            </w:r>
          </w:p>
          <w:p>
            <w:pPr>
              <w:adjustRightInd w:val="0"/>
              <w:snapToGrid w:val="0"/>
              <w:spacing w:line="240" w:lineRule="auto"/>
              <w:ind w:firstLine="0" w:firstLineChars="0"/>
              <w:jc w:val="center"/>
              <w:rPr>
                <w:rFonts w:ascii="宋体" w:cs="宋体"/>
                <w:b/>
                <w:color w:val="000000"/>
                <w:kern w:val="0"/>
              </w:rPr>
            </w:pPr>
            <w:r>
              <w:rPr>
                <w:rFonts w:hint="eastAsia" w:ascii="宋体" w:hAnsi="宋体" w:cs="宋体"/>
                <w:b/>
                <w:color w:val="000000"/>
                <w:kern w:val="0"/>
              </w:rPr>
              <w:t>环境</w:t>
            </w:r>
          </w:p>
          <w:p>
            <w:pPr>
              <w:adjustRightInd w:val="0"/>
              <w:snapToGrid w:val="0"/>
              <w:spacing w:line="240" w:lineRule="auto"/>
              <w:ind w:firstLine="0" w:firstLineChars="0"/>
              <w:jc w:val="center"/>
              <w:rPr>
                <w:rFonts w:ascii="宋体" w:cs="宋体"/>
                <w:b/>
                <w:color w:val="000000"/>
                <w:kern w:val="0"/>
              </w:rPr>
            </w:pPr>
            <w:r>
              <w:rPr>
                <w:rFonts w:hint="eastAsia" w:ascii="宋体" w:hAnsi="宋体" w:cs="宋体"/>
                <w:b/>
                <w:color w:val="000000"/>
                <w:kern w:val="0"/>
              </w:rPr>
              <w:t>现状</w:t>
            </w:r>
          </w:p>
        </w:tc>
        <w:tc>
          <w:tcPr>
            <w:tcW w:w="4431" w:type="pct"/>
            <w:vAlign w:val="center"/>
          </w:tcPr>
          <w:p>
            <w:pPr>
              <w:snapToGrid w:val="0"/>
              <w:spacing w:line="360" w:lineRule="auto"/>
              <w:ind w:firstLine="0" w:firstLineChars="0"/>
              <w:rPr>
                <w:b/>
                <w:color w:val="000000"/>
              </w:rPr>
            </w:pPr>
            <w:r>
              <w:rPr>
                <w:b/>
                <w:color w:val="000000"/>
              </w:rPr>
              <w:t>1</w:t>
            </w:r>
            <w:r>
              <w:rPr>
                <w:rFonts w:hint="eastAsia"/>
                <w:b/>
                <w:color w:val="000000"/>
              </w:rPr>
              <w:t>、主体功能区划</w:t>
            </w:r>
          </w:p>
          <w:p>
            <w:pPr>
              <w:snapToGrid w:val="0"/>
              <w:spacing w:line="360" w:lineRule="auto"/>
              <w:ind w:firstLine="31680"/>
              <w:jc w:val="both"/>
              <w:rPr>
                <w:rFonts w:hint="default" w:eastAsia="宋体" w:cs="Times New Roman"/>
                <w:b/>
                <w:bCs/>
                <w:sz w:val="21"/>
                <w:szCs w:val="21"/>
                <w:lang w:val="en-US" w:eastAsia="zh-CN"/>
              </w:rPr>
            </w:pPr>
            <w:r>
              <w:rPr>
                <w:rFonts w:hint="eastAsia"/>
                <w:color w:val="000000"/>
              </w:rPr>
              <w:t>根据《全国主体功能区规划》，项目所在区域不涉及国家级限制开发区和禁止开发区</w:t>
            </w:r>
            <w:r>
              <w:rPr>
                <w:rFonts w:hint="eastAsia"/>
                <w:color w:val="000000"/>
                <w:lang w:eastAsia="zh-CN"/>
              </w:rPr>
              <w:t>，</w:t>
            </w:r>
            <w:r>
              <w:rPr>
                <w:rFonts w:hint="eastAsia"/>
                <w:color w:val="000000"/>
              </w:rPr>
              <w:t>根据《新疆维吾尔自治区主体功能区规划》，新疆主体功能区分为重点开发区、限制开发区和禁止开发区三类</w:t>
            </w:r>
            <w:r>
              <w:rPr>
                <w:rFonts w:hint="eastAsia"/>
                <w:color w:val="000000"/>
                <w:lang w:eastAsia="zh-CN"/>
              </w:rPr>
              <w:t>，</w:t>
            </w:r>
            <w:r>
              <w:rPr>
                <w:rFonts w:hint="eastAsia"/>
                <w:color w:val="000000"/>
              </w:rPr>
              <w:t>对照新疆主体功能区划，本项目区域不涉及禁止开发区域</w:t>
            </w:r>
            <w:r>
              <w:rPr>
                <w:rFonts w:hint="eastAsia"/>
                <w:color w:val="000000"/>
                <w:lang w:eastAsia="zh-CN"/>
              </w:rPr>
              <w:t>，</w:t>
            </w:r>
            <w:r>
              <w:rPr>
                <w:rFonts w:hint="eastAsia"/>
                <w:color w:val="000000"/>
                <w:lang w:val="en-US" w:eastAsia="zh-CN"/>
              </w:rPr>
              <w:t>详见附图3项目区与新疆主体生态功能区划关系图。</w:t>
            </w:r>
          </w:p>
          <w:p>
            <w:pPr>
              <w:snapToGrid w:val="0"/>
              <w:spacing w:line="360" w:lineRule="auto"/>
              <w:ind w:firstLine="0" w:firstLineChars="0"/>
              <w:rPr>
                <w:b/>
                <w:color w:val="000000"/>
                <w:kern w:val="0"/>
              </w:rPr>
            </w:pPr>
            <w:r>
              <w:rPr>
                <w:rFonts w:hAnsi="宋体"/>
                <w:b/>
                <w:color w:val="000000"/>
                <w:kern w:val="0"/>
              </w:rPr>
              <w:t>2</w:t>
            </w:r>
            <w:r>
              <w:rPr>
                <w:rFonts w:hint="eastAsia" w:hAnsi="宋体"/>
                <w:b/>
                <w:color w:val="000000"/>
                <w:kern w:val="0"/>
              </w:rPr>
              <w:t>、项目区生态功能区划</w:t>
            </w:r>
          </w:p>
          <w:p>
            <w:pPr>
              <w:snapToGrid w:val="0"/>
              <w:spacing w:line="360" w:lineRule="auto"/>
              <w:ind w:firstLine="31680"/>
              <w:rPr>
                <w:rFonts w:hAnsi="宋体"/>
                <w:color w:val="FF0000"/>
                <w:kern w:val="0"/>
              </w:rPr>
            </w:pPr>
            <w:r>
              <w:rPr>
                <w:rFonts w:hint="eastAsia"/>
                <w:color w:val="000000"/>
              </w:rPr>
              <w:t>本项目位于新疆维吾尔自治</w:t>
            </w:r>
            <w:r>
              <w:rPr>
                <w:rFonts w:hint="eastAsia"/>
              </w:rPr>
              <w:t>区天山北麓东端、准噶尔盆地东缘，行政区划属新疆维吾尔自治区昌吉回族自治州吉木萨尔县</w:t>
            </w:r>
            <w:r>
              <w:rPr>
                <w:rFonts w:hint="eastAsia"/>
                <w:lang w:eastAsia="zh-CN"/>
              </w:rPr>
              <w:t>，</w:t>
            </w:r>
            <w:r>
              <w:rPr>
                <w:rFonts w:hint="eastAsia"/>
              </w:rPr>
              <w:t>根据《全国生态功能区划》</w:t>
            </w:r>
            <w:r>
              <w:rPr>
                <w:rFonts w:hint="eastAsia"/>
                <w:lang w:eastAsia="zh-CN"/>
              </w:rPr>
              <w:t>，</w:t>
            </w:r>
            <w:r>
              <w:rPr>
                <w:rFonts w:hint="eastAsia"/>
              </w:rPr>
              <w:t>项目区属于生态调节功能区，防风固沙功能区，准噶尔盆地东部灌木荒漠防风固沙三级功能区。根据《新疆生态功能区划》，项目区属于</w:t>
            </w:r>
            <w:r>
              <w:rPr>
                <w:rFonts w:hint="eastAsia" w:ascii="宋体" w:hAnsi="宋体" w:cs="宋体"/>
              </w:rPr>
              <w:t>Ⅱ</w:t>
            </w:r>
            <w:r>
              <w:rPr>
                <w:rFonts w:hint="eastAsia"/>
              </w:rPr>
              <w:t>准噶尔盆地温带干旱荒漠与绿洲生态功能区，</w:t>
            </w:r>
            <w:r>
              <w:rPr>
                <w:rFonts w:hint="eastAsia" w:ascii="宋体" w:hAnsi="宋体" w:cs="宋体"/>
              </w:rPr>
              <w:t>Ⅱ</w:t>
            </w:r>
            <w:r>
              <w:rPr>
                <w:rFonts w:hint="eastAsia"/>
              </w:rPr>
              <w:t>准噶尔盆地南部灌木半灌木荒漠绿洲农业生态亚区，</w:t>
            </w:r>
            <w:r>
              <w:t>28.</w:t>
            </w:r>
            <w:r>
              <w:rPr>
                <w:rFonts w:hint="eastAsia"/>
              </w:rPr>
              <w:t>阜康一木垒绿洲农业荒漠草地保护生态功能区</w:t>
            </w:r>
            <w:r>
              <w:rPr>
                <w:rFonts w:hint="eastAsia"/>
                <w:lang w:eastAsia="zh-CN"/>
              </w:rPr>
              <w:t>，</w:t>
            </w:r>
            <w:r>
              <w:rPr>
                <w:rFonts w:hint="eastAsia"/>
              </w:rPr>
              <w:t>按照《新疆生态功能区划》，</w:t>
            </w:r>
            <w:r>
              <w:rPr>
                <w:rFonts w:hint="eastAsia"/>
                <w:highlight w:val="none"/>
              </w:rPr>
              <w:t>拟建项目区的生态功能区划见表</w:t>
            </w:r>
            <w:r>
              <w:rPr>
                <w:highlight w:val="none"/>
              </w:rPr>
              <w:t>3-1</w:t>
            </w:r>
            <w:r>
              <w:rPr>
                <w:rFonts w:hint="eastAsia"/>
              </w:rPr>
              <w:t>。</w:t>
            </w:r>
          </w:p>
          <w:p>
            <w:pPr>
              <w:pStyle w:val="25"/>
              <w:spacing w:line="240" w:lineRule="auto"/>
              <w:ind w:firstLine="0" w:firstLineChars="0"/>
              <w:rPr>
                <w:b/>
                <w:color w:val="000000"/>
                <w:sz w:val="21"/>
                <w:szCs w:val="21"/>
              </w:rPr>
            </w:pPr>
            <w:r>
              <w:rPr>
                <w:rFonts w:hint="eastAsia"/>
                <w:b/>
                <w:color w:val="000000"/>
                <w:sz w:val="21"/>
                <w:szCs w:val="21"/>
              </w:rPr>
              <w:t>表</w:t>
            </w:r>
            <w:r>
              <w:rPr>
                <w:b/>
                <w:color w:val="000000"/>
                <w:sz w:val="21"/>
                <w:szCs w:val="21"/>
              </w:rPr>
              <w:t xml:space="preserve">3-1 </w:t>
            </w:r>
            <w:r>
              <w:rPr>
                <w:rFonts w:hint="eastAsia"/>
                <w:b/>
                <w:color w:val="000000"/>
                <w:sz w:val="21"/>
                <w:szCs w:val="21"/>
                <w:lang w:val="en-US" w:eastAsia="zh-CN"/>
              </w:rPr>
              <w:t xml:space="preserve">  </w:t>
            </w:r>
            <w:r>
              <w:rPr>
                <w:b/>
                <w:color w:val="000000"/>
                <w:sz w:val="21"/>
                <w:szCs w:val="21"/>
              </w:rPr>
              <w:t xml:space="preserve">   </w:t>
            </w:r>
            <w:r>
              <w:rPr>
                <w:rFonts w:hint="eastAsia"/>
                <w:b/>
                <w:color w:val="000000"/>
                <w:sz w:val="21"/>
                <w:szCs w:val="21"/>
                <w:lang w:val="en-US" w:eastAsia="zh-CN"/>
              </w:rPr>
              <w:t xml:space="preserve">  </w:t>
            </w:r>
            <w:r>
              <w:rPr>
                <w:rFonts w:hint="eastAsia"/>
                <w:b/>
                <w:color w:val="000000"/>
                <w:sz w:val="21"/>
                <w:szCs w:val="21"/>
              </w:rPr>
              <w:t>项目区生态功能区划</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1283"/>
              <w:gridCol w:w="5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8" w:type="pct"/>
                  <w:vMerge w:val="restart"/>
                  <w:vAlign w:val="center"/>
                </w:tcPr>
                <w:p>
                  <w:pPr>
                    <w:snapToGrid w:val="0"/>
                    <w:spacing w:line="240" w:lineRule="auto"/>
                    <w:ind w:firstLine="0" w:firstLineChars="0"/>
                    <w:jc w:val="center"/>
                    <w:rPr>
                      <w:rFonts w:ascii="Times New Roman" w:hAnsi="Times New Roman" w:eastAsia="宋体"/>
                      <w:color w:val="000000"/>
                      <w:sz w:val="21"/>
                      <w:szCs w:val="21"/>
                    </w:rPr>
                  </w:pPr>
                  <w:r>
                    <w:rPr>
                      <w:rFonts w:hint="eastAsia" w:ascii="Times New Roman" w:hAnsi="宋体" w:eastAsia="宋体"/>
                      <w:color w:val="000000"/>
                      <w:sz w:val="21"/>
                      <w:szCs w:val="21"/>
                    </w:rPr>
                    <w:t>生态功能分区单元</w:t>
                  </w:r>
                </w:p>
              </w:tc>
              <w:tc>
                <w:tcPr>
                  <w:tcW w:w="826" w:type="pct"/>
                  <w:vAlign w:val="center"/>
                </w:tcPr>
                <w:p>
                  <w:pPr>
                    <w:snapToGrid w:val="0"/>
                    <w:spacing w:line="240" w:lineRule="auto"/>
                    <w:ind w:firstLine="0" w:firstLineChars="0"/>
                    <w:jc w:val="center"/>
                    <w:rPr>
                      <w:rFonts w:ascii="Times New Roman" w:hAnsi="Times New Roman" w:eastAsia="宋体"/>
                      <w:color w:val="000000"/>
                      <w:sz w:val="21"/>
                      <w:szCs w:val="21"/>
                    </w:rPr>
                  </w:pPr>
                  <w:r>
                    <w:rPr>
                      <w:rFonts w:hint="eastAsia" w:ascii="Times New Roman" w:hAnsi="宋体" w:eastAsia="宋体"/>
                      <w:color w:val="000000"/>
                      <w:sz w:val="21"/>
                      <w:szCs w:val="21"/>
                    </w:rPr>
                    <w:t>生态区</w:t>
                  </w:r>
                </w:p>
              </w:tc>
              <w:tc>
                <w:tcPr>
                  <w:tcW w:w="3604" w:type="pct"/>
                  <w:vAlign w:val="center"/>
                </w:tcPr>
                <w:p>
                  <w:pPr>
                    <w:snapToGrid w:val="0"/>
                    <w:spacing w:line="240" w:lineRule="auto"/>
                    <w:ind w:firstLine="0" w:firstLineChars="0"/>
                    <w:jc w:val="center"/>
                    <w:rPr>
                      <w:rFonts w:ascii="Times New Roman" w:hAnsi="Times New Roman" w:eastAsia="宋体"/>
                      <w:color w:val="000000"/>
                      <w:sz w:val="21"/>
                      <w:szCs w:val="21"/>
                    </w:rPr>
                  </w:pPr>
                  <w:r>
                    <w:rPr>
                      <w:rFonts w:hint="eastAsia" w:ascii="Times New Roman" w:hAnsi="宋体" w:eastAsia="宋体"/>
                      <w:color w:val="000000"/>
                      <w:sz w:val="21"/>
                      <w:szCs w:val="21"/>
                    </w:rPr>
                    <w:t>准噶尔盆地温性荒漠与绿洲农业生态区（</w:t>
                  </w:r>
                  <w:r>
                    <w:rPr>
                      <w:rFonts w:ascii="Times New Roman" w:hAnsi="Times New Roman" w:eastAsia="宋体"/>
                      <w:color w:val="000000"/>
                      <w:sz w:val="21"/>
                      <w:szCs w:val="21"/>
                    </w:rPr>
                    <w:t>II</w:t>
                  </w:r>
                  <w:r>
                    <w:rPr>
                      <w:rFonts w:hint="eastAsia" w:ascii="Times New Roman" w:hAnsi="宋体" w:eastAsia="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568" w:type="pct"/>
                  <w:vMerge w:val="continue"/>
                  <w:vAlign w:val="center"/>
                </w:tcPr>
                <w:p>
                  <w:pPr>
                    <w:snapToGrid w:val="0"/>
                    <w:spacing w:line="240" w:lineRule="auto"/>
                    <w:ind w:firstLine="31680"/>
                    <w:jc w:val="center"/>
                    <w:rPr>
                      <w:rFonts w:ascii="Times New Roman" w:hAnsi="Times New Roman" w:eastAsia="宋体"/>
                      <w:color w:val="000000"/>
                      <w:sz w:val="21"/>
                      <w:szCs w:val="21"/>
                    </w:rPr>
                  </w:pPr>
                </w:p>
              </w:tc>
              <w:tc>
                <w:tcPr>
                  <w:tcW w:w="826" w:type="pct"/>
                  <w:vAlign w:val="center"/>
                </w:tcPr>
                <w:p>
                  <w:pPr>
                    <w:snapToGrid w:val="0"/>
                    <w:spacing w:line="240" w:lineRule="auto"/>
                    <w:ind w:firstLine="0" w:firstLineChars="0"/>
                    <w:jc w:val="center"/>
                    <w:rPr>
                      <w:rFonts w:ascii="Times New Roman" w:hAnsi="Times New Roman" w:eastAsia="宋体"/>
                      <w:color w:val="000000"/>
                      <w:sz w:val="21"/>
                      <w:szCs w:val="21"/>
                    </w:rPr>
                  </w:pPr>
                  <w:r>
                    <w:rPr>
                      <w:rFonts w:hint="eastAsia" w:ascii="Times New Roman" w:hAnsi="宋体" w:eastAsia="宋体"/>
                      <w:color w:val="000000"/>
                      <w:sz w:val="21"/>
                      <w:szCs w:val="21"/>
                    </w:rPr>
                    <w:t>生态亚区</w:t>
                  </w:r>
                </w:p>
              </w:tc>
              <w:tc>
                <w:tcPr>
                  <w:tcW w:w="3604" w:type="pct"/>
                  <w:vAlign w:val="center"/>
                </w:tcPr>
                <w:p>
                  <w:pPr>
                    <w:snapToGrid w:val="0"/>
                    <w:spacing w:line="240" w:lineRule="auto"/>
                    <w:ind w:firstLine="0" w:firstLineChars="0"/>
                    <w:jc w:val="center"/>
                    <w:rPr>
                      <w:color w:val="000000"/>
                      <w:kern w:val="0"/>
                      <w:szCs w:val="21"/>
                    </w:rPr>
                  </w:pPr>
                  <w:r>
                    <w:rPr>
                      <w:rFonts w:hint="eastAsia" w:hAnsi="宋体"/>
                      <w:color w:val="000000"/>
                      <w:sz w:val="21"/>
                      <w:szCs w:val="21"/>
                    </w:rPr>
                    <w:t>准噶尔盆地南部荒漠绿洲农业生态亚区（</w:t>
                  </w:r>
                  <w:r>
                    <w:rPr>
                      <w:rFonts w:hAnsi="宋体"/>
                      <w:color w:val="000000"/>
                      <w:sz w:val="21"/>
                      <w:szCs w:val="21"/>
                    </w:rPr>
                    <w:t>II</w:t>
                  </w:r>
                  <w:r>
                    <w:rPr>
                      <w:rFonts w:hAnsi="宋体"/>
                      <w:color w:val="000000"/>
                      <w:sz w:val="21"/>
                      <w:szCs w:val="21"/>
                      <w:vertAlign w:val="subscript"/>
                    </w:rPr>
                    <w:t>5</w:t>
                  </w:r>
                  <w:r>
                    <w:rPr>
                      <w:rFonts w:hint="eastAsia" w:hAnsi="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8" w:type="pct"/>
                  <w:vMerge w:val="continue"/>
                  <w:vAlign w:val="center"/>
                </w:tcPr>
                <w:p>
                  <w:pPr>
                    <w:snapToGrid w:val="0"/>
                    <w:spacing w:line="240" w:lineRule="auto"/>
                    <w:ind w:firstLine="31680"/>
                    <w:jc w:val="center"/>
                    <w:rPr>
                      <w:rFonts w:ascii="Times New Roman" w:hAnsi="Times New Roman" w:eastAsia="宋体"/>
                      <w:color w:val="000000"/>
                      <w:sz w:val="21"/>
                      <w:szCs w:val="21"/>
                    </w:rPr>
                  </w:pPr>
                </w:p>
              </w:tc>
              <w:tc>
                <w:tcPr>
                  <w:tcW w:w="826" w:type="pct"/>
                  <w:vAlign w:val="center"/>
                </w:tcPr>
                <w:p>
                  <w:pPr>
                    <w:snapToGrid w:val="0"/>
                    <w:spacing w:line="240" w:lineRule="auto"/>
                    <w:ind w:firstLine="0" w:firstLineChars="0"/>
                    <w:jc w:val="center"/>
                    <w:rPr>
                      <w:rFonts w:ascii="Times New Roman" w:hAnsi="Times New Roman" w:eastAsia="宋体"/>
                      <w:color w:val="000000"/>
                      <w:sz w:val="21"/>
                      <w:szCs w:val="21"/>
                    </w:rPr>
                  </w:pPr>
                  <w:r>
                    <w:rPr>
                      <w:rFonts w:hint="eastAsia" w:ascii="Times New Roman" w:hAnsi="宋体" w:eastAsia="宋体"/>
                      <w:color w:val="000000"/>
                      <w:sz w:val="21"/>
                      <w:szCs w:val="21"/>
                    </w:rPr>
                    <w:t>生态功能区</w:t>
                  </w:r>
                </w:p>
              </w:tc>
              <w:tc>
                <w:tcPr>
                  <w:tcW w:w="3604" w:type="pct"/>
                  <w:vAlign w:val="center"/>
                </w:tcPr>
                <w:p>
                  <w:pPr>
                    <w:snapToGrid w:val="0"/>
                    <w:spacing w:line="240" w:lineRule="auto"/>
                    <w:ind w:firstLine="0" w:firstLineChars="0"/>
                    <w:jc w:val="center"/>
                    <w:rPr>
                      <w:rFonts w:ascii="Times New Roman" w:hAnsi="Times New Roman" w:eastAsia="宋体"/>
                      <w:color w:val="000000"/>
                      <w:sz w:val="21"/>
                      <w:szCs w:val="21"/>
                    </w:rPr>
                  </w:pPr>
                  <w:r>
                    <w:rPr>
                      <w:rFonts w:hint="eastAsia" w:ascii="Times New Roman" w:hAnsi="宋体" w:eastAsia="宋体"/>
                      <w:color w:val="000000"/>
                      <w:sz w:val="21"/>
                      <w:szCs w:val="21"/>
                    </w:rPr>
                    <w:t>阜康</w:t>
                  </w:r>
                  <w:r>
                    <w:rPr>
                      <w:rFonts w:ascii="Times New Roman" w:hAnsi="Times New Roman" w:eastAsia="宋体"/>
                      <w:color w:val="000000"/>
                      <w:sz w:val="21"/>
                      <w:szCs w:val="21"/>
                    </w:rPr>
                    <w:t>-</w:t>
                  </w:r>
                  <w:r>
                    <w:rPr>
                      <w:rFonts w:hint="eastAsia" w:ascii="Times New Roman" w:hAnsi="宋体" w:eastAsia="宋体"/>
                      <w:color w:val="000000"/>
                      <w:sz w:val="21"/>
                      <w:szCs w:val="21"/>
                    </w:rPr>
                    <w:t>木垒绿洲农业、荒漠草地保护生态功能区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395" w:type="pct"/>
                  <w:gridSpan w:val="2"/>
                  <w:vAlign w:val="center"/>
                </w:tcPr>
                <w:p>
                  <w:pPr>
                    <w:snapToGrid w:val="0"/>
                    <w:spacing w:line="240" w:lineRule="auto"/>
                    <w:ind w:firstLine="0" w:firstLineChars="0"/>
                    <w:jc w:val="center"/>
                    <w:rPr>
                      <w:rFonts w:ascii="Times New Roman" w:hAnsi="Times New Roman" w:eastAsia="宋体"/>
                      <w:color w:val="000000"/>
                      <w:sz w:val="21"/>
                      <w:szCs w:val="21"/>
                    </w:rPr>
                  </w:pPr>
                  <w:r>
                    <w:rPr>
                      <w:rFonts w:hint="eastAsia" w:ascii="Times New Roman" w:hAnsi="宋体" w:eastAsia="宋体"/>
                      <w:color w:val="000000"/>
                      <w:sz w:val="21"/>
                      <w:szCs w:val="21"/>
                    </w:rPr>
                    <w:t>主要生态服务功能</w:t>
                  </w:r>
                </w:p>
              </w:tc>
              <w:tc>
                <w:tcPr>
                  <w:tcW w:w="3604" w:type="pct"/>
                  <w:vAlign w:val="center"/>
                </w:tcPr>
                <w:p>
                  <w:pPr>
                    <w:snapToGrid w:val="0"/>
                    <w:spacing w:line="240" w:lineRule="auto"/>
                    <w:ind w:firstLine="0" w:firstLineChars="0"/>
                    <w:jc w:val="center"/>
                    <w:rPr>
                      <w:rFonts w:ascii="Times New Roman" w:hAnsi="Times New Roman" w:eastAsia="宋体"/>
                      <w:color w:val="000000"/>
                      <w:sz w:val="21"/>
                      <w:szCs w:val="21"/>
                    </w:rPr>
                  </w:pPr>
                  <w:r>
                    <w:rPr>
                      <w:rFonts w:hint="eastAsia" w:ascii="Times New Roman" w:hAnsi="宋体" w:eastAsia="宋体"/>
                      <w:color w:val="000000"/>
                      <w:sz w:val="21"/>
                      <w:szCs w:val="21"/>
                    </w:rPr>
                    <w:t>农牧产品生产、人居环境、荒漠化控制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95" w:type="pct"/>
                  <w:gridSpan w:val="2"/>
                  <w:vAlign w:val="center"/>
                </w:tcPr>
                <w:p>
                  <w:pPr>
                    <w:snapToGrid w:val="0"/>
                    <w:spacing w:line="240" w:lineRule="auto"/>
                    <w:ind w:firstLine="0" w:firstLineChars="0"/>
                    <w:jc w:val="center"/>
                    <w:rPr>
                      <w:rFonts w:ascii="Times New Roman" w:hAnsi="Times New Roman" w:eastAsia="宋体"/>
                      <w:color w:val="000000"/>
                      <w:sz w:val="21"/>
                      <w:szCs w:val="21"/>
                    </w:rPr>
                  </w:pPr>
                  <w:r>
                    <w:rPr>
                      <w:rFonts w:hint="eastAsia" w:ascii="Times New Roman" w:hAnsi="宋体" w:eastAsia="宋体"/>
                      <w:color w:val="000000"/>
                      <w:sz w:val="21"/>
                      <w:szCs w:val="21"/>
                    </w:rPr>
                    <w:t>主要生态环境问题</w:t>
                  </w:r>
                </w:p>
              </w:tc>
              <w:tc>
                <w:tcPr>
                  <w:tcW w:w="3604" w:type="pct"/>
                  <w:vAlign w:val="center"/>
                </w:tcPr>
                <w:p>
                  <w:pPr>
                    <w:snapToGrid w:val="0"/>
                    <w:spacing w:line="240" w:lineRule="auto"/>
                    <w:ind w:firstLine="0" w:firstLineChars="0"/>
                    <w:jc w:val="center"/>
                    <w:rPr>
                      <w:rFonts w:ascii="Times New Roman" w:hAnsi="Times New Roman" w:eastAsia="宋体"/>
                      <w:color w:val="000000"/>
                      <w:sz w:val="21"/>
                      <w:szCs w:val="21"/>
                    </w:rPr>
                  </w:pPr>
                  <w:r>
                    <w:rPr>
                      <w:rFonts w:hint="eastAsia" w:ascii="Times New Roman" w:hAnsi="宋体" w:eastAsia="宋体"/>
                      <w:color w:val="000000"/>
                      <w:sz w:val="21"/>
                      <w:szCs w:val="21"/>
                    </w:rPr>
                    <w:t>地下水超采、荒漠植被退化、沙漠化威胁、局部土地盐渍化、河床萎缩、滥开荒地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95" w:type="pct"/>
                  <w:gridSpan w:val="2"/>
                  <w:vAlign w:val="center"/>
                </w:tcPr>
                <w:p>
                  <w:pPr>
                    <w:snapToGrid w:val="0"/>
                    <w:spacing w:line="240" w:lineRule="auto"/>
                    <w:ind w:firstLine="0" w:firstLineChars="0"/>
                    <w:jc w:val="center"/>
                    <w:rPr>
                      <w:rFonts w:ascii="Times New Roman" w:hAnsi="Times New Roman" w:eastAsia="宋体"/>
                      <w:color w:val="000000"/>
                      <w:sz w:val="21"/>
                      <w:szCs w:val="21"/>
                    </w:rPr>
                  </w:pPr>
                  <w:r>
                    <w:rPr>
                      <w:rFonts w:hint="eastAsia" w:ascii="Times New Roman" w:hAnsi="宋体" w:eastAsia="宋体"/>
                      <w:color w:val="000000"/>
                      <w:sz w:val="21"/>
                      <w:szCs w:val="21"/>
                    </w:rPr>
                    <w:t>生态敏感因子敏感程度</w:t>
                  </w:r>
                </w:p>
              </w:tc>
              <w:tc>
                <w:tcPr>
                  <w:tcW w:w="3604" w:type="pct"/>
                  <w:vAlign w:val="center"/>
                </w:tcPr>
                <w:p>
                  <w:pPr>
                    <w:snapToGrid w:val="0"/>
                    <w:spacing w:line="240" w:lineRule="auto"/>
                    <w:ind w:firstLine="0" w:firstLineChars="0"/>
                    <w:jc w:val="center"/>
                    <w:rPr>
                      <w:rFonts w:ascii="Times New Roman" w:hAnsi="Times New Roman" w:eastAsia="宋体"/>
                      <w:color w:val="000000"/>
                      <w:sz w:val="21"/>
                      <w:szCs w:val="21"/>
                    </w:rPr>
                  </w:pPr>
                  <w:r>
                    <w:rPr>
                      <w:rFonts w:hint="eastAsia" w:ascii="Times New Roman" w:hAnsi="宋体" w:eastAsia="宋体"/>
                      <w:color w:val="000000"/>
                      <w:sz w:val="21"/>
                      <w:szCs w:val="21"/>
                    </w:rPr>
                    <w:t>生物多样性和生境不敏感，土地沙漠化极度敏感，土壤侵蚀高度敏感、土壤盐渍化轻度敏感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95" w:type="pct"/>
                  <w:gridSpan w:val="2"/>
                  <w:vAlign w:val="center"/>
                </w:tcPr>
                <w:p>
                  <w:pPr>
                    <w:snapToGrid w:val="0"/>
                    <w:spacing w:line="240" w:lineRule="auto"/>
                    <w:ind w:firstLine="0" w:firstLineChars="0"/>
                    <w:jc w:val="center"/>
                    <w:rPr>
                      <w:rFonts w:ascii="Times New Roman" w:hAnsi="Times New Roman" w:eastAsia="宋体"/>
                      <w:color w:val="000000"/>
                      <w:sz w:val="21"/>
                      <w:szCs w:val="21"/>
                    </w:rPr>
                  </w:pPr>
                  <w:r>
                    <w:rPr>
                      <w:rFonts w:hint="eastAsia" w:ascii="Times New Roman" w:hAnsi="宋体" w:eastAsia="宋体"/>
                      <w:color w:val="000000"/>
                      <w:sz w:val="21"/>
                      <w:szCs w:val="21"/>
                    </w:rPr>
                    <w:t>主要保护目标</w:t>
                  </w:r>
                </w:p>
              </w:tc>
              <w:tc>
                <w:tcPr>
                  <w:tcW w:w="3604" w:type="pct"/>
                  <w:vAlign w:val="center"/>
                </w:tcPr>
                <w:p>
                  <w:pPr>
                    <w:snapToGrid w:val="0"/>
                    <w:spacing w:line="240" w:lineRule="auto"/>
                    <w:ind w:firstLine="0" w:firstLineChars="0"/>
                    <w:jc w:val="center"/>
                    <w:rPr>
                      <w:rFonts w:ascii="Times New Roman" w:hAnsi="Times New Roman" w:eastAsia="宋体"/>
                      <w:color w:val="000000"/>
                      <w:sz w:val="21"/>
                      <w:szCs w:val="21"/>
                    </w:rPr>
                  </w:pPr>
                  <w:r>
                    <w:rPr>
                      <w:rFonts w:hint="eastAsia" w:ascii="Times New Roman" w:hAnsi="宋体" w:eastAsia="宋体"/>
                      <w:color w:val="000000"/>
                      <w:sz w:val="21"/>
                      <w:szCs w:val="21"/>
                    </w:rPr>
                    <w:t>保护基本农田、保护荒漠植被、保护土壤环境质量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95" w:type="pct"/>
                  <w:gridSpan w:val="2"/>
                  <w:vAlign w:val="center"/>
                </w:tcPr>
                <w:p>
                  <w:pPr>
                    <w:snapToGrid w:val="0"/>
                    <w:spacing w:line="240" w:lineRule="auto"/>
                    <w:ind w:firstLine="0" w:firstLineChars="0"/>
                    <w:jc w:val="center"/>
                    <w:rPr>
                      <w:rFonts w:ascii="Times New Roman" w:hAnsi="Times New Roman" w:eastAsia="宋体"/>
                      <w:color w:val="000000"/>
                      <w:sz w:val="21"/>
                      <w:szCs w:val="21"/>
                    </w:rPr>
                  </w:pPr>
                  <w:r>
                    <w:rPr>
                      <w:rFonts w:hint="eastAsia" w:ascii="Times New Roman" w:hAnsi="宋体" w:eastAsia="宋体"/>
                      <w:color w:val="000000"/>
                      <w:sz w:val="21"/>
                      <w:szCs w:val="21"/>
                    </w:rPr>
                    <w:t>保护措施</w:t>
                  </w:r>
                </w:p>
              </w:tc>
              <w:tc>
                <w:tcPr>
                  <w:tcW w:w="3604" w:type="pct"/>
                  <w:vAlign w:val="center"/>
                </w:tcPr>
                <w:p>
                  <w:pPr>
                    <w:snapToGrid w:val="0"/>
                    <w:spacing w:line="240" w:lineRule="auto"/>
                    <w:ind w:firstLine="0" w:firstLineChars="0"/>
                    <w:jc w:val="center"/>
                    <w:rPr>
                      <w:rFonts w:ascii="Times New Roman" w:hAnsi="Times New Roman" w:eastAsia="宋体"/>
                      <w:color w:val="000000"/>
                      <w:sz w:val="21"/>
                      <w:szCs w:val="21"/>
                    </w:rPr>
                  </w:pPr>
                  <w:r>
                    <w:rPr>
                      <w:rFonts w:hint="eastAsia" w:ascii="Times New Roman" w:hAnsi="宋体" w:eastAsia="宋体"/>
                      <w:color w:val="000000"/>
                      <w:sz w:val="21"/>
                      <w:szCs w:val="21"/>
                    </w:rPr>
                    <w:t>绿洲内要发展节水农业，适度开发地下水，实行农牧结合和集约经营，农区也要通过种植业结构的调整，增加草料的种植比例，把在草地上放牧的牲畜数量减下来，大力发展农区畜牧业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95" w:type="pct"/>
                  <w:gridSpan w:val="2"/>
                  <w:vAlign w:val="center"/>
                </w:tcPr>
                <w:p>
                  <w:pPr>
                    <w:snapToGrid w:val="0"/>
                    <w:spacing w:line="240" w:lineRule="auto"/>
                    <w:ind w:firstLine="0" w:firstLineChars="0"/>
                    <w:jc w:val="center"/>
                    <w:rPr>
                      <w:rFonts w:ascii="Times New Roman" w:hAnsi="宋体" w:eastAsia="宋体"/>
                      <w:color w:val="000000"/>
                      <w:sz w:val="21"/>
                      <w:szCs w:val="21"/>
                    </w:rPr>
                  </w:pPr>
                  <w:r>
                    <w:rPr>
                      <w:rFonts w:hint="eastAsia" w:ascii="Times New Roman" w:hAnsi="宋体" w:eastAsia="宋体"/>
                      <w:color w:val="000000"/>
                      <w:sz w:val="21"/>
                      <w:szCs w:val="21"/>
                    </w:rPr>
                    <w:t>适宜发展方向</w:t>
                  </w:r>
                </w:p>
              </w:tc>
              <w:tc>
                <w:tcPr>
                  <w:tcW w:w="3604" w:type="pct"/>
                  <w:vAlign w:val="center"/>
                </w:tcPr>
                <w:p>
                  <w:pPr>
                    <w:snapToGrid w:val="0"/>
                    <w:spacing w:line="240" w:lineRule="auto"/>
                    <w:ind w:firstLine="0" w:firstLineChars="0"/>
                    <w:jc w:val="center"/>
                    <w:rPr>
                      <w:rFonts w:ascii="Times New Roman" w:hAnsi="宋体" w:eastAsia="宋体"/>
                      <w:color w:val="000000"/>
                      <w:sz w:val="21"/>
                      <w:szCs w:val="21"/>
                    </w:rPr>
                  </w:pPr>
                  <w:r>
                    <w:rPr>
                      <w:rFonts w:hint="eastAsia" w:ascii="Times New Roman" w:hAnsi="宋体" w:eastAsia="宋体"/>
                      <w:color w:val="000000"/>
                      <w:sz w:val="21"/>
                      <w:szCs w:val="21"/>
                    </w:rPr>
                    <w:t>农牧结合，发展优质、高效特色农业</w:t>
                  </w:r>
                </w:p>
              </w:tc>
            </w:tr>
          </w:tbl>
          <w:p>
            <w:pPr>
              <w:snapToGrid w:val="0"/>
              <w:spacing w:line="360" w:lineRule="auto"/>
              <w:ind w:firstLine="0" w:firstLineChars="0"/>
              <w:rPr>
                <w:b/>
                <w:color w:val="000000"/>
                <w:highlight w:val="none"/>
              </w:rPr>
            </w:pPr>
            <w:r>
              <w:rPr>
                <w:b/>
                <w:color w:val="000000"/>
                <w:highlight w:val="none"/>
              </w:rPr>
              <w:t>3</w:t>
            </w:r>
            <w:r>
              <w:rPr>
                <w:rFonts w:hint="eastAsia"/>
                <w:b/>
                <w:color w:val="000000"/>
                <w:highlight w:val="none"/>
              </w:rPr>
              <w:t>、生态环境现状</w:t>
            </w:r>
          </w:p>
          <w:p>
            <w:pPr>
              <w:spacing w:line="360" w:lineRule="auto"/>
              <w:ind w:firstLine="31680"/>
              <w:rPr>
                <w:rFonts w:hint="default" w:ascii="Times New Roman" w:hAnsi="Times New Roman" w:eastAsia="宋体" w:cs="Times New Roman"/>
                <w:color w:val="000000"/>
                <w:lang w:val="en-US" w:eastAsia="zh-CN"/>
              </w:rPr>
            </w:pPr>
            <w:r>
              <w:rPr>
                <w:rFonts w:hint="default" w:hAnsi="宋体"/>
                <w:b w:val="0"/>
                <w:bCs/>
                <w:color w:val="000000"/>
                <w:highlight w:val="none"/>
                <w:lang w:val="en-US" w:eastAsia="zh-CN"/>
              </w:rPr>
              <w:t>本工程</w:t>
            </w:r>
            <w:r>
              <w:rPr>
                <w:rFonts w:hint="eastAsia" w:hAnsi="宋体"/>
                <w:b w:val="0"/>
                <w:bCs/>
                <w:color w:val="000000"/>
                <w:highlight w:val="none"/>
                <w:lang w:val="en-US" w:eastAsia="zh-CN"/>
              </w:rPr>
              <w:t>位于吉木萨尔县</w:t>
            </w:r>
            <w:r>
              <w:rPr>
                <w:rFonts w:hint="default" w:hAnsi="宋体"/>
                <w:b w:val="0"/>
                <w:bCs/>
                <w:color w:val="000000"/>
                <w:highlight w:val="none"/>
                <w:lang w:val="en-US" w:eastAsia="zh-CN"/>
              </w:rPr>
              <w:t>白杨河五圣宫水文站至S303省道29.15km范围的河段</w:t>
            </w:r>
            <w:r>
              <w:rPr>
                <w:rFonts w:hint="eastAsia" w:hAnsi="宋体"/>
                <w:b w:val="0"/>
                <w:bCs/>
                <w:color w:val="000000"/>
                <w:highlight w:val="none"/>
                <w:lang w:val="en-US" w:eastAsia="zh-CN"/>
              </w:rPr>
              <w:t>，</w:t>
            </w:r>
            <w:r>
              <w:rPr>
                <w:rFonts w:hint="default" w:ascii="Times New Roman" w:hAnsi="Times New Roman" w:eastAsia="宋体" w:cs="Times New Roman"/>
                <w:color w:val="000000"/>
                <w:kern w:val="0"/>
                <w:sz w:val="24"/>
                <w:szCs w:val="24"/>
                <w:highlight w:val="none"/>
                <w:lang w:val="en-US" w:eastAsia="zh-CN" w:bidi="ar"/>
              </w:rPr>
              <w:t>小流域水土流失综合治理面积</w:t>
            </w:r>
            <w:r>
              <w:rPr>
                <w:rFonts w:hint="eastAsia" w:cs="Times New Roman"/>
                <w:color w:val="000000"/>
                <w:kern w:val="0"/>
                <w:sz w:val="24"/>
                <w:szCs w:val="24"/>
                <w:highlight w:val="none"/>
                <w:lang w:val="en-US" w:eastAsia="zh-CN" w:bidi="ar"/>
              </w:rPr>
              <w:t>1.0612</w:t>
            </w:r>
            <w:r>
              <w:rPr>
                <w:rFonts w:hint="default" w:ascii="Times New Roman" w:hAnsi="Times New Roman" w:eastAsia="宋体" w:cs="Times New Roman"/>
                <w:color w:val="000000"/>
                <w:kern w:val="0"/>
                <w:sz w:val="24"/>
                <w:szCs w:val="24"/>
                <w:highlight w:val="none"/>
                <w:lang w:val="en-US" w:eastAsia="zh-CN" w:bidi="ar"/>
              </w:rPr>
              <w:t>km</w:t>
            </w:r>
            <w:r>
              <w:rPr>
                <w:rFonts w:hint="default" w:ascii="Times New Roman" w:hAnsi="Times New Roman" w:eastAsia="宋体" w:cs="Times New Roman"/>
                <w:color w:val="000000"/>
                <w:kern w:val="0"/>
                <w:sz w:val="24"/>
                <w:szCs w:val="24"/>
                <w:highlight w:val="none"/>
                <w:vertAlign w:val="superscript"/>
                <w:lang w:val="en-US" w:eastAsia="zh-CN" w:bidi="ar"/>
              </w:rPr>
              <w:t>2</w:t>
            </w:r>
            <w:r>
              <w:rPr>
                <w:rFonts w:hint="default" w:ascii="Times New Roman" w:hAnsi="Times New Roman" w:eastAsia="宋体" w:cs="Times New Roman"/>
                <w:color w:val="000000"/>
                <w:kern w:val="0"/>
                <w:sz w:val="24"/>
                <w:szCs w:val="24"/>
                <w:highlight w:val="none"/>
                <w:lang w:val="en-US" w:eastAsia="zh-CN" w:bidi="ar"/>
              </w:rPr>
              <w:t>，</w:t>
            </w:r>
            <w:r>
              <w:rPr>
                <w:rFonts w:hint="eastAsia"/>
                <w:color w:val="000000"/>
                <w:highlight w:val="none"/>
                <w:lang w:val="en-US" w:eastAsia="zh-CN"/>
              </w:rPr>
              <w:t>本项目区中的</w:t>
            </w:r>
            <w:r>
              <w:rPr>
                <w:rFonts w:hint="eastAsia" w:ascii="Times New Roman" w:hAnsi="Times New Roman" w:eastAsia="宋体" w:cs="Times New Roman"/>
                <w:sz w:val="24"/>
                <w:szCs w:val="24"/>
                <w:highlight w:val="none"/>
                <w:lang w:val="en-US" w:eastAsia="zh-CN"/>
              </w:rPr>
              <w:t>白杨河水库至林区公路段</w:t>
            </w:r>
            <w:r>
              <w:rPr>
                <w:rFonts w:hint="eastAsia" w:cs="Times New Roman"/>
                <w:sz w:val="24"/>
                <w:szCs w:val="24"/>
                <w:highlight w:val="none"/>
                <w:lang w:val="en-US" w:eastAsia="zh-CN"/>
              </w:rPr>
              <w:t>起点</w:t>
            </w:r>
            <w:r>
              <w:rPr>
                <w:rFonts w:hint="default" w:ascii="Times New Roman" w:hAnsi="Times New Roman" w:cs="Times New Roman"/>
                <w:b w:val="0"/>
                <w:bCs/>
                <w:color w:val="000000"/>
                <w:highlight w:val="none"/>
              </w:rPr>
              <w:t>（</w:t>
            </w:r>
            <w:r>
              <w:rPr>
                <w:rFonts w:hint="eastAsia" w:cs="Times New Roman"/>
                <w:b w:val="0"/>
                <w:bCs w:val="0"/>
                <w:color w:val="000000"/>
                <w:kern w:val="0"/>
                <w:sz w:val="24"/>
                <w:szCs w:val="24"/>
                <w:highlight w:val="none"/>
                <w:lang w:val="en-US" w:eastAsia="zh-CN" w:bidi="ar-SA"/>
              </w:rPr>
              <w:t>桩号：</w:t>
            </w:r>
            <w:r>
              <w:rPr>
                <w:rFonts w:hint="default" w:ascii="Times New Roman" w:hAnsi="Times New Roman" w:eastAsia="宋体" w:cs="Times New Roman"/>
                <w:b w:val="0"/>
                <w:bCs w:val="0"/>
                <w:color w:val="000000"/>
                <w:kern w:val="0"/>
                <w:sz w:val="24"/>
                <w:szCs w:val="24"/>
                <w:highlight w:val="none"/>
                <w:lang w:val="en-US" w:eastAsia="zh-CN" w:bidi="ar-SA"/>
              </w:rPr>
              <w:t>4+100</w:t>
            </w:r>
            <w:r>
              <w:rPr>
                <w:rFonts w:hint="default" w:ascii="Times New Roman" w:hAnsi="Times New Roman" w:cs="Times New Roman"/>
                <w:b w:val="0"/>
                <w:bCs/>
                <w:color w:val="000000"/>
                <w:highlight w:val="none"/>
              </w:rPr>
              <w:t>）</w:t>
            </w:r>
            <w:r>
              <w:rPr>
                <w:rFonts w:hint="eastAsia"/>
                <w:color w:val="000000"/>
                <w:highlight w:val="none"/>
                <w:lang w:val="en-US" w:eastAsia="zh-CN"/>
              </w:rPr>
              <w:t>距离吉木萨尔县生态红线最近距离为20</w:t>
            </w:r>
            <w:r>
              <w:rPr>
                <w:rFonts w:hint="default" w:ascii="Times New Roman" w:hAnsi="Times New Roman" w:eastAsia="宋体" w:cs="Times New Roman"/>
                <w:color w:val="000000"/>
                <w:kern w:val="0"/>
                <w:sz w:val="24"/>
                <w:szCs w:val="24"/>
                <w:highlight w:val="none"/>
                <w:lang w:val="en-US" w:eastAsia="zh-CN" w:bidi="ar"/>
              </w:rPr>
              <w:t>m</w:t>
            </w:r>
            <w:r>
              <w:rPr>
                <w:rFonts w:hint="eastAsia"/>
                <w:color w:val="000000"/>
                <w:highlight w:val="none"/>
                <w:lang w:val="en-US" w:eastAsia="zh-CN"/>
              </w:rPr>
              <w:t>；</w:t>
            </w:r>
            <w:r>
              <w:rPr>
                <w:rFonts w:hint="eastAsia"/>
                <w:color w:val="000000"/>
                <w:highlight w:val="none"/>
              </w:rPr>
              <w:t>项目</w:t>
            </w:r>
            <w:r>
              <w:rPr>
                <w:rFonts w:hint="eastAsia"/>
                <w:color w:val="000000"/>
                <w:highlight w:val="none"/>
                <w:lang w:val="en-US" w:eastAsia="zh-CN"/>
              </w:rPr>
              <w:t>区</w:t>
            </w:r>
            <w:r>
              <w:rPr>
                <w:rFonts w:hint="eastAsia"/>
                <w:color w:val="000000"/>
                <w:highlight w:val="none"/>
              </w:rPr>
              <w:t>不在吉木萨尔县生态保护红线范围内</w:t>
            </w:r>
            <w:r>
              <w:rPr>
                <w:rFonts w:hint="eastAsia"/>
                <w:color w:val="000000"/>
                <w:highlight w:val="none"/>
                <w:lang w:eastAsia="zh-CN"/>
              </w:rPr>
              <w:t>；</w:t>
            </w:r>
            <w:r>
              <w:rPr>
                <w:rFonts w:hint="eastAsia"/>
                <w:snapToGrid w:val="0"/>
                <w:color w:val="000000"/>
                <w:kern w:val="0"/>
                <w:szCs w:val="20"/>
                <w:highlight w:val="none"/>
              </w:rPr>
              <w:t>五圣</w:t>
            </w:r>
            <w:r>
              <w:rPr>
                <w:rFonts w:hint="eastAsia" w:ascii="Times New Roman" w:hAnsi="Times New Roman" w:eastAsia="宋体" w:cs="Times New Roman"/>
                <w:sz w:val="24"/>
                <w:szCs w:val="24"/>
                <w:highlight w:val="none"/>
                <w:lang w:eastAsia="zh-CN"/>
              </w:rPr>
              <w:t>宫水文站段</w:t>
            </w:r>
            <w:r>
              <w:rPr>
                <w:rFonts w:hint="default" w:ascii="Times New Roman" w:hAnsi="Times New Roman" w:cs="Times New Roman"/>
                <w:b w:val="0"/>
                <w:bCs/>
                <w:color w:val="000000"/>
                <w:highlight w:val="none"/>
              </w:rPr>
              <w:t>（</w:t>
            </w:r>
            <w:r>
              <w:rPr>
                <w:rFonts w:hint="default" w:ascii="Times New Roman" w:hAnsi="Times New Roman" w:eastAsia="宋体" w:cs="Times New Roman"/>
                <w:b w:val="0"/>
                <w:bCs w:val="0"/>
                <w:color w:val="000000"/>
                <w:kern w:val="0"/>
                <w:sz w:val="24"/>
                <w:szCs w:val="24"/>
                <w:highlight w:val="none"/>
                <w:lang w:val="en-US" w:eastAsia="zh-CN" w:bidi="ar-SA"/>
              </w:rPr>
              <w:t>0+000～1+880</w:t>
            </w:r>
            <w:r>
              <w:rPr>
                <w:rFonts w:hint="default" w:ascii="Times New Roman" w:hAnsi="Times New Roman" w:cs="Times New Roman"/>
                <w:b w:val="0"/>
                <w:bCs/>
                <w:color w:val="000000"/>
                <w:highlight w:val="none"/>
              </w:rPr>
              <w:t>）</w:t>
            </w:r>
            <w:r>
              <w:rPr>
                <w:rFonts w:hint="eastAsia"/>
                <w:color w:val="000000"/>
                <w:highlight w:val="none"/>
                <w:lang w:val="en-US" w:eastAsia="zh-CN"/>
              </w:rPr>
              <w:t>距离新疆江布拉克国家森林公园最近距离为0</w:t>
            </w:r>
            <w:r>
              <w:rPr>
                <w:rFonts w:hint="default" w:ascii="Times New Roman" w:hAnsi="Times New Roman" w:eastAsia="宋体" w:cs="Times New Roman"/>
                <w:color w:val="000000"/>
                <w:kern w:val="0"/>
                <w:sz w:val="24"/>
                <w:szCs w:val="24"/>
                <w:highlight w:val="none"/>
                <w:lang w:val="en-US" w:eastAsia="zh-CN" w:bidi="ar"/>
              </w:rPr>
              <w:t>m</w:t>
            </w:r>
            <w:r>
              <w:rPr>
                <w:rFonts w:hint="eastAsia"/>
                <w:color w:val="000000"/>
                <w:highlight w:val="none"/>
                <w:lang w:val="en-US" w:eastAsia="zh-CN"/>
              </w:rPr>
              <w:t>，</w:t>
            </w:r>
            <w:r>
              <w:rPr>
                <w:rFonts w:hint="eastAsia" w:ascii="Times New Roman" w:hAnsi="Times New Roman" w:eastAsia="宋体" w:cs="Times New Roman"/>
                <w:b w:val="0"/>
                <w:bCs w:val="0"/>
                <w:color w:val="000000"/>
                <w:kern w:val="0"/>
                <w:sz w:val="24"/>
                <w:szCs w:val="24"/>
                <w:highlight w:val="none"/>
                <w:lang w:val="en-US" w:eastAsia="zh-CN" w:bidi="ar-SA"/>
              </w:rPr>
              <w:t>此段为单侧护砌，</w:t>
            </w:r>
            <w:r>
              <w:rPr>
                <w:rFonts w:hint="eastAsia" w:cs="Times New Roman"/>
                <w:b w:val="0"/>
                <w:bCs w:val="0"/>
                <w:color w:val="000000"/>
                <w:kern w:val="0"/>
                <w:sz w:val="24"/>
                <w:szCs w:val="24"/>
                <w:highlight w:val="none"/>
                <w:lang w:val="en-US" w:eastAsia="zh-CN" w:bidi="ar-SA"/>
              </w:rPr>
              <w:t>白杨河宽为9.3014m，</w:t>
            </w:r>
            <w:r>
              <w:rPr>
                <w:rFonts w:hint="eastAsia" w:ascii="Times New Roman" w:hAnsi="Times New Roman" w:eastAsia="宋体" w:cs="Times New Roman"/>
                <w:b w:val="0"/>
                <w:bCs w:val="0"/>
                <w:color w:val="000000"/>
                <w:kern w:val="0"/>
                <w:sz w:val="24"/>
                <w:szCs w:val="24"/>
                <w:highlight w:val="none"/>
                <w:lang w:val="en-US" w:eastAsia="zh-CN" w:bidi="ar-SA"/>
              </w:rPr>
              <w:t>对远离森林公园侧进行护砌</w:t>
            </w:r>
            <w:r>
              <w:rPr>
                <w:rFonts w:hint="eastAsia"/>
                <w:color w:val="000000"/>
                <w:highlight w:val="none"/>
                <w:lang w:val="en-US" w:eastAsia="zh-CN"/>
              </w:rPr>
              <w:t>，本项目实际施工距离江布拉克国家森林公园为</w:t>
            </w:r>
            <w:r>
              <w:rPr>
                <w:rFonts w:hint="eastAsia" w:cs="Times New Roman"/>
                <w:b w:val="0"/>
                <w:bCs w:val="0"/>
                <w:color w:val="000000"/>
                <w:kern w:val="0"/>
                <w:sz w:val="24"/>
                <w:szCs w:val="24"/>
                <w:highlight w:val="none"/>
                <w:lang w:val="en-US" w:eastAsia="zh-CN" w:bidi="ar-SA"/>
              </w:rPr>
              <w:t>9.3014m，</w:t>
            </w:r>
            <w:r>
              <w:rPr>
                <w:rFonts w:hint="eastAsia"/>
                <w:color w:val="000000"/>
                <w:highlight w:val="none"/>
                <w:lang w:val="en-US" w:eastAsia="zh-CN"/>
              </w:rPr>
              <w:t>江布拉克国家森林公园不属于自然保护区；项目区未涉及、占用及穿越江布拉克国家森林公园，不涉及</w:t>
            </w:r>
            <w:r>
              <w:rPr>
                <w:rFonts w:hint="eastAsia"/>
                <w:highlight w:val="none"/>
                <w:lang w:val="en-US" w:eastAsia="zh-CN"/>
              </w:rPr>
              <w:t>水</w:t>
            </w:r>
            <w:r>
              <w:rPr>
                <w:rFonts w:hint="eastAsia" w:ascii="Times New Roman" w:hAnsi="Times New Roman" w:cs="Times New Roman"/>
                <w:color w:val="000000"/>
                <w:highlight w:val="none"/>
                <w:lang w:val="en-US" w:eastAsia="zh-CN"/>
              </w:rPr>
              <w:t>源保护区等</w:t>
            </w:r>
            <w:r>
              <w:rPr>
                <w:rFonts w:hint="eastAsia" w:ascii="Times New Roman" w:hAnsi="Times New Roman" w:cs="Times New Roman"/>
                <w:color w:val="000000"/>
                <w:highlight w:val="none"/>
                <w:lang w:eastAsia="zh-CN"/>
              </w:rPr>
              <w:t>，</w:t>
            </w:r>
            <w:r>
              <w:rPr>
                <w:rFonts w:hint="default" w:ascii="Times New Roman" w:hAnsi="Times New Roman" w:cs="Times New Roman"/>
                <w:color w:val="000000"/>
              </w:rPr>
              <w:t>场地内</w:t>
            </w:r>
            <w:r>
              <w:rPr>
                <w:rFonts w:hint="eastAsia" w:ascii="Times New Roman" w:hAnsi="Times New Roman" w:cs="Times New Roman"/>
                <w:color w:val="000000"/>
                <w:lang w:val="en-US" w:eastAsia="zh-CN"/>
              </w:rPr>
              <w:t>无</w:t>
            </w:r>
            <w:r>
              <w:rPr>
                <w:rFonts w:hint="default" w:ascii="Times New Roman" w:hAnsi="Times New Roman" w:cs="Times New Roman"/>
                <w:color w:val="000000"/>
              </w:rPr>
              <w:t>珍稀动植物、名木古树等，无国家和地方保护性动植物和珍稀濒危动物分布</w:t>
            </w:r>
            <w:r>
              <w:rPr>
                <w:rFonts w:hint="eastAsia" w:ascii="Times New Roman" w:hAnsi="Times New Roman" w:cs="Times New Roman"/>
                <w:color w:val="000000"/>
                <w:lang w:eastAsia="zh-CN"/>
              </w:rPr>
              <w:t>、</w:t>
            </w:r>
            <w:r>
              <w:rPr>
                <w:rFonts w:hint="eastAsia" w:ascii="Times New Roman" w:hAnsi="Times New Roman" w:cs="Times New Roman"/>
                <w:color w:val="000000"/>
                <w:lang w:val="en-US" w:eastAsia="zh-CN"/>
              </w:rPr>
              <w:t>无</w:t>
            </w:r>
            <w:r>
              <w:rPr>
                <w:rFonts w:hint="default" w:ascii="Times New Roman" w:hAnsi="Times New Roman" w:cs="Times New Roman"/>
                <w:color w:val="000000"/>
              </w:rPr>
              <w:t>重点保护野生动物栖息地，重点保护野生植物生长繁殖地，重要水生生物的自然产卵场、索饵场、越冬场和洄游通道</w:t>
            </w:r>
            <w:r>
              <w:rPr>
                <w:rFonts w:hint="eastAsia" w:cs="Times New Roman"/>
                <w:color w:val="000000"/>
                <w:lang w:eastAsia="zh-CN"/>
              </w:rPr>
              <w:t>，</w:t>
            </w:r>
            <w:r>
              <w:rPr>
                <w:rFonts w:hint="default" w:ascii="Times New Roman" w:hAnsi="Times New Roman" w:cs="Times New Roman"/>
                <w:color w:val="000000"/>
              </w:rPr>
              <w:t>由于受人工活动影响，生物多样性较单一，也没有特殊生境及特有物种。</w:t>
            </w:r>
            <w:r>
              <w:rPr>
                <w:rFonts w:hint="eastAsia" w:cs="Times New Roman"/>
                <w:color w:val="000000"/>
                <w:lang w:val="en-US" w:eastAsia="zh-CN"/>
              </w:rPr>
              <w:t>详见附件5不占用森林公园说明。</w:t>
            </w:r>
          </w:p>
          <w:p>
            <w:pPr>
              <w:spacing w:line="360" w:lineRule="auto"/>
              <w:ind w:left="0" w:leftChars="0" w:firstLine="480" w:firstLineChars="200"/>
              <w:rPr>
                <w:rFonts w:hint="default" w:ascii="Times New Roman" w:hAnsi="Times New Roman" w:cs="Times New Roman"/>
                <w:color w:val="000000"/>
                <w:highlight w:val="none"/>
              </w:rPr>
            </w:pPr>
            <w:r>
              <w:rPr>
                <w:rFonts w:hint="eastAsia" w:ascii="Times New Roman" w:hAnsi="Times New Roman" w:cs="Times New Roman"/>
                <w:color w:val="000000"/>
                <w:highlight w:val="none"/>
              </w:rPr>
              <w:t>本项目生态评价等级为三级，进行简要分析</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lang w:val="en-US" w:eastAsia="zh-CN"/>
              </w:rPr>
              <w:t>详见</w:t>
            </w:r>
            <w:r>
              <w:rPr>
                <w:rFonts w:hint="default" w:ascii="Times New Roman" w:hAnsi="Times New Roman" w:cs="Times New Roman"/>
                <w:color w:val="000000"/>
                <w:highlight w:val="none"/>
              </w:rPr>
              <w:t>附图</w:t>
            </w:r>
            <w:r>
              <w:rPr>
                <w:rFonts w:hint="eastAsia" w:ascii="Times New Roman" w:hAnsi="Times New Roman" w:cs="Times New Roman"/>
                <w:color w:val="000000"/>
                <w:highlight w:val="none"/>
                <w:lang w:val="en-US" w:eastAsia="zh-CN"/>
              </w:rPr>
              <w:t>1</w:t>
            </w:r>
            <w:r>
              <w:rPr>
                <w:rFonts w:hint="default" w:ascii="Times New Roman" w:hAnsi="Times New Roman" w:cs="Times New Roman"/>
                <w:color w:val="000000"/>
                <w:highlight w:val="none"/>
              </w:rPr>
              <w:t>项目</w:t>
            </w:r>
            <w:r>
              <w:rPr>
                <w:rFonts w:hint="eastAsia" w:ascii="Times New Roman" w:hAnsi="Times New Roman" w:cs="Times New Roman"/>
                <w:color w:val="000000"/>
                <w:highlight w:val="none"/>
              </w:rPr>
              <w:t>区</w:t>
            </w:r>
            <w:r>
              <w:rPr>
                <w:rFonts w:hint="eastAsia" w:ascii="Times New Roman" w:hAnsi="Times New Roman" w:cs="Times New Roman"/>
                <w:color w:val="000000"/>
                <w:highlight w:val="none"/>
                <w:lang w:val="en-US" w:eastAsia="zh-CN"/>
              </w:rPr>
              <w:t>与生态保护红线关系分布图</w:t>
            </w:r>
            <w:r>
              <w:rPr>
                <w:rFonts w:hint="eastAsia" w:ascii="Times New Roman" w:hAnsi="Times New Roman" w:cs="Times New Roman"/>
                <w:color w:val="000000"/>
                <w:highlight w:val="none"/>
              </w:rPr>
              <w:t>。</w:t>
            </w:r>
          </w:p>
          <w:p>
            <w:pPr>
              <w:spacing w:line="360" w:lineRule="auto"/>
              <w:ind w:firstLine="31680"/>
              <w:jc w:val="both"/>
              <w:rPr>
                <w:rFonts w:hint="default" w:ascii="Times New Roman" w:hAnsi="Times New Roman" w:eastAsia="宋体" w:cs="Times New Roman"/>
                <w:color w:val="000000"/>
                <w:lang w:val="en-US" w:eastAsia="zh-CN"/>
              </w:rPr>
            </w:pPr>
            <w:r>
              <w:rPr>
                <w:rFonts w:hint="default" w:ascii="Times New Roman" w:hAnsi="Times New Roman" w:eastAsia="宋体" w:cs="Times New Roman"/>
                <w:color w:val="000000"/>
                <w:lang w:val="en-US" w:eastAsia="zh-CN"/>
              </w:rPr>
              <w:t>（2）</w:t>
            </w:r>
            <w:r>
              <w:rPr>
                <w:rFonts w:hint="default" w:ascii="Times New Roman" w:hAnsi="Times New Roman" w:eastAsia="宋体" w:cs="Times New Roman"/>
                <w:color w:val="000000"/>
              </w:rPr>
              <w:t>土地利用类型</w:t>
            </w:r>
          </w:p>
          <w:p>
            <w:pPr>
              <w:spacing w:line="360" w:lineRule="auto"/>
              <w:ind w:firstLine="31680"/>
              <w:jc w:val="both"/>
              <w:rPr>
                <w:rFonts w:hint="default" w:ascii="Times New Roman" w:hAnsi="Times New Roman" w:eastAsia="宋体" w:cs="Times New Roman"/>
                <w:lang w:val="en-US" w:eastAsia="zh-CN"/>
              </w:rPr>
            </w:pPr>
            <w:r>
              <w:rPr>
                <w:rFonts w:ascii="Times New Roman" w:hAnsi="Times New Roman" w:eastAsia="宋体" w:cs="Times New Roman"/>
                <w:iCs/>
                <w:spacing w:val="6"/>
                <w:sz w:val="24"/>
                <w:highlight w:val="none"/>
              </w:rPr>
              <w:t>依据《土地利用现状分类》（GB/T21010-2017）二级</w:t>
            </w:r>
            <w:r>
              <w:rPr>
                <w:rFonts w:hint="eastAsia" w:ascii="Times New Roman" w:hAnsi="Times New Roman" w:eastAsia="宋体" w:cs="Times New Roman"/>
                <w:iCs/>
                <w:spacing w:val="6"/>
                <w:sz w:val="24"/>
                <w:highlight w:val="none"/>
                <w:lang w:val="en-US" w:eastAsia="zh-CN"/>
              </w:rPr>
              <w:t>分</w:t>
            </w:r>
            <w:r>
              <w:rPr>
                <w:rFonts w:ascii="Times New Roman" w:hAnsi="Times New Roman" w:eastAsia="宋体" w:cs="Times New Roman"/>
                <w:iCs/>
                <w:spacing w:val="6"/>
                <w:sz w:val="24"/>
                <w:highlight w:val="none"/>
              </w:rPr>
              <w:t>类</w:t>
            </w:r>
            <w:r>
              <w:rPr>
                <w:rFonts w:hint="eastAsia" w:cs="Times New Roman"/>
                <w:iCs/>
                <w:spacing w:val="6"/>
                <w:sz w:val="24"/>
                <w:highlight w:val="none"/>
                <w:lang w:val="en-US" w:eastAsia="zh-CN"/>
              </w:rPr>
              <w:t>和现场调查，</w:t>
            </w:r>
            <w:r>
              <w:rPr>
                <w:rFonts w:hint="eastAsia" w:ascii="Times New Roman" w:hAnsi="Times New Roman" w:eastAsia="宋体" w:cs="Times New Roman"/>
                <w:highlight w:val="none"/>
                <w:lang w:val="en-US" w:eastAsia="zh-CN"/>
              </w:rPr>
              <w:t>评价区的土地利用现状</w:t>
            </w:r>
            <w:r>
              <w:rPr>
                <w:rFonts w:hint="eastAsia" w:cs="Times New Roman"/>
                <w:highlight w:val="none"/>
                <w:lang w:val="en-US" w:eastAsia="zh-CN"/>
              </w:rPr>
              <w:t>主要为草地、水域、耕地和未利用土地，</w:t>
            </w:r>
            <w:r>
              <w:rPr>
                <w:rFonts w:hint="eastAsia" w:ascii="Times New Roman" w:hAnsi="Times New Roman" w:eastAsia="宋体" w:cs="Times New Roman"/>
                <w:highlight w:val="none"/>
                <w:lang w:val="en-US" w:eastAsia="zh-CN"/>
              </w:rPr>
              <w:t>详见附图</w:t>
            </w:r>
            <w:r>
              <w:rPr>
                <w:rFonts w:hint="eastAsia" w:cs="Times New Roman"/>
                <w:highlight w:val="none"/>
                <w:lang w:val="en-US" w:eastAsia="zh-CN"/>
              </w:rPr>
              <w:t>9</w:t>
            </w:r>
            <w:r>
              <w:rPr>
                <w:rFonts w:hint="eastAsia" w:ascii="Times New Roman" w:hAnsi="Times New Roman" w:eastAsia="宋体" w:cs="Times New Roman"/>
                <w:highlight w:val="none"/>
                <w:lang w:val="en-US" w:eastAsia="zh-CN"/>
              </w:rPr>
              <w:t>土地利用类型图</w:t>
            </w:r>
            <w:r>
              <w:rPr>
                <w:rFonts w:hint="eastAsia" w:ascii="Times New Roman" w:hAnsi="Times New Roman" w:eastAsia="宋体" w:cs="Times New Roman"/>
                <w:lang w:val="en-US" w:eastAsia="zh-CN"/>
              </w:rPr>
              <w:t>。</w:t>
            </w:r>
          </w:p>
          <w:p>
            <w:pPr>
              <w:spacing w:line="360" w:lineRule="auto"/>
              <w:ind w:firstLine="31680"/>
              <w:jc w:val="both"/>
              <w:rPr>
                <w:rFonts w:hint="eastAsia" w:ascii="Times New Roman" w:hAnsi="Times New Roman" w:eastAsia="宋体" w:cs="Times New Roman"/>
                <w:lang w:val="en-US" w:eastAsia="zh-CN"/>
              </w:rPr>
            </w:pP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3</w:t>
            </w:r>
            <w:r>
              <w:rPr>
                <w:rFonts w:hint="default" w:ascii="Times New Roman" w:hAnsi="Times New Roman" w:eastAsia="宋体" w:cs="Times New Roman"/>
                <w:lang w:val="en-US" w:eastAsia="zh-CN"/>
              </w:rPr>
              <w:t>）</w:t>
            </w:r>
            <w:r>
              <w:rPr>
                <w:rFonts w:ascii="Times New Roman" w:hAnsi="Times New Roman" w:eastAsia="宋体" w:cs="Times New Roman"/>
              </w:rPr>
              <w:t>土壤类型</w:t>
            </w:r>
          </w:p>
          <w:p>
            <w:pPr>
              <w:spacing w:line="360" w:lineRule="auto"/>
              <w:ind w:firstLine="31680"/>
              <w:jc w:val="both"/>
              <w:rPr>
                <w:rFonts w:hint="eastAsia" w:ascii="宋体" w:hAnsi="宋体" w:cs="宋体"/>
                <w:sz w:val="24"/>
                <w:szCs w:val="24"/>
                <w:lang w:val="en-US" w:eastAsia="zh-CN"/>
              </w:rPr>
            </w:pPr>
            <w:r>
              <w:rPr>
                <w:rFonts w:ascii="宋体" w:hAnsi="宋体" w:eastAsia="宋体" w:cs="宋体"/>
                <w:sz w:val="24"/>
                <w:szCs w:val="24"/>
              </w:rPr>
              <w:t>根据遥感影像图、</w:t>
            </w:r>
            <w:r>
              <w:rPr>
                <w:rFonts w:hint="eastAsia" w:ascii="宋体" w:hAnsi="宋体" w:eastAsia="宋体" w:cs="宋体"/>
                <w:sz w:val="24"/>
                <w:szCs w:val="24"/>
                <w:lang w:val="en-US" w:eastAsia="zh-CN"/>
              </w:rPr>
              <w:t>附图</w:t>
            </w:r>
            <w:r>
              <w:rPr>
                <w:rFonts w:hint="eastAsia" w:cs="Times New Roman"/>
                <w:sz w:val="24"/>
                <w:szCs w:val="24"/>
                <w:lang w:val="en-US" w:eastAsia="zh-CN"/>
              </w:rPr>
              <w:t>10</w:t>
            </w:r>
            <w:r>
              <w:rPr>
                <w:rFonts w:hint="default" w:ascii="Times New Roman" w:hAnsi="Times New Roman" w:eastAsia="宋体" w:cs="Times New Roman"/>
                <w:sz w:val="24"/>
                <w:szCs w:val="24"/>
              </w:rPr>
              <w:t>土</w:t>
            </w:r>
            <w:r>
              <w:rPr>
                <w:rFonts w:ascii="宋体" w:hAnsi="宋体" w:eastAsia="宋体" w:cs="宋体"/>
                <w:sz w:val="24"/>
                <w:szCs w:val="24"/>
              </w:rPr>
              <w:t>壤类型图、《新疆土壤》及现场踏勘结果</w:t>
            </w:r>
            <w:r>
              <w:rPr>
                <w:rFonts w:hint="eastAsia" w:ascii="宋体" w:hAnsi="宋体" w:eastAsia="宋体" w:cs="宋体"/>
                <w:sz w:val="24"/>
                <w:szCs w:val="24"/>
                <w:lang w:val="en-US" w:eastAsia="zh-CN"/>
              </w:rPr>
              <w:t>可知</w:t>
            </w:r>
            <w:r>
              <w:rPr>
                <w:rFonts w:ascii="宋体" w:hAnsi="宋体" w:eastAsia="宋体" w:cs="宋体"/>
                <w:sz w:val="24"/>
                <w:szCs w:val="24"/>
              </w:rPr>
              <w:t>，项目区</w:t>
            </w:r>
            <w:r>
              <w:rPr>
                <w:rFonts w:hint="default" w:ascii="Times New Roman" w:hAnsi="Times New Roman" w:eastAsia="宋体" w:cs="Times New Roman"/>
                <w:sz w:val="24"/>
                <w:szCs w:val="24"/>
              </w:rPr>
              <w:t>土</w:t>
            </w:r>
            <w:r>
              <w:rPr>
                <w:rFonts w:ascii="宋体" w:hAnsi="宋体" w:eastAsia="宋体" w:cs="宋体"/>
                <w:sz w:val="24"/>
                <w:szCs w:val="24"/>
              </w:rPr>
              <w:t>壤类型</w:t>
            </w:r>
            <w:r>
              <w:rPr>
                <w:rFonts w:hint="eastAsia" w:ascii="宋体" w:hAnsi="宋体" w:cs="宋体"/>
                <w:sz w:val="24"/>
                <w:szCs w:val="24"/>
                <w:lang w:val="en-US" w:eastAsia="zh-CN"/>
              </w:rPr>
              <w:t>主要为栗钙土、淡栗钙土、耕种栗钙土、棕钙土。</w:t>
            </w:r>
          </w:p>
          <w:p>
            <w:pPr>
              <w:spacing w:line="360" w:lineRule="auto"/>
              <w:ind w:firstLine="31680"/>
              <w:jc w:val="both"/>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4</w:t>
            </w:r>
            <w:r>
              <w:rPr>
                <w:rFonts w:hint="default" w:ascii="宋体" w:hAnsi="宋体" w:eastAsia="宋体" w:cs="宋体"/>
                <w:sz w:val="24"/>
                <w:szCs w:val="24"/>
                <w:lang w:val="en-US" w:eastAsia="zh-CN"/>
              </w:rPr>
              <w:t>）</w:t>
            </w:r>
            <w:r>
              <w:rPr>
                <w:rFonts w:ascii="宋体" w:hAnsi="宋体" w:eastAsia="宋体" w:cs="宋体"/>
                <w:sz w:val="24"/>
                <w:szCs w:val="24"/>
              </w:rPr>
              <w:t>植被现状</w:t>
            </w:r>
          </w:p>
          <w:p>
            <w:pPr>
              <w:spacing w:line="360" w:lineRule="auto"/>
              <w:rPr>
                <w:rFonts w:hint="default" w:ascii="Times New Roman" w:hAnsi="Times New Roman" w:eastAsia="宋体" w:cs="Times New Roman"/>
                <w:sz w:val="24"/>
                <w:szCs w:val="24"/>
                <w:lang w:val="en-US" w:eastAsia="zh-CN"/>
              </w:rPr>
            </w:pPr>
            <w:r>
              <w:rPr>
                <w:rFonts w:ascii="宋体" w:hAnsi="宋体" w:eastAsia="宋体" w:cs="宋体"/>
                <w:sz w:val="24"/>
                <w:szCs w:val="24"/>
              </w:rPr>
              <w:t>根据由新疆维吾尔自治区畜牧科学院草原研究所编制的《新疆维吾尔自治区草地类型图》、《新</w:t>
            </w:r>
            <w:r>
              <w:rPr>
                <w:rFonts w:hint="default" w:ascii="Times New Roman" w:hAnsi="Times New Roman" w:eastAsia="宋体" w:cs="Times New Roman"/>
                <w:sz w:val="24"/>
                <w:szCs w:val="24"/>
              </w:rPr>
              <w:t>疆维吾尔自治区草地利用现状图》以及经现场调查，</w:t>
            </w:r>
            <w:r>
              <w:rPr>
                <w:rFonts w:hint="eastAsia" w:ascii="宋体" w:hAnsi="宋体" w:eastAsia="宋体" w:cs="宋体"/>
                <w:sz w:val="24"/>
                <w:szCs w:val="24"/>
              </w:rPr>
              <w:t>五圣</w:t>
            </w:r>
            <w:r>
              <w:rPr>
                <w:rFonts w:hint="eastAsia" w:ascii="宋体" w:hAnsi="宋体" w:eastAsia="宋体" w:cs="宋体"/>
                <w:sz w:val="24"/>
                <w:szCs w:val="24"/>
                <w:lang w:eastAsia="zh-CN"/>
              </w:rPr>
              <w:t>宫水文站段</w:t>
            </w:r>
            <w:r>
              <w:rPr>
                <w:rFonts w:hint="eastAsia" w:ascii="Times New Roman" w:hAnsi="Times New Roman" w:eastAsia="宋体" w:cs="Times New Roman"/>
                <w:sz w:val="24"/>
                <w:szCs w:val="24"/>
                <w:lang w:val="en-US" w:eastAsia="zh-CN"/>
              </w:rPr>
              <w:t>植被</w:t>
            </w:r>
            <w:r>
              <w:rPr>
                <w:rFonts w:hint="eastAsia" w:cs="Times New Roman"/>
                <w:sz w:val="24"/>
                <w:szCs w:val="24"/>
                <w:lang w:val="en-US" w:eastAsia="zh-CN"/>
              </w:rPr>
              <w:t>主要为</w:t>
            </w:r>
            <w:r>
              <w:rPr>
                <w:rFonts w:hint="eastAsia" w:ascii="Times New Roman" w:hAnsi="Times New Roman" w:eastAsia="宋体" w:cs="Times New Roman"/>
                <w:sz w:val="24"/>
                <w:szCs w:val="24"/>
                <w:lang w:val="en-US" w:eastAsia="zh-CN"/>
              </w:rPr>
              <w:t>宽刺蔷薇、羊茅、草原苔草；</w:t>
            </w:r>
            <w:r>
              <w:rPr>
                <w:rFonts w:hint="eastAsia" w:ascii="Times New Roman" w:hAnsi="Times New Roman" w:eastAsia="宋体" w:cs="Times New Roman"/>
                <w:sz w:val="24"/>
                <w:szCs w:val="24"/>
                <w:highlight w:val="none"/>
                <w:lang w:val="en-US" w:eastAsia="zh-CN"/>
              </w:rPr>
              <w:t>白杨河水库至林区公路段</w:t>
            </w:r>
            <w:r>
              <w:rPr>
                <w:rFonts w:hint="eastAsia" w:cs="Times New Roman"/>
                <w:sz w:val="24"/>
                <w:szCs w:val="24"/>
                <w:highlight w:val="none"/>
                <w:lang w:val="en-US" w:eastAsia="zh-CN"/>
              </w:rPr>
              <w:t>植被主要为</w:t>
            </w:r>
            <w:r>
              <w:rPr>
                <w:rFonts w:hint="eastAsia" w:ascii="Times New Roman" w:hAnsi="Times New Roman" w:eastAsia="宋体" w:cs="Times New Roman"/>
                <w:sz w:val="24"/>
                <w:szCs w:val="24"/>
                <w:lang w:val="en-US" w:eastAsia="zh-CN"/>
              </w:rPr>
              <w:t>短叶假木贼、伊犁绢蒿</w:t>
            </w:r>
            <w:r>
              <w:rPr>
                <w:rFonts w:hint="eastAsia" w:cs="Times New Roman"/>
                <w:sz w:val="24"/>
                <w:szCs w:val="24"/>
                <w:lang w:val="en-US" w:eastAsia="zh-CN"/>
              </w:rPr>
              <w:t>、刺叶锦鸡儿、博烙塔娟蒿、</w:t>
            </w:r>
            <w:r>
              <w:rPr>
                <w:rFonts w:hint="eastAsia" w:ascii="Times New Roman" w:hAnsi="Times New Roman" w:eastAsia="宋体" w:cs="Times New Roman"/>
                <w:sz w:val="24"/>
                <w:szCs w:val="24"/>
                <w:lang w:val="en-US" w:eastAsia="zh-CN"/>
              </w:rPr>
              <w:t>草原苔草</w:t>
            </w:r>
            <w:r>
              <w:rPr>
                <w:rFonts w:hint="eastAsia" w:cs="Times New Roman"/>
                <w:sz w:val="24"/>
                <w:szCs w:val="24"/>
                <w:lang w:val="en-US" w:eastAsia="zh-CN"/>
              </w:rPr>
              <w:t>、草原锦鸡儿、驼绒藜</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highlight w:val="none"/>
                <w:lang w:val="en-US" w:eastAsia="zh-CN"/>
              </w:rPr>
              <w:t>魏家村至S303段</w:t>
            </w:r>
            <w:r>
              <w:rPr>
                <w:rFonts w:hint="eastAsia" w:cs="Times New Roman"/>
                <w:sz w:val="24"/>
                <w:szCs w:val="24"/>
                <w:highlight w:val="none"/>
                <w:lang w:val="en-US" w:eastAsia="zh-CN"/>
              </w:rPr>
              <w:t>植被主要为</w:t>
            </w:r>
            <w:r>
              <w:rPr>
                <w:rFonts w:hint="eastAsia" w:ascii="Times New Roman" w:hAnsi="Times New Roman" w:eastAsia="宋体" w:cs="Times New Roman"/>
                <w:sz w:val="24"/>
                <w:szCs w:val="24"/>
                <w:lang w:val="en-US" w:eastAsia="zh-CN"/>
              </w:rPr>
              <w:t>农田；</w:t>
            </w:r>
            <w:r>
              <w:rPr>
                <w:rFonts w:hint="default" w:ascii="Times New Roman" w:hAnsi="Times New Roman" w:eastAsia="宋体" w:cs="Times New Roman"/>
                <w:sz w:val="24"/>
                <w:szCs w:val="24"/>
              </w:rPr>
              <w:t>项目区未发现国家和自治区已颁布的保护植物物种</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详见附图</w:t>
            </w:r>
            <w:r>
              <w:rPr>
                <w:rFonts w:hint="eastAsia" w:cs="Times New Roman"/>
                <w:sz w:val="24"/>
                <w:szCs w:val="24"/>
                <w:lang w:val="en-US" w:eastAsia="zh-CN"/>
              </w:rPr>
              <w:t>11</w:t>
            </w:r>
            <w:r>
              <w:rPr>
                <w:rFonts w:hint="default" w:ascii="Times New Roman" w:hAnsi="Times New Roman" w:eastAsia="宋体" w:cs="Times New Roman"/>
                <w:sz w:val="24"/>
                <w:szCs w:val="24"/>
                <w:lang w:val="en-US" w:eastAsia="zh-CN"/>
              </w:rPr>
              <w:t>植被类型图。</w:t>
            </w:r>
          </w:p>
          <w:p>
            <w:pPr>
              <w:spacing w:line="360" w:lineRule="auto"/>
              <w:ind w:firstLine="3168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动物现状</w:t>
            </w:r>
          </w:p>
          <w:p>
            <w:pPr>
              <w:spacing w:line="360" w:lineRule="auto"/>
              <w:ind w:firstLine="31680"/>
              <w:jc w:val="both"/>
              <w:rPr>
                <w:rFonts w:hint="eastAsia" w:ascii="宋体" w:hAnsi="宋体" w:eastAsia="宋体" w:cs="宋体"/>
                <w:sz w:val="24"/>
                <w:szCs w:val="24"/>
                <w:lang w:val="en-US" w:eastAsia="zh-CN"/>
              </w:rPr>
            </w:pPr>
            <w:r>
              <w:rPr>
                <w:rFonts w:cs="Times New Roman"/>
              </w:rPr>
              <w:t>根据调查和资料统计，</w:t>
            </w:r>
            <w:r>
              <w:rPr>
                <w:rFonts w:ascii="宋体" w:hAnsi="宋体" w:eastAsia="宋体" w:cs="宋体"/>
                <w:sz w:val="24"/>
                <w:szCs w:val="24"/>
              </w:rPr>
              <w:t>受长期人为活动的影响，项目所在区域内基本无大型野生动物分布</w:t>
            </w:r>
            <w:r>
              <w:rPr>
                <w:rFonts w:hint="eastAsia" w:ascii="宋体" w:hAnsi="宋体" w:eastAsia="宋体" w:cs="宋体"/>
                <w:sz w:val="24"/>
                <w:szCs w:val="24"/>
                <w:lang w:eastAsia="zh-CN"/>
              </w:rPr>
              <w:t>，</w:t>
            </w:r>
            <w:r>
              <w:rPr>
                <w:rFonts w:ascii="宋体" w:hAnsi="宋体" w:eastAsia="宋体" w:cs="宋体"/>
                <w:sz w:val="24"/>
                <w:szCs w:val="24"/>
              </w:rPr>
              <w:t>野生动物种类数量不多，</w:t>
            </w:r>
            <w:r>
              <w:rPr>
                <w:rFonts w:hint="eastAsia" w:ascii="宋体" w:hAnsi="宋体" w:eastAsia="宋体" w:cs="宋体"/>
                <w:sz w:val="24"/>
                <w:szCs w:val="24"/>
                <w:lang w:val="en-US" w:eastAsia="zh-CN"/>
              </w:rPr>
              <w:t>以</w:t>
            </w:r>
            <w:r>
              <w:rPr>
                <w:rFonts w:ascii="宋体" w:hAnsi="宋体" w:eastAsia="宋体" w:cs="宋体"/>
                <w:sz w:val="24"/>
                <w:szCs w:val="24"/>
              </w:rPr>
              <w:t>蟾蜍</w:t>
            </w:r>
            <w:r>
              <w:rPr>
                <w:rFonts w:hint="eastAsia" w:ascii="宋体" w:hAnsi="宋体" w:eastAsia="宋体" w:cs="宋体"/>
                <w:sz w:val="24"/>
                <w:szCs w:val="24"/>
                <w:lang w:eastAsia="zh-CN"/>
              </w:rPr>
              <w:t>、</w:t>
            </w:r>
            <w:r>
              <w:rPr>
                <w:rFonts w:ascii="宋体" w:hAnsi="宋体" w:eastAsia="宋体" w:cs="宋体"/>
                <w:sz w:val="24"/>
                <w:szCs w:val="24"/>
              </w:rPr>
              <w:t>小家鼠</w:t>
            </w:r>
            <w:r>
              <w:rPr>
                <w:rFonts w:hint="eastAsia" w:ascii="宋体" w:hAnsi="宋体" w:eastAsia="宋体" w:cs="宋体"/>
                <w:sz w:val="24"/>
                <w:szCs w:val="24"/>
                <w:lang w:eastAsia="zh-CN"/>
              </w:rPr>
              <w:t>、</w:t>
            </w:r>
            <w:r>
              <w:rPr>
                <w:rFonts w:ascii="宋体" w:hAnsi="宋体" w:eastAsia="宋体" w:cs="宋体"/>
                <w:sz w:val="24"/>
                <w:szCs w:val="24"/>
              </w:rPr>
              <w:t>猫头鹰</w:t>
            </w:r>
            <w:r>
              <w:rPr>
                <w:rFonts w:hint="eastAsia" w:ascii="宋体" w:hAnsi="宋体" w:eastAsia="宋体" w:cs="宋体"/>
                <w:sz w:val="24"/>
                <w:szCs w:val="24"/>
                <w:lang w:val="en-US" w:eastAsia="zh-CN"/>
              </w:rPr>
              <w:t>等为主。</w:t>
            </w:r>
          </w:p>
          <w:p>
            <w:pPr>
              <w:spacing w:line="360" w:lineRule="auto"/>
              <w:ind w:firstLine="31680"/>
              <w:rPr>
                <w:rFonts w:hint="default" w:ascii="Times New Roman" w:hAnsi="Times New Roman" w:eastAsia="宋体" w:cs="Times New Roman"/>
                <w:color w:val="000000"/>
                <w:highlight w:val="none"/>
                <w:lang w:val="en-US"/>
              </w:rPr>
            </w:pPr>
            <w:r>
              <w:rPr>
                <w:rFonts w:hint="default" w:ascii="Times New Roman" w:hAnsi="Times New Roman" w:eastAsia="宋体" w:cs="Times New Roman"/>
                <w:color w:val="000000"/>
                <w:highlight w:val="none"/>
                <w:lang w:val="en-US" w:eastAsia="zh-CN"/>
              </w:rPr>
              <w:t>（</w:t>
            </w:r>
            <w:r>
              <w:rPr>
                <w:rFonts w:hint="eastAsia" w:cs="Times New Roman"/>
                <w:color w:val="000000"/>
                <w:highlight w:val="none"/>
                <w:lang w:val="en-US" w:eastAsia="zh-CN"/>
              </w:rPr>
              <w:t>6</w:t>
            </w:r>
            <w:r>
              <w:rPr>
                <w:rFonts w:hint="default" w:ascii="Times New Roman" w:hAnsi="Times New Roman" w:eastAsia="宋体" w:cs="Times New Roman"/>
                <w:color w:val="000000"/>
                <w:highlight w:val="none"/>
                <w:lang w:val="en-US" w:eastAsia="zh-CN"/>
              </w:rPr>
              <w:t>）</w:t>
            </w:r>
            <w:r>
              <w:rPr>
                <w:rFonts w:hint="eastAsia" w:cs="Times New Roman"/>
                <w:color w:val="000000"/>
                <w:highlight w:val="none"/>
                <w:lang w:val="en-US" w:eastAsia="zh-CN"/>
              </w:rPr>
              <w:t>水生生物现状</w:t>
            </w:r>
          </w:p>
          <w:p>
            <w:pPr>
              <w:widowControl/>
              <w:spacing w:line="360" w:lineRule="auto"/>
              <w:ind w:firstLine="480" w:firstLineChars="200"/>
              <w:jc w:val="left"/>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b w:val="0"/>
                <w:bCs w:val="0"/>
                <w:sz w:val="24"/>
                <w:szCs w:val="24"/>
                <w:highlight w:val="none"/>
              </w:rPr>
              <w:t>经现场调查</w:t>
            </w:r>
            <w:r>
              <w:rPr>
                <w:rFonts w:hint="eastAsia" w:ascii="Times New Roman" w:hAnsi="Times New Roman" w:cs="Times New Roman"/>
                <w:b w:val="0"/>
                <w:bCs w:val="0"/>
                <w:sz w:val="24"/>
                <w:szCs w:val="24"/>
                <w:highlight w:val="none"/>
                <w:lang w:eastAsia="zh-CN"/>
              </w:rPr>
              <w:t>、</w:t>
            </w:r>
            <w:r>
              <w:rPr>
                <w:rFonts w:hint="eastAsia" w:ascii="Times New Roman" w:hAnsi="Times New Roman" w:cs="Times New Roman"/>
                <w:b w:val="0"/>
                <w:bCs w:val="0"/>
                <w:sz w:val="24"/>
                <w:szCs w:val="24"/>
                <w:highlight w:val="none"/>
                <w:lang w:val="en-US" w:eastAsia="zh-CN"/>
              </w:rPr>
              <w:t>结合建设单位提供的相关资料可知</w:t>
            </w:r>
            <w:r>
              <w:rPr>
                <w:rFonts w:hint="default" w:ascii="Times New Roman" w:hAnsi="Times New Roman" w:eastAsia="宋体" w:cs="Times New Roman"/>
                <w:b w:val="0"/>
                <w:bCs w:val="0"/>
                <w:sz w:val="24"/>
                <w:szCs w:val="24"/>
                <w:highlight w:val="none"/>
              </w:rPr>
              <w:t>，</w:t>
            </w:r>
            <w:r>
              <w:rPr>
                <w:rFonts w:hint="eastAsia" w:ascii="Times New Roman" w:hAnsi="Times New Roman" w:eastAsia="宋体" w:cs="Times New Roman"/>
                <w:b w:val="0"/>
                <w:bCs w:val="0"/>
                <w:color w:val="000000"/>
                <w:kern w:val="0"/>
                <w:sz w:val="24"/>
                <w:szCs w:val="24"/>
                <w:highlight w:val="none"/>
                <w:lang w:val="en-US" w:eastAsia="zh-CN" w:bidi="ar-SA"/>
              </w:rPr>
              <w:t>白杨河</w:t>
            </w:r>
            <w:r>
              <w:rPr>
                <w:rFonts w:hint="default" w:ascii="Times New Roman" w:hAnsi="Times New Roman" w:cs="Times New Roman"/>
                <w:color w:val="auto"/>
                <w:highlight w:val="none"/>
              </w:rPr>
              <w:t>年径流量较小，水深常常仅有10～30cm，鱼类栖息空间极小</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水质清澈、饵料来源十分匮乏</w:t>
            </w:r>
            <w:r>
              <w:rPr>
                <w:rFonts w:hint="eastAsia" w:ascii="Times New Roman" w:hAnsi="Times New Roman" w:cs="Times New Roman"/>
                <w:color w:val="auto"/>
                <w:highlight w:val="none"/>
                <w:lang w:eastAsia="zh-CN"/>
              </w:rPr>
              <w:t>，</w:t>
            </w:r>
            <w:r>
              <w:rPr>
                <w:rFonts w:hint="eastAsia" w:ascii="Times New Roman" w:hAnsi="Times New Roman" w:eastAsia="宋体" w:cs="Times New Roman"/>
                <w:b w:val="0"/>
                <w:bCs w:val="0"/>
                <w:color w:val="000000"/>
                <w:kern w:val="0"/>
                <w:sz w:val="24"/>
                <w:szCs w:val="24"/>
                <w:highlight w:val="none"/>
                <w:lang w:val="en-US" w:eastAsia="zh-CN" w:bidi="ar-SA"/>
              </w:rPr>
              <w:t>白杨河</w:t>
            </w:r>
            <w:r>
              <w:rPr>
                <w:rFonts w:ascii="宋体" w:hAnsi="宋体" w:eastAsia="宋体" w:cs="宋体"/>
                <w:b w:val="0"/>
                <w:bCs w:val="0"/>
                <w:color w:val="000000"/>
                <w:sz w:val="24"/>
                <w:szCs w:val="24"/>
                <w:highlight w:val="none"/>
              </w:rPr>
              <w:t>流域内</w:t>
            </w:r>
            <w:r>
              <w:rPr>
                <w:rFonts w:hint="eastAsia" w:ascii="宋体" w:hAnsi="宋体" w:eastAsia="宋体" w:cs="宋体"/>
                <w:sz w:val="24"/>
                <w:szCs w:val="24"/>
                <w:highlight w:val="none"/>
                <w:lang w:val="en-US" w:eastAsia="zh-CN"/>
              </w:rPr>
              <w:t>水生生物有</w:t>
            </w:r>
            <w:r>
              <w:rPr>
                <w:rFonts w:ascii="宋体" w:hAnsi="宋体" w:eastAsia="宋体" w:cs="宋体"/>
                <w:sz w:val="24"/>
                <w:szCs w:val="24"/>
                <w:highlight w:val="none"/>
              </w:rPr>
              <w:t>浮游植物</w:t>
            </w:r>
            <w:r>
              <w:rPr>
                <w:rFonts w:hint="default" w:ascii="Times New Roman" w:hAnsi="Times New Roman" w:eastAsia="宋体" w:cs="Times New Roman"/>
                <w:color w:val="000000"/>
                <w:highlight w:val="none"/>
                <w:lang w:val="en-US" w:eastAsia="zh-CN"/>
              </w:rPr>
              <w:t>（</w:t>
            </w:r>
            <w:r>
              <w:rPr>
                <w:rFonts w:ascii="宋体" w:hAnsi="宋体" w:eastAsia="宋体" w:cs="宋体"/>
                <w:sz w:val="24"/>
                <w:szCs w:val="24"/>
                <w:highlight w:val="none"/>
              </w:rPr>
              <w:t>硅藻</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绿藻</w:t>
            </w:r>
            <w:r>
              <w:rPr>
                <w:rFonts w:hint="default" w:ascii="Times New Roman" w:hAnsi="Times New Roman" w:eastAsia="宋体" w:cs="Times New Roman"/>
                <w:color w:val="000000"/>
                <w:highlight w:val="none"/>
                <w:lang w:val="en-US" w:eastAsia="zh-CN"/>
              </w:rPr>
              <w:t>）</w:t>
            </w:r>
            <w:r>
              <w:rPr>
                <w:rFonts w:hint="eastAsia" w:cs="Times New Roman"/>
                <w:color w:val="000000"/>
                <w:highlight w:val="none"/>
                <w:lang w:val="en-US" w:eastAsia="zh-CN"/>
              </w:rPr>
              <w:t>、</w:t>
            </w:r>
            <w:r>
              <w:rPr>
                <w:rFonts w:ascii="宋体" w:hAnsi="宋体" w:eastAsia="宋体" w:cs="宋体"/>
                <w:sz w:val="24"/>
                <w:szCs w:val="24"/>
                <w:highlight w:val="none"/>
              </w:rPr>
              <w:t>浮游植物</w:t>
            </w:r>
            <w:r>
              <w:rPr>
                <w:rFonts w:hint="default" w:ascii="Times New Roman" w:hAnsi="Times New Roman" w:eastAsia="宋体" w:cs="Times New Roman"/>
                <w:color w:val="000000"/>
                <w:highlight w:val="none"/>
                <w:lang w:val="en-US" w:eastAsia="zh-CN"/>
              </w:rPr>
              <w:t>（</w:t>
            </w:r>
            <w:r>
              <w:rPr>
                <w:rFonts w:ascii="宋体" w:hAnsi="宋体" w:eastAsia="宋体" w:cs="宋体"/>
                <w:sz w:val="24"/>
                <w:szCs w:val="24"/>
                <w:highlight w:val="none"/>
              </w:rPr>
              <w:t>轮虫</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原生动物</w:t>
            </w:r>
            <w:r>
              <w:rPr>
                <w:rFonts w:hint="default" w:ascii="Times New Roman" w:hAnsi="Times New Roman" w:eastAsia="宋体" w:cs="Times New Roman"/>
                <w:color w:val="000000"/>
                <w:highlight w:val="none"/>
                <w:lang w:val="en-US" w:eastAsia="zh-CN"/>
              </w:rPr>
              <w:t>）</w:t>
            </w:r>
            <w:r>
              <w:rPr>
                <w:rFonts w:hint="eastAsia" w:ascii="Times New Roman" w:hAnsi="Times New Roman" w:eastAsia="宋体" w:cs="Times New Roman"/>
                <w:color w:val="000000"/>
                <w:highlight w:val="none"/>
                <w:lang w:val="en-US" w:eastAsia="zh-CN"/>
              </w:rPr>
              <w:t>；底栖动物以扁蜉科幼虫、襀翅目幼虫、石蚕、摇蚊科幼虫较为常见；水生植物种类和现存量均较少，主要是挺水植物芦苇；</w:t>
            </w:r>
            <w:r>
              <w:rPr>
                <w:rFonts w:hint="eastAsia" w:cs="Times New Roman"/>
                <w:color w:val="000000"/>
                <w:highlight w:val="none"/>
                <w:lang w:val="en-US" w:eastAsia="zh-CN"/>
              </w:rPr>
              <w:t>鱼类资源较少，均为常见鱼类，</w:t>
            </w:r>
            <w:r>
              <w:rPr>
                <w:rFonts w:hint="default" w:ascii="Times New Roman" w:hAnsi="Times New Roman" w:cs="Times New Roman"/>
                <w:color w:val="auto"/>
                <w:highlight w:val="none"/>
              </w:rPr>
              <w:t>个体小、食性杂，能够适应小水体</w:t>
            </w:r>
            <w:r>
              <w:rPr>
                <w:rFonts w:hint="eastAsia" w:ascii="Times New Roman" w:hAnsi="Times New Roman" w:cs="Times New Roman"/>
                <w:color w:val="auto"/>
                <w:highlight w:val="none"/>
                <w:lang w:eastAsia="zh-CN"/>
              </w:rPr>
              <w:t>，</w:t>
            </w:r>
            <w:r>
              <w:rPr>
                <w:rFonts w:hint="eastAsia" w:cs="Times New Roman"/>
                <w:color w:val="000000"/>
                <w:highlight w:val="none"/>
                <w:lang w:val="en-US" w:eastAsia="zh-CN"/>
              </w:rPr>
              <w:t>如泥鳅、鲫鱼；</w:t>
            </w:r>
            <w:r>
              <w:rPr>
                <w:rFonts w:hint="default" w:ascii="Times New Roman" w:hAnsi="Times New Roman" w:cs="Times New Roman"/>
                <w:color w:val="auto"/>
                <w:highlight w:val="none"/>
              </w:rPr>
              <w:t>无自治区或国家的保护鱼类，未记载濒危动物名录。</w:t>
            </w:r>
          </w:p>
          <w:p>
            <w:pPr>
              <w:widowControl/>
              <w:spacing w:line="360" w:lineRule="auto"/>
              <w:ind w:firstLine="480" w:firstLineChars="200"/>
              <w:jc w:val="lef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t>
            </w:r>
            <w:r>
              <w:rPr>
                <w:rFonts w:hint="eastAsia" w:cs="Times New Roman"/>
                <w:sz w:val="24"/>
                <w:szCs w:val="24"/>
                <w:lang w:val="en-US" w:eastAsia="zh-CN"/>
              </w:rPr>
              <w:t>7</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水土流失</w:t>
            </w:r>
            <w:r>
              <w:rPr>
                <w:rFonts w:hint="default" w:ascii="Times New Roman" w:hAnsi="Times New Roman" w:eastAsia="宋体" w:cs="Times New Roman"/>
                <w:sz w:val="24"/>
                <w:szCs w:val="24"/>
                <w:lang w:val="en-US" w:eastAsia="zh-CN"/>
              </w:rPr>
              <w:t>现状</w:t>
            </w:r>
          </w:p>
          <w:p>
            <w:pPr>
              <w:widowControl/>
              <w:spacing w:line="360" w:lineRule="auto"/>
              <w:ind w:firstLine="480" w:firstLineChars="200"/>
              <w:jc w:val="lef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本项目为建设类项目，位于新疆维吾尔自治区昌吉州吉木萨尔县，根据“水利部办公厅印发《全国水土保持规划国家级水</w:t>
            </w:r>
            <w:r>
              <w:rPr>
                <w:rFonts w:hint="eastAsia" w:ascii="Times New Roman" w:hAnsi="Times New Roman" w:eastAsia="宋体" w:cs="Times New Roman"/>
                <w:sz w:val="24"/>
                <w:szCs w:val="24"/>
                <w:lang w:val="en-US" w:eastAsia="zh-CN"/>
              </w:rPr>
              <w:t>土</w:t>
            </w:r>
            <w:r>
              <w:rPr>
                <w:rFonts w:hint="default" w:ascii="Times New Roman" w:hAnsi="Times New Roman" w:eastAsia="宋体" w:cs="Times New Roman"/>
                <w:sz w:val="24"/>
                <w:szCs w:val="24"/>
                <w:lang w:val="en-US" w:eastAsia="zh-CN"/>
              </w:rPr>
              <w:t>流失重点预防区和重点治理区复核划分成果》的通知）（办水保〔2013〕188号）文件”，项目区属国家级重点预防区-天山北坡国家级水土流失重点预防区；依据新疆维吾尔自治区水利厅《关于印发新疆自治区级水土流失重点预防区和重点治理区复核划分成果的通知》（新水水保〔2019〕4号），项目区属于新疆维吾尔自治区级重点治理区－天山北坡诸小河流域重点治理区</w:t>
            </w:r>
            <w:r>
              <w:rPr>
                <w:rFonts w:hint="eastAsia" w:cs="Times New Roman"/>
                <w:sz w:val="24"/>
                <w:szCs w:val="24"/>
                <w:lang w:val="en-US" w:eastAsia="zh-CN"/>
              </w:rPr>
              <w:t>，</w:t>
            </w:r>
            <w:r>
              <w:rPr>
                <w:rFonts w:hint="default" w:ascii="Times New Roman" w:hAnsi="Times New Roman" w:eastAsia="宋体" w:cs="Times New Roman"/>
                <w:sz w:val="24"/>
                <w:szCs w:val="24"/>
                <w:lang w:val="en-US" w:eastAsia="zh-CN"/>
              </w:rPr>
              <w:t>项目区土层薄，肥力低，表层无可剥离表土，因此不进行表土剥离</w:t>
            </w:r>
            <w:r>
              <w:rPr>
                <w:rFonts w:hint="eastAsia" w:cs="Times New Roman"/>
                <w:sz w:val="24"/>
                <w:szCs w:val="24"/>
                <w:lang w:val="en-US" w:eastAsia="zh-CN"/>
              </w:rPr>
              <w:t>，</w:t>
            </w:r>
            <w:r>
              <w:rPr>
                <w:rFonts w:hint="default" w:ascii="Times New Roman" w:hAnsi="Times New Roman" w:eastAsia="宋体" w:cs="Times New Roman"/>
                <w:sz w:val="24"/>
                <w:szCs w:val="24"/>
                <w:lang w:val="en-US" w:eastAsia="zh-CN"/>
              </w:rPr>
              <w:t>植被覆盖度在15%左右。</w:t>
            </w:r>
          </w:p>
          <w:p>
            <w:pPr>
              <w:spacing w:line="360" w:lineRule="auto"/>
              <w:ind w:firstLine="0" w:firstLineChars="0"/>
              <w:rPr>
                <w:rFonts w:hAnsi="宋体"/>
                <w:b/>
                <w:color w:val="000000"/>
                <w:kern w:val="0"/>
              </w:rPr>
            </w:pPr>
            <w:r>
              <w:rPr>
                <w:rFonts w:hAnsi="宋体"/>
                <w:b/>
                <w:color w:val="000000"/>
                <w:kern w:val="0"/>
              </w:rPr>
              <w:t>4</w:t>
            </w:r>
            <w:r>
              <w:rPr>
                <w:rFonts w:hint="eastAsia" w:hAnsi="宋体"/>
                <w:b/>
                <w:color w:val="000000"/>
                <w:kern w:val="0"/>
              </w:rPr>
              <w:t>、大气环境质量现状</w:t>
            </w:r>
          </w:p>
          <w:p>
            <w:pPr>
              <w:widowControl/>
              <w:spacing w:line="360" w:lineRule="auto"/>
              <w:ind w:firstLine="480" w:firstLineChars="200"/>
              <w:jc w:val="left"/>
              <w:rPr>
                <w:rFonts w:hint="default" w:ascii="Times New Roman" w:hAnsi="Times New Roman" w:eastAsia="宋体" w:cs="Times New Roman"/>
                <w:color w:val="000000"/>
                <w:sz w:val="24"/>
                <w:lang w:val="zh-CN"/>
              </w:rPr>
            </w:pPr>
            <w:bookmarkStart w:id="5" w:name="_Toc19432"/>
            <w:r>
              <w:rPr>
                <w:rFonts w:hint="eastAsia" w:ascii="Times New Roman" w:hAnsi="Times New Roman" w:cs="Times New Roman"/>
                <w:color w:val="auto"/>
                <w:highlight w:val="none"/>
              </w:rPr>
              <w:t>本次项目所在区域环境空气质量调查引用吉木萨尔县大气环境在线监测站点（环保局站点）202</w:t>
            </w:r>
            <w:r>
              <w:rPr>
                <w:rFonts w:hint="eastAsia" w:cs="Times New Roman"/>
                <w:color w:val="auto"/>
                <w:highlight w:val="none"/>
                <w:lang w:val="en-US" w:eastAsia="zh-CN"/>
              </w:rPr>
              <w:t>3</w:t>
            </w:r>
            <w:r>
              <w:rPr>
                <w:rFonts w:hint="eastAsia" w:ascii="Times New Roman" w:hAnsi="Times New Roman" w:cs="Times New Roman"/>
                <w:color w:val="auto"/>
                <w:highlight w:val="none"/>
              </w:rPr>
              <w:t>年在线监测的数据作为本项目评价依据，SO</w:t>
            </w:r>
            <w:r>
              <w:rPr>
                <w:rFonts w:hint="eastAsia" w:ascii="Times New Roman" w:hAnsi="Times New Roman" w:cs="Times New Roman"/>
                <w:color w:val="auto"/>
                <w:highlight w:val="none"/>
                <w:vertAlign w:val="subscript"/>
              </w:rPr>
              <w:t>2</w:t>
            </w:r>
            <w:r>
              <w:rPr>
                <w:rFonts w:hint="eastAsia" w:ascii="Times New Roman" w:hAnsi="Times New Roman" w:cs="Times New Roman"/>
                <w:color w:val="auto"/>
                <w:highlight w:val="none"/>
              </w:rPr>
              <w:t>、NO</w:t>
            </w:r>
            <w:r>
              <w:rPr>
                <w:rFonts w:hint="eastAsia" w:ascii="Times New Roman" w:hAnsi="Times New Roman" w:cs="Times New Roman"/>
                <w:color w:val="auto"/>
                <w:highlight w:val="none"/>
                <w:vertAlign w:val="subscript"/>
              </w:rPr>
              <w:t>2</w:t>
            </w:r>
            <w:r>
              <w:rPr>
                <w:rFonts w:hint="eastAsia" w:ascii="Times New Roman" w:hAnsi="Times New Roman" w:cs="Times New Roman"/>
                <w:color w:val="auto"/>
                <w:highlight w:val="none"/>
              </w:rPr>
              <w:t>、PM</w:t>
            </w:r>
            <w:r>
              <w:rPr>
                <w:rFonts w:hint="eastAsia" w:ascii="Times New Roman" w:hAnsi="Times New Roman" w:cs="Times New Roman"/>
                <w:color w:val="auto"/>
                <w:highlight w:val="none"/>
                <w:vertAlign w:val="subscript"/>
              </w:rPr>
              <w:t>10</w:t>
            </w:r>
            <w:r>
              <w:rPr>
                <w:rFonts w:hint="eastAsia" w:ascii="Times New Roman" w:hAnsi="Times New Roman" w:cs="Times New Roman"/>
                <w:color w:val="auto"/>
                <w:highlight w:val="none"/>
              </w:rPr>
              <w:t>、PM</w:t>
            </w:r>
            <w:r>
              <w:rPr>
                <w:rFonts w:hint="eastAsia" w:ascii="Times New Roman" w:hAnsi="Times New Roman" w:cs="Times New Roman"/>
                <w:color w:val="auto"/>
                <w:highlight w:val="none"/>
                <w:vertAlign w:val="subscript"/>
              </w:rPr>
              <w:t>2.5</w:t>
            </w:r>
            <w:r>
              <w:rPr>
                <w:rFonts w:hint="eastAsia" w:ascii="Times New Roman" w:hAnsi="Times New Roman" w:cs="Times New Roman"/>
                <w:color w:val="auto"/>
                <w:highlight w:val="none"/>
              </w:rPr>
              <w:t>年均浓度分别为8ug/m</w:t>
            </w:r>
            <w:r>
              <w:rPr>
                <w:rFonts w:hint="eastAsia" w:ascii="Times New Roman" w:hAnsi="Times New Roman" w:cs="Times New Roman"/>
                <w:color w:val="auto"/>
                <w:highlight w:val="none"/>
                <w:vertAlign w:val="superscript"/>
              </w:rPr>
              <w:t>3</w:t>
            </w:r>
            <w:r>
              <w:rPr>
                <w:rFonts w:hint="eastAsia" w:ascii="Times New Roman" w:hAnsi="Times New Roman" w:cs="Times New Roman"/>
                <w:color w:val="auto"/>
                <w:highlight w:val="none"/>
              </w:rPr>
              <w:t>、23ug/m</w:t>
            </w:r>
            <w:r>
              <w:rPr>
                <w:rFonts w:hint="eastAsia" w:ascii="Times New Roman" w:hAnsi="Times New Roman" w:cs="Times New Roman"/>
                <w:color w:val="auto"/>
                <w:highlight w:val="none"/>
                <w:vertAlign w:val="superscript"/>
              </w:rPr>
              <w:t>3</w:t>
            </w:r>
            <w:r>
              <w:rPr>
                <w:rFonts w:hint="eastAsia" w:ascii="Times New Roman" w:hAnsi="Times New Roman" w:cs="Times New Roman"/>
                <w:color w:val="auto"/>
                <w:highlight w:val="none"/>
              </w:rPr>
              <w:t>、67ug/m</w:t>
            </w:r>
            <w:r>
              <w:rPr>
                <w:rFonts w:hint="eastAsia" w:ascii="Times New Roman" w:hAnsi="Times New Roman" w:cs="Times New Roman"/>
                <w:color w:val="auto"/>
                <w:highlight w:val="none"/>
                <w:vertAlign w:val="superscript"/>
              </w:rPr>
              <w:t>3</w:t>
            </w:r>
            <w:r>
              <w:rPr>
                <w:rFonts w:hint="eastAsia" w:ascii="Times New Roman" w:hAnsi="Times New Roman" w:cs="Times New Roman"/>
                <w:color w:val="auto"/>
                <w:highlight w:val="none"/>
              </w:rPr>
              <w:t>、</w:t>
            </w:r>
            <w:r>
              <w:rPr>
                <w:rFonts w:hint="eastAsia" w:cs="Times New Roman"/>
                <w:color w:val="auto"/>
                <w:highlight w:val="none"/>
                <w:lang w:val="en-US" w:eastAsia="zh-CN"/>
              </w:rPr>
              <w:t>36</w:t>
            </w:r>
            <w:r>
              <w:rPr>
                <w:rFonts w:hint="eastAsia" w:ascii="Times New Roman" w:hAnsi="Times New Roman" w:cs="Times New Roman"/>
                <w:color w:val="auto"/>
                <w:highlight w:val="none"/>
              </w:rPr>
              <w:t>ug/m</w:t>
            </w:r>
            <w:r>
              <w:rPr>
                <w:rFonts w:hint="eastAsia" w:ascii="Times New Roman" w:hAnsi="Times New Roman" w:cs="Times New Roman"/>
                <w:color w:val="auto"/>
                <w:highlight w:val="none"/>
                <w:vertAlign w:val="superscript"/>
              </w:rPr>
              <w:t>3</w:t>
            </w:r>
            <w:r>
              <w:rPr>
                <w:rFonts w:hint="eastAsia" w:ascii="Times New Roman" w:hAnsi="Times New Roman" w:cs="Times New Roman"/>
                <w:color w:val="auto"/>
                <w:highlight w:val="none"/>
              </w:rPr>
              <w:t>；CO24小时平均第95百分位数为1.8mg/m</w:t>
            </w:r>
            <w:r>
              <w:rPr>
                <w:rFonts w:hint="eastAsia" w:ascii="Times New Roman" w:hAnsi="Times New Roman" w:cs="Times New Roman"/>
                <w:color w:val="auto"/>
                <w:highlight w:val="none"/>
                <w:vertAlign w:val="superscript"/>
              </w:rPr>
              <w:t>3</w:t>
            </w:r>
            <w:r>
              <w:rPr>
                <w:rFonts w:hint="eastAsia" w:ascii="Times New Roman" w:hAnsi="Times New Roman" w:cs="Times New Roman"/>
                <w:color w:val="auto"/>
                <w:highlight w:val="none"/>
              </w:rPr>
              <w:t>，O</w:t>
            </w:r>
            <w:r>
              <w:rPr>
                <w:rFonts w:hint="eastAsia" w:ascii="Times New Roman" w:hAnsi="Times New Roman" w:cs="Times New Roman"/>
                <w:color w:val="auto"/>
                <w:highlight w:val="none"/>
                <w:vertAlign w:val="subscript"/>
              </w:rPr>
              <w:t>3</w:t>
            </w:r>
            <w:r>
              <w:rPr>
                <w:rFonts w:hint="eastAsia" w:ascii="Times New Roman" w:hAnsi="Times New Roman" w:cs="Times New Roman"/>
                <w:color w:val="auto"/>
                <w:highlight w:val="none"/>
              </w:rPr>
              <w:t>日最大8小时平均第90百分位数为</w:t>
            </w:r>
            <w:r>
              <w:rPr>
                <w:rFonts w:hint="eastAsia" w:cs="Times New Roman"/>
                <w:color w:val="auto"/>
                <w:highlight w:val="none"/>
                <w:lang w:val="en-US" w:eastAsia="zh-CN"/>
              </w:rPr>
              <w:t>116</w:t>
            </w:r>
            <w:r>
              <w:rPr>
                <w:rFonts w:hint="eastAsia" w:ascii="Times New Roman" w:hAnsi="Times New Roman" w:cs="Times New Roman"/>
                <w:color w:val="auto"/>
                <w:highlight w:val="none"/>
              </w:rPr>
              <w:t>ug/m</w:t>
            </w:r>
            <w:r>
              <w:rPr>
                <w:rFonts w:hint="eastAsia" w:ascii="Times New Roman" w:hAnsi="Times New Roman" w:cs="Times New Roman"/>
                <w:color w:val="auto"/>
                <w:highlight w:val="none"/>
                <w:vertAlign w:val="superscript"/>
              </w:rPr>
              <w:t>3</w:t>
            </w:r>
            <w:r>
              <w:rPr>
                <w:rFonts w:hint="eastAsia" w:ascii="Times New Roman" w:hAnsi="Times New Roman" w:cs="Times New Roman"/>
                <w:color w:val="auto"/>
                <w:highlight w:val="none"/>
              </w:rPr>
              <w:t>；超过《环境空气质量标准》（GB3095-2012）中二级标准限值的污染物为PM</w:t>
            </w:r>
            <w:r>
              <w:rPr>
                <w:rFonts w:hint="eastAsia" w:ascii="Times New Roman" w:hAnsi="Times New Roman" w:cs="Times New Roman"/>
                <w:color w:val="auto"/>
                <w:highlight w:val="none"/>
                <w:vertAlign w:val="subscript"/>
              </w:rPr>
              <w:t>2.5</w:t>
            </w:r>
            <w:r>
              <w:rPr>
                <w:rFonts w:hint="eastAsia" w:ascii="Times New Roman" w:hAnsi="Times New Roman" w:cs="Times New Roman"/>
                <w:color w:val="auto"/>
                <w:highlight w:val="none"/>
              </w:rPr>
              <w:t>，由此判断区域为不达标区</w:t>
            </w:r>
            <w:r>
              <w:rPr>
                <w:rFonts w:hint="eastAsia" w:cs="Times New Roman"/>
                <w:color w:val="auto"/>
                <w:highlight w:val="none"/>
                <w:lang w:eastAsia="zh-CN"/>
              </w:rPr>
              <w:t>，</w:t>
            </w:r>
            <w:r>
              <w:rPr>
                <w:rFonts w:hint="eastAsia" w:ascii="Times New Roman" w:hAnsi="Times New Roman" w:cs="Times New Roman"/>
                <w:color w:val="auto"/>
                <w:highlight w:val="none"/>
              </w:rPr>
              <w:t>项目区域超标原因主要是当地气候条件较差，干旱少雨、多浮尘、大风天气引起的。</w:t>
            </w:r>
          </w:p>
          <w:p>
            <w:pPr>
              <w:spacing w:line="360" w:lineRule="auto"/>
              <w:ind w:left="0" w:leftChars="0" w:firstLine="0" w:firstLineChars="0"/>
              <w:jc w:val="both"/>
              <w:outlineLvl w:val="1"/>
              <w:rPr>
                <w:rFonts w:cs="Times New Roman"/>
                <w:b/>
                <w:bCs/>
                <w:sz w:val="28"/>
                <w:szCs w:val="28"/>
              </w:rPr>
            </w:pPr>
            <w:r>
              <w:rPr>
                <w:rFonts w:hint="eastAsia" w:cs="Times New Roman"/>
                <w:b/>
                <w:bCs/>
                <w:sz w:val="24"/>
                <w:szCs w:val="24"/>
                <w:lang w:val="en-US" w:eastAsia="zh-CN"/>
              </w:rPr>
              <w:t>5、</w:t>
            </w:r>
            <w:r>
              <w:rPr>
                <w:rFonts w:cs="Times New Roman"/>
                <w:b/>
                <w:bCs/>
                <w:sz w:val="24"/>
                <w:szCs w:val="24"/>
              </w:rPr>
              <w:t>水环境质量现状调查与评价</w:t>
            </w:r>
            <w:bookmarkEnd w:id="5"/>
          </w:p>
          <w:p>
            <w:pPr>
              <w:spacing w:line="360" w:lineRule="auto"/>
              <w:ind w:firstLine="480"/>
              <w:jc w:val="both"/>
              <w:rPr>
                <w:rFonts w:cs="Times New Roman"/>
              </w:rPr>
            </w:pPr>
            <w:r>
              <w:rPr>
                <w:rFonts w:hint="default" w:ascii="Times New Roman" w:hAnsi="Times New Roman" w:eastAsia="宋体" w:cs="Times New Roman"/>
                <w:b w:val="0"/>
                <w:bCs w:val="0"/>
                <w:color w:val="auto"/>
                <w:sz w:val="24"/>
                <w:szCs w:val="24"/>
                <w:highlight w:val="none"/>
                <w:vertAlign w:val="baseline"/>
                <w:lang w:val="en-US" w:eastAsia="zh-CN"/>
              </w:rPr>
              <w:t>（</w:t>
            </w:r>
            <w:r>
              <w:rPr>
                <w:rFonts w:hint="default" w:ascii="Times New Roman" w:hAnsi="Times New Roman" w:eastAsia="宋体" w:cs="Times New Roman"/>
                <w:lang w:val="en-US" w:eastAsia="zh-CN"/>
              </w:rPr>
              <w:t>1）地下水</w:t>
            </w:r>
          </w:p>
          <w:p>
            <w:pPr>
              <w:ind w:firstLine="480" w:firstLineChars="200"/>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根据《环境影响评价技术导则地下水环境》（HJ610-2016）附录A，本项目属于“</w:t>
            </w:r>
            <w:r>
              <w:rPr>
                <w:rFonts w:hint="default" w:ascii="Times New Roman" w:hAnsi="Times New Roman" w:eastAsia="宋体" w:cs="Times New Roman"/>
                <w:sz w:val="24"/>
                <w:szCs w:val="24"/>
                <w:highlight w:val="none"/>
              </w:rPr>
              <w:t>A 水利</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rPr>
              <w:t>5、</w:t>
            </w:r>
            <w:r>
              <w:rPr>
                <w:rFonts w:hint="default" w:ascii="Times New Roman" w:hAnsi="Times New Roman" w:cs="Times New Roman"/>
                <w:color w:val="000000" w:themeColor="text1"/>
                <w:highlight w:val="none"/>
                <w:lang w:val="en-US" w:eastAsia="zh-CN"/>
                <w14:textFill>
                  <w14:solidFill>
                    <w14:schemeClr w14:val="tx1"/>
                  </w14:solidFill>
                </w14:textFill>
              </w:rPr>
              <w:t>防洪</w:t>
            </w:r>
            <w:r>
              <w:rPr>
                <w:rFonts w:hint="eastAsia" w:cs="Times New Roman"/>
                <w:color w:val="000000" w:themeColor="text1"/>
                <w:highlight w:val="none"/>
                <w:lang w:val="en-US" w:eastAsia="zh-CN"/>
                <w14:textFill>
                  <w14:solidFill>
                    <w14:schemeClr w14:val="tx1"/>
                  </w14:solidFill>
                </w14:textFill>
              </w:rPr>
              <w:t>除</w:t>
            </w:r>
            <w:r>
              <w:rPr>
                <w:rFonts w:hint="default" w:ascii="Times New Roman" w:hAnsi="Times New Roman" w:cs="Times New Roman"/>
                <w:color w:val="000000" w:themeColor="text1"/>
                <w:highlight w:val="none"/>
                <w:lang w:val="en-US" w:eastAsia="zh-CN"/>
                <w14:textFill>
                  <w14:solidFill>
                    <w14:schemeClr w14:val="tx1"/>
                  </w14:solidFill>
                </w14:textFill>
              </w:rPr>
              <w:t>涝工程</w:t>
            </w:r>
            <w:r>
              <w:rPr>
                <w:rFonts w:hint="default" w:ascii="Times New Roman" w:hAnsi="Times New Roman" w:cs="Times New Roman"/>
                <w:b w:val="0"/>
                <w:bCs/>
                <w:color w:val="000000"/>
                <w:highlight w:val="none"/>
                <w:lang w:val="en-US" w:eastAsia="zh-CN"/>
              </w:rPr>
              <w:t>中的其他</w:t>
            </w:r>
            <w:r>
              <w:rPr>
                <w:rFonts w:hint="default" w:ascii="Times New Roman" w:hAnsi="Times New Roman" w:cs="Times New Roman"/>
                <w:color w:val="000000" w:themeColor="text1"/>
                <w:highlight w:val="none"/>
                <w14:textFill>
                  <w14:solidFill>
                    <w14:schemeClr w14:val="tx1"/>
                  </w14:solidFill>
                </w14:textFill>
              </w:rPr>
              <w:t>”，为IV类建设项目。根据导则，IV类项目可不开展地下水环境影响评价</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因此，本项目不进行地下水现状评价。</w:t>
            </w:r>
          </w:p>
          <w:p>
            <w:pPr>
              <w:spacing w:line="360" w:lineRule="auto"/>
              <w:ind w:firstLine="480"/>
              <w:jc w:val="both"/>
              <w:rPr>
                <w:rFonts w:hint="default" w:cs="Times New Roman"/>
                <w:lang w:val="en-US"/>
              </w:rPr>
            </w:pPr>
            <w:r>
              <w:rPr>
                <w:rFonts w:hint="default" w:ascii="Times New Roman" w:hAnsi="Times New Roman" w:eastAsia="宋体" w:cs="Times New Roman"/>
                <w:b w:val="0"/>
                <w:bCs w:val="0"/>
                <w:color w:val="auto"/>
                <w:sz w:val="24"/>
                <w:szCs w:val="24"/>
                <w:highlight w:val="none"/>
                <w:vertAlign w:val="baseline"/>
                <w:lang w:val="en-US" w:eastAsia="zh-CN"/>
              </w:rPr>
              <w:t>（</w:t>
            </w:r>
            <w:r>
              <w:rPr>
                <w:rFonts w:hint="eastAsia" w:ascii="Times New Roman" w:hAnsi="Times New Roman" w:eastAsia="宋体" w:cs="Times New Roman"/>
                <w:lang w:val="en-US" w:eastAsia="zh-CN"/>
              </w:rPr>
              <w:t>2</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地表水</w:t>
            </w:r>
          </w:p>
          <w:p>
            <w:pPr>
              <w:widowControl/>
              <w:tabs>
                <w:tab w:val="left" w:pos="0"/>
              </w:tabs>
              <w:spacing w:line="360" w:lineRule="auto"/>
              <w:ind w:firstLine="480" w:firstLineChars="200"/>
              <w:rPr>
                <w:rFonts w:hint="default" w:ascii="Times New Roman" w:hAnsi="Times New Roman" w:eastAsia="宋体" w:cs="Times New Roman"/>
                <w:color w:val="000000"/>
                <w:kern w:val="0"/>
                <w:sz w:val="24"/>
                <w:szCs w:val="24"/>
                <w:highlight w:val="none"/>
                <w:lang w:val="en-US" w:eastAsia="zh-CN" w:bidi="ar"/>
              </w:rPr>
            </w:pPr>
            <w:r>
              <w:rPr>
                <w:rFonts w:hint="default" w:ascii="Times New Roman" w:hAnsi="Times New Roman" w:eastAsia="宋体" w:cs="Times New Roman"/>
                <w:color w:val="000000"/>
                <w:kern w:val="0"/>
                <w:sz w:val="24"/>
                <w:szCs w:val="24"/>
                <w:highlight w:val="none"/>
                <w:lang w:val="en-US" w:eastAsia="zh-CN" w:bidi="ar"/>
              </w:rPr>
              <w:t>1）监测地点及时间</w:t>
            </w:r>
          </w:p>
          <w:p>
            <w:pPr>
              <w:widowControl/>
              <w:tabs>
                <w:tab w:val="left" w:pos="0"/>
              </w:tabs>
              <w:spacing w:line="360" w:lineRule="auto"/>
              <w:ind w:firstLine="480" w:firstLineChars="200"/>
              <w:rPr>
                <w:rFonts w:hint="eastAsia" w:cs="Times New Roman"/>
                <w:color w:val="000000"/>
                <w:kern w:val="0"/>
                <w:sz w:val="24"/>
                <w:szCs w:val="24"/>
                <w:highlight w:val="none"/>
                <w:lang w:val="en-US" w:eastAsia="zh-CN" w:bidi="ar"/>
              </w:rPr>
            </w:pPr>
            <w:r>
              <w:rPr>
                <w:rFonts w:hint="eastAsia" w:cs="Times New Roman"/>
                <w:color w:val="000000"/>
                <w:kern w:val="0"/>
                <w:sz w:val="24"/>
                <w:szCs w:val="24"/>
                <w:highlight w:val="none"/>
                <w:lang w:val="en-US" w:eastAsia="zh-CN" w:bidi="ar"/>
              </w:rPr>
              <w:t>本项目地表水监测数据引用《昌吉州水资源管理中心地下水动态水质检测》中“河1白杨河”的地表水监测数据，由新疆维吾尔自治区地质矿产勘查开发局第二水文工程地质大队于</w:t>
            </w:r>
            <w:r>
              <w:rPr>
                <w:rFonts w:hint="default" w:cs="Times New Roman"/>
                <w:color w:val="000000"/>
                <w:kern w:val="0"/>
                <w:sz w:val="24"/>
                <w:szCs w:val="24"/>
                <w:highlight w:val="none"/>
                <w:lang w:val="en-US" w:eastAsia="zh-CN" w:bidi="ar"/>
              </w:rPr>
              <w:t>202</w:t>
            </w:r>
            <w:r>
              <w:rPr>
                <w:rFonts w:hint="eastAsia" w:cs="Times New Roman"/>
                <w:color w:val="000000"/>
                <w:kern w:val="0"/>
                <w:sz w:val="24"/>
                <w:szCs w:val="24"/>
                <w:highlight w:val="none"/>
                <w:lang w:val="en-US" w:eastAsia="zh-CN" w:bidi="ar"/>
              </w:rPr>
              <w:t>3</w:t>
            </w:r>
            <w:r>
              <w:rPr>
                <w:rFonts w:hint="default" w:cs="Times New Roman"/>
                <w:color w:val="000000"/>
                <w:kern w:val="0"/>
                <w:sz w:val="24"/>
                <w:szCs w:val="24"/>
                <w:highlight w:val="none"/>
                <w:lang w:val="en-US" w:eastAsia="zh-CN" w:bidi="ar"/>
              </w:rPr>
              <w:t>年</w:t>
            </w:r>
            <w:r>
              <w:rPr>
                <w:rFonts w:hint="eastAsia" w:cs="Times New Roman"/>
                <w:color w:val="000000"/>
                <w:kern w:val="0"/>
                <w:sz w:val="24"/>
                <w:szCs w:val="24"/>
                <w:highlight w:val="none"/>
                <w:lang w:val="en-US" w:eastAsia="zh-CN" w:bidi="ar"/>
              </w:rPr>
              <w:t>9</w:t>
            </w:r>
            <w:r>
              <w:rPr>
                <w:rFonts w:hint="default" w:cs="Times New Roman"/>
                <w:color w:val="000000"/>
                <w:kern w:val="0"/>
                <w:sz w:val="24"/>
                <w:szCs w:val="24"/>
                <w:highlight w:val="none"/>
                <w:lang w:val="en-US" w:eastAsia="zh-CN" w:bidi="ar"/>
              </w:rPr>
              <w:t>月</w:t>
            </w:r>
            <w:r>
              <w:rPr>
                <w:rFonts w:hint="eastAsia" w:cs="Times New Roman"/>
                <w:color w:val="000000"/>
                <w:kern w:val="0"/>
                <w:sz w:val="24"/>
                <w:szCs w:val="24"/>
                <w:highlight w:val="none"/>
                <w:lang w:val="en-US" w:eastAsia="zh-CN" w:bidi="ar"/>
              </w:rPr>
              <w:t>15日-26日进行的监测，此监测点位于白杨河水库</w:t>
            </w:r>
            <w:r>
              <w:rPr>
                <w:rFonts w:hint="default" w:cs="Times New Roman"/>
                <w:color w:val="000000"/>
                <w:kern w:val="0"/>
                <w:sz w:val="24"/>
                <w:szCs w:val="24"/>
                <w:highlight w:val="none"/>
                <w:lang w:val="en-US" w:eastAsia="zh-CN" w:bidi="ar"/>
              </w:rPr>
              <w:t>（</w:t>
            </w:r>
            <w:r>
              <w:rPr>
                <w:rFonts w:hint="default" w:ascii="Times New Roman" w:hAnsi="Times New Roman" w:eastAsia="宋体" w:cs="Times New Roman"/>
                <w:sz w:val="24"/>
                <w:szCs w:val="24"/>
                <w:highlight w:val="none"/>
                <w:lang w:eastAsia="zh-CN"/>
              </w:rPr>
              <w:t>东经：</w:t>
            </w:r>
            <w:r>
              <w:rPr>
                <w:rFonts w:hint="eastAsia" w:ascii="Times New Roman" w:hAnsi="Times New Roman" w:eastAsia="宋体" w:cs="Times New Roman"/>
                <w:sz w:val="24"/>
                <w:szCs w:val="24"/>
                <w:highlight w:val="none"/>
                <w:lang w:val="en-US" w:eastAsia="zh-CN"/>
              </w:rPr>
              <w:t>89</w:t>
            </w:r>
            <w:r>
              <w:rPr>
                <w:rFonts w:hint="default" w:ascii="Times New Roman" w:hAnsi="Times New Roman" w:eastAsia="宋体" w:cs="Times New Roman"/>
                <w:sz w:val="24"/>
                <w:szCs w:val="24"/>
                <w:highlight w:val="none"/>
                <w:lang w:val="en-US" w:eastAsia="zh-CN"/>
              </w:rPr>
              <w:t>°</w:t>
            </w:r>
            <w:r>
              <w:rPr>
                <w:rFonts w:hint="eastAsia" w:ascii="Times New Roman" w:hAnsi="Times New Roman" w:eastAsia="宋体" w:cs="Times New Roman"/>
                <w:sz w:val="24"/>
                <w:szCs w:val="24"/>
                <w:highlight w:val="none"/>
                <w:lang w:val="en-US" w:eastAsia="zh-CN"/>
              </w:rPr>
              <w:t>1</w:t>
            </w:r>
            <w:r>
              <w:rPr>
                <w:rFonts w:hint="eastAsia" w:cs="Times New Roman"/>
                <w:sz w:val="24"/>
                <w:szCs w:val="24"/>
                <w:highlight w:val="none"/>
                <w:lang w:val="en-US" w:eastAsia="zh-CN"/>
              </w:rPr>
              <w:t>5</w:t>
            </w:r>
            <w:r>
              <w:rPr>
                <w:rFonts w:hint="default" w:ascii="Times New Roman" w:hAnsi="Times New Roman" w:eastAsia="宋体" w:cs="Times New Roman"/>
                <w:sz w:val="24"/>
                <w:szCs w:val="24"/>
                <w:highlight w:val="none"/>
                <w:lang w:val="en-US" w:eastAsia="zh-CN"/>
              </w:rPr>
              <w:t>′</w:t>
            </w:r>
            <w:r>
              <w:rPr>
                <w:rFonts w:hint="eastAsia" w:cs="Times New Roman"/>
                <w:sz w:val="24"/>
                <w:szCs w:val="24"/>
                <w:highlight w:val="none"/>
                <w:lang w:val="en-US" w:eastAsia="zh-CN"/>
              </w:rPr>
              <w:t>1</w:t>
            </w:r>
            <w:r>
              <w:rPr>
                <w:rFonts w:hint="eastAsia" w:ascii="Times New Roman" w:hAnsi="Times New Roman" w:eastAsia="宋体" w:cs="Times New Roman"/>
                <w:sz w:val="24"/>
                <w:szCs w:val="24"/>
                <w:highlight w:val="none"/>
                <w:lang w:val="en-US" w:eastAsia="zh-CN"/>
              </w:rPr>
              <w:t>3.</w:t>
            </w:r>
            <w:r>
              <w:rPr>
                <w:rFonts w:hint="eastAsia" w:cs="Times New Roman"/>
                <w:sz w:val="24"/>
                <w:szCs w:val="24"/>
                <w:highlight w:val="none"/>
                <w:lang w:val="en-US" w:eastAsia="zh-CN"/>
              </w:rPr>
              <w:t>810</w:t>
            </w:r>
            <w:r>
              <w:rPr>
                <w:rFonts w:hint="default" w:ascii="Times New Roman" w:hAnsi="Times New Roman" w:eastAsia="宋体" w:cs="Times New Roman"/>
                <w:sz w:val="24"/>
                <w:szCs w:val="24"/>
                <w:highlight w:val="none"/>
                <w:lang w:val="en-US" w:eastAsia="zh-CN"/>
              </w:rPr>
              <w:t>″，北纬</w:t>
            </w:r>
            <w:r>
              <w:rPr>
                <w:rFonts w:hint="eastAsia" w:ascii="Times New Roman" w:hAnsi="Times New Roman" w:eastAsia="宋体" w:cs="Times New Roman"/>
                <w:sz w:val="24"/>
                <w:szCs w:val="24"/>
                <w:highlight w:val="none"/>
                <w:lang w:val="en-US" w:eastAsia="zh-CN"/>
              </w:rPr>
              <w:t>：43</w:t>
            </w:r>
            <w:r>
              <w:rPr>
                <w:rFonts w:hint="default" w:ascii="Times New Roman" w:hAnsi="Times New Roman" w:eastAsia="宋体" w:cs="Times New Roman"/>
                <w:sz w:val="24"/>
                <w:szCs w:val="24"/>
                <w:highlight w:val="none"/>
                <w:lang w:val="en-US" w:eastAsia="zh-CN"/>
              </w:rPr>
              <w:t>°</w:t>
            </w:r>
            <w:r>
              <w:rPr>
                <w:rFonts w:hint="eastAsia" w:ascii="Times New Roman" w:hAnsi="Times New Roman" w:eastAsia="宋体" w:cs="Times New Roman"/>
                <w:sz w:val="24"/>
                <w:szCs w:val="24"/>
                <w:highlight w:val="none"/>
                <w:lang w:val="en-US" w:eastAsia="zh-CN"/>
              </w:rPr>
              <w:t>4</w:t>
            </w:r>
            <w:r>
              <w:rPr>
                <w:rFonts w:hint="eastAsia" w:cs="Times New Roman"/>
                <w:sz w:val="24"/>
                <w:szCs w:val="24"/>
                <w:highlight w:val="none"/>
                <w:lang w:val="en-US" w:eastAsia="zh-CN"/>
              </w:rPr>
              <w:t>5</w:t>
            </w:r>
            <w:r>
              <w:rPr>
                <w:rFonts w:hint="default" w:ascii="Times New Roman" w:hAnsi="Times New Roman" w:eastAsia="宋体" w:cs="Times New Roman"/>
                <w:sz w:val="24"/>
                <w:szCs w:val="24"/>
                <w:highlight w:val="none"/>
                <w:lang w:val="en-US" w:eastAsia="zh-CN"/>
              </w:rPr>
              <w:t>′</w:t>
            </w:r>
            <w:r>
              <w:rPr>
                <w:rFonts w:hint="eastAsia" w:cs="Times New Roman"/>
                <w:sz w:val="24"/>
                <w:szCs w:val="24"/>
                <w:highlight w:val="none"/>
                <w:lang w:val="en-US" w:eastAsia="zh-CN"/>
              </w:rPr>
              <w:t>20</w:t>
            </w:r>
            <w:r>
              <w:rPr>
                <w:rFonts w:hint="eastAsia" w:ascii="Times New Roman" w:hAnsi="Times New Roman" w:eastAsia="宋体" w:cs="Times New Roman"/>
                <w:sz w:val="24"/>
                <w:szCs w:val="24"/>
                <w:highlight w:val="none"/>
                <w:lang w:val="en-US" w:eastAsia="zh-CN"/>
              </w:rPr>
              <w:t>.</w:t>
            </w:r>
            <w:r>
              <w:rPr>
                <w:rFonts w:hint="eastAsia" w:cs="Times New Roman"/>
                <w:sz w:val="24"/>
                <w:szCs w:val="24"/>
                <w:highlight w:val="none"/>
                <w:lang w:val="en-US" w:eastAsia="zh-CN"/>
              </w:rPr>
              <w:t>280</w:t>
            </w:r>
            <w:r>
              <w:rPr>
                <w:rFonts w:hint="default" w:ascii="Times New Roman" w:hAnsi="Times New Roman" w:eastAsia="宋体" w:cs="Times New Roman"/>
                <w:sz w:val="24"/>
                <w:szCs w:val="24"/>
                <w:highlight w:val="none"/>
                <w:lang w:val="en-US" w:eastAsia="zh-CN"/>
              </w:rPr>
              <w:t>″）</w:t>
            </w:r>
            <w:r>
              <w:rPr>
                <w:rFonts w:hint="eastAsia" w:cs="Times New Roman"/>
                <w:color w:val="000000"/>
                <w:kern w:val="0"/>
                <w:sz w:val="24"/>
                <w:szCs w:val="24"/>
                <w:highlight w:val="none"/>
                <w:lang w:val="en-US" w:eastAsia="zh-CN" w:bidi="ar"/>
              </w:rPr>
              <w:t>，</w:t>
            </w:r>
          </w:p>
          <w:p>
            <w:pPr>
              <w:widowControl/>
              <w:tabs>
                <w:tab w:val="left" w:pos="0"/>
              </w:tabs>
              <w:spacing w:line="360" w:lineRule="auto"/>
              <w:ind w:left="0" w:leftChars="0" w:firstLine="0" w:firstLineChars="0"/>
              <w:rPr>
                <w:rFonts w:hint="default" w:ascii="Times New Roman" w:hAnsi="Times New Roman" w:eastAsia="宋体" w:cs="Times New Roman"/>
                <w:color w:val="000000"/>
                <w:kern w:val="0"/>
                <w:sz w:val="24"/>
                <w:szCs w:val="24"/>
                <w:highlight w:val="yellow"/>
                <w:lang w:val="en-US" w:eastAsia="zh-CN" w:bidi="ar"/>
              </w:rPr>
            </w:pPr>
            <w:r>
              <w:rPr>
                <w:rFonts w:hint="eastAsia" w:cs="Times New Roman"/>
                <w:color w:val="000000"/>
                <w:kern w:val="0"/>
                <w:sz w:val="24"/>
                <w:szCs w:val="24"/>
                <w:highlight w:val="none"/>
                <w:lang w:val="en-US" w:eastAsia="zh-CN" w:bidi="ar"/>
              </w:rPr>
              <w:t>位于</w:t>
            </w:r>
            <w:r>
              <w:rPr>
                <w:rFonts w:hint="eastAsia"/>
                <w:snapToGrid w:val="0"/>
                <w:color w:val="000000"/>
                <w:kern w:val="0"/>
                <w:szCs w:val="20"/>
                <w:highlight w:val="none"/>
              </w:rPr>
              <w:t>五圣</w:t>
            </w:r>
            <w:r>
              <w:rPr>
                <w:rFonts w:hint="default" w:ascii="Times New Roman" w:hAnsi="Times New Roman" w:eastAsia="宋体" w:cs="Times New Roman"/>
                <w:sz w:val="24"/>
                <w:szCs w:val="24"/>
                <w:highlight w:val="none"/>
                <w:lang w:eastAsia="zh-CN"/>
              </w:rPr>
              <w:t>宫水文站段</w:t>
            </w:r>
            <w:r>
              <w:rPr>
                <w:rFonts w:hint="default" w:ascii="Times New Roman" w:hAnsi="Times New Roman" w:eastAsia="宋体" w:cs="Times New Roman"/>
                <w:sz w:val="24"/>
                <w:szCs w:val="24"/>
                <w:highlight w:val="none"/>
                <w:lang w:val="en-US" w:eastAsia="zh-CN"/>
              </w:rPr>
              <w:t>终点</w:t>
            </w:r>
            <w:r>
              <w:rPr>
                <w:rFonts w:hint="eastAsia" w:cs="Times New Roman"/>
                <w:sz w:val="24"/>
                <w:szCs w:val="24"/>
                <w:highlight w:val="none"/>
                <w:lang w:val="en-US" w:eastAsia="zh-CN"/>
              </w:rPr>
              <w:t>北侧1.12km处，</w:t>
            </w:r>
            <w:r>
              <w:rPr>
                <w:rFonts w:hint="default" w:ascii="Times New Roman" w:hAnsi="Times New Roman" w:eastAsia="宋体" w:cs="Times New Roman"/>
                <w:color w:val="000000"/>
                <w:kern w:val="0"/>
                <w:sz w:val="24"/>
                <w:szCs w:val="24"/>
                <w:highlight w:val="none"/>
                <w:lang w:val="en-US" w:eastAsia="zh-CN" w:bidi="ar"/>
              </w:rPr>
              <w:t>本次引用的监测数据符合监测数据引用的时效性。</w:t>
            </w:r>
          </w:p>
          <w:p>
            <w:pPr>
              <w:widowControl/>
              <w:tabs>
                <w:tab w:val="left" w:pos="0"/>
              </w:tabs>
              <w:spacing w:line="360" w:lineRule="auto"/>
              <w:ind w:firstLine="480" w:firstLineChars="200"/>
              <w:rPr>
                <w:rFonts w:hint="default" w:ascii="Times New Roman" w:hAnsi="Times New Roman" w:eastAsia="宋体" w:cs="Times New Roman"/>
                <w:color w:val="000000"/>
                <w:kern w:val="0"/>
                <w:sz w:val="24"/>
                <w:szCs w:val="24"/>
                <w:highlight w:val="none"/>
                <w:lang w:val="en-US" w:eastAsia="zh-CN" w:bidi="ar"/>
              </w:rPr>
            </w:pPr>
            <w:r>
              <w:rPr>
                <w:rFonts w:hint="default" w:ascii="Times New Roman" w:hAnsi="Times New Roman" w:eastAsia="宋体" w:cs="Times New Roman"/>
                <w:color w:val="000000"/>
                <w:kern w:val="0"/>
                <w:sz w:val="24"/>
                <w:szCs w:val="24"/>
                <w:highlight w:val="none"/>
                <w:lang w:val="en-US" w:eastAsia="zh-CN" w:bidi="ar"/>
              </w:rPr>
              <w:t>2）监测指标</w:t>
            </w:r>
          </w:p>
          <w:p>
            <w:pPr>
              <w:widowControl/>
              <w:tabs>
                <w:tab w:val="left" w:pos="0"/>
              </w:tabs>
              <w:spacing w:line="360" w:lineRule="auto"/>
              <w:ind w:firstLine="480" w:firstLineChars="200"/>
              <w:rPr>
                <w:rFonts w:hint="default" w:ascii="Times New Roman" w:hAnsi="Times New Roman" w:eastAsia="宋体" w:cs="Times New Roman"/>
                <w:color w:val="000000"/>
                <w:kern w:val="0"/>
                <w:sz w:val="24"/>
                <w:szCs w:val="24"/>
                <w:highlight w:val="yellow"/>
                <w:lang w:val="en-US" w:eastAsia="zh-CN" w:bidi="ar"/>
              </w:rPr>
            </w:pPr>
            <w:r>
              <w:rPr>
                <w:rFonts w:hint="default" w:ascii="Times New Roman" w:hAnsi="Times New Roman" w:eastAsia="宋体" w:cs="Times New Roman"/>
                <w:b w:val="0"/>
                <w:bCs/>
                <w:sz w:val="24"/>
                <w:szCs w:val="24"/>
                <w:highlight w:val="none"/>
                <w:lang w:val="en-US" w:eastAsia="zh-CN"/>
              </w:rPr>
              <w:t>pH</w:t>
            </w:r>
            <w:r>
              <w:rPr>
                <w:rFonts w:hint="default" w:ascii="Times New Roman" w:hAnsi="Times New Roman" w:cs="Times New Roman"/>
                <w:b w:val="0"/>
                <w:bCs/>
                <w:sz w:val="24"/>
                <w:szCs w:val="24"/>
                <w:highlight w:val="none"/>
                <w:lang w:val="en-US" w:eastAsia="zh-CN"/>
              </w:rPr>
              <w:t>、</w:t>
            </w:r>
            <w:r>
              <w:rPr>
                <w:rFonts w:hint="default" w:ascii="Times New Roman" w:hAnsi="Times New Roman" w:eastAsia="宋体" w:cs="Times New Roman"/>
                <w:b w:val="0"/>
                <w:bCs/>
                <w:sz w:val="24"/>
                <w:szCs w:val="24"/>
                <w:highlight w:val="none"/>
                <w:lang w:val="en-US" w:eastAsia="zh-CN"/>
              </w:rPr>
              <w:t>溶解氧</w:t>
            </w:r>
            <w:r>
              <w:rPr>
                <w:rFonts w:hint="default" w:ascii="Times New Roman" w:hAnsi="Times New Roman" w:cs="Times New Roman"/>
                <w:b w:val="0"/>
                <w:bCs/>
                <w:sz w:val="24"/>
                <w:szCs w:val="24"/>
                <w:highlight w:val="none"/>
                <w:lang w:val="en-US" w:eastAsia="zh-CN"/>
              </w:rPr>
              <w:t>、</w:t>
            </w:r>
            <w:r>
              <w:rPr>
                <w:rFonts w:hint="default" w:ascii="Times New Roman" w:hAnsi="Times New Roman" w:eastAsia="宋体" w:cs="Times New Roman"/>
                <w:b w:val="0"/>
                <w:bCs/>
                <w:sz w:val="24"/>
                <w:szCs w:val="24"/>
                <w:highlight w:val="none"/>
                <w:lang w:val="en-US" w:eastAsia="zh-CN"/>
              </w:rPr>
              <w:t>氨氮（以N计）</w:t>
            </w:r>
            <w:r>
              <w:rPr>
                <w:rFonts w:hint="default" w:ascii="Times New Roman" w:hAnsi="Times New Roman" w:cs="Times New Roman"/>
                <w:b w:val="0"/>
                <w:bCs/>
                <w:sz w:val="24"/>
                <w:szCs w:val="24"/>
                <w:highlight w:val="none"/>
                <w:lang w:val="en-US" w:eastAsia="zh-CN"/>
              </w:rPr>
              <w:t>、</w:t>
            </w:r>
            <w:r>
              <w:rPr>
                <w:rFonts w:hint="default" w:ascii="Times New Roman" w:hAnsi="Times New Roman" w:eastAsia="宋体" w:cs="Times New Roman"/>
                <w:b w:val="0"/>
                <w:bCs/>
                <w:sz w:val="24"/>
                <w:szCs w:val="24"/>
                <w:highlight w:val="none"/>
                <w:lang w:val="en-US" w:eastAsia="zh-CN"/>
              </w:rPr>
              <w:t>硝酸盐（以N计）</w:t>
            </w:r>
            <w:r>
              <w:rPr>
                <w:rFonts w:hint="default" w:ascii="Times New Roman" w:hAnsi="Times New Roman" w:cs="Times New Roman"/>
                <w:b w:val="0"/>
                <w:bCs/>
                <w:sz w:val="24"/>
                <w:szCs w:val="24"/>
                <w:highlight w:val="none"/>
                <w:lang w:val="en-US" w:eastAsia="zh-CN"/>
              </w:rPr>
              <w:t>、</w:t>
            </w:r>
            <w:r>
              <w:rPr>
                <w:rFonts w:hint="default" w:ascii="Times New Roman" w:hAnsi="Times New Roman" w:eastAsia="宋体" w:cs="Times New Roman"/>
                <w:b w:val="0"/>
                <w:bCs/>
                <w:sz w:val="24"/>
                <w:szCs w:val="24"/>
                <w:highlight w:val="none"/>
                <w:lang w:val="en-US" w:eastAsia="zh-CN"/>
              </w:rPr>
              <w:t>高锰酸盐指数</w:t>
            </w:r>
            <w:r>
              <w:rPr>
                <w:rFonts w:hint="default" w:ascii="Times New Roman" w:hAnsi="Times New Roman" w:cs="Times New Roman"/>
                <w:b w:val="0"/>
                <w:bCs/>
                <w:sz w:val="24"/>
                <w:szCs w:val="24"/>
                <w:highlight w:val="none"/>
                <w:lang w:val="en-US" w:eastAsia="zh-CN"/>
              </w:rPr>
              <w:t>、</w:t>
            </w:r>
            <w:r>
              <w:rPr>
                <w:rFonts w:hint="default" w:ascii="Times New Roman" w:hAnsi="Times New Roman" w:eastAsia="宋体" w:cs="Times New Roman"/>
                <w:b w:val="0"/>
                <w:bCs/>
                <w:sz w:val="24"/>
                <w:szCs w:val="24"/>
                <w:highlight w:val="none"/>
                <w:lang w:val="en-US" w:eastAsia="zh-CN"/>
              </w:rPr>
              <w:t>氟化物</w:t>
            </w:r>
            <w:r>
              <w:rPr>
                <w:rFonts w:hint="default" w:ascii="Times New Roman" w:hAnsi="Times New Roman" w:cs="Times New Roman"/>
                <w:b w:val="0"/>
                <w:bCs/>
                <w:sz w:val="24"/>
                <w:szCs w:val="24"/>
                <w:highlight w:val="none"/>
                <w:lang w:val="en-US" w:eastAsia="zh-CN"/>
              </w:rPr>
              <w:t>、</w:t>
            </w:r>
            <w:r>
              <w:rPr>
                <w:rFonts w:hint="default" w:ascii="Times New Roman" w:hAnsi="Times New Roman" w:eastAsia="宋体" w:cs="Times New Roman"/>
                <w:b w:val="0"/>
                <w:bCs/>
                <w:sz w:val="24"/>
                <w:szCs w:val="24"/>
                <w:highlight w:val="none"/>
                <w:lang w:val="en-US" w:eastAsia="zh-CN"/>
              </w:rPr>
              <w:t>砷</w:t>
            </w:r>
            <w:r>
              <w:rPr>
                <w:rFonts w:hint="default" w:ascii="Times New Roman" w:hAnsi="Times New Roman" w:cs="Times New Roman"/>
                <w:b w:val="0"/>
                <w:bCs/>
                <w:sz w:val="24"/>
                <w:szCs w:val="24"/>
                <w:highlight w:val="none"/>
                <w:lang w:val="en-US" w:eastAsia="zh-CN"/>
              </w:rPr>
              <w:t>、</w:t>
            </w:r>
            <w:r>
              <w:rPr>
                <w:rFonts w:hint="default" w:ascii="Times New Roman" w:hAnsi="Times New Roman" w:eastAsia="宋体" w:cs="Times New Roman"/>
                <w:b w:val="0"/>
                <w:bCs/>
                <w:sz w:val="24"/>
                <w:szCs w:val="24"/>
                <w:highlight w:val="none"/>
                <w:lang w:val="en-US" w:eastAsia="zh-CN"/>
              </w:rPr>
              <w:t>汞</w:t>
            </w:r>
            <w:r>
              <w:rPr>
                <w:rFonts w:hint="default" w:ascii="Times New Roman" w:hAnsi="Times New Roman" w:cs="Times New Roman"/>
                <w:b w:val="0"/>
                <w:bCs/>
                <w:sz w:val="24"/>
                <w:szCs w:val="24"/>
                <w:highlight w:val="none"/>
                <w:lang w:val="en-US" w:eastAsia="zh-CN"/>
              </w:rPr>
              <w:t>、</w:t>
            </w:r>
            <w:r>
              <w:rPr>
                <w:rFonts w:hint="default" w:ascii="Times New Roman" w:hAnsi="Times New Roman" w:eastAsia="宋体" w:cs="Times New Roman"/>
                <w:b w:val="0"/>
                <w:bCs/>
                <w:sz w:val="24"/>
                <w:szCs w:val="24"/>
                <w:highlight w:val="none"/>
                <w:lang w:val="en-US" w:eastAsia="zh-CN"/>
              </w:rPr>
              <w:t>镉</w:t>
            </w:r>
            <w:r>
              <w:rPr>
                <w:rFonts w:hint="default" w:ascii="Times New Roman" w:hAnsi="Times New Roman" w:cs="Times New Roman"/>
                <w:b w:val="0"/>
                <w:bCs/>
                <w:sz w:val="24"/>
                <w:szCs w:val="24"/>
                <w:highlight w:val="none"/>
                <w:lang w:val="en-US" w:eastAsia="zh-CN"/>
              </w:rPr>
              <w:t>、</w:t>
            </w:r>
            <w:r>
              <w:rPr>
                <w:rFonts w:hint="default" w:ascii="Times New Roman" w:hAnsi="Times New Roman" w:eastAsia="宋体" w:cs="Times New Roman"/>
                <w:b w:val="0"/>
                <w:bCs/>
                <w:sz w:val="24"/>
                <w:szCs w:val="24"/>
                <w:highlight w:val="none"/>
                <w:lang w:val="en-US" w:eastAsia="zh-CN"/>
              </w:rPr>
              <w:t>六价铬</w:t>
            </w:r>
            <w:r>
              <w:rPr>
                <w:rFonts w:hint="default" w:ascii="Times New Roman" w:hAnsi="Times New Roman" w:cs="Times New Roman"/>
                <w:b w:val="0"/>
                <w:bCs/>
                <w:sz w:val="24"/>
                <w:szCs w:val="24"/>
                <w:highlight w:val="none"/>
                <w:lang w:val="en-US" w:eastAsia="zh-CN"/>
              </w:rPr>
              <w:t>、</w:t>
            </w:r>
            <w:r>
              <w:rPr>
                <w:rFonts w:hint="default" w:ascii="Times New Roman" w:hAnsi="Times New Roman" w:eastAsia="宋体" w:cs="Times New Roman"/>
                <w:b w:val="0"/>
                <w:bCs/>
                <w:sz w:val="24"/>
                <w:szCs w:val="24"/>
                <w:highlight w:val="none"/>
                <w:lang w:val="en-US" w:eastAsia="zh-CN"/>
              </w:rPr>
              <w:t>铅</w:t>
            </w:r>
            <w:r>
              <w:rPr>
                <w:rFonts w:hint="default" w:ascii="Times New Roman" w:hAnsi="Times New Roman" w:cs="Times New Roman"/>
                <w:b w:val="0"/>
                <w:bCs/>
                <w:sz w:val="24"/>
                <w:szCs w:val="24"/>
                <w:highlight w:val="none"/>
                <w:lang w:val="en-US" w:eastAsia="zh-CN"/>
              </w:rPr>
              <w:t>、</w:t>
            </w:r>
            <w:r>
              <w:rPr>
                <w:rFonts w:hint="default" w:ascii="Times New Roman" w:hAnsi="Times New Roman" w:eastAsia="宋体" w:cs="Times New Roman"/>
                <w:b w:val="0"/>
                <w:bCs/>
                <w:sz w:val="24"/>
                <w:szCs w:val="24"/>
                <w:highlight w:val="none"/>
                <w:lang w:val="en-US" w:eastAsia="zh-CN"/>
              </w:rPr>
              <w:t>氰化物</w:t>
            </w:r>
            <w:r>
              <w:rPr>
                <w:rFonts w:hint="default" w:ascii="Times New Roman" w:hAnsi="Times New Roman" w:cs="Times New Roman"/>
                <w:b w:val="0"/>
                <w:bCs/>
                <w:sz w:val="24"/>
                <w:szCs w:val="24"/>
                <w:highlight w:val="none"/>
                <w:lang w:val="en-US" w:eastAsia="zh-CN"/>
              </w:rPr>
              <w:t>、</w:t>
            </w:r>
            <w:r>
              <w:rPr>
                <w:rFonts w:hint="default" w:ascii="Times New Roman" w:hAnsi="Times New Roman" w:eastAsia="宋体" w:cs="Times New Roman"/>
                <w:b w:val="0"/>
                <w:bCs/>
                <w:sz w:val="24"/>
                <w:szCs w:val="24"/>
                <w:highlight w:val="none"/>
                <w:lang w:val="en-US" w:eastAsia="zh-CN"/>
              </w:rPr>
              <w:t>挥发酚类（以苯酚计）</w:t>
            </w:r>
            <w:r>
              <w:rPr>
                <w:rFonts w:hint="default" w:ascii="Times New Roman" w:hAnsi="Times New Roman" w:cs="Times New Roman"/>
                <w:b w:val="0"/>
                <w:bCs/>
                <w:sz w:val="24"/>
                <w:szCs w:val="24"/>
                <w:highlight w:val="none"/>
                <w:lang w:val="en-US" w:eastAsia="zh-CN"/>
              </w:rPr>
              <w:t>、</w:t>
            </w:r>
            <w:r>
              <w:rPr>
                <w:rFonts w:hint="default" w:ascii="Times New Roman" w:hAnsi="Times New Roman" w:eastAsia="宋体" w:cs="Times New Roman"/>
                <w:b w:val="0"/>
                <w:bCs/>
                <w:sz w:val="24"/>
                <w:szCs w:val="24"/>
                <w:highlight w:val="none"/>
                <w:lang w:val="en-US" w:eastAsia="zh-CN"/>
              </w:rPr>
              <w:t>硫酸盐</w:t>
            </w:r>
            <w:r>
              <w:rPr>
                <w:rFonts w:hint="default" w:ascii="Times New Roman" w:hAnsi="Times New Roman" w:cs="Times New Roman"/>
                <w:b w:val="0"/>
                <w:bCs/>
                <w:sz w:val="24"/>
                <w:szCs w:val="24"/>
                <w:highlight w:val="none"/>
                <w:lang w:val="en-US" w:eastAsia="zh-CN"/>
              </w:rPr>
              <w:t>、</w:t>
            </w:r>
            <w:r>
              <w:rPr>
                <w:rFonts w:hint="default" w:ascii="Times New Roman" w:hAnsi="Times New Roman" w:eastAsia="宋体" w:cs="Times New Roman"/>
                <w:b w:val="0"/>
                <w:bCs/>
                <w:sz w:val="24"/>
                <w:szCs w:val="24"/>
                <w:highlight w:val="none"/>
                <w:lang w:val="en-US" w:eastAsia="zh-CN"/>
              </w:rPr>
              <w:t>氯化物</w:t>
            </w:r>
            <w:r>
              <w:rPr>
                <w:rFonts w:hint="default" w:ascii="Times New Roman" w:hAnsi="Times New Roman" w:cs="Times New Roman"/>
                <w:b w:val="0"/>
                <w:bCs/>
                <w:sz w:val="24"/>
                <w:szCs w:val="24"/>
                <w:highlight w:val="none"/>
                <w:lang w:val="en-US" w:eastAsia="zh-CN"/>
              </w:rPr>
              <w:t>、</w:t>
            </w:r>
            <w:r>
              <w:rPr>
                <w:rFonts w:hint="default" w:ascii="Times New Roman" w:hAnsi="Times New Roman" w:eastAsia="宋体" w:cs="Times New Roman"/>
                <w:b w:val="0"/>
                <w:bCs/>
                <w:sz w:val="24"/>
                <w:szCs w:val="24"/>
                <w:highlight w:val="none"/>
                <w:lang w:val="en-US" w:eastAsia="zh-CN"/>
              </w:rPr>
              <w:t>阴离子表面活性剂</w:t>
            </w:r>
            <w:r>
              <w:rPr>
                <w:rFonts w:hint="default" w:ascii="Times New Roman" w:hAnsi="Times New Roman" w:cs="Times New Roman"/>
                <w:b w:val="0"/>
                <w:bCs/>
                <w:sz w:val="24"/>
                <w:szCs w:val="24"/>
                <w:highlight w:val="none"/>
                <w:lang w:val="en-US" w:eastAsia="zh-CN"/>
              </w:rPr>
              <w:t>、</w:t>
            </w:r>
            <w:r>
              <w:rPr>
                <w:rFonts w:hint="default" w:ascii="Times New Roman" w:hAnsi="Times New Roman" w:eastAsia="宋体" w:cs="Times New Roman"/>
                <w:b w:val="0"/>
                <w:bCs/>
                <w:sz w:val="24"/>
                <w:szCs w:val="24"/>
                <w:highlight w:val="none"/>
                <w:lang w:val="en-US" w:eastAsia="zh-CN"/>
              </w:rPr>
              <w:t>铜</w:t>
            </w:r>
            <w:r>
              <w:rPr>
                <w:rFonts w:hint="default" w:ascii="Times New Roman" w:hAnsi="Times New Roman" w:eastAsia="宋体" w:cs="Times New Roman"/>
                <w:color w:val="000000"/>
                <w:kern w:val="0"/>
                <w:sz w:val="24"/>
                <w:szCs w:val="24"/>
                <w:highlight w:val="none"/>
                <w:lang w:val="en-US" w:eastAsia="zh-CN" w:bidi="ar"/>
              </w:rPr>
              <w:t>、锌、硒</w:t>
            </w:r>
            <w:r>
              <w:rPr>
                <w:rFonts w:hint="eastAsia" w:ascii="Times New Roman" w:hAnsi="Times New Roman" w:cs="Times New Roman"/>
                <w:color w:val="000000"/>
                <w:kern w:val="0"/>
                <w:sz w:val="24"/>
                <w:szCs w:val="24"/>
                <w:highlight w:val="none"/>
                <w:lang w:val="en-US" w:eastAsia="zh-CN" w:bidi="ar"/>
              </w:rPr>
              <w:t>。</w:t>
            </w:r>
          </w:p>
          <w:p>
            <w:pPr>
              <w:tabs>
                <w:tab w:val="left" w:pos="1100"/>
              </w:tabs>
              <w:spacing w:line="360" w:lineRule="auto"/>
              <w:ind w:left="0" w:leftChars="0" w:firstLine="480" w:firstLineChars="200"/>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000000"/>
                <w:kern w:val="0"/>
                <w:sz w:val="24"/>
                <w:szCs w:val="24"/>
                <w:highlight w:val="none"/>
                <w:lang w:val="en-US" w:eastAsia="zh-CN" w:bidi="ar"/>
              </w:rPr>
              <w:t>3</w:t>
            </w:r>
            <w:r>
              <w:rPr>
                <w:rFonts w:hint="default" w:ascii="Times New Roman" w:hAnsi="Times New Roman" w:eastAsia="宋体" w:cs="Times New Roman"/>
                <w:color w:val="000000"/>
                <w:kern w:val="0"/>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SA"/>
              </w:rPr>
              <w:t>采样、</w:t>
            </w:r>
            <w:r>
              <w:rPr>
                <w:rFonts w:hint="eastAsia" w:ascii="Times New Roman" w:hAnsi="Times New Roman" w:eastAsia="宋体" w:cs="Times New Roman"/>
                <w:color w:val="auto"/>
                <w:kern w:val="2"/>
                <w:sz w:val="24"/>
                <w:szCs w:val="24"/>
                <w:highlight w:val="none"/>
                <w:lang w:val="en-US" w:eastAsia="zh-CN" w:bidi="ar-SA"/>
              </w:rPr>
              <w:t>分析</w:t>
            </w:r>
          </w:p>
          <w:p>
            <w:pPr>
              <w:tabs>
                <w:tab w:val="left" w:pos="1100"/>
              </w:tabs>
              <w:spacing w:line="360" w:lineRule="auto"/>
              <w:ind w:left="0" w:leftChars="0" w:firstLine="480" w:firstLineChars="20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按照</w:t>
            </w:r>
            <w:r>
              <w:rPr>
                <w:rFonts w:hint="eastAsia"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地表水和污水监测技术规范</w:t>
            </w:r>
            <w:r>
              <w:rPr>
                <w:rFonts w:hint="eastAsia"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000000"/>
                <w:kern w:val="0"/>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SA"/>
              </w:rPr>
              <w:t>地表水部分</w:t>
            </w:r>
            <w:r>
              <w:rPr>
                <w:rFonts w:hint="default" w:ascii="Times New Roman" w:hAnsi="Times New Roman" w:eastAsia="宋体" w:cs="Times New Roman"/>
                <w:color w:val="000000"/>
                <w:kern w:val="0"/>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SA"/>
              </w:rPr>
              <w:t>HJ/T91-20</w:t>
            </w:r>
            <w:r>
              <w:rPr>
                <w:rFonts w:hint="eastAsia" w:ascii="Times New Roman" w:hAnsi="Times New Roman" w:eastAsia="宋体" w:cs="Times New Roman"/>
                <w:color w:val="auto"/>
                <w:kern w:val="2"/>
                <w:sz w:val="24"/>
                <w:szCs w:val="24"/>
                <w:highlight w:val="none"/>
                <w:lang w:val="en-US" w:eastAsia="zh-CN" w:bidi="ar-SA"/>
              </w:rPr>
              <w:t>02</w:t>
            </w:r>
            <w:r>
              <w:rPr>
                <w:rFonts w:hint="default" w:ascii="Times New Roman" w:hAnsi="Times New Roman" w:eastAsia="宋体" w:cs="Times New Roman"/>
                <w:color w:val="000000"/>
                <w:kern w:val="0"/>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SA"/>
              </w:rPr>
              <w:t>的要求进行采样及分析。</w:t>
            </w:r>
          </w:p>
          <w:p>
            <w:pPr>
              <w:tabs>
                <w:tab w:val="left" w:pos="1100"/>
              </w:tabs>
              <w:spacing w:line="360" w:lineRule="auto"/>
              <w:ind w:left="0" w:leftChars="0" w:firstLine="480" w:firstLineChars="200"/>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000000"/>
                <w:kern w:val="0"/>
                <w:sz w:val="24"/>
                <w:szCs w:val="24"/>
                <w:highlight w:val="none"/>
                <w:lang w:val="en-US" w:eastAsia="zh-CN" w:bidi="ar"/>
              </w:rPr>
              <w:t>4</w:t>
            </w:r>
            <w:r>
              <w:rPr>
                <w:rFonts w:hint="default" w:ascii="Times New Roman" w:hAnsi="Times New Roman" w:eastAsia="宋体" w:cs="Times New Roman"/>
                <w:color w:val="000000"/>
                <w:kern w:val="0"/>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SA"/>
              </w:rPr>
              <w:t>评价标准</w:t>
            </w:r>
          </w:p>
          <w:p>
            <w:pPr>
              <w:tabs>
                <w:tab w:val="left" w:pos="1100"/>
              </w:tabs>
              <w:spacing w:line="360" w:lineRule="auto"/>
              <w:ind w:left="0" w:leftChars="0" w:firstLine="480" w:firstLineChars="200"/>
              <w:rPr>
                <w:rFonts w:hint="default" w:ascii="Times New Roman" w:hAnsi="Times New Roman" w:eastAsia="宋体" w:cs="Times New Roman"/>
                <w:color w:val="auto"/>
                <w:kern w:val="2"/>
                <w:sz w:val="24"/>
                <w:szCs w:val="24"/>
                <w:highlight w:val="none"/>
                <w:lang w:val="en-US" w:eastAsia="zh-CN" w:bidi="ar-SA"/>
              </w:rPr>
            </w:pPr>
            <w:r>
              <w:rPr>
                <w:rFonts w:ascii="宋体" w:hAnsi="宋体" w:eastAsia="宋体" w:cs="宋体"/>
                <w:sz w:val="24"/>
                <w:szCs w:val="24"/>
              </w:rPr>
              <w:t>本项目执行《地表水环境质量标准》（GB3838-2002）Ⅲ类标准。</w:t>
            </w:r>
          </w:p>
          <w:p>
            <w:pPr>
              <w:tabs>
                <w:tab w:val="left" w:pos="1100"/>
              </w:tabs>
              <w:spacing w:line="360" w:lineRule="auto"/>
              <w:ind w:left="0" w:leftChars="0" w:firstLine="480" w:firstLineChars="200"/>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000000"/>
                <w:kern w:val="0"/>
                <w:sz w:val="24"/>
                <w:szCs w:val="24"/>
                <w:highlight w:val="none"/>
                <w:lang w:val="en-US" w:eastAsia="zh-CN" w:bidi="ar"/>
              </w:rPr>
              <w:t>5</w:t>
            </w:r>
            <w:r>
              <w:rPr>
                <w:rFonts w:hint="default" w:ascii="Times New Roman" w:hAnsi="Times New Roman" w:eastAsia="宋体" w:cs="Times New Roman"/>
                <w:color w:val="000000"/>
                <w:kern w:val="0"/>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SA"/>
              </w:rPr>
              <w:t>评价方法</w:t>
            </w:r>
          </w:p>
          <w:p>
            <w:pPr>
              <w:tabs>
                <w:tab w:val="left" w:pos="1100"/>
              </w:tabs>
              <w:spacing w:line="360" w:lineRule="auto"/>
              <w:ind w:left="0" w:leftChars="0" w:firstLine="480" w:firstLineChars="200"/>
              <w:rPr>
                <w:rFonts w:hint="eastAsia" w:cs="Times New Roman"/>
                <w:color w:val="000000"/>
                <w:kern w:val="0"/>
                <w:sz w:val="24"/>
                <w:szCs w:val="24"/>
                <w:highlight w:val="none"/>
                <w:lang w:val="en-US" w:eastAsia="zh-CN" w:bidi="ar"/>
              </w:rPr>
            </w:pPr>
            <w:r>
              <w:rPr>
                <w:rFonts w:ascii="宋体" w:hAnsi="宋体" w:eastAsia="宋体" w:cs="宋体"/>
                <w:sz w:val="24"/>
                <w:szCs w:val="24"/>
              </w:rPr>
              <w:t>采用标准指数法评价，公式如下：</w:t>
            </w:r>
          </w:p>
          <w:p>
            <w:pPr>
              <w:tabs>
                <w:tab w:val="left" w:pos="1100"/>
              </w:tabs>
              <w:spacing w:line="360" w:lineRule="auto"/>
              <w:ind w:left="0" w:leftChars="0" w:firstLine="480" w:firstLineChars="200"/>
              <w:jc w:val="center"/>
              <w:rPr>
                <w:rFonts w:hint="default" w:ascii="Times New Roman" w:hAnsi="Times New Roman" w:cs="Times New Roman"/>
                <w:color w:val="000000"/>
                <w:kern w:val="0"/>
                <w:sz w:val="24"/>
                <w:szCs w:val="24"/>
                <w:highlight w:val="none"/>
                <w:lang w:val="en-US" w:eastAsia="zh-CN" w:bidi="ar"/>
              </w:rPr>
            </w:pPr>
            <w:r>
              <w:rPr>
                <w:rFonts w:hint="default" w:ascii="Times New Roman" w:hAnsi="Times New Roman" w:eastAsia="宋体" w:cs="Times New Roman"/>
                <w:sz w:val="24"/>
                <w:szCs w:val="24"/>
              </w:rPr>
              <w:t>P</w:t>
            </w:r>
            <w:r>
              <w:rPr>
                <w:rFonts w:hint="default" w:ascii="Times New Roman" w:hAnsi="Times New Roman" w:eastAsia="宋体" w:cs="Times New Roman"/>
                <w:sz w:val="24"/>
                <w:szCs w:val="24"/>
                <w:vertAlign w:val="subscript"/>
              </w:rPr>
              <w:t>i</w:t>
            </w:r>
            <w:r>
              <w:rPr>
                <w:rFonts w:hint="default" w:ascii="Times New Roman" w:hAnsi="Times New Roman" w:eastAsia="宋体" w:cs="Times New Roman"/>
                <w:sz w:val="24"/>
                <w:szCs w:val="24"/>
              </w:rPr>
              <w:t>=C</w:t>
            </w:r>
            <w:r>
              <w:rPr>
                <w:rFonts w:hint="default" w:ascii="Times New Roman" w:hAnsi="Times New Roman" w:eastAsia="宋体" w:cs="Times New Roman"/>
                <w:sz w:val="24"/>
                <w:szCs w:val="24"/>
                <w:vertAlign w:val="subscript"/>
              </w:rPr>
              <w:t>i</w:t>
            </w:r>
            <w:r>
              <w:rPr>
                <w:rFonts w:hint="default" w:ascii="Times New Roman" w:hAnsi="Times New Roman" w:eastAsia="宋体" w:cs="Times New Roman"/>
                <w:sz w:val="24"/>
                <w:szCs w:val="24"/>
              </w:rPr>
              <w:t>/C</w:t>
            </w:r>
            <w:r>
              <w:rPr>
                <w:rFonts w:hint="default" w:ascii="Times New Roman" w:hAnsi="Times New Roman" w:eastAsia="宋体" w:cs="Times New Roman"/>
                <w:sz w:val="24"/>
                <w:szCs w:val="24"/>
                <w:vertAlign w:val="subscript"/>
              </w:rPr>
              <w:t>0i</w:t>
            </w:r>
          </w:p>
          <w:p>
            <w:pPr>
              <w:tabs>
                <w:tab w:val="left" w:pos="1100"/>
              </w:tabs>
              <w:spacing w:line="360" w:lineRule="auto"/>
              <w:ind w:left="0" w:leftChars="0" w:firstLine="480" w:firstLineChars="200"/>
              <w:rPr>
                <w:rFonts w:ascii="宋体" w:hAnsi="宋体" w:eastAsia="宋体" w:cs="宋体"/>
                <w:sz w:val="24"/>
                <w:szCs w:val="24"/>
              </w:rPr>
            </w:pPr>
            <w:r>
              <w:rPr>
                <w:rFonts w:ascii="宋体" w:hAnsi="宋体" w:eastAsia="宋体" w:cs="宋体"/>
                <w:sz w:val="24"/>
                <w:szCs w:val="24"/>
              </w:rPr>
              <w:t>式中：P</w:t>
            </w:r>
            <w:r>
              <w:rPr>
                <w:rFonts w:ascii="宋体" w:hAnsi="宋体" w:eastAsia="宋体" w:cs="宋体"/>
                <w:sz w:val="24"/>
                <w:szCs w:val="24"/>
                <w:vertAlign w:val="subscript"/>
              </w:rPr>
              <w:t>i</w:t>
            </w:r>
            <w:r>
              <w:rPr>
                <w:rFonts w:ascii="宋体" w:hAnsi="宋体" w:eastAsia="宋体" w:cs="宋体"/>
                <w:sz w:val="24"/>
                <w:szCs w:val="24"/>
              </w:rPr>
              <w:t>－第i种水质因子的标准指数，无量纲；</w:t>
            </w:r>
          </w:p>
          <w:p>
            <w:pPr>
              <w:tabs>
                <w:tab w:val="left" w:pos="1100"/>
              </w:tabs>
              <w:spacing w:line="360" w:lineRule="auto"/>
              <w:ind w:left="0" w:leftChars="0" w:firstLine="1200" w:firstLineChars="500"/>
              <w:rPr>
                <w:rFonts w:ascii="宋体" w:hAnsi="宋体" w:eastAsia="宋体" w:cs="宋体"/>
                <w:sz w:val="24"/>
                <w:szCs w:val="24"/>
              </w:rPr>
            </w:pPr>
            <w:r>
              <w:rPr>
                <w:rFonts w:ascii="宋体" w:hAnsi="宋体" w:eastAsia="宋体" w:cs="宋体"/>
                <w:sz w:val="24"/>
                <w:szCs w:val="24"/>
              </w:rPr>
              <w:t>C</w:t>
            </w:r>
            <w:r>
              <w:rPr>
                <w:rFonts w:ascii="宋体" w:hAnsi="宋体" w:eastAsia="宋体" w:cs="宋体"/>
                <w:sz w:val="24"/>
                <w:szCs w:val="24"/>
                <w:vertAlign w:val="subscript"/>
              </w:rPr>
              <w:t>i</w:t>
            </w:r>
            <w:r>
              <w:rPr>
                <w:rFonts w:ascii="宋体" w:hAnsi="宋体" w:eastAsia="宋体" w:cs="宋体"/>
                <w:sz w:val="24"/>
                <w:szCs w:val="24"/>
              </w:rPr>
              <w:t>－第i种水质因子的监测浓度值，单位mg/L；</w:t>
            </w:r>
          </w:p>
          <w:p>
            <w:pPr>
              <w:tabs>
                <w:tab w:val="left" w:pos="1100"/>
              </w:tabs>
              <w:spacing w:line="360" w:lineRule="auto"/>
              <w:ind w:left="0" w:leftChars="0" w:firstLine="1200" w:firstLineChars="500"/>
              <w:rPr>
                <w:rFonts w:ascii="宋体" w:hAnsi="宋体" w:eastAsia="宋体" w:cs="宋体"/>
                <w:sz w:val="24"/>
                <w:szCs w:val="24"/>
              </w:rPr>
            </w:pPr>
            <w:r>
              <w:rPr>
                <w:rFonts w:ascii="宋体" w:hAnsi="宋体" w:eastAsia="宋体" w:cs="宋体"/>
                <w:sz w:val="24"/>
                <w:szCs w:val="24"/>
              </w:rPr>
              <w:t>C</w:t>
            </w:r>
            <w:r>
              <w:rPr>
                <w:rFonts w:ascii="宋体" w:hAnsi="宋体" w:eastAsia="宋体" w:cs="宋体"/>
                <w:sz w:val="24"/>
                <w:szCs w:val="24"/>
                <w:vertAlign w:val="subscript"/>
              </w:rPr>
              <w:t>0i</w:t>
            </w:r>
            <w:r>
              <w:rPr>
                <w:rFonts w:ascii="宋体" w:hAnsi="宋体" w:eastAsia="宋体" w:cs="宋体"/>
                <w:sz w:val="24"/>
                <w:szCs w:val="24"/>
              </w:rPr>
              <w:t>－第i种水质因子的标准浓度值，单位mg/L。</w:t>
            </w:r>
          </w:p>
          <w:p>
            <w:pPr>
              <w:tabs>
                <w:tab w:val="left" w:pos="1100"/>
              </w:tabs>
              <w:spacing w:line="360" w:lineRule="auto"/>
              <w:rPr>
                <w:rFonts w:hint="default" w:ascii="Times New Roman" w:hAnsi="Times New Roman" w:eastAsia="宋体" w:cs="Times New Roman"/>
                <w:color w:val="auto"/>
                <w:kern w:val="2"/>
                <w:sz w:val="24"/>
                <w:szCs w:val="24"/>
                <w:highlight w:val="none"/>
                <w:lang w:val="en-US" w:eastAsia="zh-CN" w:bidi="ar-SA"/>
              </w:rPr>
            </w:pPr>
            <w:r>
              <w:rPr>
                <w:rFonts w:ascii="宋体" w:hAnsi="宋体" w:eastAsia="宋体" w:cs="宋体"/>
                <w:sz w:val="24"/>
                <w:szCs w:val="24"/>
              </w:rPr>
              <w:t>对pH值标准指数计算公式为</w:t>
            </w:r>
            <w:r>
              <w:rPr>
                <w:rFonts w:hint="default" w:ascii="Times New Roman" w:hAnsi="Times New Roman" w:eastAsia="宋体" w:cs="Times New Roman"/>
                <w:color w:val="auto"/>
                <w:kern w:val="2"/>
                <w:sz w:val="24"/>
                <w:szCs w:val="24"/>
                <w:highlight w:val="none"/>
                <w:lang w:val="en-US" w:eastAsia="zh-CN" w:bidi="ar-SA"/>
              </w:rPr>
              <w:t>：</w:t>
            </w:r>
          </w:p>
          <w:p>
            <w:pPr>
              <w:tabs>
                <w:tab w:val="left" w:pos="1100"/>
              </w:tabs>
              <w:spacing w:line="360" w:lineRule="auto"/>
              <w:ind w:left="0" w:leftChars="0" w:firstLine="1680" w:firstLineChars="700"/>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P</w:t>
            </w:r>
            <w:r>
              <w:rPr>
                <w:rFonts w:hint="default" w:ascii="Times New Roman" w:hAnsi="Times New Roman" w:eastAsia="宋体" w:cs="Times New Roman"/>
                <w:color w:val="auto"/>
                <w:kern w:val="2"/>
                <w:sz w:val="24"/>
                <w:szCs w:val="24"/>
                <w:highlight w:val="none"/>
                <w:vertAlign w:val="subscript"/>
                <w:lang w:val="en-US" w:eastAsia="zh-CN" w:bidi="ar-SA"/>
              </w:rPr>
              <w:t>pH</w:t>
            </w:r>
            <w:r>
              <w:rPr>
                <w:rFonts w:hint="default" w:ascii="Times New Roman" w:hAnsi="Times New Roman" w:eastAsia="宋体" w:cs="Times New Roman"/>
                <w:color w:val="auto"/>
                <w:kern w:val="2"/>
                <w:sz w:val="24"/>
                <w:szCs w:val="24"/>
                <w:highlight w:val="none"/>
                <w:lang w:val="en-US" w:eastAsia="zh-CN" w:bidi="ar-SA"/>
              </w:rPr>
              <w:t>=（7.0－pH）/（7.0－pH</w:t>
            </w:r>
            <w:r>
              <w:rPr>
                <w:rFonts w:hint="default" w:ascii="Times New Roman" w:hAnsi="Times New Roman" w:eastAsia="宋体" w:cs="Times New Roman"/>
                <w:color w:val="auto"/>
                <w:kern w:val="2"/>
                <w:sz w:val="24"/>
                <w:szCs w:val="24"/>
                <w:highlight w:val="none"/>
                <w:vertAlign w:val="subscript"/>
                <w:lang w:val="en-US" w:eastAsia="zh-CN" w:bidi="ar-SA"/>
              </w:rPr>
              <w:t>sd</w:t>
            </w:r>
            <w:r>
              <w:rPr>
                <w:rFonts w:hint="default" w:ascii="Times New Roman" w:hAnsi="Times New Roman" w:eastAsia="宋体" w:cs="Times New Roman"/>
                <w:color w:val="auto"/>
                <w:kern w:val="2"/>
                <w:sz w:val="24"/>
                <w:szCs w:val="24"/>
                <w:highlight w:val="none"/>
                <w:lang w:val="en-US" w:eastAsia="zh-CN" w:bidi="ar-SA"/>
              </w:rPr>
              <w:t>）     pH≦7时</w:t>
            </w:r>
          </w:p>
          <w:p>
            <w:pPr>
              <w:tabs>
                <w:tab w:val="left" w:pos="1100"/>
              </w:tabs>
              <w:spacing w:line="360" w:lineRule="auto"/>
              <w:ind w:left="0" w:leftChars="0" w:firstLine="480" w:firstLineChars="20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P</w:t>
            </w:r>
            <w:r>
              <w:rPr>
                <w:rFonts w:hint="default" w:ascii="Times New Roman" w:hAnsi="Times New Roman" w:eastAsia="宋体" w:cs="Times New Roman"/>
                <w:color w:val="auto"/>
                <w:kern w:val="2"/>
                <w:sz w:val="24"/>
                <w:szCs w:val="24"/>
                <w:highlight w:val="none"/>
                <w:vertAlign w:val="subscript"/>
                <w:lang w:val="en-US" w:eastAsia="zh-CN" w:bidi="ar-SA"/>
              </w:rPr>
              <w:t>pH</w:t>
            </w:r>
            <w:r>
              <w:rPr>
                <w:rFonts w:hint="default" w:ascii="Times New Roman" w:hAnsi="Times New Roman" w:eastAsia="宋体" w:cs="Times New Roman"/>
                <w:color w:val="auto"/>
                <w:kern w:val="2"/>
                <w:sz w:val="24"/>
                <w:szCs w:val="24"/>
                <w:highlight w:val="none"/>
                <w:lang w:val="en-US" w:eastAsia="zh-CN" w:bidi="ar-SA"/>
              </w:rPr>
              <w:t>=（pH－7.0）/（pH</w:t>
            </w:r>
            <w:r>
              <w:rPr>
                <w:rFonts w:hint="default" w:ascii="Times New Roman" w:hAnsi="Times New Roman" w:eastAsia="宋体" w:cs="Times New Roman"/>
                <w:color w:val="auto"/>
                <w:kern w:val="2"/>
                <w:sz w:val="24"/>
                <w:szCs w:val="24"/>
                <w:highlight w:val="none"/>
                <w:vertAlign w:val="subscript"/>
                <w:lang w:val="en-US" w:eastAsia="zh-CN" w:bidi="ar-SA"/>
              </w:rPr>
              <w:t>su</w:t>
            </w:r>
            <w:r>
              <w:rPr>
                <w:rFonts w:hint="default" w:ascii="Times New Roman" w:hAnsi="Times New Roman" w:eastAsia="宋体" w:cs="Times New Roman"/>
                <w:color w:val="auto"/>
                <w:kern w:val="2"/>
                <w:sz w:val="24"/>
                <w:szCs w:val="24"/>
                <w:highlight w:val="none"/>
                <w:lang w:val="en-US" w:eastAsia="zh-CN" w:bidi="ar-SA"/>
              </w:rPr>
              <w:t>－7.0）     pH﹥7时</w:t>
            </w:r>
          </w:p>
          <w:p>
            <w:pPr>
              <w:tabs>
                <w:tab w:val="left" w:pos="1100"/>
              </w:tabs>
              <w:spacing w:line="360" w:lineRule="auto"/>
              <w:ind w:left="0" w:leftChars="0" w:firstLine="480" w:firstLineChars="20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式中：P</w:t>
            </w:r>
            <w:r>
              <w:rPr>
                <w:rFonts w:hint="default" w:ascii="Times New Roman" w:hAnsi="Times New Roman" w:eastAsia="宋体" w:cs="Times New Roman"/>
                <w:color w:val="auto"/>
                <w:kern w:val="2"/>
                <w:sz w:val="24"/>
                <w:szCs w:val="24"/>
                <w:highlight w:val="none"/>
                <w:vertAlign w:val="subscript"/>
                <w:lang w:val="en-US" w:eastAsia="zh-CN" w:bidi="ar-SA"/>
              </w:rPr>
              <w:t>pH</w:t>
            </w:r>
            <w:r>
              <w:rPr>
                <w:rFonts w:hint="default" w:ascii="Times New Roman" w:hAnsi="Times New Roman" w:eastAsia="宋体" w:cs="Times New Roman"/>
                <w:color w:val="auto"/>
                <w:kern w:val="2"/>
                <w:sz w:val="24"/>
                <w:szCs w:val="24"/>
                <w:highlight w:val="none"/>
                <w:lang w:val="en-US" w:eastAsia="zh-CN" w:bidi="ar-SA"/>
              </w:rPr>
              <w:t>—pH的标准指数，量纲为1；</w:t>
            </w:r>
          </w:p>
          <w:p>
            <w:pPr>
              <w:tabs>
                <w:tab w:val="left" w:pos="1100"/>
              </w:tabs>
              <w:spacing w:line="360" w:lineRule="auto"/>
              <w:ind w:left="0" w:leftChars="0" w:firstLine="1200" w:firstLineChars="50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pH—pH监测值；</w:t>
            </w:r>
          </w:p>
          <w:p>
            <w:pPr>
              <w:tabs>
                <w:tab w:val="left" w:pos="1100"/>
              </w:tabs>
              <w:spacing w:line="360" w:lineRule="auto"/>
              <w:ind w:left="0" w:leftChars="0" w:firstLine="960" w:firstLineChars="40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pH</w:t>
            </w:r>
            <w:r>
              <w:rPr>
                <w:rFonts w:hint="default" w:ascii="Times New Roman" w:hAnsi="Times New Roman" w:eastAsia="宋体" w:cs="Times New Roman"/>
                <w:color w:val="auto"/>
                <w:kern w:val="2"/>
                <w:sz w:val="24"/>
                <w:szCs w:val="24"/>
                <w:highlight w:val="none"/>
                <w:vertAlign w:val="subscript"/>
                <w:lang w:val="en-US" w:eastAsia="zh-CN" w:bidi="ar-SA"/>
              </w:rPr>
              <w:t>su</w:t>
            </w:r>
            <w:r>
              <w:rPr>
                <w:rFonts w:hint="default" w:ascii="Times New Roman" w:hAnsi="Times New Roman" w:eastAsia="宋体" w:cs="Times New Roman"/>
                <w:color w:val="auto"/>
                <w:kern w:val="2"/>
                <w:sz w:val="24"/>
                <w:szCs w:val="24"/>
                <w:highlight w:val="none"/>
                <w:lang w:val="en-US" w:eastAsia="zh-CN" w:bidi="ar-SA"/>
              </w:rPr>
              <w:t>—标准中pH的上限值</w:t>
            </w:r>
            <w:r>
              <w:rPr>
                <w:rFonts w:ascii="宋体" w:hAnsi="宋体" w:eastAsia="宋体" w:cs="宋体"/>
                <w:sz w:val="24"/>
                <w:szCs w:val="24"/>
              </w:rPr>
              <w:t>（7）</w:t>
            </w:r>
            <w:r>
              <w:rPr>
                <w:rFonts w:hint="default" w:ascii="Times New Roman" w:hAnsi="Times New Roman" w:eastAsia="宋体" w:cs="Times New Roman"/>
                <w:color w:val="auto"/>
                <w:kern w:val="2"/>
                <w:sz w:val="24"/>
                <w:szCs w:val="24"/>
                <w:highlight w:val="none"/>
                <w:lang w:val="en-US" w:eastAsia="zh-CN" w:bidi="ar-SA"/>
              </w:rPr>
              <w:t>；</w:t>
            </w:r>
          </w:p>
          <w:p>
            <w:pPr>
              <w:tabs>
                <w:tab w:val="left" w:pos="1100"/>
              </w:tabs>
              <w:spacing w:line="360" w:lineRule="auto"/>
              <w:ind w:left="0" w:leftChars="0" w:firstLine="960" w:firstLineChars="40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pH</w:t>
            </w:r>
            <w:r>
              <w:rPr>
                <w:rFonts w:hint="default" w:ascii="Times New Roman" w:hAnsi="Times New Roman" w:eastAsia="宋体" w:cs="Times New Roman"/>
                <w:color w:val="auto"/>
                <w:kern w:val="2"/>
                <w:sz w:val="24"/>
                <w:szCs w:val="24"/>
                <w:highlight w:val="none"/>
                <w:vertAlign w:val="subscript"/>
                <w:lang w:val="en-US" w:eastAsia="zh-CN" w:bidi="ar-SA"/>
              </w:rPr>
              <w:t>sd</w:t>
            </w:r>
            <w:r>
              <w:rPr>
                <w:rFonts w:hint="default" w:ascii="Times New Roman" w:hAnsi="Times New Roman" w:eastAsia="宋体" w:cs="Times New Roman"/>
                <w:color w:val="auto"/>
                <w:kern w:val="2"/>
                <w:sz w:val="24"/>
                <w:szCs w:val="24"/>
                <w:highlight w:val="none"/>
                <w:lang w:val="en-US" w:eastAsia="zh-CN" w:bidi="ar-SA"/>
              </w:rPr>
              <w:t>—标准中pH的下限值</w:t>
            </w:r>
            <w:r>
              <w:rPr>
                <w:rFonts w:ascii="宋体" w:hAnsi="宋体" w:eastAsia="宋体" w:cs="宋体"/>
                <w:sz w:val="24"/>
                <w:szCs w:val="24"/>
              </w:rPr>
              <w:t>（</w:t>
            </w:r>
            <w:r>
              <w:rPr>
                <w:rFonts w:hint="eastAsia" w:ascii="宋体" w:hAnsi="宋体" w:eastAsia="宋体" w:cs="宋体"/>
                <w:sz w:val="24"/>
                <w:szCs w:val="24"/>
                <w:lang w:val="en-US" w:eastAsia="zh-CN"/>
              </w:rPr>
              <w:t>9</w:t>
            </w:r>
            <w:r>
              <w:rPr>
                <w:rFonts w:ascii="宋体" w:hAnsi="宋体" w:eastAsia="宋体" w:cs="宋体"/>
                <w:sz w:val="24"/>
                <w:szCs w:val="24"/>
              </w:rPr>
              <w:t>）</w:t>
            </w:r>
            <w:r>
              <w:rPr>
                <w:rFonts w:hint="default" w:ascii="Times New Roman" w:hAnsi="Times New Roman" w:eastAsia="宋体" w:cs="Times New Roman"/>
                <w:color w:val="auto"/>
                <w:kern w:val="2"/>
                <w:sz w:val="24"/>
                <w:szCs w:val="24"/>
                <w:highlight w:val="none"/>
                <w:lang w:val="en-US" w:eastAsia="zh-CN" w:bidi="ar-SA"/>
              </w:rPr>
              <w:t>。</w:t>
            </w:r>
          </w:p>
          <w:p>
            <w:pPr>
              <w:tabs>
                <w:tab w:val="left" w:pos="1100"/>
              </w:tabs>
              <w:spacing w:line="360" w:lineRule="auto"/>
              <w:ind w:left="0" w:leftChars="0" w:firstLine="480" w:firstLineChars="200"/>
              <w:rPr>
                <w:rFonts w:hint="eastAsia" w:cs="Times New Roman"/>
                <w:color w:val="000000"/>
                <w:kern w:val="0"/>
                <w:sz w:val="24"/>
                <w:szCs w:val="24"/>
                <w:highlight w:val="none"/>
                <w:lang w:val="en-US" w:eastAsia="zh-CN" w:bidi="ar"/>
              </w:rPr>
            </w:pPr>
            <w:r>
              <w:drawing>
                <wp:anchor distT="0" distB="0" distL="114300" distR="114300" simplePos="0" relativeHeight="251663360" behindDoc="0" locked="0" layoutInCell="1" allowOverlap="1">
                  <wp:simplePos x="0" y="0"/>
                  <wp:positionH relativeFrom="column">
                    <wp:posOffset>1076960</wp:posOffset>
                  </wp:positionH>
                  <wp:positionV relativeFrom="paragraph">
                    <wp:posOffset>264160</wp:posOffset>
                  </wp:positionV>
                  <wp:extent cx="2266950" cy="758190"/>
                  <wp:effectExtent l="0" t="0" r="6350" b="3810"/>
                  <wp:wrapNone/>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1"/>
                          <a:stretch>
                            <a:fillRect/>
                          </a:stretch>
                        </pic:blipFill>
                        <pic:spPr>
                          <a:xfrm>
                            <a:off x="0" y="0"/>
                            <a:ext cx="2266950" cy="758190"/>
                          </a:xfrm>
                          <a:prstGeom prst="rect">
                            <a:avLst/>
                          </a:prstGeom>
                          <a:noFill/>
                          <a:ln>
                            <a:noFill/>
                          </a:ln>
                        </pic:spPr>
                      </pic:pic>
                    </a:graphicData>
                  </a:graphic>
                </wp:anchor>
              </w:drawing>
            </w:r>
            <w:r>
              <w:rPr>
                <w:rFonts w:ascii="宋体" w:hAnsi="宋体" w:eastAsia="宋体" w:cs="宋体"/>
                <w:sz w:val="24"/>
                <w:szCs w:val="24"/>
              </w:rPr>
              <w:t>对DO的标准指数为：</w:t>
            </w:r>
          </w:p>
          <w:p>
            <w:pPr>
              <w:tabs>
                <w:tab w:val="left" w:pos="1100"/>
              </w:tabs>
              <w:spacing w:line="360" w:lineRule="auto"/>
              <w:ind w:left="0" w:leftChars="0" w:firstLine="480" w:firstLineChars="200"/>
              <w:rPr>
                <w:rFonts w:hint="eastAsia" w:cs="Times New Roman"/>
                <w:color w:val="000000"/>
                <w:kern w:val="0"/>
                <w:sz w:val="24"/>
                <w:szCs w:val="24"/>
                <w:highlight w:val="none"/>
                <w:lang w:val="en-US" w:eastAsia="zh-CN" w:bidi="ar"/>
              </w:rPr>
            </w:pPr>
          </w:p>
          <w:p>
            <w:pPr>
              <w:tabs>
                <w:tab w:val="left" w:pos="1100"/>
              </w:tabs>
              <w:spacing w:line="360" w:lineRule="auto"/>
              <w:ind w:left="0" w:leftChars="0" w:firstLine="480" w:firstLineChars="200"/>
              <w:rPr>
                <w:rFonts w:hint="eastAsia" w:cs="Times New Roman"/>
                <w:color w:val="000000"/>
                <w:kern w:val="0"/>
                <w:sz w:val="24"/>
                <w:szCs w:val="24"/>
                <w:highlight w:val="none"/>
                <w:lang w:val="en-US" w:eastAsia="zh-CN" w:bidi="ar"/>
              </w:rPr>
            </w:pPr>
          </w:p>
          <w:p>
            <w:pPr>
              <w:tabs>
                <w:tab w:val="left" w:pos="1100"/>
              </w:tabs>
              <w:spacing w:line="360" w:lineRule="auto"/>
              <w:ind w:left="0" w:leftChars="0" w:firstLine="480" w:firstLineChars="200"/>
              <w:rPr>
                <w:rFonts w:hint="eastAsia" w:cs="Times New Roman"/>
                <w:color w:val="000000"/>
                <w:kern w:val="0"/>
                <w:sz w:val="24"/>
                <w:szCs w:val="24"/>
                <w:highlight w:val="none"/>
                <w:lang w:val="en-US" w:eastAsia="zh-CN" w:bidi="ar"/>
              </w:rPr>
            </w:pPr>
          </w:p>
          <w:p>
            <w:pPr>
              <w:tabs>
                <w:tab w:val="left" w:pos="1100"/>
              </w:tabs>
              <w:spacing w:line="360" w:lineRule="auto"/>
              <w:ind w:left="1200" w:leftChars="200" w:hanging="720" w:hangingChars="30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式中：S</w:t>
            </w:r>
            <w:r>
              <w:rPr>
                <w:rFonts w:hint="default" w:ascii="Times New Roman" w:hAnsi="Times New Roman" w:eastAsia="宋体" w:cs="Times New Roman"/>
                <w:color w:val="auto"/>
                <w:kern w:val="2"/>
                <w:sz w:val="24"/>
                <w:szCs w:val="24"/>
                <w:highlight w:val="none"/>
                <w:vertAlign w:val="subscript"/>
                <w:lang w:val="en-US" w:eastAsia="zh-CN" w:bidi="ar-SA"/>
              </w:rPr>
              <w:t>DOj</w:t>
            </w:r>
            <w:r>
              <w:rPr>
                <w:rFonts w:hint="default" w:ascii="Times New Roman" w:hAnsi="Times New Roman" w:eastAsia="宋体" w:cs="Times New Roman"/>
                <w:color w:val="auto"/>
                <w:kern w:val="2"/>
                <w:sz w:val="24"/>
                <w:szCs w:val="24"/>
                <w:highlight w:val="none"/>
                <w:lang w:val="en-US" w:eastAsia="zh-CN" w:bidi="ar-SA"/>
              </w:rPr>
              <w:t>——溶解氧的标准指数，大于1表明该水质因子超标；D</w:t>
            </w:r>
            <w:r>
              <w:rPr>
                <w:rFonts w:hint="default" w:ascii="Times New Roman" w:hAnsi="Times New Roman" w:eastAsia="宋体" w:cs="Times New Roman"/>
                <w:color w:val="auto"/>
                <w:kern w:val="2"/>
                <w:sz w:val="24"/>
                <w:szCs w:val="24"/>
                <w:highlight w:val="none"/>
                <w:vertAlign w:val="baseline"/>
                <w:lang w:val="en-US" w:eastAsia="zh-CN" w:bidi="ar-SA"/>
              </w:rPr>
              <w:t>Oj</w:t>
            </w:r>
            <w:r>
              <w:rPr>
                <w:rFonts w:hint="default" w:ascii="Times New Roman" w:hAnsi="Times New Roman" w:eastAsia="宋体" w:cs="Times New Roman"/>
                <w:color w:val="auto"/>
                <w:kern w:val="2"/>
                <w:sz w:val="24"/>
                <w:szCs w:val="24"/>
                <w:highlight w:val="none"/>
                <w:lang w:val="en-US" w:eastAsia="zh-CN" w:bidi="ar-SA"/>
              </w:rPr>
              <w:t>——溶解氧在j点的实测统计代表值，mg/L；</w:t>
            </w:r>
          </w:p>
          <w:p>
            <w:pPr>
              <w:tabs>
                <w:tab w:val="left" w:pos="1100"/>
              </w:tabs>
              <w:spacing w:line="360" w:lineRule="auto"/>
              <w:ind w:left="1200" w:leftChars="500" w:firstLine="0" w:firstLineChars="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DOs——溶解氧的水质评价标准限值，mg/L；</w:t>
            </w:r>
          </w:p>
          <w:p>
            <w:pPr>
              <w:tabs>
                <w:tab w:val="left" w:pos="1100"/>
              </w:tabs>
              <w:spacing w:line="360" w:lineRule="auto"/>
              <w:ind w:left="1200" w:leftChars="500" w:firstLine="0" w:firstLineChars="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DOf——饱和溶解氧浓度，mg/L</w:t>
            </w:r>
          </w:p>
          <w:p>
            <w:pPr>
              <w:tabs>
                <w:tab w:val="left" w:pos="1100"/>
              </w:tabs>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color w:val="auto"/>
                <w:kern w:val="2"/>
                <w:sz w:val="24"/>
                <w:szCs w:val="24"/>
                <w:highlight w:val="none"/>
                <w:lang w:val="en-US" w:eastAsia="zh-CN" w:bidi="ar-SA"/>
              </w:rPr>
              <w:t>对于河流，DOf=468/</w:t>
            </w:r>
            <w:r>
              <w:rPr>
                <w:rFonts w:hint="default" w:ascii="Times New Roman" w:hAnsi="Times New Roman" w:eastAsia="宋体" w:cs="Times New Roman"/>
                <w:sz w:val="24"/>
                <w:szCs w:val="24"/>
              </w:rPr>
              <w:t>（</w:t>
            </w:r>
            <w:r>
              <w:rPr>
                <w:rFonts w:hint="default" w:ascii="Times New Roman" w:hAnsi="Times New Roman" w:eastAsia="宋体" w:cs="Times New Roman"/>
                <w:color w:val="auto"/>
                <w:kern w:val="2"/>
                <w:sz w:val="24"/>
                <w:szCs w:val="24"/>
                <w:highlight w:val="none"/>
                <w:lang w:val="en-US" w:eastAsia="zh-CN" w:bidi="ar-SA"/>
              </w:rPr>
              <w:t>31.6+T</w:t>
            </w:r>
            <w:r>
              <w:rPr>
                <w:rFonts w:hint="default" w:ascii="Times New Roman" w:hAnsi="Times New Roman" w:eastAsia="宋体" w:cs="Times New Roman"/>
                <w:sz w:val="24"/>
                <w:szCs w:val="24"/>
              </w:rPr>
              <w:t>）</w:t>
            </w:r>
            <w:r>
              <w:rPr>
                <w:rFonts w:hint="default"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sz w:val="24"/>
                <w:szCs w:val="24"/>
              </w:rPr>
              <w:t>对于盐度比较高的湖泊、水库及入海河口、近岸海域，DOf=（491−2.65S）/（33.5+T）；</w:t>
            </w:r>
          </w:p>
          <w:p>
            <w:pPr>
              <w:tabs>
                <w:tab w:val="left" w:pos="1100"/>
              </w:tabs>
              <w:spacing w:line="360" w:lineRule="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S——实用盐度符号，量纲为1；T——水温，℃。</w:t>
            </w:r>
          </w:p>
          <w:p>
            <w:pPr>
              <w:tabs>
                <w:tab w:val="left" w:pos="1100"/>
              </w:tabs>
              <w:spacing w:line="360" w:lineRule="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6</w:t>
            </w:r>
            <w:r>
              <w:rPr>
                <w:rFonts w:hint="default" w:ascii="Times New Roman" w:hAnsi="Times New Roman" w:eastAsia="宋体" w:cs="Times New Roman"/>
                <w:color w:val="auto"/>
                <w:kern w:val="2"/>
                <w:sz w:val="24"/>
                <w:szCs w:val="24"/>
                <w:highlight w:val="none"/>
                <w:lang w:val="en-US" w:eastAsia="zh-CN" w:bidi="ar-SA"/>
              </w:rPr>
              <w:t>）监测结果及评价</w:t>
            </w:r>
          </w:p>
          <w:p>
            <w:pPr>
              <w:tabs>
                <w:tab w:val="left" w:pos="1100"/>
              </w:tabs>
              <w:spacing w:line="360" w:lineRule="auto"/>
              <w:rPr>
                <w:rFonts w:hint="default" w:ascii="Times New Roman" w:hAnsi="Times New Roman" w:cs="Times New Roman"/>
                <w:color w:val="000000"/>
                <w:sz w:val="24"/>
                <w:highlight w:val="none"/>
                <w:lang w:val="en-US" w:eastAsia="zh-CN"/>
              </w:rPr>
            </w:pPr>
            <w:r>
              <w:rPr>
                <w:rFonts w:hint="default" w:ascii="Times New Roman" w:hAnsi="Times New Roman" w:eastAsia="宋体" w:cs="Times New Roman"/>
                <w:color w:val="auto"/>
                <w:kern w:val="2"/>
                <w:sz w:val="24"/>
                <w:szCs w:val="24"/>
                <w:highlight w:val="none"/>
                <w:lang w:val="en-US" w:eastAsia="zh-CN" w:bidi="ar-SA"/>
              </w:rPr>
              <w:t>水质监测及评价结果见表3-</w:t>
            </w:r>
            <w:r>
              <w:rPr>
                <w:rFonts w:hint="eastAsia" w:ascii="Times New Roman" w:hAnsi="Times New Roman" w:eastAsia="宋体" w:cs="Times New Roman"/>
                <w:color w:val="auto"/>
                <w:kern w:val="2"/>
                <w:sz w:val="24"/>
                <w:szCs w:val="24"/>
                <w:highlight w:val="none"/>
                <w:lang w:val="en-US" w:eastAsia="zh-CN" w:bidi="ar-SA"/>
              </w:rPr>
              <w:t>3</w:t>
            </w:r>
            <w:r>
              <w:rPr>
                <w:rFonts w:hint="default" w:ascii="Times New Roman" w:hAnsi="Times New Roman" w:cs="Times New Roman"/>
                <w:color w:val="000000"/>
                <w:sz w:val="28"/>
                <w:szCs w:val="28"/>
                <w:highlight w:val="none"/>
              </w:rPr>
              <w:t>。</w:t>
            </w:r>
          </w:p>
          <w:p>
            <w:pPr>
              <w:snapToGrid w:val="0"/>
              <w:spacing w:line="240" w:lineRule="auto"/>
              <w:jc w:val="center"/>
              <w:rPr>
                <w:rFonts w:hint="default" w:ascii="Times New Roman" w:hAnsi="Times New Roman" w:cs="Times New Roman"/>
                <w:b/>
                <w:bCs w:val="0"/>
                <w:color w:val="000000"/>
                <w:sz w:val="21"/>
                <w:szCs w:val="21"/>
                <w:highlight w:val="none"/>
              </w:rPr>
            </w:pPr>
            <w:r>
              <w:rPr>
                <w:rFonts w:hint="default" w:ascii="Times New Roman" w:hAnsi="Times New Roman" w:cs="Times New Roman"/>
                <w:b/>
                <w:bCs w:val="0"/>
                <w:color w:val="000000"/>
                <w:sz w:val="21"/>
                <w:szCs w:val="21"/>
                <w:highlight w:val="none"/>
              </w:rPr>
              <w:t>表</w:t>
            </w:r>
            <w:r>
              <w:rPr>
                <w:rFonts w:hint="default" w:ascii="Times New Roman" w:hAnsi="Times New Roman" w:cs="Times New Roman"/>
                <w:b/>
                <w:bCs w:val="0"/>
                <w:color w:val="000000"/>
                <w:sz w:val="21"/>
                <w:szCs w:val="21"/>
                <w:highlight w:val="none"/>
                <w:lang w:val="en-US" w:eastAsia="zh-CN"/>
              </w:rPr>
              <w:t>3-</w:t>
            </w:r>
            <w:r>
              <w:rPr>
                <w:rFonts w:hint="eastAsia" w:cs="Times New Roman"/>
                <w:b/>
                <w:bCs w:val="0"/>
                <w:color w:val="000000"/>
                <w:sz w:val="21"/>
                <w:szCs w:val="21"/>
                <w:highlight w:val="none"/>
                <w:lang w:val="en-US" w:eastAsia="zh-CN"/>
              </w:rPr>
              <w:t>3</w:t>
            </w:r>
            <w:r>
              <w:rPr>
                <w:rFonts w:hint="default" w:ascii="Times New Roman" w:hAnsi="Times New Roman" w:cs="Times New Roman"/>
                <w:b/>
                <w:bCs w:val="0"/>
                <w:color w:val="000000"/>
                <w:sz w:val="21"/>
                <w:szCs w:val="21"/>
                <w:highlight w:val="none"/>
              </w:rPr>
              <w:t xml:space="preserve">  </w:t>
            </w:r>
            <w:r>
              <w:rPr>
                <w:rFonts w:hint="eastAsia" w:cs="Times New Roman"/>
                <w:b/>
                <w:bCs w:val="0"/>
                <w:color w:val="000000"/>
                <w:sz w:val="21"/>
                <w:szCs w:val="21"/>
                <w:highlight w:val="none"/>
                <w:lang w:val="en-US" w:eastAsia="zh-CN"/>
              </w:rPr>
              <w:t xml:space="preserve">       </w:t>
            </w:r>
            <w:r>
              <w:rPr>
                <w:rFonts w:hint="default" w:ascii="Times New Roman" w:hAnsi="Times New Roman" w:cs="Times New Roman"/>
                <w:b/>
                <w:bCs w:val="0"/>
                <w:color w:val="000000"/>
                <w:sz w:val="21"/>
                <w:szCs w:val="21"/>
                <w:highlight w:val="none"/>
              </w:rPr>
              <w:t xml:space="preserve"> </w:t>
            </w:r>
            <w:r>
              <w:rPr>
                <w:rFonts w:hint="eastAsia" w:cs="Times New Roman"/>
                <w:b/>
                <w:bCs w:val="0"/>
                <w:color w:val="000000"/>
                <w:sz w:val="21"/>
                <w:szCs w:val="21"/>
                <w:highlight w:val="none"/>
                <w:lang w:val="en-US" w:eastAsia="zh-CN"/>
              </w:rPr>
              <w:t>白杨</w:t>
            </w:r>
            <w:r>
              <w:rPr>
                <w:rFonts w:hint="eastAsia" w:ascii="Times New Roman" w:hAnsi="Times New Roman" w:cs="Times New Roman"/>
                <w:b/>
                <w:bCs w:val="0"/>
                <w:color w:val="000000"/>
                <w:sz w:val="21"/>
                <w:szCs w:val="21"/>
                <w:highlight w:val="none"/>
                <w:lang w:val="en-US" w:eastAsia="zh-CN"/>
              </w:rPr>
              <w:t>河</w:t>
            </w:r>
            <w:r>
              <w:rPr>
                <w:rFonts w:hint="default" w:ascii="Times New Roman" w:hAnsi="Times New Roman" w:cs="Times New Roman"/>
                <w:b/>
                <w:bCs w:val="0"/>
                <w:color w:val="000000"/>
                <w:sz w:val="21"/>
                <w:szCs w:val="21"/>
                <w:highlight w:val="none"/>
              </w:rPr>
              <w:t>水质监测及评价结果</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3"/>
              <w:gridCol w:w="2220"/>
              <w:gridCol w:w="912"/>
              <w:gridCol w:w="1280"/>
              <w:gridCol w:w="1085"/>
              <w:gridCol w:w="888"/>
              <w:gridCol w:w="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95"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序号</w:t>
                  </w:r>
                </w:p>
              </w:tc>
              <w:tc>
                <w:tcPr>
                  <w:tcW w:w="1431"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指标</w:t>
                  </w:r>
                </w:p>
              </w:tc>
              <w:tc>
                <w:tcPr>
                  <w:tcW w:w="588"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单位</w:t>
                  </w:r>
                </w:p>
              </w:tc>
              <w:tc>
                <w:tcPr>
                  <w:tcW w:w="825"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标准值</w:t>
                  </w:r>
                </w:p>
              </w:tc>
              <w:tc>
                <w:tcPr>
                  <w:tcW w:w="699"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监测值</w:t>
                  </w:r>
                </w:p>
              </w:tc>
              <w:tc>
                <w:tcPr>
                  <w:tcW w:w="572"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污染</w:t>
                  </w:r>
                </w:p>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指数</w:t>
                  </w:r>
                </w:p>
              </w:tc>
              <w:tc>
                <w:tcPr>
                  <w:tcW w:w="486"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是否</w:t>
                  </w:r>
                </w:p>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95"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1</w:t>
                  </w:r>
                </w:p>
              </w:tc>
              <w:tc>
                <w:tcPr>
                  <w:tcW w:w="1431"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pH</w:t>
                  </w:r>
                </w:p>
              </w:tc>
              <w:tc>
                <w:tcPr>
                  <w:tcW w:w="588"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w:t>
                  </w:r>
                </w:p>
              </w:tc>
              <w:tc>
                <w:tcPr>
                  <w:tcW w:w="825"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zh-CN" w:eastAsia="zh-CN"/>
                    </w:rPr>
                  </w:pPr>
                  <w:r>
                    <w:rPr>
                      <w:rFonts w:hint="default" w:ascii="Times New Roman" w:hAnsi="Times New Roman" w:eastAsia="宋体" w:cs="Times New Roman"/>
                      <w:b w:val="0"/>
                      <w:bCs/>
                      <w:sz w:val="21"/>
                      <w:szCs w:val="21"/>
                      <w:highlight w:val="none"/>
                      <w:lang w:val="zh-CN" w:eastAsia="zh-CN"/>
                    </w:rPr>
                    <w:t>6-9</w:t>
                  </w:r>
                </w:p>
              </w:tc>
              <w:tc>
                <w:tcPr>
                  <w:tcW w:w="699"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8.48</w:t>
                  </w:r>
                </w:p>
              </w:tc>
              <w:tc>
                <w:tcPr>
                  <w:tcW w:w="572"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0.74</w:t>
                  </w:r>
                </w:p>
              </w:tc>
              <w:tc>
                <w:tcPr>
                  <w:tcW w:w="486"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95"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2</w:t>
                  </w:r>
                </w:p>
              </w:tc>
              <w:tc>
                <w:tcPr>
                  <w:tcW w:w="1431"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溶解氧</w:t>
                  </w:r>
                </w:p>
              </w:tc>
              <w:tc>
                <w:tcPr>
                  <w:tcW w:w="588"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mg/L</w:t>
                  </w:r>
                </w:p>
              </w:tc>
              <w:tc>
                <w:tcPr>
                  <w:tcW w:w="825"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≥5</w:t>
                  </w:r>
                </w:p>
              </w:tc>
              <w:tc>
                <w:tcPr>
                  <w:tcW w:w="699"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12.7</w:t>
                  </w:r>
                </w:p>
              </w:tc>
              <w:tc>
                <w:tcPr>
                  <w:tcW w:w="572"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0.394</w:t>
                  </w:r>
                </w:p>
              </w:tc>
              <w:tc>
                <w:tcPr>
                  <w:tcW w:w="486" w:type="pct"/>
                  <w:noWrap w:val="0"/>
                  <w:vAlign w:val="center"/>
                </w:tcPr>
                <w:p>
                  <w:pPr>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395"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3</w:t>
                  </w:r>
                </w:p>
              </w:tc>
              <w:tc>
                <w:tcPr>
                  <w:tcW w:w="1431"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氨氮（以N计）</w:t>
                  </w:r>
                </w:p>
              </w:tc>
              <w:tc>
                <w:tcPr>
                  <w:tcW w:w="588"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mg/L</w:t>
                  </w:r>
                </w:p>
              </w:tc>
              <w:tc>
                <w:tcPr>
                  <w:tcW w:w="825"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zh-CN" w:eastAsia="zh-CN"/>
                    </w:rPr>
                    <w:t>≤</w:t>
                  </w:r>
                  <w:r>
                    <w:rPr>
                      <w:rFonts w:hint="eastAsia" w:ascii="Times New Roman" w:hAnsi="Times New Roman" w:eastAsia="宋体" w:cs="Times New Roman"/>
                      <w:b w:val="0"/>
                      <w:bCs/>
                      <w:sz w:val="21"/>
                      <w:szCs w:val="21"/>
                      <w:highlight w:val="none"/>
                      <w:lang w:val="en-US" w:eastAsia="zh-CN"/>
                    </w:rPr>
                    <w:t>1.0</w:t>
                  </w:r>
                </w:p>
              </w:tc>
              <w:tc>
                <w:tcPr>
                  <w:tcW w:w="699"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0.091</w:t>
                  </w:r>
                </w:p>
              </w:tc>
              <w:tc>
                <w:tcPr>
                  <w:tcW w:w="572"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0.091</w:t>
                  </w:r>
                </w:p>
              </w:tc>
              <w:tc>
                <w:tcPr>
                  <w:tcW w:w="486" w:type="pct"/>
                  <w:noWrap w:val="0"/>
                  <w:vAlign w:val="center"/>
                </w:tcPr>
                <w:p>
                  <w:pPr>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95"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4</w:t>
                  </w:r>
                </w:p>
              </w:tc>
              <w:tc>
                <w:tcPr>
                  <w:tcW w:w="1431"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硝酸盐（以N计）</w:t>
                  </w:r>
                </w:p>
              </w:tc>
              <w:tc>
                <w:tcPr>
                  <w:tcW w:w="588" w:type="pct"/>
                  <w:noWrap w:val="0"/>
                  <w:vAlign w:val="center"/>
                </w:tcPr>
                <w:p>
                  <w:pPr>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mg/L</w:t>
                  </w:r>
                </w:p>
              </w:tc>
              <w:tc>
                <w:tcPr>
                  <w:tcW w:w="825"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zh-CN" w:eastAsia="zh-CN"/>
                    </w:rPr>
                    <w:t>≤</w:t>
                  </w:r>
                  <w:r>
                    <w:rPr>
                      <w:rFonts w:hint="eastAsia" w:ascii="Times New Roman" w:hAnsi="Times New Roman" w:eastAsia="宋体" w:cs="Times New Roman"/>
                      <w:b w:val="0"/>
                      <w:bCs/>
                      <w:sz w:val="21"/>
                      <w:szCs w:val="21"/>
                      <w:highlight w:val="none"/>
                      <w:lang w:val="en-US" w:eastAsia="zh-CN"/>
                    </w:rPr>
                    <w:t>10</w:t>
                  </w:r>
                </w:p>
              </w:tc>
              <w:tc>
                <w:tcPr>
                  <w:tcW w:w="699"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2.14</w:t>
                  </w:r>
                </w:p>
              </w:tc>
              <w:tc>
                <w:tcPr>
                  <w:tcW w:w="572"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0.214</w:t>
                  </w:r>
                </w:p>
              </w:tc>
              <w:tc>
                <w:tcPr>
                  <w:tcW w:w="486" w:type="pct"/>
                  <w:noWrap w:val="0"/>
                  <w:vAlign w:val="center"/>
                </w:tcPr>
                <w:p>
                  <w:pPr>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95"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5</w:t>
                  </w:r>
                </w:p>
              </w:tc>
              <w:tc>
                <w:tcPr>
                  <w:tcW w:w="1431"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高锰酸盐指数</w:t>
                  </w:r>
                </w:p>
              </w:tc>
              <w:tc>
                <w:tcPr>
                  <w:tcW w:w="588"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mg/L</w:t>
                  </w:r>
                </w:p>
              </w:tc>
              <w:tc>
                <w:tcPr>
                  <w:tcW w:w="825"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zh-CN" w:eastAsia="zh-CN"/>
                    </w:rPr>
                    <w:t>≤</w:t>
                  </w:r>
                  <w:r>
                    <w:rPr>
                      <w:rFonts w:hint="eastAsia" w:ascii="Times New Roman" w:hAnsi="Times New Roman" w:eastAsia="宋体" w:cs="Times New Roman"/>
                      <w:b w:val="0"/>
                      <w:bCs/>
                      <w:sz w:val="21"/>
                      <w:szCs w:val="21"/>
                      <w:highlight w:val="none"/>
                      <w:lang w:val="en-US" w:eastAsia="zh-CN"/>
                    </w:rPr>
                    <w:t>6</w:t>
                  </w:r>
                </w:p>
              </w:tc>
              <w:tc>
                <w:tcPr>
                  <w:tcW w:w="699"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0.7</w:t>
                  </w:r>
                </w:p>
              </w:tc>
              <w:tc>
                <w:tcPr>
                  <w:tcW w:w="572"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0.117</w:t>
                  </w:r>
                </w:p>
              </w:tc>
              <w:tc>
                <w:tcPr>
                  <w:tcW w:w="486" w:type="pct"/>
                  <w:noWrap w:val="0"/>
                  <w:vAlign w:val="center"/>
                </w:tcPr>
                <w:p>
                  <w:pPr>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95"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6</w:t>
                  </w:r>
                </w:p>
              </w:tc>
              <w:tc>
                <w:tcPr>
                  <w:tcW w:w="1431"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氟化物</w:t>
                  </w:r>
                </w:p>
              </w:tc>
              <w:tc>
                <w:tcPr>
                  <w:tcW w:w="588"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mg/L</w:t>
                  </w:r>
                </w:p>
              </w:tc>
              <w:tc>
                <w:tcPr>
                  <w:tcW w:w="825"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zh-CN" w:eastAsia="zh-CN"/>
                    </w:rPr>
                    <w:t>≤</w:t>
                  </w:r>
                  <w:r>
                    <w:rPr>
                      <w:rFonts w:hint="eastAsia" w:ascii="Times New Roman" w:hAnsi="Times New Roman" w:eastAsia="宋体" w:cs="Times New Roman"/>
                      <w:b w:val="0"/>
                      <w:bCs/>
                      <w:sz w:val="21"/>
                      <w:szCs w:val="21"/>
                      <w:highlight w:val="none"/>
                      <w:lang w:val="en-US" w:eastAsia="zh-CN"/>
                    </w:rPr>
                    <w:t>1.0</w:t>
                  </w:r>
                </w:p>
              </w:tc>
              <w:tc>
                <w:tcPr>
                  <w:tcW w:w="699"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0.16</w:t>
                  </w:r>
                </w:p>
              </w:tc>
              <w:tc>
                <w:tcPr>
                  <w:tcW w:w="572"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0.16</w:t>
                  </w:r>
                </w:p>
              </w:tc>
              <w:tc>
                <w:tcPr>
                  <w:tcW w:w="486" w:type="pct"/>
                  <w:noWrap w:val="0"/>
                  <w:vAlign w:val="center"/>
                </w:tcPr>
                <w:p>
                  <w:pPr>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95"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7</w:t>
                  </w:r>
                </w:p>
              </w:tc>
              <w:tc>
                <w:tcPr>
                  <w:tcW w:w="1431" w:type="pct"/>
                  <w:noWrap w:val="0"/>
                  <w:vAlign w:val="center"/>
                </w:tcPr>
                <w:p>
                  <w:pPr>
                    <w:pStyle w:val="95"/>
                    <w:spacing w:line="240" w:lineRule="auto"/>
                    <w:ind w:left="0" w:leftChars="0" w:right="-36" w:rightChars="-15" w:firstLine="0" w:firstLineChars="0"/>
                    <w:jc w:val="center"/>
                    <w:rPr>
                      <w:rFonts w:hint="eastAsia"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砷</w:t>
                  </w:r>
                </w:p>
              </w:tc>
              <w:tc>
                <w:tcPr>
                  <w:tcW w:w="588"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mg/L</w:t>
                  </w:r>
                </w:p>
              </w:tc>
              <w:tc>
                <w:tcPr>
                  <w:tcW w:w="825"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zh-CN" w:eastAsia="zh-CN"/>
                    </w:rPr>
                    <w:t>≤</w:t>
                  </w:r>
                  <w:r>
                    <w:rPr>
                      <w:rFonts w:hint="default" w:ascii="Times New Roman" w:hAnsi="Times New Roman" w:eastAsia="宋体" w:cs="Times New Roman"/>
                      <w:b w:val="0"/>
                      <w:bCs/>
                      <w:sz w:val="21"/>
                      <w:szCs w:val="21"/>
                      <w:highlight w:val="none"/>
                      <w:lang w:val="en-US" w:eastAsia="zh-CN"/>
                    </w:rPr>
                    <w:t>0.0</w:t>
                  </w:r>
                  <w:r>
                    <w:rPr>
                      <w:rFonts w:hint="eastAsia" w:ascii="Times New Roman" w:hAnsi="Times New Roman" w:eastAsia="宋体" w:cs="Times New Roman"/>
                      <w:b w:val="0"/>
                      <w:bCs/>
                      <w:sz w:val="21"/>
                      <w:szCs w:val="21"/>
                      <w:highlight w:val="none"/>
                      <w:lang w:val="en-US" w:eastAsia="zh-CN"/>
                    </w:rPr>
                    <w:t>5</w:t>
                  </w:r>
                </w:p>
              </w:tc>
              <w:tc>
                <w:tcPr>
                  <w:tcW w:w="699"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&lt;0.001</w:t>
                  </w:r>
                </w:p>
              </w:tc>
              <w:tc>
                <w:tcPr>
                  <w:tcW w:w="572"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0.02</w:t>
                  </w:r>
                </w:p>
              </w:tc>
              <w:tc>
                <w:tcPr>
                  <w:tcW w:w="486" w:type="pct"/>
                  <w:noWrap w:val="0"/>
                  <w:vAlign w:val="center"/>
                </w:tcPr>
                <w:p>
                  <w:pPr>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95"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8</w:t>
                  </w:r>
                </w:p>
              </w:tc>
              <w:tc>
                <w:tcPr>
                  <w:tcW w:w="1431" w:type="pct"/>
                  <w:noWrap w:val="0"/>
                  <w:vAlign w:val="center"/>
                </w:tcPr>
                <w:p>
                  <w:pPr>
                    <w:pStyle w:val="95"/>
                    <w:spacing w:line="240" w:lineRule="auto"/>
                    <w:ind w:left="0" w:leftChars="0" w:right="-36" w:rightChars="-15" w:firstLine="0" w:firstLineChars="0"/>
                    <w:jc w:val="center"/>
                    <w:rPr>
                      <w:rFonts w:hint="eastAsia"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汞</w:t>
                  </w:r>
                </w:p>
              </w:tc>
              <w:tc>
                <w:tcPr>
                  <w:tcW w:w="588"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mg/L</w:t>
                  </w:r>
                </w:p>
              </w:tc>
              <w:tc>
                <w:tcPr>
                  <w:tcW w:w="825"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zh-CN" w:eastAsia="zh-CN"/>
                    </w:rPr>
                    <w:t>≤</w:t>
                  </w:r>
                  <w:r>
                    <w:rPr>
                      <w:rFonts w:hint="default" w:ascii="Times New Roman" w:hAnsi="Times New Roman" w:eastAsia="宋体" w:cs="Times New Roman"/>
                      <w:b w:val="0"/>
                      <w:bCs/>
                      <w:sz w:val="21"/>
                      <w:szCs w:val="21"/>
                      <w:highlight w:val="none"/>
                      <w:lang w:val="en-US" w:eastAsia="zh-CN"/>
                    </w:rPr>
                    <w:t>0.00</w:t>
                  </w:r>
                  <w:r>
                    <w:rPr>
                      <w:rFonts w:hint="eastAsia" w:ascii="Times New Roman" w:hAnsi="Times New Roman" w:eastAsia="宋体" w:cs="Times New Roman"/>
                      <w:b w:val="0"/>
                      <w:bCs/>
                      <w:sz w:val="21"/>
                      <w:szCs w:val="21"/>
                      <w:highlight w:val="none"/>
                      <w:lang w:val="en-US" w:eastAsia="zh-CN"/>
                    </w:rPr>
                    <w:t>0</w:t>
                  </w:r>
                  <w:r>
                    <w:rPr>
                      <w:rFonts w:hint="default" w:ascii="Times New Roman" w:hAnsi="Times New Roman" w:eastAsia="宋体" w:cs="Times New Roman"/>
                      <w:b w:val="0"/>
                      <w:bCs/>
                      <w:sz w:val="21"/>
                      <w:szCs w:val="21"/>
                      <w:highlight w:val="none"/>
                      <w:lang w:val="en-US" w:eastAsia="zh-CN"/>
                    </w:rPr>
                    <w:t>1</w:t>
                  </w:r>
                </w:p>
              </w:tc>
              <w:tc>
                <w:tcPr>
                  <w:tcW w:w="699"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&lt;0.0001</w:t>
                  </w:r>
                </w:p>
              </w:tc>
              <w:tc>
                <w:tcPr>
                  <w:tcW w:w="572"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1</w:t>
                  </w:r>
                </w:p>
              </w:tc>
              <w:tc>
                <w:tcPr>
                  <w:tcW w:w="486" w:type="pct"/>
                  <w:noWrap w:val="0"/>
                  <w:vAlign w:val="center"/>
                </w:tcPr>
                <w:p>
                  <w:pPr>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95"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9</w:t>
                  </w:r>
                </w:p>
              </w:tc>
              <w:tc>
                <w:tcPr>
                  <w:tcW w:w="1431"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镉</w:t>
                  </w:r>
                </w:p>
              </w:tc>
              <w:tc>
                <w:tcPr>
                  <w:tcW w:w="588"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mg/L</w:t>
                  </w:r>
                </w:p>
              </w:tc>
              <w:tc>
                <w:tcPr>
                  <w:tcW w:w="825"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zh-CN" w:eastAsia="zh-CN"/>
                    </w:rPr>
                    <w:t>≤0.005</w:t>
                  </w:r>
                </w:p>
              </w:tc>
              <w:tc>
                <w:tcPr>
                  <w:tcW w:w="699"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&lt;0.005</w:t>
                  </w:r>
                </w:p>
              </w:tc>
              <w:tc>
                <w:tcPr>
                  <w:tcW w:w="572"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1</w:t>
                  </w:r>
                </w:p>
              </w:tc>
              <w:tc>
                <w:tcPr>
                  <w:tcW w:w="486" w:type="pct"/>
                  <w:noWrap w:val="0"/>
                  <w:vAlign w:val="center"/>
                </w:tcPr>
                <w:p>
                  <w:pPr>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95"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10</w:t>
                  </w:r>
                </w:p>
              </w:tc>
              <w:tc>
                <w:tcPr>
                  <w:tcW w:w="1431"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六价铬</w:t>
                  </w:r>
                </w:p>
              </w:tc>
              <w:tc>
                <w:tcPr>
                  <w:tcW w:w="588"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mg/L</w:t>
                  </w:r>
                </w:p>
              </w:tc>
              <w:tc>
                <w:tcPr>
                  <w:tcW w:w="825"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zh-CN" w:eastAsia="zh-CN"/>
                    </w:rPr>
                  </w:pPr>
                  <w:r>
                    <w:rPr>
                      <w:rFonts w:hint="default" w:ascii="Times New Roman" w:hAnsi="Times New Roman" w:eastAsia="宋体" w:cs="Times New Roman"/>
                      <w:b w:val="0"/>
                      <w:bCs/>
                      <w:sz w:val="21"/>
                      <w:szCs w:val="21"/>
                      <w:highlight w:val="none"/>
                      <w:lang w:val="zh-CN" w:eastAsia="zh-CN"/>
                    </w:rPr>
                    <w:t>≤</w:t>
                  </w:r>
                  <w:r>
                    <w:rPr>
                      <w:rFonts w:hint="default" w:ascii="Times New Roman" w:hAnsi="Times New Roman" w:eastAsia="宋体" w:cs="Times New Roman"/>
                      <w:b w:val="0"/>
                      <w:bCs/>
                      <w:sz w:val="21"/>
                      <w:szCs w:val="21"/>
                      <w:highlight w:val="none"/>
                      <w:lang w:val="en-US" w:eastAsia="zh-CN"/>
                    </w:rPr>
                    <w:t>0.0</w:t>
                  </w:r>
                  <w:r>
                    <w:rPr>
                      <w:rFonts w:hint="eastAsia" w:ascii="Times New Roman" w:hAnsi="Times New Roman" w:eastAsia="宋体" w:cs="Times New Roman"/>
                      <w:b w:val="0"/>
                      <w:bCs/>
                      <w:sz w:val="21"/>
                      <w:szCs w:val="21"/>
                      <w:highlight w:val="none"/>
                      <w:lang w:val="en-US" w:eastAsia="zh-CN"/>
                    </w:rPr>
                    <w:t>5</w:t>
                  </w:r>
                </w:p>
              </w:tc>
              <w:tc>
                <w:tcPr>
                  <w:tcW w:w="699"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&lt;0.004</w:t>
                  </w:r>
                </w:p>
              </w:tc>
              <w:tc>
                <w:tcPr>
                  <w:tcW w:w="572"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0.08</w:t>
                  </w:r>
                </w:p>
              </w:tc>
              <w:tc>
                <w:tcPr>
                  <w:tcW w:w="486" w:type="pct"/>
                  <w:noWrap w:val="0"/>
                  <w:vAlign w:val="center"/>
                </w:tcPr>
                <w:p>
                  <w:pPr>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95"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11</w:t>
                  </w:r>
                </w:p>
              </w:tc>
              <w:tc>
                <w:tcPr>
                  <w:tcW w:w="1431"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铅</w:t>
                  </w:r>
                </w:p>
              </w:tc>
              <w:tc>
                <w:tcPr>
                  <w:tcW w:w="588"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mg/L</w:t>
                  </w:r>
                </w:p>
              </w:tc>
              <w:tc>
                <w:tcPr>
                  <w:tcW w:w="825"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zh-CN" w:eastAsia="zh-CN"/>
                    </w:rPr>
                  </w:pPr>
                  <w:r>
                    <w:rPr>
                      <w:rFonts w:hint="default" w:ascii="Times New Roman" w:hAnsi="Times New Roman" w:eastAsia="宋体" w:cs="Times New Roman"/>
                      <w:b w:val="0"/>
                      <w:bCs/>
                      <w:sz w:val="21"/>
                      <w:szCs w:val="21"/>
                      <w:highlight w:val="none"/>
                      <w:lang w:val="zh-CN" w:eastAsia="zh-CN"/>
                    </w:rPr>
                    <w:t>≤</w:t>
                  </w:r>
                  <w:r>
                    <w:rPr>
                      <w:rFonts w:hint="default" w:ascii="Times New Roman" w:hAnsi="Times New Roman" w:eastAsia="宋体" w:cs="Times New Roman"/>
                      <w:b w:val="0"/>
                      <w:bCs/>
                      <w:sz w:val="21"/>
                      <w:szCs w:val="21"/>
                      <w:highlight w:val="none"/>
                      <w:lang w:val="en-US" w:eastAsia="zh-CN"/>
                    </w:rPr>
                    <w:t>0.0</w:t>
                  </w:r>
                  <w:r>
                    <w:rPr>
                      <w:rFonts w:hint="eastAsia" w:ascii="Times New Roman" w:hAnsi="Times New Roman" w:eastAsia="宋体" w:cs="Times New Roman"/>
                      <w:b w:val="0"/>
                      <w:bCs/>
                      <w:sz w:val="21"/>
                      <w:szCs w:val="21"/>
                      <w:highlight w:val="none"/>
                      <w:lang w:val="en-US" w:eastAsia="zh-CN"/>
                    </w:rPr>
                    <w:t>5</w:t>
                  </w:r>
                </w:p>
              </w:tc>
              <w:tc>
                <w:tcPr>
                  <w:tcW w:w="699"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&lt;0.001</w:t>
                  </w:r>
                </w:p>
              </w:tc>
              <w:tc>
                <w:tcPr>
                  <w:tcW w:w="572"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0.02</w:t>
                  </w:r>
                </w:p>
              </w:tc>
              <w:tc>
                <w:tcPr>
                  <w:tcW w:w="486" w:type="pct"/>
                  <w:noWrap w:val="0"/>
                  <w:vAlign w:val="center"/>
                </w:tcPr>
                <w:p>
                  <w:pPr>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395"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12</w:t>
                  </w:r>
                </w:p>
              </w:tc>
              <w:tc>
                <w:tcPr>
                  <w:tcW w:w="1431"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氰化</w:t>
                  </w:r>
                  <w:r>
                    <w:rPr>
                      <w:rFonts w:hint="eastAsia" w:ascii="Times New Roman" w:hAnsi="Times New Roman" w:eastAsia="宋体" w:cs="Times New Roman"/>
                      <w:b w:val="0"/>
                      <w:bCs/>
                      <w:sz w:val="21"/>
                      <w:szCs w:val="21"/>
                      <w:highlight w:val="none"/>
                      <w:lang w:val="en-US" w:eastAsia="zh-CN"/>
                    </w:rPr>
                    <w:t>物</w:t>
                  </w:r>
                </w:p>
              </w:tc>
              <w:tc>
                <w:tcPr>
                  <w:tcW w:w="588"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mg/L</w:t>
                  </w:r>
                </w:p>
              </w:tc>
              <w:tc>
                <w:tcPr>
                  <w:tcW w:w="825"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zh-CN" w:eastAsia="zh-CN"/>
                    </w:rPr>
                  </w:pPr>
                  <w:r>
                    <w:rPr>
                      <w:rFonts w:hint="default" w:ascii="Times New Roman" w:hAnsi="Times New Roman" w:eastAsia="宋体" w:cs="Times New Roman"/>
                      <w:b w:val="0"/>
                      <w:bCs/>
                      <w:sz w:val="21"/>
                      <w:szCs w:val="21"/>
                      <w:highlight w:val="none"/>
                      <w:lang w:val="zh-CN" w:eastAsia="zh-CN"/>
                    </w:rPr>
                    <w:t>≤</w:t>
                  </w:r>
                  <w:r>
                    <w:rPr>
                      <w:rFonts w:hint="default" w:ascii="Times New Roman" w:hAnsi="Times New Roman" w:eastAsia="宋体" w:cs="Times New Roman"/>
                      <w:b w:val="0"/>
                      <w:bCs/>
                      <w:sz w:val="21"/>
                      <w:szCs w:val="21"/>
                      <w:highlight w:val="none"/>
                      <w:lang w:val="en-US" w:eastAsia="zh-CN"/>
                    </w:rPr>
                    <w:t>0.</w:t>
                  </w:r>
                  <w:r>
                    <w:rPr>
                      <w:rFonts w:hint="eastAsia" w:ascii="Times New Roman" w:hAnsi="Times New Roman" w:eastAsia="宋体" w:cs="Times New Roman"/>
                      <w:b w:val="0"/>
                      <w:bCs/>
                      <w:sz w:val="21"/>
                      <w:szCs w:val="21"/>
                      <w:highlight w:val="none"/>
                      <w:lang w:val="en-US" w:eastAsia="zh-CN"/>
                    </w:rPr>
                    <w:t>2</w:t>
                  </w:r>
                </w:p>
              </w:tc>
              <w:tc>
                <w:tcPr>
                  <w:tcW w:w="699"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&lt;0.002</w:t>
                  </w:r>
                </w:p>
              </w:tc>
              <w:tc>
                <w:tcPr>
                  <w:tcW w:w="572"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0.01</w:t>
                  </w:r>
                </w:p>
              </w:tc>
              <w:tc>
                <w:tcPr>
                  <w:tcW w:w="486" w:type="pct"/>
                  <w:noWrap w:val="0"/>
                  <w:vAlign w:val="center"/>
                </w:tcPr>
                <w:p>
                  <w:pPr>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95"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13</w:t>
                  </w:r>
                </w:p>
              </w:tc>
              <w:tc>
                <w:tcPr>
                  <w:tcW w:w="1431"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挥发酚类（以苯酚计）</w:t>
                  </w:r>
                </w:p>
              </w:tc>
              <w:tc>
                <w:tcPr>
                  <w:tcW w:w="588"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mg/L</w:t>
                  </w:r>
                </w:p>
              </w:tc>
              <w:tc>
                <w:tcPr>
                  <w:tcW w:w="825"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zh-CN" w:eastAsia="zh-CN"/>
                    </w:rPr>
                  </w:pPr>
                  <w:r>
                    <w:rPr>
                      <w:rFonts w:hint="default" w:ascii="Times New Roman" w:hAnsi="Times New Roman" w:eastAsia="宋体" w:cs="Times New Roman"/>
                      <w:b w:val="0"/>
                      <w:bCs/>
                      <w:sz w:val="21"/>
                      <w:szCs w:val="21"/>
                      <w:highlight w:val="none"/>
                      <w:lang w:val="zh-CN" w:eastAsia="zh-CN"/>
                    </w:rPr>
                    <w:t>≤</w:t>
                  </w:r>
                  <w:r>
                    <w:rPr>
                      <w:rFonts w:hint="default" w:ascii="Times New Roman" w:hAnsi="Times New Roman" w:eastAsia="宋体" w:cs="Times New Roman"/>
                      <w:b w:val="0"/>
                      <w:bCs/>
                      <w:sz w:val="21"/>
                      <w:szCs w:val="21"/>
                      <w:highlight w:val="none"/>
                      <w:lang w:val="en-US" w:eastAsia="zh-CN"/>
                    </w:rPr>
                    <w:t>0.00</w:t>
                  </w:r>
                  <w:r>
                    <w:rPr>
                      <w:rFonts w:hint="eastAsia" w:ascii="Times New Roman" w:hAnsi="Times New Roman" w:eastAsia="宋体" w:cs="Times New Roman"/>
                      <w:b w:val="0"/>
                      <w:bCs/>
                      <w:sz w:val="21"/>
                      <w:szCs w:val="21"/>
                      <w:highlight w:val="none"/>
                      <w:lang w:val="en-US" w:eastAsia="zh-CN"/>
                    </w:rPr>
                    <w:t>5</w:t>
                  </w:r>
                </w:p>
              </w:tc>
              <w:tc>
                <w:tcPr>
                  <w:tcW w:w="699"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&lt;0.002</w:t>
                  </w:r>
                </w:p>
              </w:tc>
              <w:tc>
                <w:tcPr>
                  <w:tcW w:w="572"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0.4</w:t>
                  </w:r>
                </w:p>
              </w:tc>
              <w:tc>
                <w:tcPr>
                  <w:tcW w:w="486" w:type="pct"/>
                  <w:noWrap w:val="0"/>
                  <w:vAlign w:val="center"/>
                </w:tcPr>
                <w:p>
                  <w:pPr>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95"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14</w:t>
                  </w:r>
                </w:p>
              </w:tc>
              <w:tc>
                <w:tcPr>
                  <w:tcW w:w="1431"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硫酸盐</w:t>
                  </w:r>
                </w:p>
              </w:tc>
              <w:tc>
                <w:tcPr>
                  <w:tcW w:w="588"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mg/L</w:t>
                  </w:r>
                </w:p>
              </w:tc>
              <w:tc>
                <w:tcPr>
                  <w:tcW w:w="825"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250</w:t>
                  </w:r>
                </w:p>
              </w:tc>
              <w:tc>
                <w:tcPr>
                  <w:tcW w:w="699"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80.6</w:t>
                  </w:r>
                </w:p>
              </w:tc>
              <w:tc>
                <w:tcPr>
                  <w:tcW w:w="572"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0.3224</w:t>
                  </w:r>
                </w:p>
              </w:tc>
              <w:tc>
                <w:tcPr>
                  <w:tcW w:w="486" w:type="pct"/>
                  <w:noWrap w:val="0"/>
                  <w:vAlign w:val="center"/>
                </w:tcPr>
                <w:p>
                  <w:pPr>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95"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15</w:t>
                  </w:r>
                </w:p>
              </w:tc>
              <w:tc>
                <w:tcPr>
                  <w:tcW w:w="1431"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氯化物</w:t>
                  </w:r>
                </w:p>
              </w:tc>
              <w:tc>
                <w:tcPr>
                  <w:tcW w:w="588"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mg/L</w:t>
                  </w:r>
                </w:p>
              </w:tc>
              <w:tc>
                <w:tcPr>
                  <w:tcW w:w="825"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250</w:t>
                  </w:r>
                </w:p>
              </w:tc>
              <w:tc>
                <w:tcPr>
                  <w:tcW w:w="699"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7.1</w:t>
                  </w:r>
                </w:p>
              </w:tc>
              <w:tc>
                <w:tcPr>
                  <w:tcW w:w="572"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0.0284</w:t>
                  </w:r>
                </w:p>
              </w:tc>
              <w:tc>
                <w:tcPr>
                  <w:tcW w:w="486" w:type="pct"/>
                  <w:noWrap w:val="0"/>
                  <w:vAlign w:val="center"/>
                </w:tcPr>
                <w:p>
                  <w:pPr>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95"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16</w:t>
                  </w:r>
                </w:p>
              </w:tc>
              <w:tc>
                <w:tcPr>
                  <w:tcW w:w="1431"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阴离子表面活性剂</w:t>
                  </w:r>
                </w:p>
              </w:tc>
              <w:tc>
                <w:tcPr>
                  <w:tcW w:w="588"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mg/L</w:t>
                  </w:r>
                </w:p>
              </w:tc>
              <w:tc>
                <w:tcPr>
                  <w:tcW w:w="825"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zh-CN" w:eastAsia="zh-CN"/>
                    </w:rPr>
                  </w:pPr>
                  <w:r>
                    <w:rPr>
                      <w:rFonts w:hint="default" w:ascii="Times New Roman" w:hAnsi="Times New Roman" w:eastAsia="宋体" w:cs="Times New Roman"/>
                      <w:b w:val="0"/>
                      <w:bCs/>
                      <w:sz w:val="21"/>
                      <w:szCs w:val="21"/>
                      <w:highlight w:val="none"/>
                      <w:lang w:val="zh-CN" w:eastAsia="zh-CN"/>
                    </w:rPr>
                    <w:t>≤</w:t>
                  </w:r>
                  <w:r>
                    <w:rPr>
                      <w:rFonts w:hint="default" w:ascii="Times New Roman" w:hAnsi="Times New Roman" w:eastAsia="宋体" w:cs="Times New Roman"/>
                      <w:b w:val="0"/>
                      <w:bCs/>
                      <w:sz w:val="21"/>
                      <w:szCs w:val="21"/>
                      <w:highlight w:val="none"/>
                      <w:lang w:val="en-US" w:eastAsia="zh-CN"/>
                    </w:rPr>
                    <w:t>0.</w:t>
                  </w:r>
                  <w:r>
                    <w:rPr>
                      <w:rFonts w:hint="eastAsia" w:ascii="Times New Roman" w:hAnsi="Times New Roman" w:eastAsia="宋体" w:cs="Times New Roman"/>
                      <w:b w:val="0"/>
                      <w:bCs/>
                      <w:sz w:val="21"/>
                      <w:szCs w:val="21"/>
                      <w:highlight w:val="none"/>
                      <w:lang w:val="en-US" w:eastAsia="zh-CN"/>
                    </w:rPr>
                    <w:t>2</w:t>
                  </w:r>
                </w:p>
              </w:tc>
              <w:tc>
                <w:tcPr>
                  <w:tcW w:w="699"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&lt;0.025</w:t>
                  </w:r>
                </w:p>
              </w:tc>
              <w:tc>
                <w:tcPr>
                  <w:tcW w:w="572"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0.125</w:t>
                  </w:r>
                </w:p>
              </w:tc>
              <w:tc>
                <w:tcPr>
                  <w:tcW w:w="486" w:type="pct"/>
                  <w:noWrap w:val="0"/>
                  <w:vAlign w:val="center"/>
                </w:tcPr>
                <w:p>
                  <w:pPr>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95"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17</w:t>
                  </w:r>
                </w:p>
              </w:tc>
              <w:tc>
                <w:tcPr>
                  <w:tcW w:w="1431"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铜</w:t>
                  </w:r>
                </w:p>
              </w:tc>
              <w:tc>
                <w:tcPr>
                  <w:tcW w:w="588"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mg/L</w:t>
                  </w:r>
                </w:p>
              </w:tc>
              <w:tc>
                <w:tcPr>
                  <w:tcW w:w="825"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zh-CN" w:eastAsia="zh-CN"/>
                    </w:rPr>
                  </w:pPr>
                  <w:r>
                    <w:rPr>
                      <w:rFonts w:hint="default" w:ascii="Times New Roman" w:hAnsi="Times New Roman" w:eastAsia="宋体" w:cs="Times New Roman"/>
                      <w:b w:val="0"/>
                      <w:bCs/>
                      <w:sz w:val="21"/>
                      <w:szCs w:val="21"/>
                      <w:highlight w:val="none"/>
                      <w:lang w:val="zh-CN" w:eastAsia="zh-CN"/>
                    </w:rPr>
                    <w:t>≤</w:t>
                  </w:r>
                  <w:r>
                    <w:rPr>
                      <w:rFonts w:hint="eastAsia" w:ascii="Times New Roman" w:hAnsi="Times New Roman" w:eastAsia="宋体" w:cs="Times New Roman"/>
                      <w:b w:val="0"/>
                      <w:bCs/>
                      <w:sz w:val="21"/>
                      <w:szCs w:val="21"/>
                      <w:highlight w:val="none"/>
                      <w:lang w:val="en-US" w:eastAsia="zh-CN"/>
                    </w:rPr>
                    <w:t>1</w:t>
                  </w:r>
                  <w:r>
                    <w:rPr>
                      <w:rFonts w:hint="default" w:ascii="Times New Roman" w:hAnsi="Times New Roman" w:eastAsia="宋体" w:cs="Times New Roman"/>
                      <w:b w:val="0"/>
                      <w:bCs/>
                      <w:sz w:val="21"/>
                      <w:szCs w:val="21"/>
                      <w:highlight w:val="none"/>
                      <w:lang w:val="en-US" w:eastAsia="zh-CN"/>
                    </w:rPr>
                    <w:t>.</w:t>
                  </w:r>
                  <w:r>
                    <w:rPr>
                      <w:rFonts w:hint="eastAsia" w:ascii="Times New Roman" w:hAnsi="Times New Roman" w:eastAsia="宋体" w:cs="Times New Roman"/>
                      <w:b w:val="0"/>
                      <w:bCs/>
                      <w:sz w:val="21"/>
                      <w:szCs w:val="21"/>
                      <w:highlight w:val="none"/>
                      <w:lang w:val="en-US" w:eastAsia="zh-CN"/>
                    </w:rPr>
                    <w:t>0</w:t>
                  </w:r>
                </w:p>
              </w:tc>
              <w:tc>
                <w:tcPr>
                  <w:tcW w:w="699" w:type="pct"/>
                  <w:noWrap w:val="0"/>
                  <w:vAlign w:val="center"/>
                </w:tcPr>
                <w:p>
                  <w:pPr>
                    <w:pStyle w:val="95"/>
                    <w:spacing w:line="240" w:lineRule="auto"/>
                    <w:ind w:left="0" w:leftChars="0" w:right="-36" w:rightChars="-15" w:firstLine="0" w:firstLineChars="0"/>
                    <w:jc w:val="center"/>
                    <w:rPr>
                      <w:rFonts w:hint="eastAsia"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&lt;0.05</w:t>
                  </w:r>
                </w:p>
              </w:tc>
              <w:tc>
                <w:tcPr>
                  <w:tcW w:w="572"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0.05</w:t>
                  </w:r>
                </w:p>
              </w:tc>
              <w:tc>
                <w:tcPr>
                  <w:tcW w:w="486" w:type="pct"/>
                  <w:noWrap w:val="0"/>
                  <w:vAlign w:val="center"/>
                </w:tcPr>
                <w:p>
                  <w:pPr>
                    <w:spacing w:line="240" w:lineRule="auto"/>
                    <w:ind w:left="0" w:leftChars="0" w:firstLine="0" w:firstLineChars="0"/>
                    <w:jc w:val="center"/>
                    <w:rPr>
                      <w:rFonts w:hint="eastAsia"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95"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18</w:t>
                  </w:r>
                </w:p>
              </w:tc>
              <w:tc>
                <w:tcPr>
                  <w:tcW w:w="1431"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锌</w:t>
                  </w:r>
                </w:p>
              </w:tc>
              <w:tc>
                <w:tcPr>
                  <w:tcW w:w="588"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mg/L</w:t>
                  </w:r>
                </w:p>
              </w:tc>
              <w:tc>
                <w:tcPr>
                  <w:tcW w:w="825"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zh-CN" w:eastAsia="zh-CN"/>
                    </w:rPr>
                  </w:pPr>
                  <w:r>
                    <w:rPr>
                      <w:rFonts w:hint="default" w:ascii="Times New Roman" w:hAnsi="Times New Roman" w:eastAsia="宋体" w:cs="Times New Roman"/>
                      <w:b w:val="0"/>
                      <w:bCs/>
                      <w:sz w:val="21"/>
                      <w:szCs w:val="21"/>
                      <w:highlight w:val="none"/>
                      <w:lang w:val="zh-CN" w:eastAsia="zh-CN"/>
                    </w:rPr>
                    <w:t>≤</w:t>
                  </w:r>
                  <w:r>
                    <w:rPr>
                      <w:rFonts w:hint="eastAsia" w:ascii="Times New Roman" w:hAnsi="Times New Roman" w:eastAsia="宋体" w:cs="Times New Roman"/>
                      <w:b w:val="0"/>
                      <w:bCs/>
                      <w:sz w:val="21"/>
                      <w:szCs w:val="21"/>
                      <w:highlight w:val="none"/>
                      <w:lang w:val="en-US" w:eastAsia="zh-CN"/>
                    </w:rPr>
                    <w:t>1</w:t>
                  </w:r>
                  <w:r>
                    <w:rPr>
                      <w:rFonts w:hint="default" w:ascii="Times New Roman" w:hAnsi="Times New Roman" w:eastAsia="宋体" w:cs="Times New Roman"/>
                      <w:b w:val="0"/>
                      <w:bCs/>
                      <w:sz w:val="21"/>
                      <w:szCs w:val="21"/>
                      <w:highlight w:val="none"/>
                      <w:lang w:val="en-US" w:eastAsia="zh-CN"/>
                    </w:rPr>
                    <w:t>.</w:t>
                  </w:r>
                  <w:r>
                    <w:rPr>
                      <w:rFonts w:hint="eastAsia" w:ascii="Times New Roman" w:hAnsi="Times New Roman" w:eastAsia="宋体" w:cs="Times New Roman"/>
                      <w:b w:val="0"/>
                      <w:bCs/>
                      <w:sz w:val="21"/>
                      <w:szCs w:val="21"/>
                      <w:highlight w:val="none"/>
                      <w:lang w:val="en-US" w:eastAsia="zh-CN"/>
                    </w:rPr>
                    <w:t>0</w:t>
                  </w:r>
                </w:p>
              </w:tc>
              <w:tc>
                <w:tcPr>
                  <w:tcW w:w="699" w:type="pct"/>
                  <w:noWrap w:val="0"/>
                  <w:vAlign w:val="center"/>
                </w:tcPr>
                <w:p>
                  <w:pPr>
                    <w:pStyle w:val="95"/>
                    <w:spacing w:line="240" w:lineRule="auto"/>
                    <w:ind w:left="0" w:leftChars="0" w:right="-36" w:rightChars="-15" w:firstLine="0" w:firstLineChars="0"/>
                    <w:jc w:val="center"/>
                    <w:rPr>
                      <w:rFonts w:hint="eastAsia"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&lt;0.05</w:t>
                  </w:r>
                </w:p>
              </w:tc>
              <w:tc>
                <w:tcPr>
                  <w:tcW w:w="572"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0.05</w:t>
                  </w:r>
                </w:p>
              </w:tc>
              <w:tc>
                <w:tcPr>
                  <w:tcW w:w="486" w:type="pct"/>
                  <w:noWrap w:val="0"/>
                  <w:vAlign w:val="center"/>
                </w:tcPr>
                <w:p>
                  <w:pPr>
                    <w:spacing w:line="240" w:lineRule="auto"/>
                    <w:ind w:left="0" w:leftChars="0" w:firstLine="0" w:firstLineChars="0"/>
                    <w:jc w:val="center"/>
                    <w:rPr>
                      <w:rFonts w:hint="eastAsia"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95"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19</w:t>
                  </w:r>
                </w:p>
              </w:tc>
              <w:tc>
                <w:tcPr>
                  <w:tcW w:w="1431"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硒</w:t>
                  </w:r>
                </w:p>
              </w:tc>
              <w:tc>
                <w:tcPr>
                  <w:tcW w:w="588"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mg/L</w:t>
                  </w:r>
                </w:p>
              </w:tc>
              <w:tc>
                <w:tcPr>
                  <w:tcW w:w="825"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zh-CN" w:eastAsia="zh-CN"/>
                    </w:rPr>
                    <w:t>≤</w:t>
                  </w:r>
                  <w:r>
                    <w:rPr>
                      <w:rFonts w:hint="eastAsia" w:ascii="Times New Roman" w:hAnsi="Times New Roman" w:eastAsia="宋体" w:cs="Times New Roman"/>
                      <w:b w:val="0"/>
                      <w:bCs/>
                      <w:sz w:val="21"/>
                      <w:szCs w:val="21"/>
                      <w:highlight w:val="none"/>
                      <w:lang w:val="en-US" w:eastAsia="zh-CN"/>
                    </w:rPr>
                    <w:t>0.01</w:t>
                  </w:r>
                </w:p>
              </w:tc>
              <w:tc>
                <w:tcPr>
                  <w:tcW w:w="699" w:type="pct"/>
                  <w:noWrap w:val="0"/>
                  <w:vAlign w:val="center"/>
                </w:tcPr>
                <w:p>
                  <w:pPr>
                    <w:pStyle w:val="95"/>
                    <w:spacing w:line="240" w:lineRule="auto"/>
                    <w:ind w:left="0" w:leftChars="0" w:right="-36" w:rightChars="-15" w:firstLine="0" w:firstLineChars="0"/>
                    <w:jc w:val="center"/>
                    <w:rPr>
                      <w:rFonts w:hint="eastAsia"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&lt;0.0004</w:t>
                  </w:r>
                </w:p>
              </w:tc>
              <w:tc>
                <w:tcPr>
                  <w:tcW w:w="572"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0.04</w:t>
                  </w:r>
                </w:p>
              </w:tc>
              <w:tc>
                <w:tcPr>
                  <w:tcW w:w="486" w:type="pct"/>
                  <w:noWrap w:val="0"/>
                  <w:vAlign w:val="center"/>
                </w:tcPr>
                <w:p>
                  <w:pPr>
                    <w:spacing w:line="240" w:lineRule="auto"/>
                    <w:ind w:left="0" w:leftChars="0" w:firstLine="0" w:firstLineChars="0"/>
                    <w:jc w:val="center"/>
                    <w:rPr>
                      <w:rFonts w:hint="eastAsia"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达标</w:t>
                  </w:r>
                </w:p>
              </w:tc>
            </w:tr>
          </w:tbl>
          <w:p>
            <w:pPr>
              <w:adjustRightInd w:val="0"/>
              <w:snapToGrid w:val="0"/>
              <w:spacing w:line="360" w:lineRule="auto"/>
              <w:ind w:firstLine="480" w:firstLineChars="200"/>
              <w:jc w:val="left"/>
              <w:rPr>
                <w:sz w:val="24"/>
                <w:szCs w:val="24"/>
                <w:highlight w:val="none"/>
              </w:rPr>
            </w:pPr>
            <w:r>
              <w:rPr>
                <w:rFonts w:hint="eastAsia"/>
                <w:color w:val="000000"/>
                <w:sz w:val="24"/>
                <w:szCs w:val="24"/>
                <w:highlight w:val="none"/>
              </w:rPr>
              <w:t>由监测结果可以看出，</w:t>
            </w:r>
            <w:r>
              <w:rPr>
                <w:rFonts w:hint="eastAsia"/>
                <w:color w:val="000000"/>
                <w:sz w:val="24"/>
                <w:szCs w:val="24"/>
                <w:highlight w:val="none"/>
                <w:lang w:eastAsia="zh-CN"/>
              </w:rPr>
              <w:t>各</w:t>
            </w:r>
            <w:r>
              <w:rPr>
                <w:rFonts w:hint="eastAsia"/>
                <w:color w:val="000000"/>
                <w:sz w:val="24"/>
                <w:szCs w:val="24"/>
                <w:highlight w:val="none"/>
              </w:rPr>
              <w:t>项</w:t>
            </w:r>
            <w:r>
              <w:rPr>
                <w:rFonts w:hint="eastAsia" w:hAnsi="宋体"/>
                <w:color w:val="000000"/>
                <w:sz w:val="24"/>
                <w:szCs w:val="24"/>
                <w:highlight w:val="none"/>
              </w:rPr>
              <w:t>监测指标的单因子指数均小于</w:t>
            </w:r>
            <w:r>
              <w:rPr>
                <w:rFonts w:hint="eastAsia" w:hAnsi="宋体"/>
                <w:color w:val="000000"/>
                <w:sz w:val="24"/>
                <w:szCs w:val="24"/>
                <w:highlight w:val="none"/>
                <w:lang w:val="en-US" w:eastAsia="zh-CN"/>
              </w:rPr>
              <w:t>或等于</w:t>
            </w:r>
            <w:r>
              <w:rPr>
                <w:color w:val="000000"/>
                <w:sz w:val="24"/>
                <w:szCs w:val="24"/>
                <w:highlight w:val="none"/>
              </w:rPr>
              <w:t>1</w:t>
            </w:r>
            <w:r>
              <w:rPr>
                <w:rFonts w:hint="eastAsia" w:hAnsi="宋体"/>
                <w:color w:val="000000"/>
                <w:sz w:val="24"/>
                <w:szCs w:val="24"/>
                <w:highlight w:val="none"/>
              </w:rPr>
              <w:t>，</w:t>
            </w:r>
            <w:r>
              <w:rPr>
                <w:rFonts w:hint="eastAsia"/>
                <w:color w:val="000000"/>
                <w:sz w:val="24"/>
                <w:szCs w:val="24"/>
                <w:highlight w:val="none"/>
              </w:rPr>
              <w:t>均可达到《地表水环境质量标准》（</w:t>
            </w:r>
            <w:r>
              <w:rPr>
                <w:color w:val="000000"/>
                <w:sz w:val="24"/>
                <w:szCs w:val="24"/>
                <w:highlight w:val="none"/>
              </w:rPr>
              <w:t>GB3838-2002</w:t>
            </w:r>
            <w:r>
              <w:rPr>
                <w:rFonts w:hint="eastAsia"/>
                <w:color w:val="000000"/>
                <w:sz w:val="24"/>
                <w:szCs w:val="24"/>
                <w:highlight w:val="none"/>
              </w:rPr>
              <w:t>）</w:t>
            </w:r>
            <w:r>
              <w:rPr>
                <w:rFonts w:hint="eastAsia" w:hAnsi="宋体"/>
                <w:color w:val="000000"/>
                <w:sz w:val="24"/>
                <w:szCs w:val="24"/>
                <w:highlight w:val="none"/>
              </w:rPr>
              <w:t>Ⅲ</w:t>
            </w:r>
            <w:r>
              <w:rPr>
                <w:rFonts w:hint="eastAsia"/>
                <w:color w:val="000000"/>
                <w:sz w:val="24"/>
                <w:szCs w:val="24"/>
                <w:highlight w:val="none"/>
              </w:rPr>
              <w:t>类标准</w:t>
            </w:r>
            <w:r>
              <w:rPr>
                <w:rFonts w:hint="eastAsia" w:hAnsi="宋体"/>
                <w:color w:val="000000"/>
                <w:sz w:val="24"/>
                <w:szCs w:val="24"/>
                <w:highlight w:val="none"/>
              </w:rPr>
              <w:t>要求，说明</w:t>
            </w:r>
            <w:r>
              <w:rPr>
                <w:rFonts w:hint="eastAsia" w:hAnsi="宋体"/>
                <w:color w:val="000000"/>
                <w:sz w:val="24"/>
                <w:szCs w:val="24"/>
                <w:highlight w:val="none"/>
                <w:lang w:val="en-US" w:eastAsia="zh-CN"/>
              </w:rPr>
              <w:t>地表水环境</w:t>
            </w:r>
            <w:r>
              <w:rPr>
                <w:rFonts w:hint="eastAsia" w:hAnsi="宋体"/>
                <w:color w:val="000000"/>
                <w:sz w:val="24"/>
                <w:szCs w:val="24"/>
                <w:highlight w:val="none"/>
              </w:rPr>
              <w:t>质</w:t>
            </w:r>
            <w:r>
              <w:rPr>
                <w:rFonts w:hint="eastAsia" w:hAnsi="宋体"/>
                <w:sz w:val="24"/>
                <w:szCs w:val="24"/>
                <w:highlight w:val="none"/>
              </w:rPr>
              <w:t>量较好。</w:t>
            </w:r>
          </w:p>
          <w:p>
            <w:pPr>
              <w:spacing w:line="360" w:lineRule="auto"/>
              <w:ind w:left="0" w:leftChars="0" w:firstLine="0" w:firstLineChars="0"/>
              <w:jc w:val="both"/>
              <w:outlineLvl w:val="1"/>
              <w:rPr>
                <w:rFonts w:hint="default" w:ascii="Times New Roman" w:hAnsi="Times New Roman" w:eastAsia="宋体" w:cs="Times New Roman"/>
                <w:b/>
                <w:bCs/>
                <w:kern w:val="2"/>
                <w:sz w:val="24"/>
                <w:szCs w:val="24"/>
                <w:lang w:val="en-US" w:eastAsia="zh-CN" w:bidi="ar-SA"/>
              </w:rPr>
            </w:pPr>
            <w:bookmarkStart w:id="6" w:name="_Toc26711"/>
            <w:r>
              <w:rPr>
                <w:rFonts w:hint="eastAsia" w:ascii="Times New Roman" w:hAnsi="Times New Roman" w:eastAsia="宋体" w:cs="Times New Roman"/>
                <w:b/>
                <w:bCs/>
                <w:kern w:val="2"/>
                <w:sz w:val="24"/>
                <w:szCs w:val="24"/>
                <w:lang w:val="en-US" w:eastAsia="zh-CN" w:bidi="ar-SA"/>
              </w:rPr>
              <w:t>6、</w:t>
            </w:r>
            <w:r>
              <w:rPr>
                <w:rFonts w:hint="default" w:ascii="Times New Roman" w:hAnsi="Times New Roman" w:eastAsia="宋体" w:cs="Times New Roman"/>
                <w:b/>
                <w:bCs/>
                <w:kern w:val="2"/>
                <w:sz w:val="24"/>
                <w:szCs w:val="24"/>
                <w:lang w:val="en-US" w:eastAsia="zh-CN" w:bidi="ar-SA"/>
              </w:rPr>
              <w:t>声环境质量现状与评价</w:t>
            </w:r>
            <w:bookmarkEnd w:id="6"/>
          </w:p>
          <w:p>
            <w:pPr>
              <w:spacing w:line="360" w:lineRule="auto"/>
              <w:ind w:firstLine="480" w:firstLineChars="200"/>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根据《建设项目环境影响报告表编制技术指南（</w:t>
            </w:r>
            <w:r>
              <w:rPr>
                <w:rFonts w:hint="eastAsia" w:ascii="Times New Roman" w:hAnsi="Times New Roman" w:eastAsia="宋体" w:cs="Times New Roman"/>
                <w:b w:val="0"/>
                <w:bCs w:val="0"/>
                <w:color w:val="auto"/>
                <w:sz w:val="24"/>
                <w:szCs w:val="24"/>
                <w:lang w:val="en-US" w:eastAsia="zh-CN"/>
              </w:rPr>
              <w:t>生态</w:t>
            </w:r>
            <w:r>
              <w:rPr>
                <w:rFonts w:hint="default" w:ascii="Times New Roman" w:hAnsi="Times New Roman" w:eastAsia="宋体" w:cs="Times New Roman"/>
                <w:b w:val="0"/>
                <w:bCs w:val="0"/>
                <w:color w:val="auto"/>
                <w:sz w:val="24"/>
                <w:szCs w:val="24"/>
              </w:rPr>
              <w:t>影</w:t>
            </w:r>
            <w:r>
              <w:rPr>
                <w:rFonts w:hint="default" w:ascii="Times New Roman" w:hAnsi="Times New Roman" w:cs="Times New Roman"/>
                <w:b w:val="0"/>
                <w:bCs w:val="0"/>
                <w:color w:val="auto"/>
                <w:sz w:val="24"/>
                <w:szCs w:val="24"/>
              </w:rPr>
              <w:t>响类）（试行）》本项目</w:t>
            </w:r>
            <w:r>
              <w:rPr>
                <w:rFonts w:hint="eastAsia" w:cs="Times New Roman"/>
                <w:b w:val="0"/>
                <w:bCs w:val="0"/>
                <w:color w:val="auto"/>
                <w:sz w:val="24"/>
                <w:szCs w:val="24"/>
                <w:lang w:val="en-US" w:eastAsia="zh-CN"/>
              </w:rPr>
              <w:t>区</w:t>
            </w:r>
            <w:r>
              <w:rPr>
                <w:rFonts w:hint="default" w:ascii="Times New Roman" w:hAnsi="Times New Roman" w:cs="Times New Roman"/>
                <w:b w:val="0"/>
                <w:bCs w:val="0"/>
                <w:color w:val="auto"/>
                <w:sz w:val="24"/>
                <w:szCs w:val="24"/>
                <w:lang w:val="en-US" w:eastAsia="zh-CN"/>
              </w:rPr>
              <w:t>50m范围内无声环境敏感目标，</w:t>
            </w:r>
            <w:r>
              <w:rPr>
                <w:rFonts w:hint="eastAsia" w:ascii="宋体" w:hAnsi="宋体" w:eastAsia="宋体" w:cs="宋体"/>
                <w:b w:val="0"/>
                <w:bCs w:val="0"/>
                <w:color w:val="000000"/>
                <w:sz w:val="24"/>
                <w:szCs w:val="24"/>
              </w:rPr>
              <w:t>因此不进行声环境现状调查</w:t>
            </w:r>
            <w:r>
              <w:rPr>
                <w:rFonts w:hint="default" w:ascii="Times New Roman" w:hAnsi="Times New Roman" w:cs="Times New Roman"/>
                <w:b w:val="0"/>
                <w:bCs w:val="0"/>
                <w:color w:val="auto"/>
                <w:sz w:val="24"/>
                <w:szCs w:val="24"/>
              </w:rPr>
              <w:t>。</w:t>
            </w:r>
          </w:p>
          <w:p>
            <w:pPr>
              <w:spacing w:line="360" w:lineRule="auto"/>
              <w:ind w:left="0" w:leftChars="0" w:firstLine="0" w:firstLineChars="0"/>
              <w:jc w:val="both"/>
              <w:outlineLvl w:val="1"/>
              <w:rPr>
                <w:rFonts w:hint="default" w:ascii="Times New Roman" w:hAnsi="Times New Roman" w:eastAsia="宋体" w:cs="Times New Roman"/>
                <w:kern w:val="2"/>
                <w:sz w:val="24"/>
                <w:szCs w:val="24"/>
                <w:lang w:val="en-US" w:eastAsia="zh-CN" w:bidi="ar-SA"/>
              </w:rPr>
            </w:pPr>
            <w:bookmarkStart w:id="7" w:name="_Toc9395"/>
            <w:r>
              <w:rPr>
                <w:rFonts w:hint="eastAsia" w:ascii="Times New Roman" w:hAnsi="Times New Roman" w:eastAsia="宋体" w:cs="Times New Roman"/>
                <w:b/>
                <w:bCs/>
                <w:kern w:val="2"/>
                <w:sz w:val="24"/>
                <w:szCs w:val="24"/>
                <w:lang w:val="en-US" w:eastAsia="zh-CN" w:bidi="ar-SA"/>
              </w:rPr>
              <w:t>7、</w:t>
            </w:r>
            <w:r>
              <w:rPr>
                <w:rFonts w:hint="default" w:ascii="Times New Roman" w:hAnsi="Times New Roman" w:eastAsia="宋体" w:cs="Times New Roman"/>
                <w:b/>
                <w:bCs/>
                <w:kern w:val="2"/>
                <w:sz w:val="24"/>
                <w:szCs w:val="24"/>
                <w:lang w:val="en-US" w:eastAsia="zh-CN" w:bidi="ar-SA"/>
              </w:rPr>
              <w:t>土壤环境质量现状</w:t>
            </w:r>
            <w:bookmarkEnd w:id="7"/>
          </w:p>
          <w:p>
            <w:pPr>
              <w:spacing w:line="360" w:lineRule="auto"/>
              <w:ind w:firstLine="480"/>
              <w:jc w:val="both"/>
              <w:rPr>
                <w:rFonts w:hint="default" w:ascii="Times New Roman" w:hAnsi="Times New Roman" w:eastAsia="宋体" w:cs="Times New Roman"/>
                <w:b w:val="0"/>
                <w:bCs w:val="0"/>
                <w:color w:val="auto"/>
                <w:sz w:val="24"/>
                <w:szCs w:val="24"/>
                <w:lang w:val="en-US" w:eastAsia="zh-CN"/>
              </w:rPr>
            </w:pPr>
            <w:r>
              <w:rPr>
                <w:rFonts w:hint="eastAsia" w:hAnsi="宋体"/>
                <w:color w:val="000000"/>
              </w:rPr>
              <w:t>本项目为</w:t>
            </w:r>
            <w:r>
              <w:rPr>
                <w:rFonts w:hint="eastAsia" w:hAnsi="宋体"/>
                <w:b w:val="0"/>
                <w:bCs/>
                <w:color w:val="000000"/>
                <w:lang w:val="en-US" w:eastAsia="zh-CN"/>
              </w:rPr>
              <w:t>中小河流治理工程</w:t>
            </w:r>
            <w:r>
              <w:rPr>
                <w:rFonts w:hint="eastAsia" w:hAnsi="宋体"/>
                <w:color w:val="000000"/>
              </w:rPr>
              <w:t>，</w:t>
            </w:r>
            <w:r>
              <w:rPr>
                <w:rFonts w:hint="default" w:ascii="Times New Roman" w:hAnsi="Times New Roman" w:eastAsia="宋体" w:cs="Times New Roman"/>
                <w:b w:val="0"/>
                <w:bCs w:val="0"/>
                <w:color w:val="auto"/>
                <w:sz w:val="24"/>
                <w:szCs w:val="24"/>
                <w:lang w:val="en-US" w:eastAsia="zh-CN"/>
              </w:rPr>
              <w:t>不涉及重金属和持久性污染物的排放，据《环境影响评价技术导则 土壤环境</w:t>
            </w:r>
            <w:r>
              <w:rPr>
                <w:rFonts w:hint="default" w:ascii="Times New Roman" w:hAnsi="Times New Roman" w:eastAsia="宋体" w:cs="Times New Roman"/>
                <w:kern w:val="2"/>
                <w:sz w:val="24"/>
                <w:szCs w:val="24"/>
                <w:lang w:val="en-US" w:eastAsia="zh-CN" w:bidi="ar-SA"/>
              </w:rPr>
              <w:t>（试行）</w:t>
            </w:r>
            <w:r>
              <w:rPr>
                <w:rFonts w:hint="default" w:ascii="Times New Roman" w:hAnsi="Times New Roman" w:eastAsia="宋体" w:cs="Times New Roman"/>
                <w:b w:val="0"/>
                <w:bCs w:val="0"/>
                <w:color w:val="auto"/>
                <w:sz w:val="24"/>
                <w:szCs w:val="24"/>
                <w:lang w:val="en-US" w:eastAsia="zh-CN"/>
              </w:rPr>
              <w:t>》</w:t>
            </w:r>
            <w:r>
              <w:rPr>
                <w:rFonts w:hint="default" w:ascii="Times New Roman" w:hAnsi="Times New Roman" w:eastAsia="宋体" w:cs="Times New Roman"/>
                <w:kern w:val="2"/>
                <w:sz w:val="24"/>
                <w:szCs w:val="24"/>
                <w:lang w:val="en-US" w:eastAsia="zh-CN" w:bidi="ar-SA"/>
              </w:rPr>
              <w:t>（</w:t>
            </w:r>
            <w:r>
              <w:rPr>
                <w:rFonts w:hint="default" w:ascii="Times New Roman" w:hAnsi="Times New Roman" w:eastAsia="宋体" w:cs="Times New Roman"/>
                <w:b w:val="0"/>
                <w:bCs w:val="0"/>
                <w:color w:val="auto"/>
                <w:sz w:val="24"/>
                <w:szCs w:val="24"/>
                <w:lang w:val="en-US" w:eastAsia="zh-CN"/>
              </w:rPr>
              <w:t>HJ964-2018</w:t>
            </w:r>
            <w:r>
              <w:rPr>
                <w:rFonts w:hint="default" w:ascii="Times New Roman" w:hAnsi="Times New Roman" w:eastAsia="宋体" w:cs="Times New Roman"/>
                <w:kern w:val="2"/>
                <w:sz w:val="24"/>
                <w:szCs w:val="24"/>
                <w:lang w:val="en-US" w:eastAsia="zh-CN" w:bidi="ar-SA"/>
              </w:rPr>
              <w:t>）</w:t>
            </w:r>
            <w:r>
              <w:rPr>
                <w:rFonts w:hint="default" w:ascii="Times New Roman" w:hAnsi="Times New Roman" w:eastAsia="宋体" w:cs="Times New Roman"/>
                <w:b w:val="0"/>
                <w:bCs w:val="0"/>
                <w:color w:val="auto"/>
                <w:sz w:val="24"/>
                <w:szCs w:val="24"/>
                <w:highlight w:val="none"/>
                <w:lang w:val="en-US" w:eastAsia="zh-CN"/>
              </w:rPr>
              <w:t>，结合《建设项目环境影响评价分类管理名录》</w:t>
            </w:r>
            <w:r>
              <w:rPr>
                <w:rFonts w:hint="default" w:ascii="Times New Roman" w:hAnsi="Times New Roman" w:eastAsia="宋体" w:cs="Times New Roman"/>
                <w:kern w:val="2"/>
                <w:sz w:val="24"/>
                <w:szCs w:val="24"/>
                <w:highlight w:val="none"/>
                <w:lang w:val="en-US" w:eastAsia="zh-CN" w:bidi="ar-SA"/>
              </w:rPr>
              <w:t>（</w:t>
            </w:r>
            <w:r>
              <w:rPr>
                <w:rFonts w:hint="default" w:ascii="Times New Roman" w:hAnsi="Times New Roman" w:eastAsia="宋体" w:cs="Times New Roman"/>
                <w:b w:val="0"/>
                <w:bCs w:val="0"/>
                <w:color w:val="auto"/>
                <w:sz w:val="24"/>
                <w:szCs w:val="24"/>
                <w:highlight w:val="none"/>
                <w:lang w:val="en-US" w:eastAsia="zh-CN"/>
              </w:rPr>
              <w:t>202</w:t>
            </w:r>
            <w:r>
              <w:rPr>
                <w:rFonts w:hint="eastAsia" w:cs="Times New Roman"/>
                <w:b w:val="0"/>
                <w:bCs w:val="0"/>
                <w:color w:val="auto"/>
                <w:sz w:val="24"/>
                <w:szCs w:val="24"/>
                <w:highlight w:val="none"/>
                <w:lang w:val="en-US" w:eastAsia="zh-CN"/>
              </w:rPr>
              <w:t>1</w:t>
            </w:r>
            <w:r>
              <w:rPr>
                <w:rFonts w:hint="default" w:ascii="Times New Roman" w:hAnsi="Times New Roman" w:eastAsia="宋体" w:cs="Times New Roman"/>
                <w:b w:val="0"/>
                <w:bCs w:val="0"/>
                <w:color w:val="auto"/>
                <w:sz w:val="24"/>
                <w:szCs w:val="24"/>
                <w:highlight w:val="none"/>
                <w:lang w:val="en-US" w:eastAsia="zh-CN"/>
              </w:rPr>
              <w:t>年版</w:t>
            </w:r>
            <w:r>
              <w:rPr>
                <w:rFonts w:hint="default" w:ascii="Times New Roman" w:hAnsi="Times New Roman" w:eastAsia="宋体" w:cs="Times New Roman"/>
                <w:kern w:val="2"/>
                <w:sz w:val="24"/>
                <w:szCs w:val="24"/>
                <w:highlight w:val="none"/>
                <w:lang w:val="en-US" w:eastAsia="zh-CN" w:bidi="ar-SA"/>
              </w:rPr>
              <w:t>）</w:t>
            </w:r>
            <w:r>
              <w:rPr>
                <w:rFonts w:hint="default" w:ascii="Times New Roman" w:hAnsi="Times New Roman" w:eastAsia="宋体" w:cs="Times New Roman"/>
                <w:b w:val="0"/>
                <w:bCs w:val="0"/>
                <w:color w:val="auto"/>
                <w:sz w:val="24"/>
                <w:szCs w:val="24"/>
                <w:highlight w:val="none"/>
                <w:lang w:val="en-US" w:eastAsia="zh-CN"/>
              </w:rPr>
              <w:t>，属于第“五十一、水利12</w:t>
            </w:r>
            <w:r>
              <w:rPr>
                <w:rFonts w:hint="eastAsia" w:cs="Times New Roman"/>
                <w:b w:val="0"/>
                <w:bCs w:val="0"/>
                <w:color w:val="auto"/>
                <w:sz w:val="24"/>
                <w:szCs w:val="24"/>
                <w:highlight w:val="none"/>
                <w:lang w:val="en-US" w:eastAsia="zh-CN"/>
              </w:rPr>
              <w:t>7</w:t>
            </w:r>
            <w:r>
              <w:rPr>
                <w:rFonts w:hint="default" w:ascii="Times New Roman" w:hAnsi="Times New Roman" w:cs="Times New Roman"/>
                <w:color w:val="000000" w:themeColor="text1"/>
                <w:lang w:val="en-US" w:eastAsia="zh-CN"/>
                <w14:textFill>
                  <w14:solidFill>
                    <w14:schemeClr w14:val="tx1"/>
                  </w14:solidFill>
                </w14:textFill>
              </w:rPr>
              <w:t>防洪</w:t>
            </w:r>
            <w:r>
              <w:rPr>
                <w:rFonts w:hint="eastAsia" w:cs="Times New Roman"/>
                <w:color w:val="000000" w:themeColor="text1"/>
                <w:lang w:val="en-US" w:eastAsia="zh-CN"/>
                <w14:textFill>
                  <w14:solidFill>
                    <w14:schemeClr w14:val="tx1"/>
                  </w14:solidFill>
                </w14:textFill>
              </w:rPr>
              <w:t>除</w:t>
            </w:r>
            <w:r>
              <w:rPr>
                <w:rFonts w:hint="default" w:ascii="Times New Roman" w:hAnsi="Times New Roman" w:cs="Times New Roman"/>
                <w:color w:val="000000" w:themeColor="text1"/>
                <w:lang w:val="en-US" w:eastAsia="zh-CN"/>
                <w14:textFill>
                  <w14:solidFill>
                    <w14:schemeClr w14:val="tx1"/>
                  </w14:solidFill>
                </w14:textFill>
              </w:rPr>
              <w:t>涝工程</w:t>
            </w:r>
            <w:r>
              <w:rPr>
                <w:rFonts w:hint="default" w:ascii="Times New Roman" w:hAnsi="Times New Roman" w:eastAsia="宋体" w:cs="Times New Roman"/>
                <w:b w:val="0"/>
                <w:bCs w:val="0"/>
                <w:color w:val="auto"/>
                <w:sz w:val="24"/>
                <w:szCs w:val="24"/>
                <w:highlight w:val="none"/>
                <w:lang w:val="en-US" w:eastAsia="zh-CN"/>
              </w:rPr>
              <w:t>中的其他”，根据附录A识别土壤环境影响评价项目类别可知，本项目为</w:t>
            </w:r>
            <w:r>
              <w:rPr>
                <w:rFonts w:hint="default" w:ascii="Times New Roman" w:hAnsi="Times New Roman" w:eastAsia="宋体" w:cs="Times New Roman"/>
                <w:b w:val="0"/>
                <w:bCs w:val="0"/>
                <w:color w:val="000000"/>
                <w:sz w:val="21"/>
                <w:szCs w:val="21"/>
                <w:highlight w:val="none"/>
              </w:rPr>
              <w:t>“</w:t>
            </w:r>
            <w:r>
              <w:rPr>
                <w:rFonts w:hint="default" w:ascii="Times New Roman" w:hAnsi="Times New Roman" w:eastAsia="宋体" w:cs="Times New Roman"/>
                <w:b w:val="0"/>
                <w:bCs w:val="0"/>
                <w:color w:val="auto"/>
                <w:sz w:val="24"/>
                <w:szCs w:val="24"/>
                <w:highlight w:val="none"/>
                <w:lang w:val="en-US" w:eastAsia="zh-CN"/>
              </w:rPr>
              <w:t>Ⅲ类其他</w:t>
            </w:r>
            <w:r>
              <w:rPr>
                <w:rFonts w:hint="default" w:ascii="Times New Roman" w:hAnsi="Times New Roman" w:eastAsia="宋体" w:cs="Times New Roman"/>
                <w:b w:val="0"/>
                <w:bCs w:val="0"/>
                <w:color w:val="000000"/>
                <w:sz w:val="21"/>
                <w:szCs w:val="21"/>
                <w:highlight w:val="none"/>
              </w:rPr>
              <w:t>”</w:t>
            </w:r>
            <w:r>
              <w:rPr>
                <w:rFonts w:hint="default" w:ascii="Times New Roman" w:hAnsi="Times New Roman" w:eastAsia="宋体" w:cs="Times New Roman"/>
                <w:b w:val="0"/>
                <w:bCs w:val="0"/>
                <w:color w:val="auto"/>
                <w:sz w:val="24"/>
                <w:szCs w:val="24"/>
                <w:highlight w:val="none"/>
                <w:lang w:val="en-US" w:eastAsia="zh-CN"/>
              </w:rPr>
              <w:t>，</w:t>
            </w:r>
            <w:r>
              <w:rPr>
                <w:rFonts w:hint="default" w:ascii="Times New Roman" w:hAnsi="Times New Roman" w:eastAsia="宋体" w:cs="Times New Roman"/>
                <w:b w:val="0"/>
                <w:bCs w:val="0"/>
                <w:color w:val="auto"/>
                <w:sz w:val="24"/>
                <w:szCs w:val="24"/>
                <w:lang w:val="en-US" w:eastAsia="zh-CN"/>
              </w:rPr>
              <w:t>正常运行的情况下，不会对周边土壤造成显著影响，</w:t>
            </w:r>
          </w:p>
          <w:p>
            <w:pPr>
              <w:snapToGrid w:val="0"/>
              <w:spacing w:line="360" w:lineRule="auto"/>
              <w:ind w:firstLine="31680"/>
              <w:jc w:val="left"/>
            </w:pPr>
            <w:r>
              <w:rPr>
                <w:rFonts w:hint="default" w:ascii="Times New Roman" w:hAnsi="Times New Roman" w:eastAsia="宋体" w:cs="Times New Roman"/>
                <w:b w:val="0"/>
                <w:bCs w:val="0"/>
                <w:color w:val="auto"/>
                <w:sz w:val="24"/>
                <w:szCs w:val="24"/>
                <w:lang w:val="en-US" w:eastAsia="zh-CN"/>
              </w:rPr>
              <w:t>根据《环境影响评价技术导则 土壤环境</w:t>
            </w:r>
            <w:r>
              <w:rPr>
                <w:rFonts w:hint="default" w:ascii="Times New Roman" w:hAnsi="Times New Roman" w:eastAsia="宋体" w:cs="Times New Roman"/>
                <w:kern w:val="2"/>
                <w:sz w:val="24"/>
                <w:szCs w:val="24"/>
                <w:lang w:val="en-US" w:eastAsia="zh-CN" w:bidi="ar-SA"/>
              </w:rPr>
              <w:t>（试行）</w:t>
            </w:r>
            <w:r>
              <w:rPr>
                <w:rFonts w:hint="default" w:ascii="Times New Roman" w:hAnsi="Times New Roman" w:eastAsia="宋体" w:cs="Times New Roman"/>
                <w:b w:val="0"/>
                <w:bCs w:val="0"/>
                <w:color w:val="auto"/>
                <w:sz w:val="24"/>
                <w:szCs w:val="24"/>
                <w:lang w:val="en-US" w:eastAsia="zh-CN"/>
              </w:rPr>
              <w:t>》</w:t>
            </w:r>
            <w:r>
              <w:rPr>
                <w:rFonts w:hint="default" w:ascii="Times New Roman" w:hAnsi="Times New Roman" w:eastAsia="宋体" w:cs="Times New Roman"/>
                <w:kern w:val="2"/>
                <w:sz w:val="24"/>
                <w:szCs w:val="24"/>
                <w:lang w:val="en-US" w:eastAsia="zh-CN" w:bidi="ar-SA"/>
              </w:rPr>
              <w:t>（</w:t>
            </w:r>
            <w:r>
              <w:rPr>
                <w:rFonts w:hint="default" w:ascii="Times New Roman" w:hAnsi="Times New Roman" w:eastAsia="宋体" w:cs="Times New Roman"/>
                <w:b w:val="0"/>
                <w:bCs w:val="0"/>
                <w:color w:val="auto"/>
                <w:sz w:val="24"/>
                <w:szCs w:val="24"/>
                <w:lang w:val="en-US" w:eastAsia="zh-CN"/>
              </w:rPr>
              <w:t>HJ964-2018</w:t>
            </w:r>
            <w:r>
              <w:rPr>
                <w:rFonts w:hint="default" w:ascii="Times New Roman" w:hAnsi="Times New Roman" w:eastAsia="宋体" w:cs="Times New Roman"/>
                <w:kern w:val="2"/>
                <w:sz w:val="24"/>
                <w:szCs w:val="24"/>
                <w:lang w:val="en-US" w:eastAsia="zh-CN" w:bidi="ar-SA"/>
              </w:rPr>
              <w:t>）</w:t>
            </w:r>
            <w:r>
              <w:rPr>
                <w:rFonts w:hint="default" w:ascii="Times New Roman" w:hAnsi="Times New Roman" w:eastAsia="宋体" w:cs="Times New Roman"/>
                <w:b w:val="0"/>
                <w:bCs w:val="0"/>
                <w:color w:val="auto"/>
                <w:sz w:val="24"/>
                <w:szCs w:val="24"/>
                <w:lang w:val="en-US" w:eastAsia="zh-CN"/>
              </w:rPr>
              <w:t>等级判定可知，本项目可不开展土壤环境影响评价工作。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jc w:val="center"/>
        </w:trPr>
        <w:tc>
          <w:tcPr>
            <w:tcW w:w="568" w:type="pct"/>
            <w:vAlign w:val="center"/>
          </w:tcPr>
          <w:p>
            <w:pPr>
              <w:adjustRightInd w:val="0"/>
              <w:snapToGrid w:val="0"/>
              <w:spacing w:line="240" w:lineRule="auto"/>
              <w:ind w:firstLine="0" w:firstLineChars="0"/>
              <w:jc w:val="center"/>
              <w:rPr>
                <w:rFonts w:ascii="宋体" w:cs="宋体"/>
                <w:b/>
                <w:color w:val="000000"/>
                <w:kern w:val="0"/>
                <w:highlight w:val="none"/>
              </w:rPr>
            </w:pPr>
            <w:r>
              <w:rPr>
                <w:rFonts w:hint="eastAsia" w:ascii="宋体" w:hAnsi="宋体"/>
                <w:b/>
                <w:bCs/>
                <w:color w:val="000000"/>
                <w:highlight w:val="none"/>
              </w:rPr>
              <w:t>与项目有关的原有环境污染和生态破坏问题</w:t>
            </w:r>
          </w:p>
        </w:tc>
        <w:tc>
          <w:tcPr>
            <w:tcW w:w="4431" w:type="pct"/>
            <w:vAlign w:val="center"/>
          </w:tcPr>
          <w:p>
            <w:pPr>
              <w:snapToGrid w:val="0"/>
              <w:spacing w:line="360" w:lineRule="auto"/>
              <w:ind w:firstLine="31680"/>
              <w:jc w:val="left"/>
              <w:rPr>
                <w:rFonts w:hint="eastAsia"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（1）</w:t>
            </w:r>
            <w:r>
              <w:rPr>
                <w:rFonts w:hint="eastAsia" w:ascii="Times New Roman" w:hAnsi="Times New Roman" w:eastAsia="宋体" w:cs="Times New Roman"/>
                <w:kern w:val="2"/>
                <w:sz w:val="24"/>
                <w:szCs w:val="24"/>
                <w:highlight w:val="none"/>
                <w:lang w:val="en-US" w:eastAsia="zh-CN" w:bidi="ar-SA"/>
              </w:rPr>
              <w:t>与项目有关的原有环境污染和生态破坏问题</w:t>
            </w:r>
          </w:p>
          <w:p>
            <w:pPr>
              <w:snapToGrid w:val="0"/>
              <w:spacing w:line="360" w:lineRule="auto"/>
              <w:ind w:firstLine="31680"/>
              <w:jc w:val="left"/>
              <w:rPr>
                <w:rFonts w:hint="default"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本项目为改建项目，在原有老旧河道上的基础上进行改造，与项目有关</w:t>
            </w:r>
            <w:r>
              <w:rPr>
                <w:rFonts w:hint="default" w:ascii="Times New Roman" w:hAnsi="Times New Roman" w:eastAsia="宋体" w:cs="Times New Roman"/>
                <w:kern w:val="2"/>
                <w:sz w:val="24"/>
                <w:szCs w:val="24"/>
                <w:highlight w:val="none"/>
                <w:lang w:val="en-US" w:eastAsia="zh-CN" w:bidi="ar-SA"/>
              </w:rPr>
              <w:t>的原有环境污染和生态破坏问题：</w:t>
            </w:r>
          </w:p>
          <w:p>
            <w:pPr>
              <w:snapToGrid w:val="0"/>
              <w:spacing w:line="360" w:lineRule="auto"/>
              <w:ind w:firstLine="31680"/>
              <w:jc w:val="lef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①山区植被稀少，夏季暴雨引发的山洪对土地的冲刷、侵蚀较大，水土流失较为严重；</w:t>
            </w:r>
          </w:p>
          <w:p>
            <w:pPr>
              <w:rPr>
                <w:rFonts w:hint="eastAsia" w:cs="Times New Roman"/>
                <w:color w:val="000000"/>
                <w:highlight w:val="none"/>
                <w:lang w:val="en-US" w:eastAsia="zh-CN"/>
              </w:rPr>
            </w:pPr>
            <w:r>
              <w:rPr>
                <w:rFonts w:hint="default" w:cs="Times New Roman"/>
                <w:color w:val="000000"/>
                <w:highlight w:val="none"/>
                <w:lang w:val="en-US" w:eastAsia="zh-CN"/>
              </w:rPr>
              <w:t>②原工程修</w:t>
            </w:r>
            <w:r>
              <w:rPr>
                <w:rFonts w:hint="eastAsia" w:cs="Times New Roman"/>
                <w:color w:val="000000"/>
                <w:highlight w:val="none"/>
                <w:lang w:val="en-US" w:eastAsia="zh-CN"/>
              </w:rPr>
              <w:t>建年限较早，未曾办理任何环境方面相关手续。</w:t>
            </w:r>
          </w:p>
          <w:p>
            <w:pPr>
              <w:rPr>
                <w:rFonts w:hint="eastAsia" w:cs="Times New Roman"/>
                <w:color w:val="000000"/>
                <w:highlight w:val="none"/>
                <w:lang w:val="en-US" w:eastAsia="zh-CN"/>
              </w:rPr>
            </w:pPr>
            <w:r>
              <w:rPr>
                <w:rFonts w:hint="default" w:cs="Times New Roman"/>
                <w:color w:val="000000"/>
                <w:highlight w:val="none"/>
                <w:lang w:val="en-US" w:eastAsia="zh-CN"/>
              </w:rPr>
              <w:t>（</w:t>
            </w:r>
            <w:r>
              <w:rPr>
                <w:rFonts w:hint="eastAsia" w:cs="Times New Roman"/>
                <w:color w:val="000000"/>
                <w:highlight w:val="none"/>
                <w:lang w:val="en-US" w:eastAsia="zh-CN"/>
              </w:rPr>
              <w:t>2</w:t>
            </w:r>
            <w:r>
              <w:rPr>
                <w:rFonts w:hint="default" w:cs="Times New Roman"/>
                <w:color w:val="000000"/>
                <w:highlight w:val="none"/>
                <w:lang w:val="en-US" w:eastAsia="zh-CN"/>
              </w:rPr>
              <w:t>）回顾性评价</w:t>
            </w:r>
          </w:p>
          <w:p>
            <w:r>
              <w:rPr>
                <w:rFonts w:hint="eastAsia" w:cs="Times New Roman"/>
                <w:color w:val="000000"/>
                <w:highlight w:val="none"/>
                <w:lang w:val="en-US" w:eastAsia="zh-CN"/>
              </w:rPr>
              <w:t>原有河道因建设年限较早，未曾办理环境影响评价、环保竣工验收手续；本项目为水利工程，原有河道在运行期间不产生废气、废水、固废、噪声等各类污染物。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568" w:type="pct"/>
            <w:vAlign w:val="center"/>
          </w:tcPr>
          <w:p>
            <w:pPr>
              <w:adjustRightInd w:val="0"/>
              <w:snapToGrid w:val="0"/>
              <w:spacing w:line="240" w:lineRule="auto"/>
              <w:ind w:firstLine="0" w:firstLineChars="0"/>
              <w:jc w:val="center"/>
              <w:rPr>
                <w:rFonts w:ascii="宋体" w:cs="宋体"/>
                <w:b/>
                <w:color w:val="000000"/>
                <w:kern w:val="0"/>
              </w:rPr>
            </w:pPr>
            <w:r>
              <w:rPr>
                <w:rFonts w:hint="eastAsia" w:ascii="宋体" w:hAnsi="宋体" w:cs="宋体"/>
                <w:b/>
                <w:color w:val="000000"/>
                <w:kern w:val="0"/>
              </w:rPr>
              <w:t>生态</w:t>
            </w:r>
          </w:p>
          <w:p>
            <w:pPr>
              <w:adjustRightInd w:val="0"/>
              <w:snapToGrid w:val="0"/>
              <w:spacing w:line="240" w:lineRule="auto"/>
              <w:ind w:firstLine="0" w:firstLineChars="0"/>
              <w:jc w:val="center"/>
              <w:rPr>
                <w:rFonts w:ascii="宋体" w:cs="宋体"/>
                <w:b/>
                <w:color w:val="000000"/>
                <w:kern w:val="0"/>
              </w:rPr>
            </w:pPr>
            <w:r>
              <w:rPr>
                <w:rFonts w:hint="eastAsia" w:ascii="宋体" w:hAnsi="宋体" w:cs="宋体"/>
                <w:b/>
                <w:color w:val="000000"/>
                <w:kern w:val="0"/>
              </w:rPr>
              <w:t>环境</w:t>
            </w:r>
          </w:p>
          <w:p>
            <w:pPr>
              <w:adjustRightInd w:val="0"/>
              <w:snapToGrid w:val="0"/>
              <w:spacing w:line="240" w:lineRule="auto"/>
              <w:ind w:firstLine="0" w:firstLineChars="0"/>
              <w:jc w:val="center"/>
              <w:rPr>
                <w:rFonts w:ascii="宋体" w:cs="宋体"/>
                <w:b/>
                <w:color w:val="000000"/>
                <w:kern w:val="0"/>
              </w:rPr>
            </w:pPr>
            <w:r>
              <w:rPr>
                <w:rFonts w:hint="eastAsia" w:ascii="宋体" w:hAnsi="宋体" w:cs="宋体"/>
                <w:b/>
                <w:color w:val="000000"/>
                <w:kern w:val="0"/>
              </w:rPr>
              <w:t>保护</w:t>
            </w:r>
          </w:p>
          <w:p>
            <w:pPr>
              <w:adjustRightInd w:val="0"/>
              <w:snapToGrid w:val="0"/>
              <w:spacing w:line="240" w:lineRule="auto"/>
              <w:ind w:firstLine="0" w:firstLineChars="0"/>
              <w:jc w:val="center"/>
              <w:rPr>
                <w:rFonts w:ascii="宋体" w:cs="宋体"/>
                <w:b/>
                <w:color w:val="FF0000"/>
                <w:kern w:val="0"/>
              </w:rPr>
            </w:pPr>
            <w:r>
              <w:rPr>
                <w:rFonts w:hint="eastAsia" w:ascii="宋体" w:hAnsi="宋体" w:cs="宋体"/>
                <w:b/>
                <w:color w:val="000000"/>
                <w:kern w:val="0"/>
              </w:rPr>
              <w:t>目标</w:t>
            </w:r>
          </w:p>
        </w:tc>
        <w:tc>
          <w:tcPr>
            <w:tcW w:w="4431" w:type="pct"/>
            <w:vAlign w:val="center"/>
          </w:tcPr>
          <w:p>
            <w:pPr>
              <w:snapToGrid w:val="0"/>
              <w:spacing w:line="460" w:lineRule="exact"/>
              <w:ind w:firstLine="31680"/>
              <w:rPr>
                <w:color w:val="000000"/>
                <w:kern w:val="0"/>
              </w:rPr>
            </w:pPr>
            <w:r>
              <w:rPr>
                <w:rFonts w:hint="eastAsia"/>
                <w:color w:val="000000"/>
                <w:kern w:val="0"/>
              </w:rPr>
              <w:t>根据现状调查，本次评价区范围内无自然保护区、风景名胜区、饮用水水源保护区；无医疗卫生、文化教育、科研、行政办公等为主要功能的区域，无文物保护单位，无具有特殊历史、文化、科学、民族意义的保护地等环境敏感区，调查未见珍稀、濒危野生动物和保护物种。</w:t>
            </w:r>
          </w:p>
          <w:p>
            <w:pPr>
              <w:snapToGrid w:val="0"/>
              <w:spacing w:line="460" w:lineRule="exact"/>
              <w:ind w:firstLine="31680"/>
              <w:rPr>
                <w:kern w:val="0"/>
              </w:rPr>
            </w:pPr>
            <w:r>
              <w:rPr>
                <w:rFonts w:hint="eastAsia"/>
                <w:kern w:val="0"/>
              </w:rPr>
              <w:t>评价范围内主要环境保护目标识别见表</w:t>
            </w:r>
            <w:r>
              <w:rPr>
                <w:kern w:val="0"/>
              </w:rPr>
              <w:t>3-</w:t>
            </w:r>
            <w:r>
              <w:rPr>
                <w:rFonts w:hint="eastAsia"/>
                <w:kern w:val="0"/>
                <w:lang w:val="en-US" w:eastAsia="zh-CN"/>
              </w:rPr>
              <w:t>4</w:t>
            </w:r>
            <w:r>
              <w:rPr>
                <w:rFonts w:hint="eastAsia"/>
                <w:kern w:val="0"/>
              </w:rPr>
              <w:t>。</w:t>
            </w:r>
          </w:p>
          <w:p>
            <w:pPr>
              <w:snapToGrid w:val="0"/>
              <w:spacing w:line="460" w:lineRule="exact"/>
              <w:ind w:firstLine="0" w:firstLineChars="0"/>
              <w:jc w:val="center"/>
              <w:rPr>
                <w:rFonts w:hint="eastAsia"/>
                <w:b/>
                <w:bCs/>
                <w:sz w:val="21"/>
                <w:szCs w:val="21"/>
                <w:highlight w:val="none"/>
              </w:rPr>
            </w:pPr>
            <w:r>
              <w:rPr>
                <w:rFonts w:hint="eastAsia"/>
                <w:b/>
                <w:bCs/>
                <w:sz w:val="21"/>
                <w:szCs w:val="21"/>
                <w:highlight w:val="none"/>
              </w:rPr>
              <w:t>表</w:t>
            </w:r>
            <w:r>
              <w:rPr>
                <w:b/>
                <w:bCs/>
                <w:sz w:val="21"/>
                <w:szCs w:val="21"/>
                <w:highlight w:val="none"/>
              </w:rPr>
              <w:t>3-</w:t>
            </w:r>
            <w:r>
              <w:rPr>
                <w:rFonts w:hint="eastAsia"/>
                <w:b/>
                <w:bCs/>
                <w:sz w:val="21"/>
                <w:szCs w:val="21"/>
                <w:highlight w:val="none"/>
                <w:lang w:val="en-US" w:eastAsia="zh-CN"/>
              </w:rPr>
              <w:t>4</w:t>
            </w:r>
            <w:r>
              <w:rPr>
                <w:b/>
                <w:bCs/>
                <w:sz w:val="21"/>
                <w:szCs w:val="21"/>
                <w:highlight w:val="none"/>
              </w:rPr>
              <w:t xml:space="preserve"> </w:t>
            </w:r>
            <w:r>
              <w:rPr>
                <w:rFonts w:hint="eastAsia"/>
                <w:b/>
                <w:bCs/>
                <w:sz w:val="21"/>
                <w:szCs w:val="21"/>
                <w:highlight w:val="none"/>
                <w:lang w:val="en-US" w:eastAsia="zh-CN"/>
              </w:rPr>
              <w:t xml:space="preserve"> </w:t>
            </w:r>
            <w:r>
              <w:rPr>
                <w:b/>
                <w:bCs/>
                <w:sz w:val="21"/>
                <w:szCs w:val="21"/>
                <w:highlight w:val="none"/>
              </w:rPr>
              <w:t xml:space="preserve"> </w:t>
            </w:r>
            <w:r>
              <w:rPr>
                <w:rFonts w:hint="eastAsia"/>
                <w:b/>
                <w:bCs/>
                <w:sz w:val="21"/>
                <w:szCs w:val="21"/>
                <w:highlight w:val="none"/>
                <w:lang w:val="en-US" w:eastAsia="zh-CN"/>
              </w:rPr>
              <w:t xml:space="preserve"> </w:t>
            </w:r>
            <w:r>
              <w:rPr>
                <w:b/>
                <w:bCs/>
                <w:sz w:val="21"/>
                <w:szCs w:val="21"/>
                <w:highlight w:val="none"/>
              </w:rPr>
              <w:t xml:space="preserve"> </w:t>
            </w:r>
            <w:r>
              <w:rPr>
                <w:rFonts w:hint="eastAsia"/>
                <w:b/>
                <w:bCs/>
                <w:sz w:val="21"/>
                <w:szCs w:val="21"/>
                <w:highlight w:val="none"/>
                <w:lang w:val="en-US" w:eastAsia="zh-CN"/>
              </w:rPr>
              <w:t xml:space="preserve">       </w:t>
            </w:r>
            <w:r>
              <w:rPr>
                <w:rFonts w:hint="eastAsia"/>
                <w:b/>
                <w:bCs/>
                <w:sz w:val="21"/>
                <w:szCs w:val="21"/>
                <w:highlight w:val="none"/>
              </w:rPr>
              <w:t>环境保护目标识别</w:t>
            </w:r>
          </w:p>
          <w:tbl>
            <w:tblPr>
              <w:tblStyle w:val="3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668"/>
              <w:gridCol w:w="2393"/>
              <w:gridCol w:w="3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694" w:type="pct"/>
                  <w:noWrap w:val="0"/>
                  <w:vAlign w:val="center"/>
                </w:tcPr>
                <w:p>
                  <w:pPr>
                    <w:pStyle w:val="265"/>
                    <w:adjustRightInd/>
                    <w:snapToGrid/>
                    <w:spacing w:line="240" w:lineRule="auto"/>
                    <w:jc w:val="center"/>
                    <w:rPr>
                      <w:rFonts w:hint="default" w:ascii="Times New Roman"/>
                      <w:b w:val="0"/>
                      <w:bCs w:val="0"/>
                      <w:highlight w:val="none"/>
                      <w:lang w:val="en-US" w:eastAsia="zh-CN"/>
                    </w:rPr>
                  </w:pPr>
                  <w:r>
                    <w:rPr>
                      <w:rFonts w:hint="default" w:ascii="Times New Roman"/>
                      <w:b w:val="0"/>
                      <w:bCs w:val="0"/>
                      <w:highlight w:val="none"/>
                      <w:lang w:val="en-US" w:eastAsia="zh-CN"/>
                    </w:rPr>
                    <w:t>环境要素</w:t>
                  </w:r>
                </w:p>
              </w:tc>
              <w:tc>
                <w:tcPr>
                  <w:tcW w:w="1975" w:type="pct"/>
                  <w:gridSpan w:val="2"/>
                  <w:noWrap w:val="0"/>
                  <w:vAlign w:val="center"/>
                </w:tcPr>
                <w:p>
                  <w:pPr>
                    <w:pStyle w:val="265"/>
                    <w:adjustRightInd/>
                    <w:snapToGrid/>
                    <w:spacing w:line="240" w:lineRule="auto"/>
                    <w:jc w:val="center"/>
                    <w:rPr>
                      <w:rFonts w:hint="default" w:ascii="Times New Roman"/>
                      <w:b w:val="0"/>
                      <w:bCs w:val="0"/>
                      <w:highlight w:val="none"/>
                      <w:lang w:val="en-US" w:eastAsia="zh-CN"/>
                    </w:rPr>
                  </w:pPr>
                  <w:r>
                    <w:rPr>
                      <w:rFonts w:hint="default" w:ascii="Times New Roman"/>
                      <w:b w:val="0"/>
                      <w:bCs w:val="0"/>
                      <w:highlight w:val="none"/>
                      <w:lang w:val="en-US" w:eastAsia="zh-CN"/>
                    </w:rPr>
                    <w:t>评价范围</w:t>
                  </w:r>
                </w:p>
              </w:tc>
              <w:tc>
                <w:tcPr>
                  <w:tcW w:w="2330" w:type="pct"/>
                  <w:noWrap w:val="0"/>
                  <w:vAlign w:val="center"/>
                </w:tcPr>
                <w:p>
                  <w:pPr>
                    <w:pStyle w:val="265"/>
                    <w:adjustRightInd/>
                    <w:snapToGrid/>
                    <w:spacing w:line="240" w:lineRule="auto"/>
                    <w:jc w:val="center"/>
                    <w:rPr>
                      <w:rFonts w:hint="default" w:ascii="Times New Roman"/>
                      <w:b w:val="0"/>
                      <w:bCs w:val="0"/>
                      <w:highlight w:val="none"/>
                      <w:lang w:val="en-US" w:eastAsia="zh-CN"/>
                    </w:rPr>
                  </w:pPr>
                  <w:r>
                    <w:rPr>
                      <w:rFonts w:hint="default" w:ascii="Times New Roman"/>
                      <w:b w:val="0"/>
                      <w:bCs w:val="0"/>
                      <w:highlight w:val="none"/>
                      <w:lang w:val="en-US" w:eastAsia="zh-CN"/>
                    </w:rPr>
                    <w:t>保护目标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694" w:type="pct"/>
                  <w:noWrap w:val="0"/>
                  <w:vAlign w:val="center"/>
                </w:tcPr>
                <w:p>
                  <w:pPr>
                    <w:pStyle w:val="265"/>
                    <w:adjustRightInd/>
                    <w:snapToGrid/>
                    <w:spacing w:line="240" w:lineRule="auto"/>
                    <w:jc w:val="center"/>
                    <w:rPr>
                      <w:rFonts w:hint="default" w:ascii="Times New Roman"/>
                      <w:b w:val="0"/>
                      <w:bCs w:val="0"/>
                      <w:highlight w:val="none"/>
                      <w:lang w:val="en-US" w:eastAsia="zh-CN"/>
                    </w:rPr>
                  </w:pPr>
                  <w:r>
                    <w:rPr>
                      <w:rFonts w:hint="default" w:ascii="Times New Roman"/>
                      <w:b w:val="0"/>
                      <w:bCs w:val="0"/>
                      <w:highlight w:val="none"/>
                      <w:lang w:val="en-US" w:eastAsia="zh-CN"/>
                    </w:rPr>
                    <w:t>大气环境</w:t>
                  </w:r>
                </w:p>
              </w:tc>
              <w:tc>
                <w:tcPr>
                  <w:tcW w:w="1975" w:type="pct"/>
                  <w:gridSpan w:val="2"/>
                  <w:noWrap w:val="0"/>
                  <w:vAlign w:val="center"/>
                </w:tcPr>
                <w:p>
                  <w:pPr>
                    <w:pStyle w:val="265"/>
                    <w:adjustRightInd/>
                    <w:snapToGrid/>
                    <w:spacing w:line="240" w:lineRule="auto"/>
                    <w:jc w:val="center"/>
                    <w:rPr>
                      <w:rFonts w:hint="default" w:ascii="Times New Roman"/>
                      <w:b w:val="0"/>
                      <w:bCs w:val="0"/>
                      <w:highlight w:val="none"/>
                      <w:lang w:val="en-US" w:eastAsia="zh-CN"/>
                    </w:rPr>
                  </w:pPr>
                  <w:r>
                    <w:rPr>
                      <w:rFonts w:hint="eastAsia" w:ascii="Times New Roman"/>
                      <w:b w:val="0"/>
                      <w:bCs w:val="0"/>
                      <w:highlight w:val="none"/>
                      <w:lang w:val="en-US" w:eastAsia="zh-CN"/>
                    </w:rPr>
                    <w:t>沿线及沿线外扩2</w:t>
                  </w:r>
                  <w:r>
                    <w:rPr>
                      <w:rFonts w:hint="default" w:ascii="Times New Roman"/>
                      <w:b w:val="0"/>
                      <w:bCs w:val="0"/>
                      <w:highlight w:val="none"/>
                      <w:lang w:val="en-US" w:eastAsia="zh-CN"/>
                    </w:rPr>
                    <w:t>00m范围内</w:t>
                  </w:r>
                </w:p>
              </w:tc>
              <w:tc>
                <w:tcPr>
                  <w:tcW w:w="2330" w:type="pct"/>
                  <w:noWrap w:val="0"/>
                  <w:vAlign w:val="center"/>
                </w:tcPr>
                <w:p>
                  <w:pPr>
                    <w:pStyle w:val="265"/>
                    <w:adjustRightInd/>
                    <w:snapToGrid/>
                    <w:spacing w:line="240" w:lineRule="auto"/>
                    <w:jc w:val="center"/>
                    <w:rPr>
                      <w:rFonts w:hint="default" w:ascii="Times New Roman"/>
                      <w:b w:val="0"/>
                      <w:bCs w:val="0"/>
                      <w:highlight w:val="yellow"/>
                      <w:lang w:val="en-US" w:eastAsia="zh-CN"/>
                    </w:rPr>
                  </w:pPr>
                  <w:r>
                    <w:rPr>
                      <w:rFonts w:hint="eastAsia" w:ascii="Times New Roman" w:eastAsia="宋体"/>
                      <w:b w:val="0"/>
                      <w:bCs w:val="0"/>
                      <w:highlight w:val="none"/>
                      <w:lang w:val="en-US" w:eastAsia="zh-CN"/>
                    </w:rPr>
                    <w:t>魏家村至S303段终点</w:t>
                  </w:r>
                  <w:r>
                    <w:rPr>
                      <w:rFonts w:hint="default" w:ascii="Times New Roman" w:eastAsia="宋体"/>
                      <w:b w:val="0"/>
                      <w:bCs w:val="0"/>
                      <w:highlight w:val="none"/>
                      <w:lang w:val="en-US" w:eastAsia="zh-CN"/>
                    </w:rPr>
                    <w:t>（29+160）</w:t>
                  </w:r>
                  <w:r>
                    <w:rPr>
                      <w:rFonts w:hint="eastAsia" w:ascii="Times New Roman"/>
                      <w:b w:val="0"/>
                      <w:bCs w:val="0"/>
                      <w:highlight w:val="none"/>
                      <w:lang w:val="en-US" w:eastAsia="zh-CN"/>
                    </w:rPr>
                    <w:t>120米</w:t>
                  </w:r>
                  <w:r>
                    <w:rPr>
                      <w:rFonts w:hint="eastAsia" w:ascii="Times New Roman" w:eastAsia="宋体"/>
                      <w:b w:val="0"/>
                      <w:bCs w:val="0"/>
                      <w:highlight w:val="none"/>
                      <w:lang w:val="en-US" w:eastAsia="zh-CN"/>
                    </w:rPr>
                    <w:t>东侧：头工街西村</w:t>
                  </w:r>
                  <w:r>
                    <w:rPr>
                      <w:rFonts w:hint="default" w:ascii="Times New Roman" w:eastAsia="宋体"/>
                      <w:b w:val="0"/>
                      <w:bCs w:val="0"/>
                      <w:highlight w:val="none"/>
                      <w:lang w:val="en-US" w:eastAsia="zh-CN"/>
                    </w:rPr>
                    <w:t>（</w:t>
                  </w:r>
                  <w:r>
                    <w:rPr>
                      <w:rFonts w:hint="eastAsia" w:ascii="Times New Roman"/>
                      <w:b w:val="0"/>
                      <w:bCs w:val="0"/>
                      <w:highlight w:val="none"/>
                      <w:lang w:val="en-US" w:eastAsia="zh-CN"/>
                    </w:rPr>
                    <w:t>10户</w:t>
                  </w:r>
                  <w:r>
                    <w:rPr>
                      <w:rFonts w:hint="default" w:ascii="Times New Roman" w:eastAsia="宋体"/>
                      <w:b w:val="0"/>
                      <w:bCs w:val="0"/>
                      <w:highlight w:val="none"/>
                      <w:lang w:val="en-US" w:eastAsia="zh-CN"/>
                    </w:rPr>
                    <w:t>）</w:t>
                  </w:r>
                  <w:r>
                    <w:rPr>
                      <w:rFonts w:hint="eastAsia" w:ascii="Times New Roman" w:eastAsia="宋体"/>
                      <w:b w:val="0"/>
                      <w:bCs w:val="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694" w:type="pct"/>
                  <w:noWrap w:val="0"/>
                  <w:vAlign w:val="center"/>
                </w:tcPr>
                <w:p>
                  <w:pPr>
                    <w:pStyle w:val="265"/>
                    <w:adjustRightInd/>
                    <w:snapToGrid/>
                    <w:spacing w:line="240" w:lineRule="auto"/>
                    <w:ind w:firstLine="0" w:firstLineChars="0"/>
                    <w:rPr>
                      <w:rFonts w:hint="default" w:ascii="Times New Roman"/>
                      <w:b w:val="0"/>
                      <w:bCs w:val="0"/>
                      <w:highlight w:val="none"/>
                      <w:lang w:val="en-US" w:eastAsia="zh-CN"/>
                    </w:rPr>
                  </w:pPr>
                  <w:r>
                    <w:rPr>
                      <w:rFonts w:hint="eastAsia" w:ascii="Times New Roman"/>
                      <w:b w:val="0"/>
                      <w:bCs w:val="0"/>
                      <w:highlight w:val="none"/>
                    </w:rPr>
                    <w:t>地下水</w:t>
                  </w:r>
                </w:p>
              </w:tc>
              <w:tc>
                <w:tcPr>
                  <w:tcW w:w="1975" w:type="pct"/>
                  <w:gridSpan w:val="2"/>
                  <w:noWrap w:val="0"/>
                  <w:vAlign w:val="center"/>
                </w:tcPr>
                <w:p>
                  <w:pPr>
                    <w:pStyle w:val="265"/>
                    <w:adjustRightInd/>
                    <w:snapToGrid/>
                    <w:spacing w:line="240" w:lineRule="auto"/>
                    <w:ind w:firstLine="0" w:firstLineChars="0"/>
                    <w:jc w:val="center"/>
                    <w:rPr>
                      <w:rFonts w:hint="eastAsia" w:ascii="Times New Roman"/>
                      <w:b w:val="0"/>
                      <w:bCs w:val="0"/>
                      <w:highlight w:val="none"/>
                      <w:lang w:val="en-US" w:eastAsia="zh-CN"/>
                    </w:rPr>
                  </w:pPr>
                  <w:r>
                    <w:rPr>
                      <w:rFonts w:hint="eastAsia" w:ascii="Times New Roman"/>
                      <w:b w:val="0"/>
                      <w:bCs w:val="0"/>
                      <w:highlight w:val="none"/>
                      <w:lang w:val="en-US" w:eastAsia="zh-CN"/>
                    </w:rPr>
                    <w:t>沿线及沿线外扩</w:t>
                  </w:r>
                  <w:r>
                    <w:rPr>
                      <w:rFonts w:hint="eastAsia" w:ascii="Times New Roman" w:cs="Times New Roman"/>
                      <w:sz w:val="21"/>
                      <w:szCs w:val="21"/>
                      <w:highlight w:val="none"/>
                      <w:lang w:val="en-US" w:eastAsia="zh-CN"/>
                    </w:rPr>
                    <w:t>2</w:t>
                  </w:r>
                  <w:r>
                    <w:rPr>
                      <w:rFonts w:hint="default" w:ascii="Times New Roman" w:hAnsi="Times New Roman" w:eastAsia="宋体" w:cs="Times New Roman"/>
                      <w:sz w:val="21"/>
                      <w:szCs w:val="21"/>
                      <w:highlight w:val="none"/>
                      <w:lang w:val="en-US" w:eastAsia="zh-CN"/>
                    </w:rPr>
                    <w:t>00m范围</w:t>
                  </w:r>
                </w:p>
              </w:tc>
              <w:tc>
                <w:tcPr>
                  <w:tcW w:w="2330" w:type="pct"/>
                  <w:noWrap w:val="0"/>
                  <w:vAlign w:val="center"/>
                </w:tcPr>
                <w:p>
                  <w:pPr>
                    <w:pStyle w:val="265"/>
                    <w:adjustRightInd/>
                    <w:snapToGrid/>
                    <w:spacing w:line="240" w:lineRule="auto"/>
                    <w:jc w:val="center"/>
                    <w:rPr>
                      <w:rFonts w:hint="eastAsia" w:ascii="Times New Roman"/>
                      <w:b w:val="0"/>
                      <w:bCs w:val="0"/>
                      <w:highlight w:val="yellow"/>
                      <w:lang w:val="en-US" w:eastAsia="zh-CN"/>
                    </w:rPr>
                  </w:pPr>
                  <w:r>
                    <w:rPr>
                      <w:rFonts w:hint="eastAsia" w:ascii="Times New Roman"/>
                      <w:b w:val="0"/>
                      <w:bCs w:val="0"/>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694" w:type="pct"/>
                  <w:noWrap w:val="0"/>
                  <w:vAlign w:val="center"/>
                </w:tcPr>
                <w:p>
                  <w:pPr>
                    <w:pStyle w:val="265"/>
                    <w:adjustRightInd/>
                    <w:snapToGrid/>
                    <w:spacing w:line="240" w:lineRule="auto"/>
                    <w:jc w:val="center"/>
                    <w:rPr>
                      <w:rFonts w:hint="default" w:ascii="Times New Roman"/>
                      <w:b w:val="0"/>
                      <w:bCs w:val="0"/>
                      <w:highlight w:val="none"/>
                      <w:lang w:val="en-US" w:eastAsia="zh-CN"/>
                    </w:rPr>
                  </w:pPr>
                  <w:r>
                    <w:rPr>
                      <w:rFonts w:hint="eastAsia" w:ascii="Times New Roman"/>
                      <w:b w:val="0"/>
                      <w:bCs w:val="0"/>
                      <w:highlight w:val="none"/>
                      <w:lang w:val="en-US" w:eastAsia="zh-CN"/>
                    </w:rPr>
                    <w:t>地表水</w:t>
                  </w:r>
                </w:p>
              </w:tc>
              <w:tc>
                <w:tcPr>
                  <w:tcW w:w="1975" w:type="pct"/>
                  <w:gridSpan w:val="2"/>
                  <w:noWrap w:val="0"/>
                  <w:vAlign w:val="center"/>
                </w:tcPr>
                <w:p>
                  <w:pPr>
                    <w:pStyle w:val="265"/>
                    <w:adjustRightInd/>
                    <w:snapToGrid/>
                    <w:spacing w:line="240" w:lineRule="auto"/>
                    <w:ind w:firstLine="0" w:firstLineChars="0"/>
                    <w:jc w:val="center"/>
                    <w:rPr>
                      <w:rFonts w:hint="eastAsia" w:ascii="Times New Roman"/>
                      <w:b w:val="0"/>
                      <w:bCs w:val="0"/>
                      <w:highlight w:val="none"/>
                      <w:lang w:val="en-US" w:eastAsia="zh-CN"/>
                    </w:rPr>
                  </w:pPr>
                  <w:r>
                    <w:rPr>
                      <w:rFonts w:hint="eastAsia" w:ascii="Times New Roman"/>
                      <w:b w:val="0"/>
                      <w:bCs w:val="0"/>
                      <w:highlight w:val="none"/>
                      <w:lang w:val="en-US" w:eastAsia="zh-CN"/>
                    </w:rPr>
                    <w:t>沿线及沿线外扩</w:t>
                  </w:r>
                  <w:r>
                    <w:rPr>
                      <w:rFonts w:hint="eastAsia" w:ascii="Times New Roman" w:cs="Times New Roman"/>
                      <w:sz w:val="21"/>
                      <w:szCs w:val="21"/>
                      <w:highlight w:val="none"/>
                      <w:lang w:val="en-US" w:eastAsia="zh-CN"/>
                    </w:rPr>
                    <w:t>2</w:t>
                  </w:r>
                  <w:r>
                    <w:rPr>
                      <w:rFonts w:hint="default" w:ascii="Times New Roman" w:hAnsi="Times New Roman" w:eastAsia="宋体" w:cs="Times New Roman"/>
                      <w:sz w:val="21"/>
                      <w:szCs w:val="21"/>
                      <w:highlight w:val="none"/>
                      <w:lang w:val="en-US" w:eastAsia="zh-CN"/>
                    </w:rPr>
                    <w:t>00m范围</w:t>
                  </w:r>
                </w:p>
              </w:tc>
              <w:tc>
                <w:tcPr>
                  <w:tcW w:w="2330" w:type="pct"/>
                  <w:noWrap w:val="0"/>
                  <w:vAlign w:val="center"/>
                </w:tcPr>
                <w:p>
                  <w:pPr>
                    <w:pStyle w:val="265"/>
                    <w:adjustRightInd/>
                    <w:snapToGrid/>
                    <w:spacing w:line="240" w:lineRule="auto"/>
                    <w:jc w:val="center"/>
                    <w:rPr>
                      <w:rFonts w:hint="default" w:ascii="Times New Roman" w:eastAsia="宋体"/>
                      <w:b w:val="0"/>
                      <w:bCs w:val="0"/>
                      <w:highlight w:val="none"/>
                      <w:lang w:val="en-US" w:eastAsia="zh-CN"/>
                    </w:rPr>
                  </w:pPr>
                  <w:r>
                    <w:rPr>
                      <w:rFonts w:hint="eastAsia" w:ascii="Times New Roman" w:eastAsia="宋体"/>
                      <w:b w:val="0"/>
                      <w:bCs w:val="0"/>
                      <w:highlight w:val="none"/>
                      <w:lang w:val="en-US" w:eastAsia="zh-CN"/>
                    </w:rPr>
                    <w:t>项目区段白杨河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694" w:type="pct"/>
                  <w:noWrap w:val="0"/>
                  <w:vAlign w:val="center"/>
                </w:tcPr>
                <w:p>
                  <w:pPr>
                    <w:pStyle w:val="265"/>
                    <w:adjustRightInd/>
                    <w:snapToGrid/>
                    <w:spacing w:line="240" w:lineRule="auto"/>
                    <w:jc w:val="center"/>
                    <w:rPr>
                      <w:rFonts w:hint="default" w:ascii="Times New Roman"/>
                      <w:b w:val="0"/>
                      <w:bCs w:val="0"/>
                      <w:highlight w:val="none"/>
                      <w:lang w:val="en-US" w:eastAsia="zh-CN"/>
                    </w:rPr>
                  </w:pPr>
                  <w:r>
                    <w:rPr>
                      <w:rFonts w:hint="default" w:ascii="Times New Roman"/>
                      <w:b w:val="0"/>
                      <w:bCs w:val="0"/>
                      <w:highlight w:val="none"/>
                      <w:lang w:val="en-US" w:eastAsia="zh-CN"/>
                    </w:rPr>
                    <w:t>声环境</w:t>
                  </w:r>
                </w:p>
              </w:tc>
              <w:tc>
                <w:tcPr>
                  <w:tcW w:w="1975" w:type="pct"/>
                  <w:gridSpan w:val="2"/>
                  <w:noWrap w:val="0"/>
                  <w:vAlign w:val="center"/>
                </w:tcPr>
                <w:p>
                  <w:pPr>
                    <w:pStyle w:val="265"/>
                    <w:adjustRightInd/>
                    <w:snapToGrid/>
                    <w:spacing w:line="240" w:lineRule="auto"/>
                    <w:ind w:firstLine="0" w:firstLineChars="0"/>
                    <w:jc w:val="center"/>
                    <w:rPr>
                      <w:rFonts w:hint="default" w:ascii="Times New Roman"/>
                      <w:b w:val="0"/>
                      <w:bCs w:val="0"/>
                      <w:highlight w:val="none"/>
                      <w:lang w:val="en-US" w:eastAsia="zh-CN"/>
                    </w:rPr>
                  </w:pPr>
                  <w:r>
                    <w:rPr>
                      <w:rFonts w:hint="eastAsia" w:ascii="Times New Roman"/>
                      <w:b w:val="0"/>
                      <w:bCs w:val="0"/>
                      <w:highlight w:val="none"/>
                      <w:lang w:val="en-US" w:eastAsia="zh-CN"/>
                    </w:rPr>
                    <w:t>沿线及沿线外扩</w:t>
                  </w:r>
                  <w:r>
                    <w:rPr>
                      <w:rFonts w:hint="default" w:ascii="Times New Roman"/>
                      <w:b w:val="0"/>
                      <w:bCs w:val="0"/>
                      <w:highlight w:val="none"/>
                      <w:lang w:val="en-US" w:eastAsia="zh-CN"/>
                    </w:rPr>
                    <w:t>50m范围内</w:t>
                  </w:r>
                </w:p>
              </w:tc>
              <w:tc>
                <w:tcPr>
                  <w:tcW w:w="2330" w:type="pct"/>
                  <w:noWrap w:val="0"/>
                  <w:vAlign w:val="center"/>
                </w:tcPr>
                <w:p>
                  <w:pPr>
                    <w:pStyle w:val="265"/>
                    <w:adjustRightInd/>
                    <w:snapToGrid/>
                    <w:spacing w:line="240" w:lineRule="auto"/>
                    <w:jc w:val="center"/>
                    <w:rPr>
                      <w:rFonts w:hint="default" w:ascii="Times New Roman"/>
                      <w:b w:val="0"/>
                      <w:bCs w:val="0"/>
                      <w:highlight w:val="yellow"/>
                      <w:lang w:val="en-US" w:eastAsia="zh-CN"/>
                    </w:rPr>
                  </w:pPr>
                  <w:r>
                    <w:rPr>
                      <w:rFonts w:hint="eastAsia" w:ascii="Times New Roman"/>
                      <w:b w:val="0"/>
                      <w:bCs w:val="0"/>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94" w:type="pct"/>
                  <w:noWrap w:val="0"/>
                  <w:vAlign w:val="center"/>
                </w:tcPr>
                <w:p>
                  <w:pPr>
                    <w:pStyle w:val="265"/>
                    <w:adjustRightInd/>
                    <w:snapToGrid/>
                    <w:spacing w:line="240" w:lineRule="auto"/>
                    <w:ind w:firstLine="0" w:firstLineChars="0"/>
                    <w:jc w:val="center"/>
                    <w:rPr>
                      <w:rFonts w:hint="eastAsia" w:ascii="Times New Roman"/>
                      <w:b w:val="0"/>
                      <w:bCs w:val="0"/>
                      <w:highlight w:val="none"/>
                      <w:lang w:val="en-US" w:eastAsia="zh-CN"/>
                    </w:rPr>
                  </w:pPr>
                  <w:r>
                    <w:rPr>
                      <w:rFonts w:hint="eastAsia" w:ascii="Times New Roman"/>
                      <w:b w:val="0"/>
                      <w:bCs w:val="0"/>
                      <w:highlight w:val="none"/>
                      <w:lang w:val="en-US" w:eastAsia="zh-CN"/>
                    </w:rPr>
                    <w:t>生态环境</w:t>
                  </w:r>
                </w:p>
              </w:tc>
              <w:tc>
                <w:tcPr>
                  <w:tcW w:w="1975" w:type="pct"/>
                  <w:gridSpan w:val="2"/>
                  <w:noWrap w:val="0"/>
                  <w:vAlign w:val="center"/>
                </w:tcPr>
                <w:p>
                  <w:pPr>
                    <w:pStyle w:val="265"/>
                    <w:adjustRightInd/>
                    <w:snapToGrid/>
                    <w:spacing w:line="240" w:lineRule="auto"/>
                    <w:ind w:firstLine="0" w:firstLineChars="0"/>
                    <w:jc w:val="center"/>
                    <w:rPr>
                      <w:rFonts w:hint="eastAsia" w:ascii="Times New Roman"/>
                      <w:b w:val="0"/>
                      <w:bCs w:val="0"/>
                      <w:highlight w:val="none"/>
                      <w:lang w:val="en-US" w:eastAsia="zh-CN"/>
                    </w:rPr>
                  </w:pPr>
                  <w:r>
                    <w:rPr>
                      <w:rFonts w:hint="eastAsia" w:ascii="Times New Roman"/>
                      <w:b w:val="0"/>
                      <w:bCs w:val="0"/>
                      <w:highlight w:val="none"/>
                      <w:lang w:val="en-US" w:eastAsia="zh-CN"/>
                    </w:rPr>
                    <w:t>占地范围及外扩300</w:t>
                  </w:r>
                  <w:r>
                    <w:rPr>
                      <w:rFonts w:hint="default" w:ascii="Times New Roman"/>
                      <w:b w:val="0"/>
                      <w:bCs w:val="0"/>
                      <w:highlight w:val="none"/>
                      <w:lang w:val="en-US" w:eastAsia="zh-CN"/>
                    </w:rPr>
                    <w:t>m</w:t>
                  </w:r>
                  <w:r>
                    <w:rPr>
                      <w:rFonts w:hint="eastAsia" w:ascii="Times New Roman"/>
                      <w:b w:val="0"/>
                      <w:bCs w:val="0"/>
                      <w:highlight w:val="none"/>
                      <w:lang w:val="en-US" w:eastAsia="zh-CN"/>
                    </w:rPr>
                    <w:t>范围</w:t>
                  </w:r>
                  <w:r>
                    <w:rPr>
                      <w:rFonts w:hint="default" w:ascii="Times New Roman"/>
                      <w:b w:val="0"/>
                      <w:bCs w:val="0"/>
                      <w:highlight w:val="none"/>
                      <w:lang w:val="en-US" w:eastAsia="zh-CN"/>
                    </w:rPr>
                    <w:t>内</w:t>
                  </w:r>
                </w:p>
              </w:tc>
              <w:tc>
                <w:tcPr>
                  <w:tcW w:w="2330" w:type="pct"/>
                  <w:noWrap w:val="0"/>
                  <w:vAlign w:val="center"/>
                </w:tcPr>
                <w:p>
                  <w:pPr>
                    <w:pStyle w:val="265"/>
                    <w:adjustRightInd/>
                    <w:snapToGrid/>
                    <w:spacing w:line="240" w:lineRule="auto"/>
                    <w:jc w:val="center"/>
                    <w:rPr>
                      <w:rFonts w:hint="default" w:ascii="Times New Roman"/>
                      <w:b w:val="0"/>
                      <w:bCs w:val="0"/>
                      <w:highlight w:val="none"/>
                      <w:lang w:val="en-US" w:eastAsia="zh-CN"/>
                    </w:rPr>
                  </w:pPr>
                  <w:r>
                    <w:rPr>
                      <w:rFonts w:hint="eastAsia" w:ascii="Times New Roman"/>
                      <w:b w:val="0"/>
                      <w:bCs w:val="0"/>
                      <w:highlight w:val="none"/>
                      <w:lang w:val="en-US" w:eastAsia="zh-CN"/>
                    </w:rPr>
                    <w:t>自然植被、野生动物，水土流失区、</w:t>
                  </w:r>
                  <w:r>
                    <w:rPr>
                      <w:rFonts w:hint="default" w:ascii="Times New Roman" w:hAnsi="Times New Roman" w:eastAsia="宋体" w:cs="Times New Roman"/>
                      <w:kern w:val="2"/>
                      <w:sz w:val="21"/>
                      <w:szCs w:val="21"/>
                      <w:highlight w:val="none"/>
                      <w:lang w:val="en-US" w:eastAsia="zh-CN" w:bidi="ar-SA"/>
                    </w:rPr>
                    <w:t>吉木萨尔县生态红线（20m）、新疆江布拉克国家森林公园（9.3014m）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94" w:type="pct"/>
                  <w:vMerge w:val="restart"/>
                  <w:noWrap w:val="0"/>
                  <w:vAlign w:val="center"/>
                </w:tcPr>
                <w:p>
                  <w:pPr>
                    <w:pStyle w:val="265"/>
                    <w:adjustRightInd/>
                    <w:snapToGrid/>
                    <w:spacing w:line="240" w:lineRule="auto"/>
                    <w:jc w:val="center"/>
                    <w:rPr>
                      <w:rFonts w:hint="default" w:ascii="Times New Roman"/>
                      <w:b w:val="0"/>
                      <w:bCs w:val="0"/>
                      <w:highlight w:val="none"/>
                      <w:lang w:val="en-US" w:eastAsia="zh-CN"/>
                    </w:rPr>
                  </w:pPr>
                  <w:r>
                    <w:rPr>
                      <w:rFonts w:hint="eastAsia" w:ascii="Times New Roman"/>
                      <w:b w:val="0"/>
                      <w:bCs w:val="0"/>
                      <w:highlight w:val="none"/>
                      <w:lang w:val="en-US" w:eastAsia="zh-CN"/>
                    </w:rPr>
                    <w:t>环境风险</w:t>
                  </w:r>
                </w:p>
              </w:tc>
              <w:tc>
                <w:tcPr>
                  <w:tcW w:w="431" w:type="pct"/>
                  <w:noWrap w:val="0"/>
                  <w:vAlign w:val="center"/>
                </w:tcPr>
                <w:p>
                  <w:pPr>
                    <w:pStyle w:val="265"/>
                    <w:adjustRightInd/>
                    <w:snapToGrid/>
                    <w:spacing w:line="240" w:lineRule="auto"/>
                    <w:jc w:val="center"/>
                    <w:rPr>
                      <w:rFonts w:hint="eastAsia" w:ascii="Times New Roman"/>
                      <w:b w:val="0"/>
                      <w:bCs w:val="0"/>
                      <w:highlight w:val="none"/>
                      <w:lang w:val="en-US" w:eastAsia="zh-CN"/>
                    </w:rPr>
                  </w:pPr>
                  <w:r>
                    <w:rPr>
                      <w:rFonts w:hint="eastAsia" w:ascii="Times New Roman"/>
                      <w:b w:val="0"/>
                      <w:bCs w:val="0"/>
                      <w:highlight w:val="none"/>
                      <w:lang w:val="en-US" w:eastAsia="zh-CN"/>
                    </w:rPr>
                    <w:t>大气</w:t>
                  </w:r>
                </w:p>
              </w:tc>
              <w:tc>
                <w:tcPr>
                  <w:tcW w:w="1544" w:type="pct"/>
                  <w:noWrap w:val="0"/>
                  <w:vAlign w:val="center"/>
                </w:tcPr>
                <w:p>
                  <w:pPr>
                    <w:pStyle w:val="265"/>
                    <w:adjustRightInd/>
                    <w:snapToGrid/>
                    <w:spacing w:line="240" w:lineRule="auto"/>
                    <w:jc w:val="center"/>
                    <w:rPr>
                      <w:rFonts w:hint="default" w:ascii="Times New Roman"/>
                      <w:b w:val="0"/>
                      <w:bCs w:val="0"/>
                      <w:highlight w:val="none"/>
                      <w:lang w:val="en-US" w:eastAsia="zh-CN"/>
                    </w:rPr>
                  </w:pPr>
                  <w:r>
                    <w:rPr>
                      <w:rFonts w:hint="eastAsia" w:ascii="Times New Roman"/>
                      <w:b w:val="0"/>
                      <w:bCs w:val="0"/>
                      <w:highlight w:val="none"/>
                      <w:lang w:val="en-US" w:eastAsia="zh-CN"/>
                    </w:rPr>
                    <w:t>本项目不设大气评价范围，无大气风险目标</w:t>
                  </w:r>
                </w:p>
              </w:tc>
              <w:tc>
                <w:tcPr>
                  <w:tcW w:w="2330" w:type="pct"/>
                  <w:noWrap w:val="0"/>
                  <w:vAlign w:val="center"/>
                </w:tcPr>
                <w:p>
                  <w:pPr>
                    <w:pStyle w:val="265"/>
                    <w:adjustRightInd/>
                    <w:snapToGrid/>
                    <w:spacing w:line="240" w:lineRule="auto"/>
                    <w:jc w:val="center"/>
                    <w:rPr>
                      <w:rFonts w:hint="eastAsia" w:ascii="Times New Roman"/>
                      <w:b w:val="0"/>
                      <w:bCs w:val="0"/>
                      <w:highlight w:val="none"/>
                      <w:lang w:val="en-US" w:eastAsia="zh-CN"/>
                    </w:rPr>
                  </w:pPr>
                  <w:r>
                    <w:rPr>
                      <w:rFonts w:hint="eastAsia" w:ascii="Times New Roman"/>
                      <w:b w:val="0"/>
                      <w:bCs w:val="0"/>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94" w:type="pct"/>
                  <w:vMerge w:val="continue"/>
                  <w:noWrap w:val="0"/>
                  <w:vAlign w:val="center"/>
                </w:tcPr>
                <w:p>
                  <w:pPr>
                    <w:pStyle w:val="265"/>
                    <w:adjustRightInd/>
                    <w:snapToGrid/>
                    <w:spacing w:line="240" w:lineRule="auto"/>
                    <w:jc w:val="center"/>
                    <w:rPr>
                      <w:rFonts w:hint="eastAsia" w:ascii="Times New Roman"/>
                      <w:b w:val="0"/>
                      <w:bCs w:val="0"/>
                      <w:highlight w:val="none"/>
                      <w:lang w:val="en-US" w:eastAsia="zh-CN"/>
                    </w:rPr>
                  </w:pPr>
                </w:p>
              </w:tc>
              <w:tc>
                <w:tcPr>
                  <w:tcW w:w="431" w:type="pct"/>
                  <w:noWrap w:val="0"/>
                  <w:vAlign w:val="center"/>
                </w:tcPr>
                <w:p>
                  <w:pPr>
                    <w:pStyle w:val="265"/>
                    <w:adjustRightInd/>
                    <w:snapToGrid/>
                    <w:spacing w:line="240" w:lineRule="auto"/>
                    <w:jc w:val="center"/>
                    <w:rPr>
                      <w:rFonts w:hint="default" w:ascii="Times New Roman"/>
                      <w:b w:val="0"/>
                      <w:bCs w:val="0"/>
                      <w:highlight w:val="none"/>
                      <w:lang w:val="en-US" w:eastAsia="zh-CN"/>
                    </w:rPr>
                  </w:pPr>
                  <w:r>
                    <w:rPr>
                      <w:rFonts w:hint="eastAsia" w:ascii="Times New Roman"/>
                      <w:b w:val="0"/>
                      <w:bCs w:val="0"/>
                      <w:highlight w:val="none"/>
                      <w:lang w:val="en-US" w:eastAsia="zh-CN"/>
                    </w:rPr>
                    <w:t>地表水</w:t>
                  </w:r>
                </w:p>
              </w:tc>
              <w:tc>
                <w:tcPr>
                  <w:tcW w:w="1544" w:type="pct"/>
                  <w:noWrap w:val="0"/>
                  <w:vAlign w:val="center"/>
                </w:tcPr>
                <w:p>
                  <w:pPr>
                    <w:pStyle w:val="265"/>
                    <w:adjustRightInd/>
                    <w:snapToGrid/>
                    <w:spacing w:line="240" w:lineRule="auto"/>
                    <w:jc w:val="center"/>
                    <w:rPr>
                      <w:rFonts w:hint="default" w:ascii="Times New Roman"/>
                      <w:b w:val="0"/>
                      <w:bCs w:val="0"/>
                      <w:highlight w:val="none"/>
                      <w:lang w:val="en-US" w:eastAsia="zh-CN"/>
                    </w:rPr>
                  </w:pPr>
                  <w:r>
                    <w:rPr>
                      <w:rFonts w:hint="eastAsia" w:ascii="Times New Roman"/>
                      <w:b w:val="0"/>
                      <w:bCs w:val="0"/>
                      <w:highlight w:val="none"/>
                      <w:lang w:val="en-US" w:eastAsia="zh-CN"/>
                    </w:rPr>
                    <w:t>地表水风险保护目标为：工程涉及河段</w:t>
                  </w:r>
                </w:p>
              </w:tc>
              <w:tc>
                <w:tcPr>
                  <w:tcW w:w="2330" w:type="pct"/>
                  <w:noWrap w:val="0"/>
                  <w:vAlign w:val="center"/>
                </w:tcPr>
                <w:p>
                  <w:pPr>
                    <w:pStyle w:val="265"/>
                    <w:adjustRightInd/>
                    <w:snapToGrid/>
                    <w:spacing w:line="240" w:lineRule="auto"/>
                    <w:jc w:val="center"/>
                    <w:rPr>
                      <w:rFonts w:hint="default" w:ascii="Times New Roman"/>
                      <w:b w:val="0"/>
                      <w:bCs w:val="0"/>
                      <w:highlight w:val="none"/>
                      <w:lang w:val="en-US" w:eastAsia="zh-CN"/>
                    </w:rPr>
                  </w:pPr>
                  <w:r>
                    <w:rPr>
                      <w:rFonts w:hint="eastAsia" w:ascii="Times New Roman"/>
                      <w:b w:val="0"/>
                      <w:bCs w:val="0"/>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pct"/>
                  <w:vMerge w:val="continue"/>
                  <w:noWrap w:val="0"/>
                  <w:vAlign w:val="center"/>
                </w:tcPr>
                <w:p>
                  <w:pPr>
                    <w:pStyle w:val="265"/>
                    <w:adjustRightInd/>
                    <w:snapToGrid/>
                    <w:spacing w:line="240" w:lineRule="auto"/>
                    <w:jc w:val="center"/>
                    <w:rPr>
                      <w:rFonts w:hint="eastAsia" w:ascii="Times New Roman"/>
                      <w:b w:val="0"/>
                      <w:bCs w:val="0"/>
                      <w:highlight w:val="none"/>
                      <w:lang w:val="en-US" w:eastAsia="zh-CN"/>
                    </w:rPr>
                  </w:pPr>
                </w:p>
              </w:tc>
              <w:tc>
                <w:tcPr>
                  <w:tcW w:w="431" w:type="pct"/>
                  <w:noWrap w:val="0"/>
                  <w:vAlign w:val="center"/>
                </w:tcPr>
                <w:p>
                  <w:pPr>
                    <w:pStyle w:val="265"/>
                    <w:adjustRightInd/>
                    <w:snapToGrid/>
                    <w:spacing w:line="240" w:lineRule="auto"/>
                    <w:jc w:val="center"/>
                    <w:rPr>
                      <w:rFonts w:hint="default" w:ascii="Times New Roman"/>
                      <w:b w:val="0"/>
                      <w:bCs w:val="0"/>
                      <w:highlight w:val="none"/>
                      <w:lang w:val="en-US" w:eastAsia="zh-CN"/>
                    </w:rPr>
                  </w:pPr>
                  <w:r>
                    <w:rPr>
                      <w:rFonts w:hint="eastAsia" w:ascii="Times New Roman"/>
                      <w:b w:val="0"/>
                      <w:bCs w:val="0"/>
                      <w:highlight w:val="none"/>
                      <w:lang w:val="en-US" w:eastAsia="zh-CN"/>
                    </w:rPr>
                    <w:t>地下水</w:t>
                  </w:r>
                </w:p>
              </w:tc>
              <w:tc>
                <w:tcPr>
                  <w:tcW w:w="1544" w:type="pct"/>
                  <w:noWrap w:val="0"/>
                  <w:vAlign w:val="center"/>
                </w:tcPr>
                <w:p>
                  <w:pPr>
                    <w:pStyle w:val="265"/>
                    <w:adjustRightInd/>
                    <w:snapToGrid/>
                    <w:spacing w:line="240" w:lineRule="auto"/>
                    <w:jc w:val="center"/>
                    <w:rPr>
                      <w:rFonts w:hint="default" w:ascii="Times New Roman"/>
                      <w:b w:val="0"/>
                      <w:bCs w:val="0"/>
                      <w:highlight w:val="none"/>
                      <w:lang w:val="en-US" w:eastAsia="zh-CN"/>
                    </w:rPr>
                  </w:pPr>
                  <w:r>
                    <w:rPr>
                      <w:rFonts w:hint="eastAsia" w:ascii="Times New Roman"/>
                      <w:b w:val="0"/>
                      <w:bCs w:val="0"/>
                      <w:highlight w:val="none"/>
                      <w:lang w:val="en-US" w:eastAsia="zh-CN"/>
                    </w:rPr>
                    <w:t>不涉及地下水风险敏感区及较敏感区，无地下水环境风险保护目标</w:t>
                  </w:r>
                </w:p>
              </w:tc>
              <w:tc>
                <w:tcPr>
                  <w:tcW w:w="2330" w:type="pct"/>
                  <w:noWrap w:val="0"/>
                  <w:vAlign w:val="center"/>
                </w:tcPr>
                <w:p>
                  <w:pPr>
                    <w:pStyle w:val="265"/>
                    <w:adjustRightInd/>
                    <w:snapToGrid/>
                    <w:spacing w:line="240" w:lineRule="auto"/>
                    <w:jc w:val="center"/>
                    <w:rPr>
                      <w:rFonts w:hint="default" w:ascii="Times New Roman"/>
                      <w:b w:val="0"/>
                      <w:bCs w:val="0"/>
                      <w:highlight w:val="none"/>
                      <w:lang w:val="en-US" w:eastAsia="zh-CN"/>
                    </w:rPr>
                  </w:pPr>
                  <w:r>
                    <w:rPr>
                      <w:rFonts w:hint="eastAsia" w:ascii="Times New Roman"/>
                      <w:b w:val="0"/>
                      <w:bCs w:val="0"/>
                      <w:highlight w:val="none"/>
                      <w:lang w:val="en-US" w:eastAsia="zh-CN"/>
                    </w:rPr>
                    <w:t>无</w:t>
                  </w:r>
                </w:p>
              </w:tc>
            </w:tr>
          </w:tbl>
          <w:p>
            <w:pPr>
              <w:adjustRightInd w:val="0"/>
              <w:snapToGrid w:val="0"/>
              <w:ind w:left="0" w:leftChars="0" w:firstLine="0" w:firstLineChars="0"/>
              <w:rPr>
                <w:rFonts w:ascii="宋体" w:cs="宋体"/>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568" w:type="pct"/>
            <w:vAlign w:val="center"/>
          </w:tcPr>
          <w:p>
            <w:pPr>
              <w:adjustRightInd w:val="0"/>
              <w:snapToGrid w:val="0"/>
              <w:spacing w:line="240" w:lineRule="auto"/>
              <w:ind w:firstLine="0" w:firstLineChars="0"/>
              <w:jc w:val="center"/>
              <w:rPr>
                <w:rFonts w:ascii="宋体" w:cs="宋体"/>
                <w:b/>
                <w:color w:val="000000"/>
                <w:kern w:val="0"/>
              </w:rPr>
            </w:pPr>
            <w:r>
              <w:rPr>
                <w:rFonts w:hint="eastAsia" w:ascii="宋体" w:hAnsi="宋体" w:cs="宋体"/>
                <w:b/>
                <w:color w:val="000000"/>
                <w:kern w:val="0"/>
              </w:rPr>
              <w:t>评价</w:t>
            </w:r>
          </w:p>
          <w:p>
            <w:pPr>
              <w:adjustRightInd w:val="0"/>
              <w:snapToGrid w:val="0"/>
              <w:spacing w:line="240" w:lineRule="auto"/>
              <w:ind w:firstLine="0" w:firstLineChars="0"/>
              <w:jc w:val="center"/>
              <w:rPr>
                <w:rFonts w:ascii="宋体" w:cs="宋体"/>
                <w:b/>
                <w:color w:val="FF0000"/>
                <w:kern w:val="0"/>
              </w:rPr>
            </w:pPr>
            <w:r>
              <w:rPr>
                <w:rFonts w:hint="eastAsia" w:ascii="宋体" w:hAnsi="宋体" w:cs="宋体"/>
                <w:b/>
                <w:color w:val="000000"/>
                <w:kern w:val="0"/>
              </w:rPr>
              <w:t>标准</w:t>
            </w:r>
          </w:p>
        </w:tc>
        <w:tc>
          <w:tcPr>
            <w:tcW w:w="4431" w:type="pct"/>
            <w:vAlign w:val="center"/>
          </w:tcPr>
          <w:p>
            <w:pPr>
              <w:adjustRightInd w:val="0"/>
              <w:snapToGrid w:val="0"/>
              <w:spacing w:line="360" w:lineRule="auto"/>
              <w:ind w:left="0" w:leftChars="0" w:firstLine="0" w:firstLineChars="0"/>
              <w:rPr>
                <w:rFonts w:hAnsi="宋体"/>
                <w:b/>
                <w:color w:val="000000"/>
              </w:rPr>
            </w:pPr>
            <w:r>
              <w:rPr>
                <w:rFonts w:hint="eastAsia" w:hAnsi="宋体"/>
                <w:b/>
                <w:color w:val="000000"/>
                <w:lang w:val="en-US" w:eastAsia="zh-CN"/>
              </w:rPr>
              <w:t>1、</w:t>
            </w:r>
            <w:r>
              <w:rPr>
                <w:rFonts w:hint="eastAsia" w:hAnsi="宋体"/>
                <w:b/>
                <w:color w:val="000000"/>
              </w:rPr>
              <w:t>环境质量标准</w:t>
            </w:r>
          </w:p>
          <w:p>
            <w:pPr>
              <w:tabs>
                <w:tab w:val="left" w:pos="1680"/>
              </w:tabs>
              <w:spacing w:line="360" w:lineRule="auto"/>
              <w:ind w:firstLine="480" w:firstLineChars="200"/>
              <w:rPr>
                <w:color w:val="000000"/>
                <w:sz w:val="24"/>
              </w:rPr>
            </w:pPr>
            <w:r>
              <w:rPr>
                <w:rFonts w:hint="eastAsia"/>
                <w:color w:val="000000"/>
                <w:sz w:val="24"/>
                <w:lang w:eastAsia="zh-CN"/>
              </w:rPr>
              <w:t>（</w:t>
            </w:r>
            <w:r>
              <w:rPr>
                <w:rFonts w:hint="eastAsia"/>
                <w:color w:val="000000"/>
                <w:sz w:val="24"/>
                <w:lang w:val="en-US" w:eastAsia="zh-CN"/>
              </w:rPr>
              <w:t>1</w:t>
            </w:r>
            <w:r>
              <w:rPr>
                <w:rFonts w:hint="eastAsia"/>
                <w:color w:val="000000"/>
                <w:sz w:val="24"/>
                <w:lang w:eastAsia="zh-CN"/>
              </w:rPr>
              <w:t>）</w:t>
            </w:r>
            <w:r>
              <w:rPr>
                <w:rFonts w:hint="eastAsia" w:hAnsi="宋体"/>
                <w:color w:val="000000"/>
              </w:rPr>
              <w:t>环境空气：</w:t>
            </w:r>
            <w:r>
              <w:rPr>
                <w:color w:val="000000"/>
                <w:sz w:val="24"/>
              </w:rPr>
              <w:t>项目所在区域环境空气质量功能区为二类，执行《环境空气质量标准》（GB3095-2012）二级标准</w:t>
            </w:r>
            <w:r>
              <w:rPr>
                <w:rFonts w:hint="eastAsia"/>
                <w:color w:val="000000"/>
                <w:sz w:val="24"/>
                <w:lang w:eastAsia="zh-CN"/>
              </w:rPr>
              <w:t>，</w:t>
            </w:r>
            <w:r>
              <w:rPr>
                <w:color w:val="000000"/>
                <w:sz w:val="24"/>
              </w:rPr>
              <w:t>具体标准值见下表。</w:t>
            </w:r>
          </w:p>
          <w:p>
            <w:pPr>
              <w:spacing w:line="240" w:lineRule="auto"/>
              <w:jc w:val="center"/>
              <w:rPr>
                <w:color w:val="000000"/>
                <w:kern w:val="0"/>
                <w:sz w:val="21"/>
                <w:szCs w:val="21"/>
              </w:rPr>
            </w:pPr>
            <w:r>
              <w:rPr>
                <w:b/>
                <w:color w:val="000000"/>
                <w:kern w:val="0"/>
                <w:sz w:val="21"/>
                <w:szCs w:val="21"/>
              </w:rPr>
              <w:t>表</w:t>
            </w:r>
            <w:r>
              <w:rPr>
                <w:rFonts w:hint="eastAsia"/>
                <w:b/>
                <w:color w:val="000000"/>
                <w:kern w:val="0"/>
                <w:sz w:val="21"/>
                <w:szCs w:val="21"/>
              </w:rPr>
              <w:t>3-</w:t>
            </w:r>
            <w:r>
              <w:rPr>
                <w:rFonts w:hint="eastAsia"/>
                <w:b/>
                <w:color w:val="000000"/>
                <w:kern w:val="0"/>
                <w:sz w:val="21"/>
                <w:szCs w:val="21"/>
                <w:lang w:val="en-US" w:eastAsia="zh-CN"/>
              </w:rPr>
              <w:t xml:space="preserve">5        </w:t>
            </w:r>
            <w:r>
              <w:rPr>
                <w:b/>
                <w:color w:val="000000"/>
                <w:kern w:val="0"/>
                <w:sz w:val="21"/>
                <w:szCs w:val="21"/>
              </w:rPr>
              <w:t>环境空气质量标准</w:t>
            </w:r>
            <w:r>
              <w:rPr>
                <w:color w:val="000000"/>
                <w:kern w:val="0"/>
                <w:sz w:val="21"/>
                <w:szCs w:val="21"/>
              </w:rPr>
              <w:t xml:space="preserve">  </w:t>
            </w:r>
            <w:r>
              <w:rPr>
                <w:rFonts w:hint="eastAsia"/>
                <w:color w:val="000000"/>
                <w:kern w:val="0"/>
                <w:sz w:val="21"/>
                <w:szCs w:val="21"/>
                <w:lang w:val="en-US" w:eastAsia="zh-CN"/>
              </w:rPr>
              <w:t xml:space="preserve">  </w:t>
            </w:r>
            <w:r>
              <w:rPr>
                <w:color w:val="000000"/>
                <w:kern w:val="0"/>
                <w:sz w:val="21"/>
                <w:szCs w:val="21"/>
              </w:rPr>
              <w:t xml:space="preserve">    </w:t>
            </w:r>
            <w:r>
              <w:rPr>
                <w:b/>
                <w:bCs/>
                <w:color w:val="000000"/>
                <w:kern w:val="0"/>
                <w:sz w:val="21"/>
                <w:szCs w:val="21"/>
              </w:rPr>
              <w:t>单位：μg/m</w:t>
            </w:r>
            <w:r>
              <w:rPr>
                <w:b/>
                <w:bCs/>
                <w:color w:val="000000"/>
                <w:kern w:val="0"/>
                <w:sz w:val="21"/>
                <w:szCs w:val="21"/>
                <w:vertAlign w:val="superscript"/>
              </w:rPr>
              <w:t>3</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5"/>
              <w:gridCol w:w="2619"/>
              <w:gridCol w:w="1840"/>
              <w:gridCol w:w="1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5" w:type="pct"/>
                  <w:noWrap w:val="0"/>
                  <w:vAlign w:val="center"/>
                </w:tcPr>
                <w:p>
                  <w:pPr>
                    <w:pStyle w:val="265"/>
                    <w:adjustRightInd/>
                    <w:snapToGrid/>
                    <w:spacing w:line="240" w:lineRule="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污染物名称</w:t>
                  </w:r>
                </w:p>
              </w:tc>
              <w:tc>
                <w:tcPr>
                  <w:tcW w:w="1695" w:type="pct"/>
                  <w:noWrap w:val="0"/>
                  <w:vAlign w:val="center"/>
                </w:tcPr>
                <w:p>
                  <w:pPr>
                    <w:pStyle w:val="265"/>
                    <w:adjustRightInd/>
                    <w:snapToGrid/>
                    <w:spacing w:line="240" w:lineRule="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取值时间</w:t>
                  </w:r>
                </w:p>
              </w:tc>
              <w:tc>
                <w:tcPr>
                  <w:tcW w:w="1193" w:type="pct"/>
                  <w:noWrap w:val="0"/>
                  <w:vAlign w:val="center"/>
                </w:tcPr>
                <w:p>
                  <w:pPr>
                    <w:pStyle w:val="265"/>
                    <w:adjustRightInd/>
                    <w:snapToGrid/>
                    <w:spacing w:line="240" w:lineRule="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浓度限值</w:t>
                  </w:r>
                </w:p>
              </w:tc>
              <w:tc>
                <w:tcPr>
                  <w:tcW w:w="1166" w:type="pct"/>
                  <w:noWrap w:val="0"/>
                  <w:vAlign w:val="center"/>
                </w:tcPr>
                <w:p>
                  <w:pPr>
                    <w:pStyle w:val="265"/>
                    <w:adjustRightInd/>
                    <w:snapToGrid/>
                    <w:spacing w:line="240" w:lineRule="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945" w:type="pct"/>
                  <w:vMerge w:val="restart"/>
                  <w:noWrap w:val="0"/>
                  <w:vAlign w:val="center"/>
                </w:tcPr>
                <w:p>
                  <w:pPr>
                    <w:pStyle w:val="265"/>
                    <w:adjustRightInd/>
                    <w:snapToGrid/>
                    <w:spacing w:line="240" w:lineRule="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NO</w:t>
                  </w:r>
                  <w:r>
                    <w:rPr>
                      <w:rFonts w:hint="default" w:ascii="Times New Roman" w:hAnsi="Times New Roman" w:cs="Times New Roman"/>
                      <w:b w:val="0"/>
                      <w:bCs w:val="0"/>
                      <w:vertAlign w:val="subscript"/>
                      <w:lang w:val="en-US" w:eastAsia="zh-CN"/>
                    </w:rPr>
                    <w:t>2</w:t>
                  </w:r>
                </w:p>
              </w:tc>
              <w:tc>
                <w:tcPr>
                  <w:tcW w:w="1695" w:type="pct"/>
                  <w:noWrap w:val="0"/>
                  <w:vAlign w:val="center"/>
                </w:tcPr>
                <w:p>
                  <w:pPr>
                    <w:pStyle w:val="265"/>
                    <w:adjustRightInd/>
                    <w:snapToGrid/>
                    <w:spacing w:line="240" w:lineRule="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1小时平均</w:t>
                  </w:r>
                </w:p>
              </w:tc>
              <w:tc>
                <w:tcPr>
                  <w:tcW w:w="1193" w:type="pct"/>
                  <w:noWrap w:val="0"/>
                  <w:vAlign w:val="center"/>
                </w:tcPr>
                <w:p>
                  <w:pPr>
                    <w:pStyle w:val="265"/>
                    <w:adjustRightInd/>
                    <w:snapToGrid/>
                    <w:spacing w:line="240" w:lineRule="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200</w:t>
                  </w:r>
                </w:p>
              </w:tc>
              <w:tc>
                <w:tcPr>
                  <w:tcW w:w="1166" w:type="pct"/>
                  <w:vMerge w:val="restart"/>
                  <w:noWrap w:val="0"/>
                  <w:vAlign w:val="center"/>
                </w:tcPr>
                <w:p>
                  <w:pPr>
                    <w:pStyle w:val="265"/>
                    <w:adjustRightInd/>
                    <w:snapToGrid/>
                    <w:spacing w:line="240" w:lineRule="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《环境空气质量标准》</w:t>
                  </w:r>
                </w:p>
                <w:p>
                  <w:pPr>
                    <w:pStyle w:val="265"/>
                    <w:adjustRightInd/>
                    <w:snapToGrid/>
                    <w:spacing w:line="240" w:lineRule="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（GB3095</w:t>
                  </w:r>
                  <w:r>
                    <w:rPr>
                      <w:rFonts w:hint="eastAsia" w:ascii="Times New Roman" w:hAnsi="Times New Roman" w:cs="Times New Roman"/>
                      <w:b w:val="0"/>
                      <w:bCs w:val="0"/>
                      <w:lang w:val="en-US" w:eastAsia="zh-CN"/>
                    </w:rPr>
                    <w:t>-</w:t>
                  </w:r>
                  <w:r>
                    <w:rPr>
                      <w:rFonts w:hint="default" w:ascii="Times New Roman" w:hAnsi="Times New Roman" w:cs="Times New Roman"/>
                      <w:b w:val="0"/>
                      <w:bCs w:val="0"/>
                      <w:lang w:val="en-US" w:eastAsia="zh-CN"/>
                    </w:rPr>
                    <w:t>2012）二级标准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945" w:type="pct"/>
                  <w:vMerge w:val="continue"/>
                  <w:noWrap w:val="0"/>
                  <w:vAlign w:val="center"/>
                </w:tcPr>
                <w:p>
                  <w:pPr>
                    <w:pStyle w:val="265"/>
                    <w:adjustRightInd/>
                    <w:snapToGrid/>
                    <w:spacing w:line="240" w:lineRule="auto"/>
                    <w:rPr>
                      <w:rFonts w:hint="default" w:ascii="Times New Roman" w:hAnsi="Times New Roman" w:cs="Times New Roman"/>
                      <w:b w:val="0"/>
                      <w:bCs w:val="0"/>
                      <w:lang w:val="en-US" w:eastAsia="zh-CN"/>
                    </w:rPr>
                  </w:pPr>
                </w:p>
              </w:tc>
              <w:tc>
                <w:tcPr>
                  <w:tcW w:w="1695" w:type="pct"/>
                  <w:noWrap w:val="0"/>
                  <w:vAlign w:val="center"/>
                </w:tcPr>
                <w:p>
                  <w:pPr>
                    <w:pStyle w:val="265"/>
                    <w:adjustRightInd/>
                    <w:snapToGrid/>
                    <w:spacing w:line="240" w:lineRule="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24小时平均</w:t>
                  </w:r>
                </w:p>
              </w:tc>
              <w:tc>
                <w:tcPr>
                  <w:tcW w:w="1193" w:type="pct"/>
                  <w:noWrap w:val="0"/>
                  <w:vAlign w:val="center"/>
                </w:tcPr>
                <w:p>
                  <w:pPr>
                    <w:pStyle w:val="265"/>
                    <w:adjustRightInd/>
                    <w:snapToGrid/>
                    <w:spacing w:line="240" w:lineRule="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80</w:t>
                  </w:r>
                </w:p>
              </w:tc>
              <w:tc>
                <w:tcPr>
                  <w:tcW w:w="1166" w:type="pct"/>
                  <w:vMerge w:val="continue"/>
                  <w:noWrap w:val="0"/>
                  <w:vAlign w:val="center"/>
                </w:tcPr>
                <w:p>
                  <w:pPr>
                    <w:pStyle w:val="265"/>
                    <w:adjustRightInd/>
                    <w:snapToGrid/>
                    <w:spacing w:line="240" w:lineRule="auto"/>
                    <w:rPr>
                      <w:rFonts w:hint="eastAsia" w:ascii="Times New Roman" w:hAnsi="Times New Roman" w:cs="Times New Roman"/>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945" w:type="pct"/>
                  <w:vMerge w:val="continue"/>
                  <w:noWrap w:val="0"/>
                  <w:vAlign w:val="center"/>
                </w:tcPr>
                <w:p>
                  <w:pPr>
                    <w:pStyle w:val="265"/>
                    <w:adjustRightInd/>
                    <w:snapToGrid/>
                    <w:spacing w:line="240" w:lineRule="auto"/>
                    <w:rPr>
                      <w:rFonts w:hint="default" w:ascii="Times New Roman" w:hAnsi="Times New Roman" w:cs="Times New Roman"/>
                      <w:b w:val="0"/>
                      <w:bCs w:val="0"/>
                      <w:lang w:val="en-US" w:eastAsia="zh-CN"/>
                    </w:rPr>
                  </w:pPr>
                </w:p>
              </w:tc>
              <w:tc>
                <w:tcPr>
                  <w:tcW w:w="1695" w:type="pct"/>
                  <w:noWrap w:val="0"/>
                  <w:vAlign w:val="center"/>
                </w:tcPr>
                <w:p>
                  <w:pPr>
                    <w:pStyle w:val="265"/>
                    <w:adjustRightInd/>
                    <w:snapToGrid/>
                    <w:spacing w:line="240" w:lineRule="auto"/>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年平均</w:t>
                  </w:r>
                </w:p>
              </w:tc>
              <w:tc>
                <w:tcPr>
                  <w:tcW w:w="1193" w:type="pct"/>
                  <w:noWrap w:val="0"/>
                  <w:vAlign w:val="center"/>
                </w:tcPr>
                <w:p>
                  <w:pPr>
                    <w:pStyle w:val="265"/>
                    <w:adjustRightInd/>
                    <w:snapToGrid/>
                    <w:spacing w:line="240" w:lineRule="auto"/>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40</w:t>
                  </w:r>
                </w:p>
              </w:tc>
              <w:tc>
                <w:tcPr>
                  <w:tcW w:w="1166" w:type="pct"/>
                  <w:vMerge w:val="continue"/>
                  <w:noWrap w:val="0"/>
                  <w:vAlign w:val="center"/>
                </w:tcPr>
                <w:p>
                  <w:pPr>
                    <w:pStyle w:val="265"/>
                    <w:adjustRightInd/>
                    <w:snapToGrid/>
                    <w:spacing w:line="240" w:lineRule="auto"/>
                    <w:rPr>
                      <w:rFonts w:hint="eastAsia" w:ascii="Times New Roman" w:hAnsi="Times New Roman" w:cs="Times New Roman"/>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5" w:type="pct"/>
                  <w:vMerge w:val="restart"/>
                  <w:noWrap w:val="0"/>
                  <w:vAlign w:val="center"/>
                </w:tcPr>
                <w:p>
                  <w:pPr>
                    <w:pStyle w:val="265"/>
                    <w:adjustRightInd/>
                    <w:snapToGrid/>
                    <w:spacing w:line="240" w:lineRule="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SO</w:t>
                  </w:r>
                  <w:r>
                    <w:rPr>
                      <w:rFonts w:hint="default" w:ascii="Times New Roman" w:hAnsi="Times New Roman" w:cs="Times New Roman"/>
                      <w:b w:val="0"/>
                      <w:bCs w:val="0"/>
                      <w:vertAlign w:val="subscript"/>
                      <w:lang w:val="en-US" w:eastAsia="zh-CN"/>
                    </w:rPr>
                    <w:t>2</w:t>
                  </w:r>
                </w:p>
              </w:tc>
              <w:tc>
                <w:tcPr>
                  <w:tcW w:w="1695" w:type="pct"/>
                  <w:noWrap w:val="0"/>
                  <w:vAlign w:val="center"/>
                </w:tcPr>
                <w:p>
                  <w:pPr>
                    <w:pStyle w:val="265"/>
                    <w:adjustRightInd/>
                    <w:snapToGrid/>
                    <w:spacing w:line="240" w:lineRule="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1小时平均</w:t>
                  </w:r>
                </w:p>
              </w:tc>
              <w:tc>
                <w:tcPr>
                  <w:tcW w:w="1193" w:type="pct"/>
                  <w:noWrap w:val="0"/>
                  <w:vAlign w:val="center"/>
                </w:tcPr>
                <w:p>
                  <w:pPr>
                    <w:pStyle w:val="265"/>
                    <w:adjustRightInd/>
                    <w:snapToGrid/>
                    <w:spacing w:line="240" w:lineRule="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500</w:t>
                  </w:r>
                </w:p>
              </w:tc>
              <w:tc>
                <w:tcPr>
                  <w:tcW w:w="1166" w:type="pct"/>
                  <w:vMerge w:val="continue"/>
                  <w:noWrap w:val="0"/>
                  <w:vAlign w:val="center"/>
                </w:tcPr>
                <w:p>
                  <w:pPr>
                    <w:pStyle w:val="265"/>
                    <w:adjustRightInd/>
                    <w:snapToGrid/>
                    <w:spacing w:line="240" w:lineRule="auto"/>
                    <w:rPr>
                      <w:rFonts w:hint="eastAsia" w:ascii="Times New Roman" w:hAnsi="Times New Roman" w:cs="Times New Roman"/>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45" w:type="pct"/>
                  <w:vMerge w:val="continue"/>
                  <w:noWrap w:val="0"/>
                  <w:vAlign w:val="center"/>
                </w:tcPr>
                <w:p>
                  <w:pPr>
                    <w:pStyle w:val="265"/>
                    <w:adjustRightInd/>
                    <w:snapToGrid/>
                    <w:spacing w:line="240" w:lineRule="auto"/>
                    <w:rPr>
                      <w:rFonts w:hint="default" w:ascii="Times New Roman" w:hAnsi="Times New Roman" w:cs="Times New Roman"/>
                      <w:b w:val="0"/>
                      <w:bCs w:val="0"/>
                      <w:lang w:val="en-US" w:eastAsia="zh-CN"/>
                    </w:rPr>
                  </w:pPr>
                </w:p>
              </w:tc>
              <w:tc>
                <w:tcPr>
                  <w:tcW w:w="1695" w:type="pct"/>
                  <w:noWrap w:val="0"/>
                  <w:vAlign w:val="center"/>
                </w:tcPr>
                <w:p>
                  <w:pPr>
                    <w:pStyle w:val="265"/>
                    <w:adjustRightInd/>
                    <w:snapToGrid/>
                    <w:spacing w:line="240" w:lineRule="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24小时平均</w:t>
                  </w:r>
                </w:p>
              </w:tc>
              <w:tc>
                <w:tcPr>
                  <w:tcW w:w="1193" w:type="pct"/>
                  <w:noWrap w:val="0"/>
                  <w:vAlign w:val="center"/>
                </w:tcPr>
                <w:p>
                  <w:pPr>
                    <w:pStyle w:val="265"/>
                    <w:adjustRightInd/>
                    <w:snapToGrid/>
                    <w:spacing w:line="240" w:lineRule="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150</w:t>
                  </w:r>
                </w:p>
              </w:tc>
              <w:tc>
                <w:tcPr>
                  <w:tcW w:w="1166" w:type="pct"/>
                  <w:vMerge w:val="continue"/>
                  <w:noWrap w:val="0"/>
                  <w:vAlign w:val="center"/>
                </w:tcPr>
                <w:p>
                  <w:pPr>
                    <w:pStyle w:val="265"/>
                    <w:adjustRightInd/>
                    <w:snapToGrid/>
                    <w:spacing w:line="240" w:lineRule="auto"/>
                    <w:rPr>
                      <w:rFonts w:hint="eastAsia" w:ascii="Times New Roman" w:hAnsi="Times New Roman" w:cs="Times New Roman"/>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45" w:type="pct"/>
                  <w:vMerge w:val="continue"/>
                  <w:noWrap w:val="0"/>
                  <w:vAlign w:val="center"/>
                </w:tcPr>
                <w:p>
                  <w:pPr>
                    <w:pStyle w:val="265"/>
                    <w:adjustRightInd/>
                    <w:snapToGrid/>
                    <w:spacing w:line="240" w:lineRule="auto"/>
                    <w:rPr>
                      <w:rFonts w:hint="default" w:ascii="Times New Roman" w:hAnsi="Times New Roman" w:cs="Times New Roman"/>
                      <w:b w:val="0"/>
                      <w:bCs w:val="0"/>
                      <w:lang w:val="en-US" w:eastAsia="zh-CN"/>
                    </w:rPr>
                  </w:pPr>
                </w:p>
              </w:tc>
              <w:tc>
                <w:tcPr>
                  <w:tcW w:w="1695" w:type="pct"/>
                  <w:noWrap w:val="0"/>
                  <w:vAlign w:val="center"/>
                </w:tcPr>
                <w:p>
                  <w:pPr>
                    <w:pStyle w:val="265"/>
                    <w:adjustRightInd/>
                    <w:snapToGrid/>
                    <w:spacing w:line="240" w:lineRule="auto"/>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年平均</w:t>
                  </w:r>
                </w:p>
              </w:tc>
              <w:tc>
                <w:tcPr>
                  <w:tcW w:w="1193" w:type="pct"/>
                  <w:noWrap w:val="0"/>
                  <w:vAlign w:val="center"/>
                </w:tcPr>
                <w:p>
                  <w:pPr>
                    <w:pStyle w:val="265"/>
                    <w:adjustRightInd/>
                    <w:snapToGrid/>
                    <w:spacing w:line="240" w:lineRule="auto"/>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60</w:t>
                  </w:r>
                </w:p>
              </w:tc>
              <w:tc>
                <w:tcPr>
                  <w:tcW w:w="1166" w:type="pct"/>
                  <w:vMerge w:val="continue"/>
                  <w:noWrap w:val="0"/>
                  <w:vAlign w:val="center"/>
                </w:tcPr>
                <w:p>
                  <w:pPr>
                    <w:pStyle w:val="265"/>
                    <w:adjustRightInd/>
                    <w:snapToGrid/>
                    <w:spacing w:line="240" w:lineRule="auto"/>
                    <w:rPr>
                      <w:rFonts w:hint="eastAsia" w:ascii="Times New Roman" w:hAnsi="Times New Roman" w:cs="Times New Roman"/>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945" w:type="pct"/>
                  <w:vMerge w:val="restart"/>
                  <w:noWrap w:val="0"/>
                  <w:vAlign w:val="center"/>
                </w:tcPr>
                <w:p>
                  <w:pPr>
                    <w:pStyle w:val="265"/>
                    <w:adjustRightInd/>
                    <w:snapToGrid/>
                    <w:spacing w:line="240" w:lineRule="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PM</w:t>
                  </w:r>
                  <w:r>
                    <w:rPr>
                      <w:rFonts w:hint="default" w:ascii="Times New Roman" w:hAnsi="Times New Roman" w:cs="Times New Roman"/>
                      <w:b w:val="0"/>
                      <w:bCs w:val="0"/>
                      <w:vertAlign w:val="subscript"/>
                      <w:lang w:val="en-US" w:eastAsia="zh-CN"/>
                    </w:rPr>
                    <w:t>10</w:t>
                  </w:r>
                </w:p>
              </w:tc>
              <w:tc>
                <w:tcPr>
                  <w:tcW w:w="1695" w:type="pct"/>
                  <w:noWrap w:val="0"/>
                  <w:vAlign w:val="center"/>
                </w:tcPr>
                <w:p>
                  <w:pPr>
                    <w:pStyle w:val="265"/>
                    <w:adjustRightInd/>
                    <w:snapToGrid/>
                    <w:spacing w:line="240" w:lineRule="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24小时平均</w:t>
                  </w:r>
                </w:p>
              </w:tc>
              <w:tc>
                <w:tcPr>
                  <w:tcW w:w="1193" w:type="pct"/>
                  <w:noWrap w:val="0"/>
                  <w:vAlign w:val="center"/>
                </w:tcPr>
                <w:p>
                  <w:pPr>
                    <w:pStyle w:val="265"/>
                    <w:adjustRightInd/>
                    <w:snapToGrid/>
                    <w:spacing w:line="240" w:lineRule="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150</w:t>
                  </w:r>
                </w:p>
              </w:tc>
              <w:tc>
                <w:tcPr>
                  <w:tcW w:w="1166" w:type="pct"/>
                  <w:vMerge w:val="continue"/>
                  <w:noWrap w:val="0"/>
                  <w:vAlign w:val="center"/>
                </w:tcPr>
                <w:p>
                  <w:pPr>
                    <w:pStyle w:val="265"/>
                    <w:adjustRightInd/>
                    <w:snapToGrid/>
                    <w:spacing w:line="240" w:lineRule="auto"/>
                    <w:rPr>
                      <w:rFonts w:hint="eastAsia" w:ascii="Times New Roman" w:hAnsi="Times New Roman" w:cs="Times New Roman"/>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945" w:type="pct"/>
                  <w:vMerge w:val="continue"/>
                  <w:noWrap w:val="0"/>
                  <w:vAlign w:val="center"/>
                </w:tcPr>
                <w:p>
                  <w:pPr>
                    <w:pStyle w:val="265"/>
                    <w:adjustRightInd/>
                    <w:snapToGrid/>
                    <w:spacing w:line="240" w:lineRule="auto"/>
                    <w:rPr>
                      <w:rFonts w:hint="default" w:ascii="Times New Roman" w:hAnsi="Times New Roman" w:cs="Times New Roman"/>
                      <w:b w:val="0"/>
                      <w:bCs w:val="0"/>
                      <w:lang w:val="en-US" w:eastAsia="zh-CN"/>
                    </w:rPr>
                  </w:pPr>
                </w:p>
              </w:tc>
              <w:tc>
                <w:tcPr>
                  <w:tcW w:w="1695" w:type="pct"/>
                  <w:noWrap w:val="0"/>
                  <w:vAlign w:val="center"/>
                </w:tcPr>
                <w:p>
                  <w:pPr>
                    <w:pStyle w:val="265"/>
                    <w:adjustRightInd/>
                    <w:snapToGrid/>
                    <w:spacing w:line="240" w:lineRule="auto"/>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年平均</w:t>
                  </w:r>
                </w:p>
              </w:tc>
              <w:tc>
                <w:tcPr>
                  <w:tcW w:w="1193" w:type="pct"/>
                  <w:noWrap w:val="0"/>
                  <w:vAlign w:val="center"/>
                </w:tcPr>
                <w:p>
                  <w:pPr>
                    <w:pStyle w:val="265"/>
                    <w:adjustRightInd/>
                    <w:snapToGrid/>
                    <w:spacing w:line="240" w:lineRule="auto"/>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70</w:t>
                  </w:r>
                </w:p>
              </w:tc>
              <w:tc>
                <w:tcPr>
                  <w:tcW w:w="1166" w:type="pct"/>
                  <w:vMerge w:val="continue"/>
                  <w:noWrap w:val="0"/>
                  <w:vAlign w:val="center"/>
                </w:tcPr>
                <w:p>
                  <w:pPr>
                    <w:pStyle w:val="265"/>
                    <w:adjustRightInd/>
                    <w:snapToGrid/>
                    <w:spacing w:line="240" w:lineRule="auto"/>
                    <w:rPr>
                      <w:rFonts w:hint="eastAsia" w:ascii="Times New Roman" w:hAnsi="Times New Roman" w:cs="Times New Roman"/>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945" w:type="pct"/>
                  <w:vMerge w:val="restart"/>
                  <w:noWrap w:val="0"/>
                  <w:vAlign w:val="center"/>
                </w:tcPr>
                <w:p>
                  <w:pPr>
                    <w:pStyle w:val="265"/>
                    <w:adjustRightInd/>
                    <w:snapToGrid/>
                    <w:spacing w:line="240" w:lineRule="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PM</w:t>
                  </w:r>
                  <w:r>
                    <w:rPr>
                      <w:rFonts w:hint="default" w:ascii="Times New Roman" w:hAnsi="Times New Roman" w:cs="Times New Roman"/>
                      <w:b w:val="0"/>
                      <w:bCs w:val="0"/>
                      <w:vertAlign w:val="subscript"/>
                      <w:lang w:val="en-US" w:eastAsia="zh-CN"/>
                    </w:rPr>
                    <w:t>2.5</w:t>
                  </w:r>
                </w:p>
              </w:tc>
              <w:tc>
                <w:tcPr>
                  <w:tcW w:w="1695" w:type="pct"/>
                  <w:noWrap w:val="0"/>
                  <w:vAlign w:val="center"/>
                </w:tcPr>
                <w:p>
                  <w:pPr>
                    <w:pStyle w:val="265"/>
                    <w:adjustRightInd/>
                    <w:snapToGrid/>
                    <w:spacing w:line="240" w:lineRule="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24小时平均</w:t>
                  </w:r>
                </w:p>
              </w:tc>
              <w:tc>
                <w:tcPr>
                  <w:tcW w:w="1193" w:type="pct"/>
                  <w:noWrap w:val="0"/>
                  <w:vAlign w:val="center"/>
                </w:tcPr>
                <w:p>
                  <w:pPr>
                    <w:pStyle w:val="265"/>
                    <w:adjustRightInd/>
                    <w:snapToGrid/>
                    <w:spacing w:line="240" w:lineRule="auto"/>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75</w:t>
                  </w:r>
                </w:p>
              </w:tc>
              <w:tc>
                <w:tcPr>
                  <w:tcW w:w="1166" w:type="pct"/>
                  <w:vMerge w:val="continue"/>
                  <w:noWrap w:val="0"/>
                  <w:vAlign w:val="center"/>
                </w:tcPr>
                <w:p>
                  <w:pPr>
                    <w:pStyle w:val="265"/>
                    <w:adjustRightInd/>
                    <w:snapToGrid/>
                    <w:spacing w:line="240" w:lineRule="auto"/>
                    <w:rPr>
                      <w:rFonts w:hint="eastAsia" w:ascii="Times New Roman" w:hAnsi="Times New Roman" w:cs="Times New Roman"/>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945" w:type="pct"/>
                  <w:vMerge w:val="continue"/>
                  <w:noWrap w:val="0"/>
                  <w:vAlign w:val="center"/>
                </w:tcPr>
                <w:p>
                  <w:pPr>
                    <w:pStyle w:val="265"/>
                    <w:adjustRightInd/>
                    <w:snapToGrid/>
                    <w:spacing w:line="240" w:lineRule="auto"/>
                    <w:rPr>
                      <w:rFonts w:hint="default" w:ascii="Times New Roman" w:hAnsi="Times New Roman" w:cs="Times New Roman"/>
                      <w:b w:val="0"/>
                      <w:bCs w:val="0"/>
                      <w:lang w:val="en-US" w:eastAsia="zh-CN"/>
                    </w:rPr>
                  </w:pPr>
                </w:p>
              </w:tc>
              <w:tc>
                <w:tcPr>
                  <w:tcW w:w="1695" w:type="pct"/>
                  <w:noWrap w:val="0"/>
                  <w:vAlign w:val="center"/>
                </w:tcPr>
                <w:p>
                  <w:pPr>
                    <w:pStyle w:val="265"/>
                    <w:adjustRightInd/>
                    <w:snapToGrid/>
                    <w:spacing w:line="240" w:lineRule="auto"/>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年平均</w:t>
                  </w:r>
                </w:p>
              </w:tc>
              <w:tc>
                <w:tcPr>
                  <w:tcW w:w="1193" w:type="pct"/>
                  <w:noWrap w:val="0"/>
                  <w:vAlign w:val="center"/>
                </w:tcPr>
                <w:p>
                  <w:pPr>
                    <w:pStyle w:val="265"/>
                    <w:adjustRightInd/>
                    <w:snapToGrid/>
                    <w:spacing w:line="240" w:lineRule="auto"/>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35</w:t>
                  </w:r>
                </w:p>
              </w:tc>
              <w:tc>
                <w:tcPr>
                  <w:tcW w:w="1166" w:type="pct"/>
                  <w:vMerge w:val="continue"/>
                  <w:noWrap w:val="0"/>
                  <w:vAlign w:val="center"/>
                </w:tcPr>
                <w:p>
                  <w:pPr>
                    <w:widowControl/>
                    <w:spacing w:line="240" w:lineRule="auto"/>
                    <w:jc w:val="center"/>
                    <w:rPr>
                      <w:bCs/>
                      <w:i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5" w:type="pct"/>
                  <w:vMerge w:val="restart"/>
                  <w:noWrap w:val="0"/>
                  <w:vAlign w:val="center"/>
                </w:tcPr>
                <w:p>
                  <w:pPr>
                    <w:pStyle w:val="265"/>
                    <w:adjustRightInd/>
                    <w:snapToGrid/>
                    <w:spacing w:line="240" w:lineRule="auto"/>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CO</w:t>
                  </w:r>
                </w:p>
              </w:tc>
              <w:tc>
                <w:tcPr>
                  <w:tcW w:w="1695" w:type="pct"/>
                  <w:noWrap w:val="0"/>
                  <w:vAlign w:val="center"/>
                </w:tcPr>
                <w:p>
                  <w:pPr>
                    <w:pStyle w:val="265"/>
                    <w:adjustRightInd/>
                    <w:snapToGrid/>
                    <w:spacing w:line="240" w:lineRule="auto"/>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1</w:t>
                  </w:r>
                  <w:r>
                    <w:rPr>
                      <w:rFonts w:hint="default" w:ascii="Times New Roman" w:hAnsi="Times New Roman" w:cs="Times New Roman"/>
                      <w:b w:val="0"/>
                      <w:bCs w:val="0"/>
                      <w:lang w:val="en-US" w:eastAsia="zh-CN"/>
                    </w:rPr>
                    <w:t>小时平均</w:t>
                  </w:r>
                </w:p>
              </w:tc>
              <w:tc>
                <w:tcPr>
                  <w:tcW w:w="1193" w:type="pct"/>
                  <w:noWrap w:val="0"/>
                  <w:vAlign w:val="center"/>
                </w:tcPr>
                <w:p>
                  <w:pPr>
                    <w:pStyle w:val="265"/>
                    <w:adjustRightInd/>
                    <w:snapToGrid/>
                    <w:spacing w:line="240" w:lineRule="auto"/>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40</w:t>
                  </w:r>
                  <w:r>
                    <w:rPr>
                      <w:rFonts w:hint="default" w:ascii="Times New Roman" w:hAnsi="Times New Roman" w:cs="Times New Roman"/>
                      <w:b w:val="0"/>
                      <w:bCs w:val="0"/>
                      <w:lang w:val="en-US" w:eastAsia="zh-CN"/>
                    </w:rPr>
                    <w:t>00</w:t>
                  </w:r>
                </w:p>
              </w:tc>
              <w:tc>
                <w:tcPr>
                  <w:tcW w:w="1166" w:type="pct"/>
                  <w:vMerge w:val="continue"/>
                  <w:noWrap w:val="0"/>
                  <w:vAlign w:val="center"/>
                </w:tcPr>
                <w:p>
                  <w:pPr>
                    <w:widowControl/>
                    <w:spacing w:line="240" w:lineRule="auto"/>
                    <w:jc w:val="center"/>
                    <w:rPr>
                      <w:bCs/>
                      <w:i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5" w:type="pct"/>
                  <w:vMerge w:val="continue"/>
                  <w:noWrap w:val="0"/>
                  <w:vAlign w:val="center"/>
                </w:tcPr>
                <w:p>
                  <w:pPr>
                    <w:pStyle w:val="265"/>
                    <w:adjustRightInd/>
                    <w:snapToGrid/>
                    <w:spacing w:line="240" w:lineRule="auto"/>
                    <w:rPr>
                      <w:rFonts w:hint="eastAsia" w:ascii="Times New Roman" w:hAnsi="Times New Roman" w:cs="Times New Roman"/>
                      <w:b w:val="0"/>
                      <w:bCs w:val="0"/>
                      <w:lang w:val="en-US" w:eastAsia="zh-CN"/>
                    </w:rPr>
                  </w:pPr>
                </w:p>
              </w:tc>
              <w:tc>
                <w:tcPr>
                  <w:tcW w:w="1695" w:type="pct"/>
                  <w:noWrap w:val="0"/>
                  <w:vAlign w:val="center"/>
                </w:tcPr>
                <w:p>
                  <w:pPr>
                    <w:pStyle w:val="265"/>
                    <w:adjustRightInd/>
                    <w:snapToGrid/>
                    <w:spacing w:line="240" w:lineRule="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24小时平均</w:t>
                  </w:r>
                </w:p>
              </w:tc>
              <w:tc>
                <w:tcPr>
                  <w:tcW w:w="1193" w:type="pct"/>
                  <w:noWrap w:val="0"/>
                  <w:vAlign w:val="center"/>
                </w:tcPr>
                <w:p>
                  <w:pPr>
                    <w:pStyle w:val="265"/>
                    <w:adjustRightInd/>
                    <w:snapToGrid/>
                    <w:spacing w:line="240" w:lineRule="auto"/>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100</w:t>
                  </w:r>
                  <w:r>
                    <w:rPr>
                      <w:rFonts w:hint="default" w:ascii="Times New Roman" w:hAnsi="Times New Roman" w:cs="Times New Roman"/>
                      <w:b w:val="0"/>
                      <w:bCs w:val="0"/>
                      <w:lang w:val="en-US" w:eastAsia="zh-CN"/>
                    </w:rPr>
                    <w:t>00</w:t>
                  </w:r>
                </w:p>
              </w:tc>
              <w:tc>
                <w:tcPr>
                  <w:tcW w:w="1166" w:type="pct"/>
                  <w:vMerge w:val="continue"/>
                  <w:noWrap w:val="0"/>
                  <w:vAlign w:val="center"/>
                </w:tcPr>
                <w:p>
                  <w:pPr>
                    <w:widowControl/>
                    <w:spacing w:line="240" w:lineRule="auto"/>
                    <w:jc w:val="center"/>
                    <w:rPr>
                      <w:bCs/>
                      <w:i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5" w:type="pct"/>
                  <w:vMerge w:val="restart"/>
                  <w:noWrap w:val="0"/>
                  <w:vAlign w:val="center"/>
                </w:tcPr>
                <w:p>
                  <w:pPr>
                    <w:pStyle w:val="265"/>
                    <w:adjustRightInd/>
                    <w:snapToGrid/>
                    <w:spacing w:line="24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O3</w:t>
                  </w:r>
                </w:p>
              </w:tc>
              <w:tc>
                <w:tcPr>
                  <w:tcW w:w="1695" w:type="pct"/>
                  <w:noWrap w:val="0"/>
                  <w:vAlign w:val="center"/>
                </w:tcPr>
                <w:p>
                  <w:pPr>
                    <w:pStyle w:val="265"/>
                    <w:adjustRightInd/>
                    <w:snapToGrid/>
                    <w:spacing w:line="240" w:lineRule="auto"/>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1</w:t>
                  </w:r>
                  <w:r>
                    <w:rPr>
                      <w:rFonts w:hint="default" w:ascii="Times New Roman" w:hAnsi="Times New Roman" w:cs="Times New Roman"/>
                      <w:b w:val="0"/>
                      <w:bCs w:val="0"/>
                      <w:lang w:val="en-US" w:eastAsia="zh-CN"/>
                    </w:rPr>
                    <w:t>小时平均</w:t>
                  </w:r>
                </w:p>
              </w:tc>
              <w:tc>
                <w:tcPr>
                  <w:tcW w:w="1193" w:type="pct"/>
                  <w:noWrap w:val="0"/>
                  <w:vAlign w:val="center"/>
                </w:tcPr>
                <w:p>
                  <w:pPr>
                    <w:pStyle w:val="265"/>
                    <w:adjustRightInd/>
                    <w:snapToGrid/>
                    <w:spacing w:line="240" w:lineRule="auto"/>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200</w:t>
                  </w:r>
                </w:p>
              </w:tc>
              <w:tc>
                <w:tcPr>
                  <w:tcW w:w="1166" w:type="pct"/>
                  <w:vMerge w:val="continue"/>
                  <w:noWrap w:val="0"/>
                  <w:vAlign w:val="center"/>
                </w:tcPr>
                <w:p>
                  <w:pPr>
                    <w:widowControl/>
                    <w:spacing w:line="240" w:lineRule="auto"/>
                    <w:jc w:val="center"/>
                    <w:rPr>
                      <w:bCs/>
                      <w:i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5" w:type="pct"/>
                  <w:vMerge w:val="continue"/>
                  <w:noWrap w:val="0"/>
                  <w:vAlign w:val="center"/>
                </w:tcPr>
                <w:p>
                  <w:pPr>
                    <w:pStyle w:val="265"/>
                    <w:adjustRightInd/>
                    <w:snapToGrid/>
                    <w:spacing w:line="240" w:lineRule="auto"/>
                    <w:rPr>
                      <w:rFonts w:hint="eastAsia" w:ascii="Times New Roman" w:hAnsi="Times New Roman" w:cs="Times New Roman"/>
                      <w:b w:val="0"/>
                      <w:bCs w:val="0"/>
                    </w:rPr>
                  </w:pPr>
                </w:p>
              </w:tc>
              <w:tc>
                <w:tcPr>
                  <w:tcW w:w="1695" w:type="pct"/>
                  <w:noWrap w:val="0"/>
                  <w:vAlign w:val="center"/>
                </w:tcPr>
                <w:p>
                  <w:pPr>
                    <w:pStyle w:val="265"/>
                    <w:adjustRightInd/>
                    <w:snapToGrid/>
                    <w:spacing w:line="240" w:lineRule="auto"/>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日最大8</w:t>
                  </w:r>
                  <w:r>
                    <w:rPr>
                      <w:rFonts w:hint="default" w:ascii="Times New Roman" w:hAnsi="Times New Roman" w:cs="Times New Roman"/>
                      <w:b w:val="0"/>
                      <w:bCs w:val="0"/>
                      <w:lang w:val="en-US" w:eastAsia="zh-CN"/>
                    </w:rPr>
                    <w:t>小时平均</w:t>
                  </w:r>
                </w:p>
              </w:tc>
              <w:tc>
                <w:tcPr>
                  <w:tcW w:w="1193" w:type="pct"/>
                  <w:noWrap w:val="0"/>
                  <w:vAlign w:val="center"/>
                </w:tcPr>
                <w:p>
                  <w:pPr>
                    <w:pStyle w:val="265"/>
                    <w:adjustRightInd/>
                    <w:snapToGrid/>
                    <w:spacing w:line="240" w:lineRule="auto"/>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160</w:t>
                  </w:r>
                </w:p>
              </w:tc>
              <w:tc>
                <w:tcPr>
                  <w:tcW w:w="1166" w:type="pct"/>
                  <w:vMerge w:val="continue"/>
                  <w:noWrap w:val="0"/>
                  <w:vAlign w:val="center"/>
                </w:tcPr>
                <w:p>
                  <w:pPr>
                    <w:widowControl/>
                    <w:spacing w:line="240" w:lineRule="auto"/>
                    <w:jc w:val="center"/>
                    <w:rPr>
                      <w:bCs/>
                      <w:iCs/>
                      <w:color w:val="000000"/>
                      <w:kern w:val="0"/>
                      <w:sz w:val="21"/>
                      <w:szCs w:val="21"/>
                    </w:rPr>
                  </w:pPr>
                </w:p>
              </w:tc>
            </w:tr>
          </w:tbl>
          <w:p>
            <w:pPr>
              <w:tabs>
                <w:tab w:val="left" w:pos="1680"/>
              </w:tabs>
              <w:spacing w:line="360" w:lineRule="auto"/>
              <w:ind w:firstLine="480" w:firstLineChars="200"/>
              <w:rPr>
                <w:color w:val="000000"/>
                <w:sz w:val="24"/>
              </w:rPr>
            </w:pPr>
            <w:r>
              <w:rPr>
                <w:rFonts w:hint="default" w:ascii="Times New Roman" w:hAnsi="Times New Roman" w:cs="Times New Roman"/>
                <w:color w:val="000000"/>
                <w:sz w:val="24"/>
                <w:lang w:eastAsia="zh-CN"/>
              </w:rPr>
              <w:t>（</w:t>
            </w:r>
            <w:r>
              <w:rPr>
                <w:rFonts w:hint="default" w:ascii="Times New Roman" w:hAnsi="Times New Roman" w:cs="Times New Roman"/>
                <w:color w:val="000000"/>
                <w:sz w:val="24"/>
                <w:lang w:val="en-US" w:eastAsia="zh-CN"/>
              </w:rPr>
              <w:t>2</w:t>
            </w:r>
            <w:r>
              <w:rPr>
                <w:rFonts w:hint="default" w:ascii="Times New Roman" w:hAnsi="Times New Roman" w:cs="Times New Roman"/>
                <w:color w:val="000000"/>
                <w:sz w:val="24"/>
                <w:lang w:eastAsia="zh-CN"/>
              </w:rPr>
              <w:t>）</w:t>
            </w:r>
            <w:r>
              <w:rPr>
                <w:rFonts w:hint="default" w:ascii="Times New Roman" w:hAnsi="Times New Roman" w:eastAsia="宋体" w:cs="Times New Roman"/>
                <w:sz w:val="24"/>
                <w:szCs w:val="24"/>
              </w:rPr>
              <w:t>本项目</w:t>
            </w:r>
            <w:r>
              <w:rPr>
                <w:rFonts w:hint="default" w:ascii="Times New Roman" w:hAnsi="Times New Roman" w:eastAsia="宋体" w:cs="Times New Roman"/>
                <w:sz w:val="24"/>
                <w:szCs w:val="24"/>
                <w:highlight w:val="none"/>
              </w:rPr>
              <w:t>执行《地表水环境质量标准》（GB3838-2002）Ⅲ类标准</w:t>
            </w:r>
            <w:r>
              <w:rPr>
                <w:rFonts w:hint="default" w:ascii="Times New Roman" w:hAnsi="Times New Roman" w:cs="Times New Roman"/>
                <w:color w:val="000000"/>
                <w:sz w:val="24"/>
                <w:highlight w:val="none"/>
              </w:rPr>
              <w:t>；</w:t>
            </w:r>
          </w:p>
          <w:p>
            <w:pPr>
              <w:spacing w:line="240" w:lineRule="auto"/>
              <w:jc w:val="center"/>
              <w:rPr>
                <w:rFonts w:hint="default" w:ascii="Times New Roman" w:hAnsi="Times New Roman" w:cs="Times New Roman"/>
                <w:color w:val="000000"/>
                <w:sz w:val="21"/>
                <w:szCs w:val="21"/>
                <w:highlight w:val="none"/>
              </w:rPr>
            </w:pPr>
            <w:r>
              <w:rPr>
                <w:rFonts w:hint="default" w:ascii="Times New Roman" w:hAnsi="Times New Roman" w:cs="Times New Roman"/>
                <w:b/>
                <w:color w:val="000000"/>
                <w:sz w:val="21"/>
                <w:szCs w:val="21"/>
                <w:highlight w:val="none"/>
              </w:rPr>
              <w:t>表3-</w:t>
            </w:r>
            <w:r>
              <w:rPr>
                <w:rFonts w:hint="eastAsia" w:cs="Times New Roman"/>
                <w:b/>
                <w:color w:val="000000"/>
                <w:sz w:val="21"/>
                <w:szCs w:val="21"/>
                <w:highlight w:val="none"/>
                <w:lang w:val="en-US" w:eastAsia="zh-CN"/>
              </w:rPr>
              <w:t>6</w:t>
            </w:r>
            <w:r>
              <w:rPr>
                <w:rFonts w:hint="default" w:ascii="Times New Roman" w:hAnsi="Times New Roman" w:cs="Times New Roman"/>
                <w:b/>
                <w:color w:val="000000"/>
                <w:sz w:val="21"/>
                <w:szCs w:val="21"/>
                <w:highlight w:val="none"/>
              </w:rPr>
              <w:t xml:space="preserve">  </w:t>
            </w:r>
            <w:r>
              <w:rPr>
                <w:rFonts w:hint="eastAsia" w:ascii="Times New Roman" w:hAnsi="Times New Roman" w:cs="Times New Roman"/>
                <w:b/>
                <w:color w:val="000000"/>
                <w:sz w:val="21"/>
                <w:szCs w:val="21"/>
                <w:highlight w:val="none"/>
                <w:lang w:val="en-US" w:eastAsia="zh-CN"/>
              </w:rPr>
              <w:t xml:space="preserve">    </w:t>
            </w:r>
            <w:r>
              <w:rPr>
                <w:rFonts w:hint="default" w:ascii="Times New Roman" w:hAnsi="Times New Roman" w:cs="Times New Roman"/>
                <w:b/>
                <w:color w:val="000000"/>
                <w:sz w:val="21"/>
                <w:szCs w:val="21"/>
                <w:highlight w:val="none"/>
              </w:rPr>
              <w:t>地表水环境质量标准     单位：mg/L(除pH外)</w:t>
            </w:r>
          </w:p>
          <w:tbl>
            <w:tblPr>
              <w:tblStyle w:val="3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2997"/>
              <w:gridCol w:w="1916"/>
              <w:gridCol w:w="1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19"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序号</w:t>
                  </w:r>
                </w:p>
              </w:tc>
              <w:tc>
                <w:tcPr>
                  <w:tcW w:w="1933"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指标</w:t>
                  </w:r>
                </w:p>
              </w:tc>
              <w:tc>
                <w:tcPr>
                  <w:tcW w:w="1236"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单位</w:t>
                  </w:r>
                </w:p>
              </w:tc>
              <w:tc>
                <w:tcPr>
                  <w:tcW w:w="1210"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19"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1</w:t>
                  </w:r>
                </w:p>
              </w:tc>
              <w:tc>
                <w:tcPr>
                  <w:tcW w:w="1933"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pH</w:t>
                  </w:r>
                </w:p>
              </w:tc>
              <w:tc>
                <w:tcPr>
                  <w:tcW w:w="1236"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w:t>
                  </w:r>
                </w:p>
              </w:tc>
              <w:tc>
                <w:tcPr>
                  <w:tcW w:w="1210"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zh-CN" w:eastAsia="zh-CN"/>
                    </w:rPr>
                  </w:pPr>
                  <w:r>
                    <w:rPr>
                      <w:rFonts w:hint="default" w:ascii="Times New Roman" w:hAnsi="Times New Roman" w:eastAsia="宋体" w:cs="Times New Roman"/>
                      <w:b w:val="0"/>
                      <w:bCs/>
                      <w:sz w:val="21"/>
                      <w:szCs w:val="21"/>
                      <w:highlight w:val="none"/>
                      <w:lang w:val="zh-CN" w:eastAsia="zh-CN"/>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19"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2</w:t>
                  </w:r>
                </w:p>
              </w:tc>
              <w:tc>
                <w:tcPr>
                  <w:tcW w:w="1933"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溶解氧</w:t>
                  </w:r>
                </w:p>
              </w:tc>
              <w:tc>
                <w:tcPr>
                  <w:tcW w:w="1236"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mg/L</w:t>
                  </w:r>
                </w:p>
              </w:tc>
              <w:tc>
                <w:tcPr>
                  <w:tcW w:w="1210"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19"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6</w:t>
                  </w:r>
                </w:p>
              </w:tc>
              <w:tc>
                <w:tcPr>
                  <w:tcW w:w="1933"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氨氮</w:t>
                  </w:r>
                </w:p>
              </w:tc>
              <w:tc>
                <w:tcPr>
                  <w:tcW w:w="1236"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mg/L</w:t>
                  </w:r>
                </w:p>
              </w:tc>
              <w:tc>
                <w:tcPr>
                  <w:tcW w:w="1210"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zh-CN" w:eastAsia="zh-CN"/>
                    </w:rPr>
                    <w:t>≤</w:t>
                  </w:r>
                  <w:r>
                    <w:rPr>
                      <w:rFonts w:hint="eastAsia" w:ascii="Times New Roman" w:hAnsi="Times New Roman" w:eastAsia="宋体" w:cs="Times New Roman"/>
                      <w:b w:val="0"/>
                      <w:bCs/>
                      <w:sz w:val="21"/>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19"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8</w:t>
                  </w:r>
                </w:p>
              </w:tc>
              <w:tc>
                <w:tcPr>
                  <w:tcW w:w="1933"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硝酸盐（以N计）</w:t>
                  </w:r>
                </w:p>
              </w:tc>
              <w:tc>
                <w:tcPr>
                  <w:tcW w:w="1236" w:type="pct"/>
                  <w:noWrap w:val="0"/>
                  <w:vAlign w:val="center"/>
                </w:tcPr>
                <w:p>
                  <w:pPr>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mg/L</w:t>
                  </w:r>
                </w:p>
              </w:tc>
              <w:tc>
                <w:tcPr>
                  <w:tcW w:w="1210"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zh-CN" w:eastAsia="zh-CN"/>
                    </w:rPr>
                    <w:t>≤</w:t>
                  </w:r>
                  <w:r>
                    <w:rPr>
                      <w:rFonts w:hint="eastAsia" w:ascii="Times New Roman" w:hAnsi="Times New Roman" w:eastAsia="宋体" w:cs="Times New Roman"/>
                      <w:b w:val="0"/>
                      <w:bCs/>
                      <w:sz w:val="21"/>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19"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9</w:t>
                  </w:r>
                </w:p>
              </w:tc>
              <w:tc>
                <w:tcPr>
                  <w:tcW w:w="1933"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高锰酸盐指数</w:t>
                  </w:r>
                </w:p>
              </w:tc>
              <w:tc>
                <w:tcPr>
                  <w:tcW w:w="1236"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mg/L</w:t>
                  </w:r>
                </w:p>
              </w:tc>
              <w:tc>
                <w:tcPr>
                  <w:tcW w:w="1210"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zh-CN" w:eastAsia="zh-CN"/>
                    </w:rPr>
                    <w:t>≤</w:t>
                  </w:r>
                  <w:r>
                    <w:rPr>
                      <w:rFonts w:hint="eastAsia" w:ascii="Times New Roman" w:hAnsi="Times New Roman" w:eastAsia="宋体" w:cs="Times New Roman"/>
                      <w:b w:val="0"/>
                      <w:bCs/>
                      <w:sz w:val="21"/>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19"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10</w:t>
                  </w:r>
                </w:p>
              </w:tc>
              <w:tc>
                <w:tcPr>
                  <w:tcW w:w="1933"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氟化物</w:t>
                  </w:r>
                </w:p>
              </w:tc>
              <w:tc>
                <w:tcPr>
                  <w:tcW w:w="1236"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mg/L</w:t>
                  </w:r>
                </w:p>
              </w:tc>
              <w:tc>
                <w:tcPr>
                  <w:tcW w:w="1210"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zh-CN" w:eastAsia="zh-CN"/>
                    </w:rPr>
                    <w:t>≤</w:t>
                  </w:r>
                  <w:r>
                    <w:rPr>
                      <w:rFonts w:hint="eastAsia" w:ascii="Times New Roman" w:hAnsi="Times New Roman" w:eastAsia="宋体" w:cs="Times New Roman"/>
                      <w:b w:val="0"/>
                      <w:bCs/>
                      <w:sz w:val="21"/>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19"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11</w:t>
                  </w:r>
                </w:p>
              </w:tc>
              <w:tc>
                <w:tcPr>
                  <w:tcW w:w="1933" w:type="pct"/>
                  <w:noWrap w:val="0"/>
                  <w:vAlign w:val="center"/>
                </w:tcPr>
                <w:p>
                  <w:pPr>
                    <w:pStyle w:val="95"/>
                    <w:spacing w:line="240" w:lineRule="auto"/>
                    <w:ind w:left="0" w:leftChars="0" w:right="-36" w:rightChars="-15" w:firstLine="0" w:firstLineChars="0"/>
                    <w:jc w:val="center"/>
                    <w:rPr>
                      <w:rFonts w:hint="eastAsia"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砷</w:t>
                  </w:r>
                </w:p>
              </w:tc>
              <w:tc>
                <w:tcPr>
                  <w:tcW w:w="1236"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mg/L</w:t>
                  </w:r>
                </w:p>
              </w:tc>
              <w:tc>
                <w:tcPr>
                  <w:tcW w:w="1210"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zh-CN" w:eastAsia="zh-CN"/>
                    </w:rPr>
                    <w:t>≤</w:t>
                  </w:r>
                  <w:r>
                    <w:rPr>
                      <w:rFonts w:hint="default" w:ascii="Times New Roman" w:hAnsi="Times New Roman" w:eastAsia="宋体" w:cs="Times New Roman"/>
                      <w:b w:val="0"/>
                      <w:bCs/>
                      <w:sz w:val="21"/>
                      <w:szCs w:val="21"/>
                      <w:highlight w:val="none"/>
                      <w:lang w:val="en-US" w:eastAsia="zh-CN"/>
                    </w:rPr>
                    <w:t>0.0</w:t>
                  </w:r>
                  <w:r>
                    <w:rPr>
                      <w:rFonts w:hint="eastAsia" w:ascii="Times New Roman" w:hAnsi="Times New Roman" w:eastAsia="宋体" w:cs="Times New Roman"/>
                      <w:b w:val="0"/>
                      <w:bCs/>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19"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12</w:t>
                  </w:r>
                </w:p>
              </w:tc>
              <w:tc>
                <w:tcPr>
                  <w:tcW w:w="1933" w:type="pct"/>
                  <w:noWrap w:val="0"/>
                  <w:vAlign w:val="center"/>
                </w:tcPr>
                <w:p>
                  <w:pPr>
                    <w:pStyle w:val="95"/>
                    <w:spacing w:line="240" w:lineRule="auto"/>
                    <w:ind w:left="0" w:leftChars="0" w:right="-36" w:rightChars="-15" w:firstLine="0" w:firstLineChars="0"/>
                    <w:jc w:val="center"/>
                    <w:rPr>
                      <w:rFonts w:hint="eastAsia"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汞</w:t>
                  </w:r>
                </w:p>
              </w:tc>
              <w:tc>
                <w:tcPr>
                  <w:tcW w:w="1236"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mg/L</w:t>
                  </w:r>
                </w:p>
              </w:tc>
              <w:tc>
                <w:tcPr>
                  <w:tcW w:w="1210"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zh-CN" w:eastAsia="zh-CN"/>
                    </w:rPr>
                    <w:t>≤</w:t>
                  </w:r>
                  <w:r>
                    <w:rPr>
                      <w:rFonts w:hint="default" w:ascii="Times New Roman" w:hAnsi="Times New Roman" w:eastAsia="宋体" w:cs="Times New Roman"/>
                      <w:b w:val="0"/>
                      <w:bCs/>
                      <w:sz w:val="21"/>
                      <w:szCs w:val="21"/>
                      <w:highlight w:val="none"/>
                      <w:lang w:val="en-US" w:eastAsia="zh-CN"/>
                    </w:rPr>
                    <w:t>0.00</w:t>
                  </w:r>
                  <w:r>
                    <w:rPr>
                      <w:rFonts w:hint="eastAsia" w:ascii="Times New Roman" w:hAnsi="Times New Roman" w:eastAsia="宋体" w:cs="Times New Roman"/>
                      <w:b w:val="0"/>
                      <w:bCs/>
                      <w:sz w:val="21"/>
                      <w:szCs w:val="21"/>
                      <w:highlight w:val="none"/>
                      <w:lang w:val="en-US" w:eastAsia="zh-CN"/>
                    </w:rPr>
                    <w:t>0</w:t>
                  </w:r>
                  <w:r>
                    <w:rPr>
                      <w:rFonts w:hint="default" w:ascii="Times New Roman" w:hAnsi="Times New Roman" w:eastAsia="宋体" w:cs="Times New Roman"/>
                      <w:b w:val="0"/>
                      <w:bCs/>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19"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13</w:t>
                  </w:r>
                </w:p>
              </w:tc>
              <w:tc>
                <w:tcPr>
                  <w:tcW w:w="1933"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镉</w:t>
                  </w:r>
                </w:p>
              </w:tc>
              <w:tc>
                <w:tcPr>
                  <w:tcW w:w="1236"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mg/L</w:t>
                  </w:r>
                </w:p>
              </w:tc>
              <w:tc>
                <w:tcPr>
                  <w:tcW w:w="1210"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zh-CN" w:eastAsia="zh-CN"/>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19"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14</w:t>
                  </w:r>
                </w:p>
              </w:tc>
              <w:tc>
                <w:tcPr>
                  <w:tcW w:w="1933"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六价铬</w:t>
                  </w:r>
                </w:p>
              </w:tc>
              <w:tc>
                <w:tcPr>
                  <w:tcW w:w="1236"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mg/L</w:t>
                  </w:r>
                </w:p>
              </w:tc>
              <w:tc>
                <w:tcPr>
                  <w:tcW w:w="1210"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zh-CN" w:eastAsia="zh-CN"/>
                    </w:rPr>
                  </w:pPr>
                  <w:r>
                    <w:rPr>
                      <w:rFonts w:hint="default" w:ascii="Times New Roman" w:hAnsi="Times New Roman" w:eastAsia="宋体" w:cs="Times New Roman"/>
                      <w:b w:val="0"/>
                      <w:bCs/>
                      <w:sz w:val="21"/>
                      <w:szCs w:val="21"/>
                      <w:highlight w:val="none"/>
                      <w:lang w:val="zh-CN" w:eastAsia="zh-CN"/>
                    </w:rPr>
                    <w:t>≤</w:t>
                  </w:r>
                  <w:r>
                    <w:rPr>
                      <w:rFonts w:hint="default" w:ascii="Times New Roman" w:hAnsi="Times New Roman" w:eastAsia="宋体" w:cs="Times New Roman"/>
                      <w:b w:val="0"/>
                      <w:bCs/>
                      <w:sz w:val="21"/>
                      <w:szCs w:val="21"/>
                      <w:highlight w:val="none"/>
                      <w:lang w:val="en-US" w:eastAsia="zh-CN"/>
                    </w:rPr>
                    <w:t>0.0</w:t>
                  </w:r>
                  <w:r>
                    <w:rPr>
                      <w:rFonts w:hint="eastAsia" w:ascii="Times New Roman" w:hAnsi="Times New Roman" w:eastAsia="宋体" w:cs="Times New Roman"/>
                      <w:b w:val="0"/>
                      <w:bCs/>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19"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15</w:t>
                  </w:r>
                </w:p>
              </w:tc>
              <w:tc>
                <w:tcPr>
                  <w:tcW w:w="1933"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铅</w:t>
                  </w:r>
                </w:p>
              </w:tc>
              <w:tc>
                <w:tcPr>
                  <w:tcW w:w="1236"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mg/L</w:t>
                  </w:r>
                </w:p>
              </w:tc>
              <w:tc>
                <w:tcPr>
                  <w:tcW w:w="1210"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zh-CN" w:eastAsia="zh-CN"/>
                    </w:rPr>
                  </w:pPr>
                  <w:r>
                    <w:rPr>
                      <w:rFonts w:hint="default" w:ascii="Times New Roman" w:hAnsi="Times New Roman" w:eastAsia="宋体" w:cs="Times New Roman"/>
                      <w:b w:val="0"/>
                      <w:bCs/>
                      <w:sz w:val="21"/>
                      <w:szCs w:val="21"/>
                      <w:highlight w:val="none"/>
                      <w:lang w:val="zh-CN" w:eastAsia="zh-CN"/>
                    </w:rPr>
                    <w:t>≤</w:t>
                  </w:r>
                  <w:r>
                    <w:rPr>
                      <w:rFonts w:hint="default" w:ascii="Times New Roman" w:hAnsi="Times New Roman" w:eastAsia="宋体" w:cs="Times New Roman"/>
                      <w:b w:val="0"/>
                      <w:bCs/>
                      <w:sz w:val="21"/>
                      <w:szCs w:val="21"/>
                      <w:highlight w:val="none"/>
                      <w:lang w:val="en-US" w:eastAsia="zh-CN"/>
                    </w:rPr>
                    <w:t>0.0</w:t>
                  </w:r>
                  <w:r>
                    <w:rPr>
                      <w:rFonts w:hint="eastAsia" w:ascii="Times New Roman" w:hAnsi="Times New Roman" w:eastAsia="宋体" w:cs="Times New Roman"/>
                      <w:b w:val="0"/>
                      <w:bCs/>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19"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16</w:t>
                  </w:r>
                </w:p>
              </w:tc>
              <w:tc>
                <w:tcPr>
                  <w:tcW w:w="1933"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氰化</w:t>
                  </w:r>
                  <w:r>
                    <w:rPr>
                      <w:rFonts w:hint="eastAsia" w:ascii="Times New Roman" w:hAnsi="Times New Roman" w:eastAsia="宋体" w:cs="Times New Roman"/>
                      <w:b w:val="0"/>
                      <w:bCs/>
                      <w:sz w:val="21"/>
                      <w:szCs w:val="21"/>
                      <w:highlight w:val="none"/>
                      <w:lang w:val="en-US" w:eastAsia="zh-CN"/>
                    </w:rPr>
                    <w:t>物</w:t>
                  </w:r>
                </w:p>
              </w:tc>
              <w:tc>
                <w:tcPr>
                  <w:tcW w:w="1236"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mg/L</w:t>
                  </w:r>
                </w:p>
              </w:tc>
              <w:tc>
                <w:tcPr>
                  <w:tcW w:w="1210"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zh-CN" w:eastAsia="zh-CN"/>
                    </w:rPr>
                  </w:pPr>
                  <w:r>
                    <w:rPr>
                      <w:rFonts w:hint="default" w:ascii="Times New Roman" w:hAnsi="Times New Roman" w:eastAsia="宋体" w:cs="Times New Roman"/>
                      <w:b w:val="0"/>
                      <w:bCs/>
                      <w:sz w:val="21"/>
                      <w:szCs w:val="21"/>
                      <w:highlight w:val="none"/>
                      <w:lang w:val="zh-CN" w:eastAsia="zh-CN"/>
                    </w:rPr>
                    <w:t>≤</w:t>
                  </w:r>
                  <w:r>
                    <w:rPr>
                      <w:rFonts w:hint="default" w:ascii="Times New Roman" w:hAnsi="Times New Roman" w:eastAsia="宋体" w:cs="Times New Roman"/>
                      <w:b w:val="0"/>
                      <w:bCs/>
                      <w:sz w:val="21"/>
                      <w:szCs w:val="21"/>
                      <w:highlight w:val="none"/>
                      <w:lang w:val="en-US" w:eastAsia="zh-CN"/>
                    </w:rPr>
                    <w:t>0.</w:t>
                  </w:r>
                  <w:r>
                    <w:rPr>
                      <w:rFonts w:hint="eastAsia" w:ascii="Times New Roman" w:hAnsi="Times New Roman" w:eastAsia="宋体" w:cs="Times New Roman"/>
                      <w:b w:val="0"/>
                      <w:bCs/>
                      <w:sz w:val="21"/>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19"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17</w:t>
                  </w:r>
                </w:p>
              </w:tc>
              <w:tc>
                <w:tcPr>
                  <w:tcW w:w="1933"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挥发酚类（以苯酚计）</w:t>
                  </w:r>
                </w:p>
              </w:tc>
              <w:tc>
                <w:tcPr>
                  <w:tcW w:w="1236"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mg/L</w:t>
                  </w:r>
                </w:p>
              </w:tc>
              <w:tc>
                <w:tcPr>
                  <w:tcW w:w="1210"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zh-CN" w:eastAsia="zh-CN"/>
                    </w:rPr>
                  </w:pPr>
                  <w:r>
                    <w:rPr>
                      <w:rFonts w:hint="default" w:ascii="Times New Roman" w:hAnsi="Times New Roman" w:eastAsia="宋体" w:cs="Times New Roman"/>
                      <w:b w:val="0"/>
                      <w:bCs/>
                      <w:sz w:val="21"/>
                      <w:szCs w:val="21"/>
                      <w:highlight w:val="none"/>
                      <w:lang w:val="zh-CN" w:eastAsia="zh-CN"/>
                    </w:rPr>
                    <w:t>≤</w:t>
                  </w:r>
                  <w:r>
                    <w:rPr>
                      <w:rFonts w:hint="default" w:ascii="Times New Roman" w:hAnsi="Times New Roman" w:eastAsia="宋体" w:cs="Times New Roman"/>
                      <w:b w:val="0"/>
                      <w:bCs/>
                      <w:sz w:val="21"/>
                      <w:szCs w:val="21"/>
                      <w:highlight w:val="none"/>
                      <w:lang w:val="en-US" w:eastAsia="zh-CN"/>
                    </w:rPr>
                    <w:t>0.00</w:t>
                  </w:r>
                  <w:r>
                    <w:rPr>
                      <w:rFonts w:hint="eastAsia" w:ascii="Times New Roman" w:hAnsi="Times New Roman" w:eastAsia="宋体" w:cs="Times New Roman"/>
                      <w:b w:val="0"/>
                      <w:bCs/>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19"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18</w:t>
                  </w:r>
                </w:p>
              </w:tc>
              <w:tc>
                <w:tcPr>
                  <w:tcW w:w="1933"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铜</w:t>
                  </w:r>
                </w:p>
              </w:tc>
              <w:tc>
                <w:tcPr>
                  <w:tcW w:w="1236"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mg/L</w:t>
                  </w:r>
                </w:p>
              </w:tc>
              <w:tc>
                <w:tcPr>
                  <w:tcW w:w="1210"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zh-CN" w:eastAsia="zh-CN"/>
                    </w:rPr>
                    <w:t>≤</w:t>
                  </w:r>
                  <w:r>
                    <w:rPr>
                      <w:rFonts w:hint="eastAsia" w:ascii="Times New Roman" w:hAnsi="Times New Roman" w:eastAsia="宋体" w:cs="Times New Roman"/>
                      <w:b w:val="0"/>
                      <w:bCs/>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19"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19</w:t>
                  </w:r>
                </w:p>
              </w:tc>
              <w:tc>
                <w:tcPr>
                  <w:tcW w:w="1933"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硫酸盐</w:t>
                  </w:r>
                </w:p>
              </w:tc>
              <w:tc>
                <w:tcPr>
                  <w:tcW w:w="1236"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mg/L</w:t>
                  </w:r>
                </w:p>
              </w:tc>
              <w:tc>
                <w:tcPr>
                  <w:tcW w:w="1210"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19"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20</w:t>
                  </w:r>
                </w:p>
              </w:tc>
              <w:tc>
                <w:tcPr>
                  <w:tcW w:w="1933" w:type="pct"/>
                  <w:noWrap w:val="0"/>
                  <w:vAlign w:val="center"/>
                </w:tcPr>
                <w:p>
                  <w:pPr>
                    <w:pStyle w:val="95"/>
                    <w:spacing w:line="240" w:lineRule="auto"/>
                    <w:ind w:left="0" w:leftChars="0" w:right="-36" w:rightChars="-15" w:firstLine="0" w:firstLineChars="0"/>
                    <w:jc w:val="center"/>
                    <w:rPr>
                      <w:rFonts w:hint="eastAsia"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锌</w:t>
                  </w:r>
                </w:p>
              </w:tc>
              <w:tc>
                <w:tcPr>
                  <w:tcW w:w="1236"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mg/L</w:t>
                  </w:r>
                </w:p>
              </w:tc>
              <w:tc>
                <w:tcPr>
                  <w:tcW w:w="1210" w:type="pct"/>
                  <w:noWrap w:val="0"/>
                  <w:vAlign w:val="center"/>
                </w:tcPr>
                <w:p>
                  <w:pPr>
                    <w:pStyle w:val="95"/>
                    <w:spacing w:line="240" w:lineRule="auto"/>
                    <w:ind w:left="0" w:leftChars="0" w:right="-36" w:rightChars="-15" w:firstLine="0" w:firstLineChars="0"/>
                    <w:jc w:val="center"/>
                    <w:rPr>
                      <w:rFonts w:hint="eastAsia"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zh-CN" w:eastAsia="zh-CN"/>
                    </w:rPr>
                    <w:t>≤</w:t>
                  </w:r>
                  <w:r>
                    <w:rPr>
                      <w:rFonts w:hint="eastAsia" w:ascii="Times New Roman" w:hAnsi="Times New Roman" w:eastAsia="宋体" w:cs="Times New Roman"/>
                      <w:b w:val="0"/>
                      <w:bCs/>
                      <w:sz w:val="21"/>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19"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21</w:t>
                  </w:r>
                </w:p>
              </w:tc>
              <w:tc>
                <w:tcPr>
                  <w:tcW w:w="1933"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硒</w:t>
                  </w:r>
                </w:p>
              </w:tc>
              <w:tc>
                <w:tcPr>
                  <w:tcW w:w="1236"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mg/L</w:t>
                  </w:r>
                </w:p>
              </w:tc>
              <w:tc>
                <w:tcPr>
                  <w:tcW w:w="1210"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zh-CN" w:eastAsia="zh-CN"/>
                    </w:rPr>
                    <w:t>≤</w:t>
                  </w:r>
                  <w:r>
                    <w:rPr>
                      <w:rFonts w:hint="default" w:ascii="Times New Roman" w:hAnsi="Times New Roman" w:eastAsia="宋体" w:cs="Times New Roman"/>
                      <w:b w:val="0"/>
                      <w:bCs/>
                      <w:sz w:val="21"/>
                      <w:szCs w:val="21"/>
                      <w:highlight w:val="none"/>
                      <w:lang w:val="en-US" w:eastAsia="zh-CN"/>
                    </w:rPr>
                    <w:t>0.0</w:t>
                  </w:r>
                  <w:r>
                    <w:rPr>
                      <w:rFonts w:hint="eastAsia" w:ascii="Times New Roman" w:hAnsi="Times New Roman" w:eastAsia="宋体" w:cs="Times New Roman"/>
                      <w:b w:val="0"/>
                      <w:bCs/>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19"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22</w:t>
                  </w:r>
                </w:p>
              </w:tc>
              <w:tc>
                <w:tcPr>
                  <w:tcW w:w="1933"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氯化物</w:t>
                  </w:r>
                </w:p>
              </w:tc>
              <w:tc>
                <w:tcPr>
                  <w:tcW w:w="1236"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mg/L</w:t>
                  </w:r>
                </w:p>
              </w:tc>
              <w:tc>
                <w:tcPr>
                  <w:tcW w:w="1210"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19" w:type="pct"/>
                  <w:noWrap w:val="0"/>
                  <w:vAlign w:val="center"/>
                </w:tcPr>
                <w:p>
                  <w:pPr>
                    <w:pStyle w:val="95"/>
                    <w:spacing w:line="240" w:lineRule="auto"/>
                    <w:ind w:left="0" w:leftChars="0"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23</w:t>
                  </w:r>
                </w:p>
              </w:tc>
              <w:tc>
                <w:tcPr>
                  <w:tcW w:w="1933"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阴离子表面活性剂</w:t>
                  </w:r>
                </w:p>
              </w:tc>
              <w:tc>
                <w:tcPr>
                  <w:tcW w:w="1236"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mg/L</w:t>
                  </w:r>
                </w:p>
              </w:tc>
              <w:tc>
                <w:tcPr>
                  <w:tcW w:w="1210" w:type="pct"/>
                  <w:noWrap w:val="0"/>
                  <w:vAlign w:val="center"/>
                </w:tcPr>
                <w:p>
                  <w:pPr>
                    <w:pStyle w:val="95"/>
                    <w:spacing w:line="240" w:lineRule="auto"/>
                    <w:ind w:left="0" w:leftChars="0" w:right="-36" w:rightChars="-15" w:firstLine="0" w:firstLineChars="0"/>
                    <w:jc w:val="center"/>
                    <w:rPr>
                      <w:rFonts w:hint="default" w:ascii="Times New Roman" w:hAnsi="Times New Roman" w:eastAsia="宋体" w:cs="Times New Roman"/>
                      <w:b w:val="0"/>
                      <w:bCs/>
                      <w:sz w:val="21"/>
                      <w:szCs w:val="21"/>
                      <w:highlight w:val="none"/>
                      <w:lang w:val="zh-CN" w:eastAsia="zh-CN"/>
                    </w:rPr>
                  </w:pPr>
                  <w:r>
                    <w:rPr>
                      <w:rFonts w:hint="default" w:ascii="Times New Roman" w:hAnsi="Times New Roman" w:eastAsia="宋体" w:cs="Times New Roman"/>
                      <w:b w:val="0"/>
                      <w:bCs/>
                      <w:sz w:val="21"/>
                      <w:szCs w:val="21"/>
                      <w:highlight w:val="none"/>
                      <w:lang w:val="zh-CN" w:eastAsia="zh-CN"/>
                    </w:rPr>
                    <w:t>≤</w:t>
                  </w:r>
                  <w:r>
                    <w:rPr>
                      <w:rFonts w:hint="default" w:ascii="Times New Roman" w:hAnsi="Times New Roman" w:eastAsia="宋体" w:cs="Times New Roman"/>
                      <w:b w:val="0"/>
                      <w:bCs/>
                      <w:sz w:val="21"/>
                      <w:szCs w:val="21"/>
                      <w:highlight w:val="none"/>
                      <w:lang w:val="en-US" w:eastAsia="zh-CN"/>
                    </w:rPr>
                    <w:t>0.</w:t>
                  </w:r>
                  <w:r>
                    <w:rPr>
                      <w:rFonts w:hint="eastAsia" w:ascii="Times New Roman" w:hAnsi="Times New Roman" w:eastAsia="宋体" w:cs="Times New Roman"/>
                      <w:b w:val="0"/>
                      <w:bCs/>
                      <w:sz w:val="21"/>
                      <w:szCs w:val="21"/>
                      <w:highlight w:val="none"/>
                      <w:lang w:val="en-US" w:eastAsia="zh-CN"/>
                    </w:rPr>
                    <w:t>2</w:t>
                  </w:r>
                </w:p>
              </w:tc>
            </w:tr>
          </w:tbl>
          <w:p>
            <w:pPr>
              <w:adjustRightInd w:val="0"/>
              <w:snapToGrid w:val="0"/>
              <w:spacing w:line="360" w:lineRule="auto"/>
              <w:ind w:firstLine="31680"/>
              <w:rPr>
                <w:rFonts w:hAnsi="宋体"/>
                <w:color w:val="000000"/>
              </w:rPr>
            </w:pPr>
            <w:r>
              <w:rPr>
                <w:rFonts w:hint="eastAsia" w:hAnsi="宋体"/>
                <w:color w:val="000000"/>
              </w:rPr>
              <w:t>（</w:t>
            </w:r>
            <w:r>
              <w:rPr>
                <w:rFonts w:hAnsi="宋体"/>
                <w:color w:val="000000"/>
              </w:rPr>
              <w:t>3</w:t>
            </w:r>
            <w:r>
              <w:rPr>
                <w:rFonts w:hint="eastAsia" w:hAnsi="宋体"/>
                <w:color w:val="000000"/>
              </w:rPr>
              <w:t>）声环境：《声环境质量标准》（</w:t>
            </w:r>
            <w:r>
              <w:rPr>
                <w:rFonts w:hAnsi="宋体"/>
                <w:color w:val="000000"/>
              </w:rPr>
              <w:t>GB3096-2008</w:t>
            </w:r>
            <w:r>
              <w:rPr>
                <w:rFonts w:hint="eastAsia" w:hAnsi="宋体"/>
                <w:color w:val="000000"/>
              </w:rPr>
              <w:t>）中1类区标准。</w:t>
            </w:r>
          </w:p>
          <w:p>
            <w:pPr>
              <w:adjustRightInd w:val="0"/>
              <w:snapToGrid w:val="0"/>
              <w:spacing w:line="360" w:lineRule="auto"/>
              <w:ind w:left="0" w:leftChars="0" w:firstLine="0" w:firstLineChars="0"/>
              <w:rPr>
                <w:rFonts w:hAnsi="宋体"/>
                <w:b/>
                <w:color w:val="000000"/>
              </w:rPr>
            </w:pPr>
            <w:r>
              <w:rPr>
                <w:rFonts w:hint="eastAsia" w:hAnsi="宋体"/>
                <w:b/>
                <w:color w:val="000000"/>
                <w:lang w:val="en-US" w:eastAsia="zh-CN"/>
              </w:rPr>
              <w:t>2、</w:t>
            </w:r>
            <w:r>
              <w:rPr>
                <w:rFonts w:hint="eastAsia" w:hAnsi="宋体"/>
                <w:b/>
                <w:color w:val="000000"/>
              </w:rPr>
              <w:t>污染物排放标准</w:t>
            </w:r>
          </w:p>
          <w:p>
            <w:pPr>
              <w:spacing w:line="360" w:lineRule="auto"/>
              <w:ind w:firstLine="480" w:firstLineChars="200"/>
              <w:rPr>
                <w:rFonts w:hint="eastAsia"/>
                <w:color w:val="000000"/>
                <w:sz w:val="24"/>
              </w:rPr>
            </w:pPr>
            <w:r>
              <w:rPr>
                <w:rFonts w:hint="eastAsia"/>
                <w:color w:val="000000"/>
                <w:sz w:val="24"/>
                <w:lang w:eastAsia="zh-CN"/>
              </w:rPr>
              <w:t>（</w:t>
            </w:r>
            <w:r>
              <w:rPr>
                <w:rFonts w:hint="eastAsia"/>
                <w:color w:val="000000"/>
                <w:sz w:val="24"/>
                <w:lang w:val="en-US" w:eastAsia="zh-CN"/>
              </w:rPr>
              <w:t>1</w:t>
            </w:r>
            <w:r>
              <w:rPr>
                <w:rFonts w:hint="eastAsia"/>
                <w:color w:val="000000"/>
                <w:sz w:val="24"/>
                <w:lang w:eastAsia="zh-CN"/>
              </w:rPr>
              <w:t>）</w:t>
            </w:r>
            <w:r>
              <w:rPr>
                <w:rFonts w:hint="eastAsia"/>
                <w:color w:val="000000"/>
                <w:sz w:val="24"/>
              </w:rPr>
              <w:t>废气</w:t>
            </w:r>
          </w:p>
          <w:p>
            <w:pPr>
              <w:spacing w:line="360" w:lineRule="auto"/>
              <w:ind w:firstLine="420"/>
              <w:rPr>
                <w:color w:val="000000"/>
                <w:sz w:val="24"/>
              </w:rPr>
            </w:pPr>
            <w:r>
              <w:rPr>
                <w:rFonts w:hint="eastAsia"/>
                <w:color w:val="000000"/>
                <w:sz w:val="24"/>
              </w:rPr>
              <w:t>施工期产生的废气主要是扬尘，</w:t>
            </w:r>
            <w:r>
              <w:rPr>
                <w:rFonts w:hint="eastAsia"/>
                <w:color w:val="000000"/>
                <w:sz w:val="24"/>
                <w:lang w:val="en-US" w:eastAsia="zh-CN"/>
              </w:rPr>
              <w:t>废气</w:t>
            </w:r>
            <w:r>
              <w:rPr>
                <w:rFonts w:hint="eastAsia"/>
                <w:color w:val="000000"/>
                <w:sz w:val="24"/>
              </w:rPr>
              <w:t>排放</w:t>
            </w:r>
            <w:r>
              <w:rPr>
                <w:rFonts w:hint="eastAsia"/>
                <w:color w:val="000000"/>
                <w:sz w:val="24"/>
                <w:lang w:val="en-US" w:eastAsia="zh-CN"/>
              </w:rPr>
              <w:t>浓度</w:t>
            </w:r>
            <w:r>
              <w:rPr>
                <w:rFonts w:hint="eastAsia"/>
                <w:color w:val="000000"/>
                <w:sz w:val="24"/>
              </w:rPr>
              <w:t>执行《大气污染物综合排放标准》（</w:t>
            </w:r>
            <w:r>
              <w:rPr>
                <w:color w:val="000000"/>
                <w:sz w:val="24"/>
              </w:rPr>
              <w:t>GB16297-1996</w:t>
            </w:r>
            <w:r>
              <w:rPr>
                <w:rFonts w:hint="eastAsia"/>
                <w:color w:val="000000"/>
                <w:sz w:val="24"/>
              </w:rPr>
              <w:t>）表</w:t>
            </w:r>
            <w:r>
              <w:rPr>
                <w:color w:val="000000"/>
                <w:sz w:val="24"/>
              </w:rPr>
              <w:t>2</w:t>
            </w:r>
            <w:r>
              <w:rPr>
                <w:rFonts w:hint="eastAsia"/>
                <w:color w:val="000000"/>
                <w:sz w:val="24"/>
              </w:rPr>
              <w:t>中无组织排放标准，标准值见表3-</w:t>
            </w:r>
            <w:r>
              <w:rPr>
                <w:rFonts w:hint="eastAsia"/>
                <w:color w:val="000000"/>
                <w:sz w:val="24"/>
                <w:lang w:val="en-US" w:eastAsia="zh-CN"/>
              </w:rPr>
              <w:t>7</w:t>
            </w:r>
            <w:r>
              <w:rPr>
                <w:rFonts w:hint="eastAsia"/>
                <w:color w:val="000000"/>
                <w:sz w:val="24"/>
              </w:rPr>
              <w:t>。</w:t>
            </w:r>
          </w:p>
          <w:p>
            <w:pPr>
              <w:spacing w:line="240" w:lineRule="auto"/>
              <w:jc w:val="center"/>
              <w:rPr>
                <w:rFonts w:hint="eastAsia"/>
                <w:b/>
                <w:color w:val="000000"/>
                <w:sz w:val="21"/>
                <w:szCs w:val="21"/>
              </w:rPr>
            </w:pPr>
            <w:r>
              <w:rPr>
                <w:rFonts w:hint="eastAsia"/>
                <w:b/>
                <w:color w:val="000000"/>
                <w:sz w:val="21"/>
                <w:szCs w:val="21"/>
              </w:rPr>
              <w:t>表3-</w:t>
            </w:r>
            <w:r>
              <w:rPr>
                <w:rFonts w:hint="eastAsia"/>
                <w:b/>
                <w:color w:val="000000"/>
                <w:sz w:val="21"/>
                <w:szCs w:val="21"/>
                <w:lang w:val="en-US" w:eastAsia="zh-CN"/>
              </w:rPr>
              <w:t xml:space="preserve">7      </w:t>
            </w:r>
            <w:r>
              <w:rPr>
                <w:b/>
                <w:color w:val="000000"/>
                <w:sz w:val="21"/>
                <w:szCs w:val="21"/>
              </w:rPr>
              <w:t xml:space="preserve"> </w:t>
            </w:r>
            <w:r>
              <w:rPr>
                <w:rFonts w:hint="eastAsia"/>
                <w:b/>
                <w:color w:val="000000"/>
                <w:sz w:val="21"/>
                <w:szCs w:val="21"/>
              </w:rPr>
              <w:t>施工期大气污染物排放限值（单位：</w:t>
            </w:r>
            <w:r>
              <w:rPr>
                <w:b/>
                <w:color w:val="000000"/>
                <w:sz w:val="21"/>
                <w:szCs w:val="21"/>
              </w:rPr>
              <w:t>mg/m</w:t>
            </w:r>
            <w:r>
              <w:rPr>
                <w:b/>
                <w:color w:val="000000"/>
                <w:sz w:val="21"/>
                <w:szCs w:val="21"/>
                <w:vertAlign w:val="superscript"/>
              </w:rPr>
              <w:t>3</w:t>
            </w:r>
            <w:r>
              <w:rPr>
                <w:rFonts w:hint="eastAsia"/>
                <w:b/>
                <w:color w:val="000000"/>
                <w:sz w:val="21"/>
                <w:szCs w:val="21"/>
              </w:rPr>
              <w:t>）</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1"/>
              <w:gridCol w:w="4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52" w:type="pct"/>
                  <w:noWrap w:val="0"/>
                  <w:vAlign w:val="center"/>
                </w:tcPr>
                <w:p>
                  <w:pPr>
                    <w:pStyle w:val="265"/>
                    <w:adjustRightInd/>
                    <w:snapToGrid/>
                    <w:spacing w:line="24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污染物</w:t>
                  </w:r>
                </w:p>
              </w:tc>
              <w:tc>
                <w:tcPr>
                  <w:tcW w:w="3148" w:type="pct"/>
                  <w:noWrap w:val="0"/>
                  <w:vAlign w:val="center"/>
                </w:tcPr>
                <w:p>
                  <w:pPr>
                    <w:pStyle w:val="265"/>
                    <w:adjustRightInd/>
                    <w:snapToGrid/>
                    <w:spacing w:line="24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无组织排放监控浓度限值周界外浓度最高点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52" w:type="pct"/>
                  <w:noWrap w:val="0"/>
                  <w:vAlign w:val="center"/>
                </w:tcPr>
                <w:p>
                  <w:pPr>
                    <w:pStyle w:val="265"/>
                    <w:adjustRightInd/>
                    <w:snapToGrid/>
                    <w:spacing w:line="24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颗粒物</w:t>
                  </w:r>
                </w:p>
              </w:tc>
              <w:tc>
                <w:tcPr>
                  <w:tcW w:w="3148" w:type="pct"/>
                  <w:noWrap w:val="0"/>
                  <w:vAlign w:val="center"/>
                </w:tcPr>
                <w:p>
                  <w:pPr>
                    <w:pStyle w:val="265"/>
                    <w:adjustRightInd/>
                    <w:snapToGrid/>
                    <w:spacing w:line="24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1.0</w:t>
                  </w:r>
                </w:p>
              </w:tc>
            </w:tr>
          </w:tbl>
          <w:p>
            <w:pPr>
              <w:spacing w:line="360" w:lineRule="auto"/>
              <w:ind w:firstLine="420" w:firstLineChars="175"/>
              <w:rPr>
                <w:rFonts w:hint="eastAsia"/>
                <w:color w:val="000000"/>
                <w:sz w:val="24"/>
              </w:rPr>
            </w:pPr>
            <w:r>
              <w:rPr>
                <w:rFonts w:hint="eastAsia"/>
                <w:color w:val="000000"/>
                <w:sz w:val="24"/>
                <w:lang w:eastAsia="zh-CN"/>
              </w:rPr>
              <w:t>（</w:t>
            </w:r>
            <w:r>
              <w:rPr>
                <w:rFonts w:hint="eastAsia"/>
                <w:color w:val="000000"/>
                <w:sz w:val="24"/>
                <w:lang w:val="en-US" w:eastAsia="zh-CN"/>
              </w:rPr>
              <w:t>2</w:t>
            </w:r>
            <w:r>
              <w:rPr>
                <w:rFonts w:hint="eastAsia"/>
                <w:color w:val="000000"/>
                <w:sz w:val="24"/>
                <w:lang w:eastAsia="zh-CN"/>
              </w:rPr>
              <w:t>）</w:t>
            </w:r>
            <w:r>
              <w:rPr>
                <w:color w:val="000000"/>
                <w:sz w:val="24"/>
              </w:rPr>
              <w:t>噪声</w:t>
            </w:r>
          </w:p>
          <w:p>
            <w:pPr>
              <w:spacing w:line="360" w:lineRule="auto"/>
              <w:ind w:firstLine="420" w:firstLineChars="175"/>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本项目施工期噪声执行《建筑施工场界环境噪声排放标准》（GB12523-2011）中的限值</w:t>
            </w:r>
            <w:r>
              <w:rPr>
                <w:rFonts w:hint="default" w:ascii="Times New Roman" w:hAnsi="Times New Roman" w:eastAsia="宋体" w:cs="Times New Roman"/>
                <w:color w:val="auto"/>
                <w:highlight w:val="none"/>
                <w:lang w:val="en-US" w:eastAsia="zh-CN"/>
              </w:rPr>
              <w:t>要求</w:t>
            </w:r>
            <w:r>
              <w:rPr>
                <w:rFonts w:hint="default" w:ascii="Times New Roman" w:hAnsi="Times New Roman" w:eastAsia="宋体" w:cs="Times New Roman"/>
                <w:color w:val="auto"/>
                <w:highlight w:val="none"/>
                <w:lang w:eastAsia="zh-CN"/>
              </w:rPr>
              <w:t>；</w:t>
            </w:r>
            <w:r>
              <w:rPr>
                <w:rFonts w:hint="eastAsia"/>
                <w:color w:val="000000"/>
                <w:sz w:val="24"/>
                <w:szCs w:val="28"/>
              </w:rPr>
              <w:t>营运期噪声执行《工业企业厂界环境噪声排放标准》</w:t>
            </w:r>
            <w:r>
              <w:rPr>
                <w:rFonts w:hint="eastAsia"/>
                <w:color w:val="000000"/>
                <w:sz w:val="24"/>
              </w:rPr>
              <w:t>（</w:t>
            </w:r>
            <w:r>
              <w:rPr>
                <w:rFonts w:hint="eastAsia"/>
                <w:color w:val="000000"/>
                <w:sz w:val="24"/>
                <w:szCs w:val="28"/>
              </w:rPr>
              <w:t>GB12348-2008）中</w:t>
            </w:r>
            <w:r>
              <w:rPr>
                <w:rFonts w:hint="eastAsia"/>
                <w:color w:val="000000"/>
                <w:sz w:val="24"/>
                <w:szCs w:val="28"/>
                <w:lang w:val="en-US" w:eastAsia="zh-CN"/>
              </w:rPr>
              <w:t>1</w:t>
            </w:r>
            <w:r>
              <w:rPr>
                <w:rFonts w:hint="eastAsia"/>
                <w:color w:val="000000"/>
                <w:sz w:val="24"/>
                <w:szCs w:val="28"/>
              </w:rPr>
              <w:t>类标准</w:t>
            </w:r>
            <w:r>
              <w:rPr>
                <w:rFonts w:hint="eastAsia"/>
                <w:color w:val="000000"/>
                <w:sz w:val="24"/>
                <w:szCs w:val="28"/>
                <w:lang w:val="en-US" w:eastAsia="zh-CN"/>
              </w:rPr>
              <w:t>限制要求</w:t>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highlight w:val="none"/>
                <w:lang w:val="en-US" w:eastAsia="zh-CN"/>
              </w:rPr>
              <w:t>详</w:t>
            </w:r>
            <w:r>
              <w:rPr>
                <w:rFonts w:hint="default" w:ascii="Times New Roman" w:hAnsi="Times New Roman" w:eastAsia="宋体" w:cs="Times New Roman"/>
                <w:color w:val="auto"/>
                <w:highlight w:val="none"/>
              </w:rPr>
              <w:t>见表3-</w:t>
            </w:r>
            <w:r>
              <w:rPr>
                <w:rFonts w:hint="default" w:ascii="Times New Roman" w:hAnsi="Times New Roman" w:eastAsia="宋体" w:cs="Times New Roman"/>
                <w:color w:val="auto"/>
                <w:highlight w:val="none"/>
                <w:lang w:val="en-US" w:eastAsia="zh-CN"/>
              </w:rPr>
              <w:t>8</w:t>
            </w:r>
            <w:r>
              <w:rPr>
                <w:rFonts w:hint="default" w:ascii="Times New Roman" w:hAnsi="Times New Roman" w:eastAsia="宋体" w:cs="Times New Roman"/>
                <w:color w:val="auto"/>
                <w:highlight w:val="none"/>
              </w:rPr>
              <w:t>。</w:t>
            </w:r>
          </w:p>
          <w:p>
            <w:pPr>
              <w:spacing w:line="240" w:lineRule="auto"/>
              <w:jc w:val="center"/>
              <w:rPr>
                <w:rFonts w:hint="eastAsia"/>
                <w:b/>
                <w:color w:val="000000"/>
                <w:sz w:val="21"/>
                <w:szCs w:val="21"/>
              </w:rPr>
            </w:pPr>
            <w:r>
              <w:rPr>
                <w:rFonts w:hint="eastAsia"/>
                <w:b/>
                <w:color w:val="000000"/>
                <w:sz w:val="21"/>
                <w:szCs w:val="21"/>
              </w:rPr>
              <w:t>表</w:t>
            </w:r>
            <w:r>
              <w:rPr>
                <w:rFonts w:hint="eastAsia"/>
                <w:b/>
                <w:bCs/>
                <w:color w:val="000000"/>
                <w:sz w:val="21"/>
                <w:szCs w:val="21"/>
              </w:rPr>
              <w:t>3-</w:t>
            </w:r>
            <w:r>
              <w:rPr>
                <w:rFonts w:hint="eastAsia"/>
                <w:b/>
                <w:bCs/>
                <w:color w:val="000000"/>
                <w:sz w:val="21"/>
                <w:szCs w:val="21"/>
                <w:lang w:val="en-US" w:eastAsia="zh-CN"/>
              </w:rPr>
              <w:t xml:space="preserve">8      </w:t>
            </w:r>
            <w:r>
              <w:rPr>
                <w:b/>
                <w:bCs/>
                <w:color w:val="000000"/>
                <w:sz w:val="21"/>
                <w:szCs w:val="21"/>
              </w:rPr>
              <w:t xml:space="preserve"> </w:t>
            </w:r>
            <w:r>
              <w:rPr>
                <w:rFonts w:hint="eastAsia"/>
                <w:b/>
                <w:bCs/>
                <w:color w:val="000000"/>
                <w:sz w:val="21"/>
                <w:szCs w:val="21"/>
                <w:lang w:val="en-US" w:eastAsia="zh-CN"/>
              </w:rPr>
              <w:t xml:space="preserve">  </w:t>
            </w:r>
            <w:r>
              <w:rPr>
                <w:rFonts w:hint="eastAsia"/>
                <w:b/>
                <w:color w:val="000000"/>
                <w:sz w:val="21"/>
                <w:szCs w:val="21"/>
              </w:rPr>
              <w:t>施工期噪声</w:t>
            </w:r>
            <w:r>
              <w:rPr>
                <w:rFonts w:hint="eastAsia"/>
                <w:b/>
                <w:color w:val="000000"/>
                <w:sz w:val="21"/>
                <w:szCs w:val="21"/>
                <w:lang w:val="en-US" w:eastAsia="zh-CN"/>
              </w:rPr>
              <w:t>标准</w:t>
            </w:r>
            <w:r>
              <w:rPr>
                <w:rFonts w:hint="eastAsia"/>
                <w:b/>
                <w:color w:val="000000"/>
                <w:sz w:val="21"/>
                <w:szCs w:val="21"/>
              </w:rPr>
              <w:t>限值（单位：</w:t>
            </w:r>
            <w:r>
              <w:rPr>
                <w:b/>
                <w:bCs/>
                <w:color w:val="000000"/>
                <w:sz w:val="21"/>
                <w:szCs w:val="21"/>
              </w:rPr>
              <w:t>dB</w:t>
            </w:r>
            <w:r>
              <w:rPr>
                <w:rFonts w:hint="eastAsia"/>
                <w:b/>
                <w:color w:val="000000"/>
                <w:sz w:val="21"/>
                <w:szCs w:val="21"/>
              </w:rPr>
              <w:t>（</w:t>
            </w:r>
            <w:r>
              <w:rPr>
                <w:b/>
                <w:bCs/>
                <w:color w:val="000000"/>
                <w:sz w:val="21"/>
                <w:szCs w:val="21"/>
              </w:rPr>
              <w:t>A</w:t>
            </w:r>
            <w:r>
              <w:rPr>
                <w:rFonts w:hint="eastAsia"/>
                <w:b/>
                <w:color w:val="000000"/>
                <w:sz w:val="21"/>
                <w:szCs w:val="21"/>
              </w:rPr>
              <w:t>））</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2"/>
              <w:gridCol w:w="2585"/>
              <w:gridCol w:w="2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6" w:type="pct"/>
                  <w:noWrap w:val="0"/>
                  <w:vAlign w:val="center"/>
                </w:tcPr>
                <w:p>
                  <w:pPr>
                    <w:pStyle w:val="265"/>
                    <w:adjustRightInd/>
                    <w:snapToGrid/>
                    <w:spacing w:line="24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时段</w:t>
                  </w:r>
                </w:p>
              </w:tc>
              <w:tc>
                <w:tcPr>
                  <w:tcW w:w="1667" w:type="pct"/>
                  <w:noWrap w:val="0"/>
                  <w:vAlign w:val="center"/>
                </w:tcPr>
                <w:p>
                  <w:pPr>
                    <w:pStyle w:val="265"/>
                    <w:adjustRightInd/>
                    <w:snapToGrid/>
                    <w:spacing w:line="24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昼间</w:t>
                  </w:r>
                </w:p>
              </w:tc>
              <w:tc>
                <w:tcPr>
                  <w:tcW w:w="1667" w:type="pct"/>
                  <w:noWrap w:val="0"/>
                  <w:vAlign w:val="center"/>
                </w:tcPr>
                <w:p>
                  <w:pPr>
                    <w:pStyle w:val="265"/>
                    <w:adjustRightInd/>
                    <w:snapToGrid/>
                    <w:spacing w:line="24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6" w:type="pct"/>
                  <w:noWrap w:val="0"/>
                  <w:vAlign w:val="center"/>
                </w:tcPr>
                <w:p>
                  <w:pPr>
                    <w:pStyle w:val="265"/>
                    <w:adjustRightInd/>
                    <w:snapToGrid/>
                    <w:spacing w:line="24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限值</w:t>
                  </w:r>
                </w:p>
              </w:tc>
              <w:tc>
                <w:tcPr>
                  <w:tcW w:w="1667" w:type="pct"/>
                  <w:noWrap w:val="0"/>
                  <w:vAlign w:val="center"/>
                </w:tcPr>
                <w:p>
                  <w:pPr>
                    <w:pStyle w:val="265"/>
                    <w:adjustRightInd/>
                    <w:snapToGrid/>
                    <w:spacing w:line="24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70</w:t>
                  </w:r>
                </w:p>
              </w:tc>
              <w:tc>
                <w:tcPr>
                  <w:tcW w:w="1667" w:type="pct"/>
                  <w:noWrap w:val="0"/>
                  <w:vAlign w:val="center"/>
                </w:tcPr>
                <w:p>
                  <w:pPr>
                    <w:pStyle w:val="265"/>
                    <w:adjustRightInd/>
                    <w:snapToGrid/>
                    <w:spacing w:line="24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55</w:t>
                  </w:r>
                </w:p>
              </w:tc>
            </w:tr>
          </w:tbl>
          <w:p>
            <w:pPr>
              <w:spacing w:line="240" w:lineRule="auto"/>
              <w:jc w:val="center"/>
              <w:rPr>
                <w:rFonts w:hint="eastAsia"/>
                <w:b/>
                <w:color w:val="000000"/>
                <w:sz w:val="21"/>
                <w:szCs w:val="21"/>
              </w:rPr>
            </w:pPr>
            <w:r>
              <w:rPr>
                <w:rFonts w:hint="eastAsia"/>
                <w:b/>
                <w:color w:val="000000"/>
                <w:sz w:val="21"/>
                <w:szCs w:val="21"/>
              </w:rPr>
              <w:t>表</w:t>
            </w:r>
            <w:r>
              <w:rPr>
                <w:rFonts w:hint="eastAsia"/>
                <w:b/>
                <w:bCs/>
                <w:color w:val="000000"/>
                <w:sz w:val="21"/>
                <w:szCs w:val="21"/>
              </w:rPr>
              <w:t>3-</w:t>
            </w:r>
            <w:r>
              <w:rPr>
                <w:rFonts w:hint="eastAsia"/>
                <w:b/>
                <w:bCs/>
                <w:color w:val="000000"/>
                <w:sz w:val="21"/>
                <w:szCs w:val="21"/>
                <w:lang w:val="en-US" w:eastAsia="zh-CN"/>
              </w:rPr>
              <w:t xml:space="preserve">9       </w:t>
            </w:r>
            <w:r>
              <w:rPr>
                <w:b/>
                <w:bCs/>
                <w:color w:val="000000"/>
                <w:sz w:val="21"/>
                <w:szCs w:val="21"/>
              </w:rPr>
              <w:t xml:space="preserve"> </w:t>
            </w:r>
            <w:r>
              <w:rPr>
                <w:rFonts w:hint="eastAsia"/>
                <w:b/>
                <w:bCs/>
                <w:color w:val="000000"/>
                <w:sz w:val="21"/>
                <w:szCs w:val="21"/>
                <w:lang w:val="en-US" w:eastAsia="zh-CN"/>
              </w:rPr>
              <w:t>运营期</w:t>
            </w:r>
            <w:r>
              <w:rPr>
                <w:rFonts w:hint="eastAsia"/>
                <w:b/>
                <w:color w:val="000000"/>
                <w:sz w:val="21"/>
                <w:szCs w:val="21"/>
              </w:rPr>
              <w:t>噪声</w:t>
            </w:r>
            <w:r>
              <w:rPr>
                <w:rFonts w:hint="eastAsia"/>
                <w:b/>
                <w:color w:val="000000"/>
                <w:sz w:val="21"/>
                <w:szCs w:val="21"/>
                <w:lang w:val="en-US" w:eastAsia="zh-CN"/>
              </w:rPr>
              <w:t>标准</w:t>
            </w:r>
            <w:r>
              <w:rPr>
                <w:rFonts w:hint="eastAsia"/>
                <w:b/>
                <w:color w:val="000000"/>
                <w:sz w:val="21"/>
                <w:szCs w:val="21"/>
              </w:rPr>
              <w:t>限值（单位：</w:t>
            </w:r>
            <w:r>
              <w:rPr>
                <w:b/>
                <w:bCs/>
                <w:color w:val="000000"/>
                <w:sz w:val="21"/>
                <w:szCs w:val="21"/>
              </w:rPr>
              <w:t>dB</w:t>
            </w:r>
            <w:r>
              <w:rPr>
                <w:rFonts w:hint="eastAsia"/>
                <w:b/>
                <w:color w:val="000000"/>
                <w:sz w:val="21"/>
                <w:szCs w:val="21"/>
              </w:rPr>
              <w:t>（</w:t>
            </w:r>
            <w:r>
              <w:rPr>
                <w:b/>
                <w:bCs/>
                <w:color w:val="000000"/>
                <w:sz w:val="21"/>
                <w:szCs w:val="21"/>
              </w:rPr>
              <w:t>A</w:t>
            </w:r>
            <w:r>
              <w:rPr>
                <w:rFonts w:hint="eastAsia"/>
                <w:b/>
                <w:color w:val="000000"/>
                <w:sz w:val="21"/>
                <w:szCs w:val="21"/>
              </w:rPr>
              <w:t>））</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2"/>
              <w:gridCol w:w="2585"/>
              <w:gridCol w:w="2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6" w:type="pct"/>
                  <w:noWrap w:val="0"/>
                  <w:vAlign w:val="center"/>
                </w:tcPr>
                <w:p>
                  <w:pPr>
                    <w:pStyle w:val="265"/>
                    <w:adjustRightInd/>
                    <w:snapToGrid/>
                    <w:spacing w:line="24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时段</w:t>
                  </w:r>
                </w:p>
              </w:tc>
              <w:tc>
                <w:tcPr>
                  <w:tcW w:w="1667" w:type="pct"/>
                  <w:noWrap w:val="0"/>
                  <w:vAlign w:val="center"/>
                </w:tcPr>
                <w:p>
                  <w:pPr>
                    <w:pStyle w:val="265"/>
                    <w:adjustRightInd/>
                    <w:snapToGrid/>
                    <w:spacing w:line="24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昼间</w:t>
                  </w:r>
                </w:p>
              </w:tc>
              <w:tc>
                <w:tcPr>
                  <w:tcW w:w="1667" w:type="pct"/>
                  <w:noWrap w:val="0"/>
                  <w:vAlign w:val="center"/>
                </w:tcPr>
                <w:p>
                  <w:pPr>
                    <w:pStyle w:val="265"/>
                    <w:adjustRightInd/>
                    <w:snapToGrid/>
                    <w:spacing w:line="24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6" w:type="pct"/>
                  <w:noWrap w:val="0"/>
                  <w:vAlign w:val="center"/>
                </w:tcPr>
                <w:p>
                  <w:pPr>
                    <w:pStyle w:val="265"/>
                    <w:adjustRightInd/>
                    <w:snapToGrid/>
                    <w:spacing w:line="24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限值</w:t>
                  </w:r>
                </w:p>
              </w:tc>
              <w:tc>
                <w:tcPr>
                  <w:tcW w:w="2585" w:type="dxa"/>
                  <w:noWrap w:val="0"/>
                  <w:vAlign w:val="center"/>
                </w:tcPr>
                <w:p>
                  <w:pPr>
                    <w:pStyle w:val="265"/>
                    <w:adjustRightInd/>
                    <w:snapToGrid/>
                    <w:spacing w:line="240" w:lineRule="auto"/>
                    <w:ind w:firstLine="0" w:firstLineChars="0"/>
                    <w:rPr>
                      <w:rFonts w:hint="default" w:ascii="Times New Roman" w:hAnsi="Times New Roman" w:cs="Times New Roman"/>
                      <w:b w:val="0"/>
                      <w:bCs w:val="0"/>
                      <w:lang w:val="en-US" w:eastAsia="zh-CN"/>
                    </w:rPr>
                  </w:pPr>
                  <w:r>
                    <w:rPr>
                      <w:rFonts w:hint="eastAsia" w:ascii="Times New Roman" w:cs="Times New Roman"/>
                      <w:b w:val="0"/>
                      <w:bCs w:val="0"/>
                      <w:lang w:val="en-US" w:eastAsia="zh-CN"/>
                    </w:rPr>
                    <w:t>55</w:t>
                  </w:r>
                </w:p>
              </w:tc>
              <w:tc>
                <w:tcPr>
                  <w:tcW w:w="2585" w:type="dxa"/>
                  <w:noWrap w:val="0"/>
                  <w:vAlign w:val="center"/>
                </w:tcPr>
                <w:p>
                  <w:pPr>
                    <w:pStyle w:val="265"/>
                    <w:adjustRightInd/>
                    <w:snapToGrid/>
                    <w:spacing w:line="240" w:lineRule="auto"/>
                    <w:ind w:firstLine="0" w:firstLineChars="0"/>
                    <w:rPr>
                      <w:rFonts w:hint="default" w:ascii="Times New Roman" w:hAnsi="Times New Roman" w:cs="Times New Roman"/>
                      <w:b w:val="0"/>
                      <w:bCs w:val="0"/>
                      <w:lang w:val="en-US" w:eastAsia="zh-CN"/>
                    </w:rPr>
                  </w:pPr>
                  <w:r>
                    <w:rPr>
                      <w:rFonts w:hint="eastAsia" w:ascii="Times New Roman" w:cs="Times New Roman"/>
                      <w:b w:val="0"/>
                      <w:bCs w:val="0"/>
                      <w:lang w:val="en-US" w:eastAsia="zh-CN"/>
                    </w:rPr>
                    <w:t>45</w:t>
                  </w:r>
                </w:p>
              </w:tc>
            </w:tr>
          </w:tbl>
          <w:p>
            <w:pPr>
              <w:adjustRightInd w:val="0"/>
              <w:snapToGrid w:val="0"/>
              <w:spacing w:line="360" w:lineRule="auto"/>
              <w:ind w:firstLine="480" w:firstLineChars="200"/>
              <w:rPr>
                <w:rFonts w:hint="eastAsia"/>
                <w:color w:val="000000"/>
                <w:sz w:val="24"/>
                <w:lang w:val="en-US" w:eastAsia="zh-CN"/>
              </w:rPr>
            </w:pPr>
            <w:r>
              <w:rPr>
                <w:rFonts w:hint="eastAsia"/>
                <w:color w:val="000000"/>
                <w:sz w:val="24"/>
                <w:lang w:val="en-US" w:eastAsia="zh-CN"/>
              </w:rPr>
              <w:t>（3）废水</w:t>
            </w:r>
          </w:p>
          <w:p>
            <w:pPr>
              <w:adjustRightInd w:val="0"/>
              <w:snapToGrid w:val="0"/>
              <w:spacing w:line="360" w:lineRule="auto"/>
              <w:ind w:firstLine="480" w:firstLineChars="200"/>
              <w:rPr>
                <w:rFonts w:hint="eastAsia"/>
                <w:color w:val="000000"/>
                <w:sz w:val="24"/>
                <w:lang w:val="en-US" w:eastAsia="zh-CN"/>
              </w:rPr>
            </w:pPr>
            <w:r>
              <w:rPr>
                <w:rFonts w:hint="eastAsia"/>
                <w:color w:val="000000"/>
                <w:sz w:val="24"/>
                <w:lang w:val="en-US" w:eastAsia="zh-CN"/>
              </w:rPr>
              <w:t>施工期</w:t>
            </w:r>
            <w:r>
              <w:rPr>
                <w:rFonts w:hint="eastAsia"/>
                <w:color w:val="000000"/>
                <w:sz w:val="24"/>
                <w:highlight w:val="none"/>
                <w:lang w:val="en-US" w:eastAsia="zh-CN"/>
              </w:rPr>
              <w:t>产生的</w:t>
            </w:r>
            <w:r>
              <w:rPr>
                <w:rFonts w:hint="eastAsia"/>
                <w:color w:val="000000"/>
                <w:sz w:val="24"/>
                <w:lang w:val="en-US" w:eastAsia="zh-CN"/>
              </w:rPr>
              <w:t>生活废水经化粪池处理后由吉木萨尔县环卫部门定期清运处</w:t>
            </w:r>
            <w:r>
              <w:rPr>
                <w:rFonts w:hint="eastAsia"/>
                <w:lang w:val="en-US" w:eastAsia="zh-CN"/>
              </w:rPr>
              <w:t>置</w:t>
            </w:r>
            <w:r>
              <w:rPr>
                <w:rFonts w:hint="eastAsia" w:cs="Times New Roman"/>
                <w:lang w:val="en-US" w:eastAsia="zh-CN"/>
              </w:rPr>
              <w:t>。</w:t>
            </w:r>
          </w:p>
          <w:p>
            <w:pPr>
              <w:adjustRightInd w:val="0"/>
              <w:snapToGrid w:val="0"/>
              <w:spacing w:line="360" w:lineRule="auto"/>
              <w:ind w:firstLine="480" w:firstLineChars="200"/>
              <w:rPr>
                <w:rFonts w:hint="eastAsia"/>
                <w:color w:val="000000"/>
                <w:sz w:val="24"/>
              </w:rPr>
            </w:pPr>
            <w:r>
              <w:rPr>
                <w:rFonts w:hint="eastAsia"/>
                <w:color w:val="000000"/>
                <w:sz w:val="24"/>
                <w:lang w:eastAsia="zh-CN"/>
              </w:rPr>
              <w:t>（</w:t>
            </w:r>
            <w:r>
              <w:rPr>
                <w:rFonts w:hint="eastAsia"/>
                <w:color w:val="000000"/>
                <w:sz w:val="24"/>
                <w:lang w:val="en-US" w:eastAsia="zh-CN"/>
              </w:rPr>
              <w:t>4</w:t>
            </w:r>
            <w:r>
              <w:rPr>
                <w:rFonts w:hint="eastAsia"/>
                <w:color w:val="000000"/>
                <w:sz w:val="24"/>
                <w:lang w:eastAsia="zh-CN"/>
              </w:rPr>
              <w:t>）</w:t>
            </w:r>
            <w:r>
              <w:rPr>
                <w:color w:val="000000"/>
                <w:sz w:val="24"/>
              </w:rPr>
              <w:t>固废</w:t>
            </w:r>
          </w:p>
          <w:p>
            <w:pPr>
              <w:adjustRightInd w:val="0"/>
              <w:snapToGrid w:val="0"/>
              <w:spacing w:line="360" w:lineRule="auto"/>
              <w:ind w:left="0" w:leftChars="0" w:firstLine="480" w:firstLineChars="200"/>
              <w:rPr>
                <w:rFonts w:hAnsi="宋体"/>
                <w:color w:val="FF0000"/>
                <w:kern w:val="0"/>
              </w:rPr>
            </w:pPr>
            <w:r>
              <w:rPr>
                <w:rFonts w:hint="eastAsia"/>
                <w:color w:val="000000"/>
                <w:sz w:val="24"/>
              </w:rPr>
              <w:t>一般固废执行《一般工业固体废物贮存和填埋污染控制标准》（GB18599-2020）标准要求</w:t>
            </w:r>
            <w:r>
              <w:rPr>
                <w:rFonts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568" w:type="pct"/>
            <w:vAlign w:val="center"/>
          </w:tcPr>
          <w:p>
            <w:pPr>
              <w:adjustRightInd w:val="0"/>
              <w:snapToGrid w:val="0"/>
              <w:spacing w:line="460" w:lineRule="exact"/>
              <w:ind w:firstLine="0" w:firstLineChars="0"/>
              <w:jc w:val="center"/>
              <w:rPr>
                <w:rFonts w:ascii="宋体" w:cs="宋体"/>
                <w:b/>
                <w:color w:val="000000"/>
                <w:kern w:val="0"/>
              </w:rPr>
            </w:pPr>
            <w:r>
              <w:rPr>
                <w:rFonts w:hint="eastAsia" w:ascii="宋体" w:hAnsi="宋体" w:cs="宋体"/>
                <w:b/>
                <w:color w:val="000000"/>
                <w:kern w:val="0"/>
              </w:rPr>
              <w:t>其他</w:t>
            </w:r>
          </w:p>
        </w:tc>
        <w:tc>
          <w:tcPr>
            <w:tcW w:w="4431" w:type="pct"/>
            <w:vAlign w:val="center"/>
          </w:tcPr>
          <w:p>
            <w:pPr>
              <w:adjustRightInd w:val="0"/>
              <w:snapToGrid w:val="0"/>
              <w:spacing w:line="460" w:lineRule="exact"/>
              <w:ind w:firstLine="31680"/>
              <w:jc w:val="left"/>
              <w:rPr>
                <w:rFonts w:hint="eastAsia"/>
                <w:color w:val="000000"/>
              </w:rPr>
            </w:pPr>
            <w:r>
              <w:rPr>
                <w:rFonts w:hint="eastAsia"/>
                <w:color w:val="000000"/>
              </w:rPr>
              <w:t>本项目为</w:t>
            </w:r>
            <w:r>
              <w:rPr>
                <w:rFonts w:hint="default" w:ascii="Times New Roman" w:hAnsi="Times New Roman" w:cs="Times New Roman"/>
                <w:highlight w:val="none"/>
                <w:lang w:val="en-US" w:eastAsia="zh-CN"/>
              </w:rPr>
              <w:t>中小河流治理工程</w:t>
            </w:r>
            <w:r>
              <w:rPr>
                <w:rFonts w:hint="eastAsia"/>
                <w:color w:val="000000"/>
                <w:lang w:val="en-US" w:eastAsia="zh-CN"/>
              </w:rPr>
              <w:t>，</w:t>
            </w:r>
            <w:r>
              <w:rPr>
                <w:rFonts w:hint="eastAsia"/>
                <w:color w:val="000000"/>
              </w:rPr>
              <w:t>根据本项目污染源排放实际情况，污染物产生主要在施工期，运营期无污染物排放，因此，本项目不设总量控制指标。</w:t>
            </w:r>
          </w:p>
          <w:p>
            <w:pPr>
              <w:adjustRightInd w:val="0"/>
              <w:snapToGrid w:val="0"/>
              <w:spacing w:line="460" w:lineRule="exact"/>
              <w:ind w:firstLine="31680"/>
              <w:jc w:val="left"/>
              <w:rPr>
                <w:rFonts w:hint="eastAsia"/>
                <w:color w:val="000000"/>
              </w:rPr>
            </w:pPr>
          </w:p>
          <w:p>
            <w:pPr>
              <w:adjustRightInd w:val="0"/>
              <w:snapToGrid w:val="0"/>
              <w:spacing w:line="460" w:lineRule="exact"/>
              <w:ind w:firstLine="31680"/>
              <w:jc w:val="left"/>
              <w:rPr>
                <w:rFonts w:hint="eastAsia"/>
                <w:color w:val="000000"/>
              </w:rPr>
            </w:pPr>
          </w:p>
          <w:p>
            <w:pPr>
              <w:adjustRightInd w:val="0"/>
              <w:snapToGrid w:val="0"/>
              <w:spacing w:line="460" w:lineRule="exact"/>
              <w:ind w:left="0" w:leftChars="0" w:firstLine="0" w:firstLineChars="0"/>
              <w:jc w:val="left"/>
              <w:rPr>
                <w:rFonts w:hint="eastAsia"/>
                <w:color w:val="000000"/>
              </w:rPr>
            </w:pPr>
          </w:p>
        </w:tc>
      </w:tr>
    </w:tbl>
    <w:p>
      <w:pPr>
        <w:rPr>
          <w:rFonts w:hint="default" w:ascii="Times New Roman" w:hAnsi="Times New Roman" w:eastAsia="宋体" w:cs="Times New Roman"/>
          <w:b/>
          <w:bCs/>
          <w:snapToGrid w:val="0"/>
          <w:color w:val="000000"/>
          <w:sz w:val="30"/>
          <w:szCs w:val="30"/>
        </w:rPr>
      </w:pPr>
      <w:r>
        <w:rPr>
          <w:rFonts w:hint="default" w:ascii="Times New Roman" w:hAnsi="Times New Roman" w:eastAsia="宋体" w:cs="Times New Roman"/>
          <w:b/>
          <w:bCs/>
          <w:snapToGrid w:val="0"/>
          <w:color w:val="000000"/>
          <w:sz w:val="30"/>
          <w:szCs w:val="30"/>
        </w:rPr>
        <w:br w:type="page"/>
      </w:r>
    </w:p>
    <w:p>
      <w:pPr>
        <w:pStyle w:val="31"/>
        <w:tabs>
          <w:tab w:val="left" w:pos="6412"/>
        </w:tabs>
        <w:snapToGrid w:val="0"/>
        <w:spacing w:beforeAutospacing="0" w:afterLines="50" w:afterAutospacing="0" w:line="240" w:lineRule="auto"/>
        <w:ind w:firstLine="0" w:firstLineChars="0"/>
        <w:jc w:val="center"/>
        <w:outlineLvl w:val="0"/>
        <w:rPr>
          <w:rFonts w:hint="default" w:ascii="Times New Roman" w:hAnsi="Times New Roman" w:eastAsia="宋体" w:cs="Times New Roman"/>
          <w:b/>
          <w:bCs/>
          <w:snapToGrid w:val="0"/>
          <w:color w:val="000000"/>
          <w:sz w:val="30"/>
          <w:szCs w:val="30"/>
        </w:rPr>
      </w:pPr>
      <w:r>
        <w:rPr>
          <w:rFonts w:hint="default" w:ascii="Times New Roman" w:hAnsi="Times New Roman" w:eastAsia="宋体" w:cs="Times New Roman"/>
          <w:b/>
          <w:bCs/>
          <w:snapToGrid w:val="0"/>
          <w:color w:val="000000"/>
          <w:sz w:val="30"/>
          <w:szCs w:val="30"/>
        </w:rPr>
        <w:t>四、生态环境影响分析</w:t>
      </w:r>
      <w:bookmarkEnd w:id="4"/>
    </w:p>
    <w:tbl>
      <w:tblPr>
        <w:tblStyle w:val="36"/>
        <w:tblW w:w="8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8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20" w:type="pct"/>
            <w:tcMar>
              <w:left w:w="28" w:type="dxa"/>
              <w:right w:w="28" w:type="dxa"/>
            </w:tcMar>
            <w:vAlign w:val="center"/>
          </w:tcPr>
          <w:p>
            <w:pPr>
              <w:pStyle w:val="31"/>
              <w:adjustRightInd w:val="0"/>
              <w:snapToGrid w:val="0"/>
              <w:spacing w:beforeAutospacing="0" w:afterAutospacing="0" w:line="240" w:lineRule="auto"/>
              <w:ind w:firstLine="0" w:firstLineChars="0"/>
              <w:jc w:val="center"/>
              <w:rPr>
                <w:rFonts w:cs="宋体"/>
                <w:b/>
                <w:bCs/>
                <w:color w:val="000000"/>
                <w:spacing w:val="10"/>
                <w:kern w:val="2"/>
                <w:szCs w:val="24"/>
              </w:rPr>
            </w:pPr>
            <w:bookmarkStart w:id="8" w:name="_Hlk49796138"/>
            <w:r>
              <w:rPr>
                <w:rFonts w:hint="eastAsia" w:cs="宋体"/>
                <w:b/>
                <w:bCs/>
                <w:color w:val="000000"/>
                <w:spacing w:val="10"/>
                <w:kern w:val="2"/>
                <w:szCs w:val="24"/>
              </w:rPr>
              <w:t>施工</w:t>
            </w:r>
          </w:p>
          <w:p>
            <w:pPr>
              <w:pStyle w:val="31"/>
              <w:adjustRightInd w:val="0"/>
              <w:snapToGrid w:val="0"/>
              <w:spacing w:beforeAutospacing="0" w:afterAutospacing="0" w:line="240" w:lineRule="auto"/>
              <w:ind w:firstLine="0" w:firstLineChars="0"/>
              <w:jc w:val="center"/>
              <w:rPr>
                <w:rFonts w:cs="宋体"/>
                <w:b/>
                <w:bCs/>
                <w:color w:val="000000"/>
                <w:spacing w:val="10"/>
                <w:kern w:val="2"/>
                <w:szCs w:val="24"/>
              </w:rPr>
            </w:pPr>
            <w:r>
              <w:rPr>
                <w:rFonts w:hint="eastAsia" w:cs="宋体"/>
                <w:b/>
                <w:bCs/>
                <w:color w:val="000000"/>
                <w:spacing w:val="10"/>
                <w:kern w:val="2"/>
                <w:szCs w:val="24"/>
              </w:rPr>
              <w:t>期生</w:t>
            </w:r>
          </w:p>
          <w:p>
            <w:pPr>
              <w:pStyle w:val="31"/>
              <w:adjustRightInd w:val="0"/>
              <w:snapToGrid w:val="0"/>
              <w:spacing w:beforeAutospacing="0" w:afterAutospacing="0" w:line="240" w:lineRule="auto"/>
              <w:ind w:firstLine="0" w:firstLineChars="0"/>
              <w:jc w:val="center"/>
              <w:rPr>
                <w:rFonts w:cs="宋体"/>
                <w:b/>
                <w:bCs/>
                <w:color w:val="000000"/>
                <w:spacing w:val="10"/>
                <w:kern w:val="2"/>
                <w:szCs w:val="24"/>
              </w:rPr>
            </w:pPr>
            <w:r>
              <w:rPr>
                <w:rFonts w:hint="eastAsia" w:cs="宋体"/>
                <w:b/>
                <w:bCs/>
                <w:color w:val="000000"/>
                <w:spacing w:val="10"/>
                <w:kern w:val="2"/>
                <w:szCs w:val="24"/>
              </w:rPr>
              <w:t>态环</w:t>
            </w:r>
          </w:p>
          <w:p>
            <w:pPr>
              <w:pStyle w:val="31"/>
              <w:adjustRightInd w:val="0"/>
              <w:snapToGrid w:val="0"/>
              <w:spacing w:beforeAutospacing="0" w:afterAutospacing="0" w:line="240" w:lineRule="auto"/>
              <w:ind w:firstLine="0" w:firstLineChars="0"/>
              <w:jc w:val="center"/>
              <w:rPr>
                <w:rFonts w:cs="宋体"/>
                <w:b/>
                <w:bCs/>
                <w:color w:val="000000"/>
                <w:spacing w:val="10"/>
                <w:kern w:val="2"/>
                <w:szCs w:val="24"/>
              </w:rPr>
            </w:pPr>
            <w:r>
              <w:rPr>
                <w:rFonts w:hint="eastAsia" w:cs="宋体"/>
                <w:b/>
                <w:bCs/>
                <w:color w:val="000000"/>
                <w:spacing w:val="10"/>
                <w:kern w:val="2"/>
                <w:szCs w:val="24"/>
              </w:rPr>
              <w:t>境影</w:t>
            </w:r>
          </w:p>
          <w:p>
            <w:pPr>
              <w:pStyle w:val="31"/>
              <w:adjustRightInd w:val="0"/>
              <w:snapToGrid w:val="0"/>
              <w:spacing w:beforeAutospacing="0" w:afterAutospacing="0" w:line="240" w:lineRule="auto"/>
              <w:ind w:firstLine="0" w:firstLineChars="0"/>
              <w:jc w:val="center"/>
              <w:rPr>
                <w:rFonts w:cs="宋体"/>
                <w:b/>
                <w:bCs/>
                <w:color w:val="000000"/>
                <w:spacing w:val="10"/>
                <w:kern w:val="2"/>
                <w:szCs w:val="24"/>
              </w:rPr>
            </w:pPr>
            <w:r>
              <w:rPr>
                <w:rFonts w:hint="eastAsia" w:cs="宋体"/>
                <w:b/>
                <w:bCs/>
                <w:color w:val="000000"/>
                <w:spacing w:val="10"/>
                <w:kern w:val="2"/>
                <w:szCs w:val="24"/>
              </w:rPr>
              <w:t>响分</w:t>
            </w:r>
          </w:p>
          <w:p>
            <w:pPr>
              <w:pStyle w:val="31"/>
              <w:adjustRightInd w:val="0"/>
              <w:snapToGrid w:val="0"/>
              <w:spacing w:beforeAutospacing="0" w:afterAutospacing="0" w:line="240" w:lineRule="auto"/>
              <w:ind w:firstLine="0" w:firstLineChars="0"/>
              <w:jc w:val="center"/>
              <w:rPr>
                <w:rFonts w:cs="宋体"/>
                <w:b/>
                <w:bCs/>
                <w:color w:val="FF0000"/>
                <w:spacing w:val="10"/>
                <w:kern w:val="2"/>
                <w:szCs w:val="24"/>
              </w:rPr>
            </w:pPr>
            <w:r>
              <w:rPr>
                <w:rFonts w:hint="eastAsia" w:cs="宋体"/>
                <w:b/>
                <w:bCs/>
                <w:color w:val="000000"/>
                <w:spacing w:val="10"/>
                <w:kern w:val="2"/>
                <w:szCs w:val="24"/>
              </w:rPr>
              <w:t>析</w:t>
            </w:r>
            <w:bookmarkEnd w:id="8"/>
          </w:p>
        </w:tc>
        <w:tc>
          <w:tcPr>
            <w:tcW w:w="4579" w:type="pct"/>
          </w:tcPr>
          <w:p>
            <w:pPr>
              <w:adjustRightInd w:val="0"/>
              <w:snapToGrid w:val="0"/>
              <w:spacing w:line="360" w:lineRule="auto"/>
              <w:ind w:firstLine="0" w:firstLineChars="0"/>
              <w:rPr>
                <w:b/>
                <w:color w:val="000000"/>
                <w:szCs w:val="32"/>
              </w:rPr>
            </w:pPr>
            <w:r>
              <w:rPr>
                <w:rFonts w:hint="eastAsia"/>
                <w:b/>
                <w:color w:val="000000"/>
                <w:lang w:val="en-US" w:eastAsia="zh-CN"/>
              </w:rPr>
              <w:t>1</w:t>
            </w:r>
            <w:r>
              <w:rPr>
                <w:rFonts w:hint="eastAsia"/>
                <w:b/>
                <w:color w:val="000000"/>
              </w:rPr>
              <w:t>、大气环境影响分析</w:t>
            </w:r>
          </w:p>
          <w:p>
            <w:pPr>
              <w:snapToGrid w:val="0"/>
              <w:spacing w:line="360" w:lineRule="auto"/>
              <w:ind w:firstLine="31680"/>
              <w:rPr>
                <w:rFonts w:hint="eastAsia" w:ascii="宋体" w:hAnsi="宋体"/>
                <w:color w:val="000000"/>
              </w:rPr>
            </w:pPr>
            <w:r>
              <w:rPr>
                <w:rFonts w:hint="eastAsia" w:ascii="宋体" w:hAnsi="宋体"/>
                <w:color w:val="000000"/>
              </w:rPr>
              <w:t>施工期的废气来源</w:t>
            </w:r>
            <w:r>
              <w:rPr>
                <w:rFonts w:hint="eastAsia" w:ascii="宋体" w:hAnsi="宋体"/>
                <w:color w:val="000000"/>
                <w:lang w:val="en-US" w:eastAsia="zh-CN"/>
              </w:rPr>
              <w:t>主要为</w:t>
            </w:r>
            <w:r>
              <w:rPr>
                <w:rFonts w:hint="default" w:ascii="Times New Roman" w:hAnsi="Times New Roman" w:cs="Times New Roman"/>
                <w:color w:val="000000"/>
              </w:rPr>
              <w:t>土石方开挖</w:t>
            </w:r>
            <w:r>
              <w:rPr>
                <w:rFonts w:hint="eastAsia" w:ascii="宋体" w:hAnsi="宋体"/>
                <w:color w:val="000000"/>
              </w:rPr>
              <w:t>、</w:t>
            </w:r>
            <w:r>
              <w:rPr>
                <w:rFonts w:hint="eastAsia" w:ascii="宋体" w:hAnsi="宋体" w:cs="Times New Roman"/>
                <w:color w:val="000000"/>
              </w:rPr>
              <w:t>施工车辆运输扬尘</w:t>
            </w:r>
            <w:r>
              <w:rPr>
                <w:rFonts w:hint="eastAsia" w:ascii="宋体" w:hAnsi="宋体"/>
                <w:color w:val="000000"/>
              </w:rPr>
              <w:t>、</w:t>
            </w:r>
            <w:r>
              <w:rPr>
                <w:rFonts w:hint="eastAsia" w:hAnsi="宋体"/>
                <w:color w:val="000000"/>
              </w:rPr>
              <w:t>风力扬尘</w:t>
            </w:r>
            <w:r>
              <w:rPr>
                <w:rFonts w:hint="eastAsia" w:hAnsi="宋体"/>
                <w:color w:val="000000"/>
                <w:lang w:val="en-US" w:eastAsia="zh-CN"/>
              </w:rPr>
              <w:t>和</w:t>
            </w:r>
            <w:r>
              <w:rPr>
                <w:rFonts w:hint="default" w:ascii="Times New Roman" w:hAnsi="Times New Roman" w:cs="Times New Roman"/>
                <w:b w:val="0"/>
                <w:bCs w:val="0"/>
                <w:color w:val="000000"/>
              </w:rPr>
              <w:t>施工机械燃油废气</w:t>
            </w:r>
            <w:r>
              <w:rPr>
                <w:rFonts w:hint="eastAsia" w:ascii="宋体" w:hAnsi="宋体"/>
                <w:color w:val="000000"/>
              </w:rPr>
              <w:t>。</w:t>
            </w:r>
          </w:p>
          <w:p>
            <w:pPr>
              <w:snapToGrid w:val="0"/>
              <w:spacing w:line="360" w:lineRule="auto"/>
              <w:ind w:firstLine="31680"/>
              <w:rPr>
                <w:rFonts w:hint="default" w:ascii="Times New Roman" w:hAnsi="Times New Roman" w:cs="Times New Roman"/>
                <w:color w:val="000000"/>
              </w:rPr>
            </w:pPr>
            <w:r>
              <w:rPr>
                <w:rFonts w:hint="default" w:ascii="Times New Roman" w:hAnsi="Times New Roman" w:cs="Times New Roman"/>
                <w:color w:val="000000"/>
              </w:rPr>
              <w:t>（1）粉尘</w:t>
            </w:r>
          </w:p>
          <w:p>
            <w:pPr>
              <w:snapToGrid w:val="0"/>
              <w:spacing w:line="360" w:lineRule="auto"/>
              <w:ind w:firstLine="31680"/>
              <w:rPr>
                <w:rFonts w:hint="eastAsia" w:ascii="宋体" w:hAnsi="宋体"/>
                <w:color w:val="000000"/>
                <w:highlight w:val="yellow"/>
              </w:rPr>
            </w:pPr>
            <w:r>
              <w:rPr>
                <w:rFonts w:hint="default" w:ascii="Times New Roman" w:hAnsi="Times New Roman" w:cs="Times New Roman"/>
                <w:color w:val="000000"/>
              </w:rPr>
              <w:t>在土石方开挖过程中，施工点下风向大气粉尘含量较高，最高可达40~80mg/m</w:t>
            </w:r>
            <w:r>
              <w:rPr>
                <w:rFonts w:hint="default" w:ascii="Times New Roman" w:hAnsi="Times New Roman" w:cs="Times New Roman"/>
                <w:color w:val="000000"/>
                <w:vertAlign w:val="superscript"/>
              </w:rPr>
              <w:t>3</w:t>
            </w:r>
            <w:r>
              <w:rPr>
                <w:rFonts w:hint="default" w:ascii="Times New Roman" w:hAnsi="Times New Roman" w:cs="Times New Roman"/>
                <w:color w:val="000000"/>
              </w:rPr>
              <w:t>，在某些局部地段，由于通风不畅，扩散不易，粉尘含量将更高</w:t>
            </w:r>
            <w:r>
              <w:rPr>
                <w:rFonts w:hint="eastAsia" w:ascii="宋体" w:hAnsi="宋体"/>
                <w:color w:val="000000"/>
              </w:rPr>
              <w:t>，</w:t>
            </w:r>
            <w:r>
              <w:rPr>
                <w:rFonts w:hint="eastAsia" w:ascii="宋体" w:hAnsi="宋体"/>
                <w:color w:val="000000"/>
                <w:lang w:val="en-US" w:eastAsia="zh-CN"/>
              </w:rPr>
              <w:t>会对周围的大气环境造成严重的影响</w:t>
            </w:r>
            <w:r>
              <w:rPr>
                <w:rFonts w:hint="eastAsia" w:ascii="宋体" w:hAnsi="宋体" w:eastAsia="宋体" w:cs="Times New Roman"/>
                <w:color w:val="000000"/>
                <w:lang w:val="en-US" w:eastAsia="zh-CN"/>
              </w:rPr>
              <w:t>，需设置封闭围挡、施工场地定期洒水、及时清运建筑垃圾必要的降尘措施等。</w:t>
            </w:r>
          </w:p>
          <w:p>
            <w:pPr>
              <w:snapToGrid w:val="0"/>
              <w:spacing w:line="360" w:lineRule="auto"/>
              <w:ind w:firstLine="31680"/>
              <w:rPr>
                <w:rFonts w:hint="eastAsia" w:ascii="宋体" w:hAnsi="宋体" w:cs="Times New Roman"/>
                <w:color w:val="000000"/>
              </w:rPr>
            </w:pPr>
            <w:r>
              <w:rPr>
                <w:rFonts w:hint="eastAsia" w:ascii="宋体" w:hAnsi="宋体" w:cs="Times New Roman"/>
                <w:color w:val="000000"/>
              </w:rPr>
              <w:t>1）施工车辆运输扬尘</w:t>
            </w:r>
          </w:p>
          <w:p>
            <w:pPr>
              <w:snapToGrid w:val="0"/>
              <w:spacing w:line="360" w:lineRule="auto"/>
              <w:ind w:firstLine="31680"/>
              <w:rPr>
                <w:color w:val="000000"/>
              </w:rPr>
            </w:pPr>
            <w:r>
              <w:rPr>
                <w:rFonts w:hint="eastAsia" w:ascii="宋体" w:hAnsi="宋体" w:cs="Times New Roman"/>
                <w:color w:val="000000"/>
              </w:rPr>
              <w:t>据类比调查与项目</w:t>
            </w:r>
            <w:r>
              <w:rPr>
                <w:rFonts w:hint="eastAsia" w:ascii="宋体" w:hAnsi="宋体"/>
                <w:color w:val="000000"/>
              </w:rPr>
              <w:t>实际情况，施工期的扬尘主要由运输车辆行驶产生，与道路路面及车辆行驶速度有关，约占扬尘总量的</w:t>
            </w:r>
            <w:r>
              <w:rPr>
                <w:rFonts w:hAnsi="宋体"/>
                <w:color w:val="000000"/>
              </w:rPr>
              <w:t>60%</w:t>
            </w:r>
            <w:r>
              <w:rPr>
                <w:rFonts w:hint="eastAsia" w:hAnsi="宋体"/>
                <w:color w:val="000000"/>
                <w:lang w:eastAsia="zh-CN"/>
              </w:rPr>
              <w:t>，</w:t>
            </w:r>
            <w:r>
              <w:rPr>
                <w:rFonts w:hint="eastAsia" w:ascii="宋体" w:hAnsi="宋体"/>
                <w:color w:val="000000"/>
              </w:rPr>
              <w:t>在完全干燥的情况下，可按起尘的经验公式计算：</w:t>
            </w:r>
          </w:p>
          <w:p>
            <w:pPr>
              <w:spacing w:line="360" w:lineRule="auto"/>
              <w:ind w:firstLine="31680"/>
              <w:jc w:val="center"/>
              <w:rPr>
                <w:rFonts w:ascii="宋体"/>
                <w:color w:val="FF0000"/>
              </w:rPr>
            </w:pPr>
            <w:r>
              <w:drawing>
                <wp:anchor distT="0" distB="0" distL="114300" distR="114300" simplePos="0" relativeHeight="251664384" behindDoc="0" locked="0" layoutInCell="1" allowOverlap="0">
                  <wp:simplePos x="0" y="0"/>
                  <wp:positionH relativeFrom="column">
                    <wp:posOffset>692785</wp:posOffset>
                  </wp:positionH>
                  <wp:positionV relativeFrom="line">
                    <wp:posOffset>58420</wp:posOffset>
                  </wp:positionV>
                  <wp:extent cx="2465070" cy="630555"/>
                  <wp:effectExtent l="0" t="0" r="11430" b="4445"/>
                  <wp:wrapSquare wrapText="bothSides"/>
                  <wp:docPr id="21" name="图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29"/>
                          <pic:cNvPicPr>
                            <a:picLocks noChangeAspect="1"/>
                          </pic:cNvPicPr>
                        </pic:nvPicPr>
                        <pic:blipFill>
                          <a:blip r:embed="rId12"/>
                          <a:stretch>
                            <a:fillRect/>
                          </a:stretch>
                        </pic:blipFill>
                        <pic:spPr>
                          <a:xfrm>
                            <a:off x="0" y="0"/>
                            <a:ext cx="2465070" cy="630555"/>
                          </a:xfrm>
                          <a:prstGeom prst="rect">
                            <a:avLst/>
                          </a:prstGeom>
                          <a:noFill/>
                          <a:ln>
                            <a:noFill/>
                          </a:ln>
                        </pic:spPr>
                      </pic:pic>
                    </a:graphicData>
                  </a:graphic>
                </wp:anchor>
              </w:drawing>
            </w:r>
          </w:p>
          <w:p>
            <w:pPr>
              <w:pStyle w:val="31"/>
              <w:snapToGrid w:val="0"/>
              <w:spacing w:beforeAutospacing="0" w:afterAutospacing="0" w:line="360" w:lineRule="auto"/>
              <w:ind w:firstLine="31680"/>
              <w:rPr>
                <w:color w:val="FF0000"/>
                <w:kern w:val="2"/>
              </w:rPr>
            </w:pPr>
          </w:p>
          <w:p>
            <w:pPr>
              <w:pStyle w:val="31"/>
              <w:snapToGrid w:val="0"/>
              <w:spacing w:beforeAutospacing="0" w:afterAutospacing="0" w:line="360" w:lineRule="auto"/>
              <w:ind w:firstLine="31680"/>
              <w:rPr>
                <w:color w:val="000000"/>
                <w:kern w:val="2"/>
              </w:rPr>
            </w:pPr>
          </w:p>
          <w:p>
            <w:pPr>
              <w:pStyle w:val="31"/>
              <w:snapToGrid w:val="0"/>
              <w:spacing w:beforeAutospacing="0" w:afterAutospacing="0" w:line="360" w:lineRule="auto"/>
              <w:ind w:firstLine="31680"/>
              <w:rPr>
                <w:rFonts w:ascii="Times New Roman"/>
                <w:color w:val="000000"/>
                <w:kern w:val="2"/>
                <w:szCs w:val="24"/>
              </w:rPr>
            </w:pPr>
            <w:r>
              <w:rPr>
                <w:rFonts w:hint="eastAsia"/>
                <w:color w:val="000000"/>
                <w:kern w:val="2"/>
              </w:rPr>
              <w:t>式中：</w:t>
            </w:r>
            <w:r>
              <w:rPr>
                <w:rFonts w:ascii="Times New Roman"/>
                <w:color w:val="000000"/>
                <w:kern w:val="2"/>
              </w:rPr>
              <w:t>Q</w:t>
            </w:r>
            <w:r>
              <w:rPr>
                <w:rFonts w:ascii="Times New Roman"/>
                <w:color w:val="000000"/>
                <w:kern w:val="2"/>
                <w:vertAlign w:val="subscript"/>
              </w:rPr>
              <w:t>P</w:t>
            </w:r>
            <w:r>
              <w:rPr>
                <w:rFonts w:ascii="Times New Roman"/>
                <w:color w:val="000000"/>
                <w:kern w:val="2"/>
              </w:rPr>
              <w:t>—</w:t>
            </w:r>
            <w:r>
              <w:rPr>
                <w:rFonts w:hint="eastAsia" w:ascii="Times New Roman"/>
                <w:color w:val="000000"/>
                <w:kern w:val="2"/>
              </w:rPr>
              <w:t>交通运输起尘量，</w:t>
            </w:r>
            <w:r>
              <w:rPr>
                <w:rFonts w:ascii="Times New Roman"/>
                <w:color w:val="000000"/>
                <w:kern w:val="2"/>
              </w:rPr>
              <w:t>kg/km</w:t>
            </w:r>
            <w:r>
              <w:rPr>
                <w:rFonts w:hint="eastAsia"/>
                <w:color w:val="000000"/>
                <w:kern w:val="2"/>
              </w:rPr>
              <w:t>辆；</w:t>
            </w:r>
          </w:p>
          <w:p>
            <w:pPr>
              <w:pStyle w:val="31"/>
              <w:snapToGrid w:val="0"/>
              <w:spacing w:beforeAutospacing="0" w:afterAutospacing="0" w:line="360" w:lineRule="auto"/>
              <w:ind w:firstLine="1200" w:firstLineChars="500"/>
              <w:rPr>
                <w:rFonts w:ascii="Times New Roman"/>
                <w:color w:val="000000"/>
                <w:kern w:val="2"/>
              </w:rPr>
            </w:pPr>
            <w:r>
              <w:rPr>
                <w:rFonts w:ascii="Times New Roman"/>
                <w:color w:val="000000"/>
                <w:kern w:val="2"/>
              </w:rPr>
              <w:t>V</w:t>
            </w:r>
            <w:r>
              <w:rPr>
                <w:color w:val="000000"/>
                <w:kern w:val="2"/>
              </w:rPr>
              <w:t>—</w:t>
            </w:r>
            <w:r>
              <w:rPr>
                <w:rFonts w:hint="eastAsia"/>
                <w:color w:val="000000"/>
                <w:kern w:val="2"/>
              </w:rPr>
              <w:t>车辆行驶速度，</w:t>
            </w:r>
            <w:r>
              <w:rPr>
                <w:rFonts w:ascii="Times New Roman"/>
                <w:color w:val="000000"/>
                <w:kern w:val="2"/>
              </w:rPr>
              <w:t>km/h</w:t>
            </w:r>
            <w:r>
              <w:rPr>
                <w:rFonts w:hint="eastAsia"/>
                <w:color w:val="000000"/>
                <w:kern w:val="2"/>
              </w:rPr>
              <w:t>；</w:t>
            </w:r>
          </w:p>
          <w:p>
            <w:pPr>
              <w:pStyle w:val="31"/>
              <w:snapToGrid w:val="0"/>
              <w:spacing w:beforeAutospacing="0" w:afterAutospacing="0" w:line="360" w:lineRule="auto"/>
              <w:ind w:firstLine="1200" w:firstLineChars="500"/>
              <w:rPr>
                <w:rFonts w:ascii="Times New Roman"/>
                <w:color w:val="000000"/>
                <w:kern w:val="2"/>
              </w:rPr>
            </w:pPr>
            <w:r>
              <w:rPr>
                <w:rFonts w:ascii="Times New Roman"/>
                <w:color w:val="000000"/>
                <w:kern w:val="2"/>
              </w:rPr>
              <w:t>M</w:t>
            </w:r>
            <w:r>
              <w:rPr>
                <w:color w:val="000000"/>
                <w:kern w:val="2"/>
              </w:rPr>
              <w:t>—</w:t>
            </w:r>
            <w:r>
              <w:rPr>
                <w:rFonts w:hint="eastAsia"/>
                <w:color w:val="000000"/>
                <w:kern w:val="2"/>
              </w:rPr>
              <w:t>车辆载重，</w:t>
            </w:r>
            <w:r>
              <w:rPr>
                <w:rFonts w:ascii="Times New Roman"/>
                <w:color w:val="000000"/>
                <w:kern w:val="2"/>
              </w:rPr>
              <w:t>t/</w:t>
            </w:r>
            <w:r>
              <w:rPr>
                <w:rFonts w:hint="eastAsia"/>
                <w:color w:val="000000"/>
                <w:kern w:val="2"/>
              </w:rPr>
              <w:t>辆；</w:t>
            </w:r>
          </w:p>
          <w:p>
            <w:pPr>
              <w:pStyle w:val="31"/>
              <w:snapToGrid w:val="0"/>
              <w:spacing w:beforeAutospacing="0" w:afterAutospacing="0" w:line="360" w:lineRule="auto"/>
              <w:ind w:firstLine="1200" w:firstLineChars="500"/>
              <w:rPr>
                <w:rFonts w:ascii="Times New Roman"/>
                <w:color w:val="000000"/>
                <w:kern w:val="2"/>
              </w:rPr>
            </w:pPr>
            <w:r>
              <w:rPr>
                <w:rFonts w:ascii="Times New Roman"/>
                <w:color w:val="000000"/>
                <w:kern w:val="2"/>
              </w:rPr>
              <w:t>P</w:t>
            </w:r>
            <w:r>
              <w:rPr>
                <w:color w:val="000000"/>
                <w:kern w:val="2"/>
              </w:rPr>
              <w:t>—</w:t>
            </w:r>
            <w:r>
              <w:rPr>
                <w:rFonts w:hint="eastAsia"/>
                <w:color w:val="000000"/>
                <w:kern w:val="2"/>
              </w:rPr>
              <w:t>路面状况，以平米路面灰尘覆盖率表示，</w:t>
            </w:r>
            <w:r>
              <w:rPr>
                <w:rFonts w:ascii="Times New Roman"/>
                <w:color w:val="000000"/>
                <w:kern w:val="2"/>
              </w:rPr>
              <w:t>kg/m</w:t>
            </w:r>
            <w:r>
              <w:rPr>
                <w:rFonts w:ascii="Times New Roman"/>
                <w:color w:val="000000"/>
                <w:kern w:val="2"/>
                <w:vertAlign w:val="superscript"/>
              </w:rPr>
              <w:t>2</w:t>
            </w:r>
            <w:r>
              <w:rPr>
                <w:rFonts w:hint="eastAsia"/>
                <w:color w:val="000000"/>
                <w:kern w:val="2"/>
              </w:rPr>
              <w:t>；</w:t>
            </w:r>
          </w:p>
          <w:p>
            <w:pPr>
              <w:pStyle w:val="31"/>
              <w:snapToGrid w:val="0"/>
              <w:spacing w:beforeAutospacing="0" w:afterAutospacing="0" w:line="360" w:lineRule="auto"/>
              <w:ind w:firstLine="31680"/>
              <w:rPr>
                <w:rFonts w:ascii="Times New Roman"/>
                <w:color w:val="000000"/>
                <w:kern w:val="2"/>
              </w:rPr>
            </w:pPr>
            <w:r>
              <w:rPr>
                <w:rFonts w:hint="eastAsia" w:ascii="Times New Roman"/>
                <w:color w:val="000000"/>
                <w:kern w:val="2"/>
              </w:rPr>
              <w:t>一辆载重</w:t>
            </w:r>
            <w:r>
              <w:rPr>
                <w:rFonts w:ascii="Times New Roman"/>
                <w:color w:val="000000"/>
                <w:kern w:val="2"/>
              </w:rPr>
              <w:t>5t</w:t>
            </w:r>
            <w:r>
              <w:rPr>
                <w:rFonts w:hint="eastAsia" w:ascii="Times New Roman"/>
                <w:color w:val="000000"/>
                <w:kern w:val="2"/>
              </w:rPr>
              <w:t>的卡车，通过一段长度为</w:t>
            </w:r>
            <w:r>
              <w:rPr>
                <w:rFonts w:ascii="Times New Roman"/>
                <w:color w:val="000000"/>
                <w:kern w:val="2"/>
              </w:rPr>
              <w:t>500m</w:t>
            </w:r>
            <w:r>
              <w:rPr>
                <w:rFonts w:hint="eastAsia" w:ascii="Times New Roman"/>
                <w:color w:val="000000"/>
                <w:kern w:val="2"/>
              </w:rPr>
              <w:t>的路面时，不同表面清洁程度，不同行驶速度情况下产生的扬尘量如表</w:t>
            </w:r>
            <w:r>
              <w:rPr>
                <w:rFonts w:ascii="Times New Roman"/>
                <w:color w:val="000000"/>
                <w:kern w:val="2"/>
              </w:rPr>
              <w:t>4-</w:t>
            </w:r>
            <w:r>
              <w:rPr>
                <w:rFonts w:hint="eastAsia" w:ascii="Times New Roman"/>
                <w:color w:val="000000"/>
                <w:kern w:val="2"/>
                <w:lang w:val="en-US" w:eastAsia="zh-CN"/>
              </w:rPr>
              <w:t>1</w:t>
            </w:r>
            <w:r>
              <w:rPr>
                <w:rFonts w:hint="eastAsia" w:ascii="Times New Roman"/>
                <w:color w:val="000000"/>
                <w:kern w:val="2"/>
              </w:rPr>
              <w:t>。</w:t>
            </w:r>
          </w:p>
          <w:p>
            <w:pPr>
              <w:snapToGrid w:val="0"/>
              <w:spacing w:line="240" w:lineRule="auto"/>
              <w:ind w:firstLine="31680"/>
              <w:jc w:val="center"/>
              <w:rPr>
                <w:b/>
                <w:bCs/>
                <w:color w:val="000000"/>
                <w:sz w:val="21"/>
                <w:szCs w:val="21"/>
              </w:rPr>
            </w:pPr>
            <w:r>
              <w:rPr>
                <w:rFonts w:hint="eastAsia" w:hAnsi="宋体"/>
                <w:b/>
                <w:bCs/>
                <w:color w:val="000000"/>
                <w:sz w:val="21"/>
                <w:szCs w:val="21"/>
              </w:rPr>
              <w:t>表</w:t>
            </w:r>
            <w:r>
              <w:rPr>
                <w:b/>
                <w:bCs/>
                <w:color w:val="000000"/>
                <w:sz w:val="21"/>
                <w:szCs w:val="21"/>
              </w:rPr>
              <w:t>4-</w:t>
            </w:r>
            <w:r>
              <w:rPr>
                <w:rFonts w:hint="eastAsia"/>
                <w:b/>
                <w:bCs/>
                <w:color w:val="000000"/>
                <w:sz w:val="21"/>
                <w:szCs w:val="21"/>
                <w:lang w:val="en-US" w:eastAsia="zh-CN"/>
              </w:rPr>
              <w:t>1</w:t>
            </w:r>
            <w:r>
              <w:rPr>
                <w:b/>
                <w:bCs/>
                <w:color w:val="000000"/>
                <w:sz w:val="21"/>
                <w:szCs w:val="21"/>
              </w:rPr>
              <w:t xml:space="preserve">    </w:t>
            </w:r>
            <w:r>
              <w:rPr>
                <w:rFonts w:hint="eastAsia"/>
                <w:b/>
                <w:bCs/>
                <w:color w:val="000000"/>
                <w:sz w:val="21"/>
                <w:szCs w:val="21"/>
                <w:lang w:val="en-US" w:eastAsia="zh-CN"/>
              </w:rPr>
              <w:t xml:space="preserve"> </w:t>
            </w:r>
            <w:r>
              <w:rPr>
                <w:rFonts w:hint="eastAsia" w:hAnsi="宋体"/>
                <w:b/>
                <w:bCs/>
                <w:color w:val="000000"/>
                <w:sz w:val="21"/>
                <w:szCs w:val="21"/>
              </w:rPr>
              <w:t>不同车速和地面清洁程度时的汽车扬尘</w:t>
            </w:r>
            <w:r>
              <w:rPr>
                <w:b/>
                <w:bCs/>
                <w:color w:val="000000"/>
                <w:sz w:val="21"/>
                <w:szCs w:val="21"/>
              </w:rPr>
              <w:t xml:space="preserve">  </w:t>
            </w:r>
            <w:r>
              <w:rPr>
                <w:rFonts w:hint="eastAsia"/>
                <w:b/>
                <w:bCs/>
                <w:color w:val="000000"/>
                <w:sz w:val="21"/>
                <w:szCs w:val="21"/>
                <w:lang w:val="en-US" w:eastAsia="zh-CN"/>
              </w:rPr>
              <w:t xml:space="preserve"> </w:t>
            </w:r>
            <w:r>
              <w:rPr>
                <w:b/>
                <w:bCs/>
                <w:color w:val="000000"/>
                <w:sz w:val="21"/>
                <w:szCs w:val="21"/>
              </w:rPr>
              <w:t xml:space="preserve">  </w:t>
            </w:r>
            <w:r>
              <w:rPr>
                <w:rFonts w:hint="eastAsia" w:hAnsi="宋体"/>
                <w:b/>
                <w:bCs/>
                <w:color w:val="000000"/>
                <w:sz w:val="21"/>
                <w:szCs w:val="21"/>
              </w:rPr>
              <w:t>单位：</w:t>
            </w:r>
            <w:r>
              <w:rPr>
                <w:b/>
                <w:bCs/>
                <w:color w:val="000000"/>
                <w:sz w:val="21"/>
                <w:szCs w:val="21"/>
              </w:rPr>
              <w:t>kg/km·</w:t>
            </w:r>
            <w:r>
              <w:rPr>
                <w:rFonts w:hint="eastAsia" w:hAnsi="宋体"/>
                <w:b/>
                <w:bCs/>
                <w:color w:val="000000"/>
                <w:sz w:val="21"/>
                <w:szCs w:val="21"/>
              </w:rPr>
              <w:t>辆</w:t>
            </w:r>
          </w:p>
          <w:tbl>
            <w:tblPr>
              <w:tblStyle w:val="3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0"/>
              <w:gridCol w:w="999"/>
              <w:gridCol w:w="997"/>
              <w:gridCol w:w="997"/>
              <w:gridCol w:w="997"/>
              <w:gridCol w:w="997"/>
              <w:gridCol w:w="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232" w:type="pct"/>
                  <w:vAlign w:val="center"/>
                </w:tcPr>
                <w:p>
                  <w:pPr>
                    <w:spacing w:line="240" w:lineRule="auto"/>
                    <w:ind w:left="11" w:leftChars="-38" w:hanging="102" w:hangingChars="49"/>
                    <w:jc w:val="center"/>
                    <w:rPr>
                      <w:b w:val="0"/>
                      <w:bCs w:val="0"/>
                      <w:color w:val="000000"/>
                      <w:sz w:val="21"/>
                      <w:szCs w:val="21"/>
                    </w:rPr>
                  </w:pPr>
                  <w:r>
                    <w:rPr>
                      <w:sz w:val="21"/>
                    </w:rPr>
                    <mc:AlternateContent>
                      <mc:Choice Requires="wps">
                        <w:drawing>
                          <wp:anchor distT="0" distB="0" distL="114300" distR="114300" simplePos="0" relativeHeight="251665408" behindDoc="0" locked="0" layoutInCell="1" allowOverlap="1">
                            <wp:simplePos x="0" y="0"/>
                            <wp:positionH relativeFrom="column">
                              <wp:posOffset>-63500</wp:posOffset>
                            </wp:positionH>
                            <wp:positionV relativeFrom="paragraph">
                              <wp:posOffset>635</wp:posOffset>
                            </wp:positionV>
                            <wp:extent cx="1107440" cy="315595"/>
                            <wp:effectExtent l="1270" t="4445" r="8890" b="10160"/>
                            <wp:wrapNone/>
                            <wp:docPr id="22" name="直线 13"/>
                            <wp:cNvGraphicFramePr/>
                            <a:graphic xmlns:a="http://schemas.openxmlformats.org/drawingml/2006/main">
                              <a:graphicData uri="http://schemas.microsoft.com/office/word/2010/wordprocessingShape">
                                <wps:wsp>
                                  <wps:cNvCnPr/>
                                  <wps:spPr>
                                    <a:xfrm>
                                      <a:off x="0" y="0"/>
                                      <a:ext cx="1107440" cy="315595"/>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5pt;margin-top:0.05pt;height:24.85pt;width:87.2pt;z-index:251665408;mso-width-relative:page;mso-height-relative:page;" filled="f" stroked="t" coordsize="21600,21600" o:gfxdata="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X&#10;g0ps1wAAAAcBAAAPAAAAAAAAAAEAIAAAACIAAABkcnMvZG93bnJldi54bWxQSwECFAAUAAAACACH&#10;TuJARL6UrewBAADiAwAADgAAAAAAAAABACAAAAAmAQAAZHJzL2Uyb0RvYy54bWxQSwUGAAAAAAYA&#10;BgBZAQAAhAUAAAAA&#10;">
                            <v:fill on="f" focussize="0,0"/>
                            <v:stroke weight="0.25pt" color="#000000" joinstyle="round"/>
                            <v:imagedata o:title=""/>
                            <o:lock v:ext="edit" aspectratio="f"/>
                          </v:line>
                        </w:pict>
                      </mc:Fallback>
                    </mc:AlternateContent>
                  </w:r>
                  <w:r>
                    <w:rPr>
                      <w:b w:val="0"/>
                      <w:bCs w:val="0"/>
                      <w:color w:val="000000"/>
                      <w:sz w:val="21"/>
                      <w:szCs w:val="21"/>
                    </w:rPr>
                    <w:t xml:space="preserve">  P(kg/m</w:t>
                  </w:r>
                  <w:r>
                    <w:rPr>
                      <w:b w:val="0"/>
                      <w:bCs w:val="0"/>
                      <w:color w:val="000000"/>
                      <w:sz w:val="21"/>
                      <w:szCs w:val="21"/>
                      <w:vertAlign w:val="superscript"/>
                    </w:rPr>
                    <w:t>2</w:t>
                  </w:r>
                  <w:r>
                    <w:rPr>
                      <w:b w:val="0"/>
                      <w:bCs w:val="0"/>
                      <w:color w:val="000000"/>
                      <w:sz w:val="21"/>
                      <w:szCs w:val="21"/>
                    </w:rPr>
                    <w:t xml:space="preserve">)            </w:t>
                  </w:r>
                </w:p>
                <w:p>
                  <w:pPr>
                    <w:spacing w:line="240" w:lineRule="auto"/>
                    <w:ind w:left="11" w:leftChars="-38" w:hanging="102" w:hangingChars="49"/>
                    <w:rPr>
                      <w:b w:val="0"/>
                      <w:bCs w:val="0"/>
                      <w:color w:val="000000"/>
                      <w:sz w:val="21"/>
                      <w:szCs w:val="21"/>
                    </w:rPr>
                  </w:pPr>
                  <w:r>
                    <w:rPr>
                      <w:rFonts w:hint="eastAsia" w:hAnsi="宋体"/>
                      <w:b w:val="0"/>
                      <w:bCs w:val="0"/>
                      <w:color w:val="000000"/>
                      <w:sz w:val="21"/>
                      <w:szCs w:val="21"/>
                    </w:rPr>
                    <w:t>车速</w:t>
                  </w:r>
                  <w:r>
                    <w:rPr>
                      <w:b w:val="0"/>
                      <w:bCs w:val="0"/>
                      <w:color w:val="000000"/>
                      <w:sz w:val="21"/>
                      <w:szCs w:val="21"/>
                    </w:rPr>
                    <w:t>(km/h)</w:t>
                  </w:r>
                </w:p>
              </w:tc>
              <w:tc>
                <w:tcPr>
                  <w:tcW w:w="628" w:type="pct"/>
                  <w:vAlign w:val="center"/>
                </w:tcPr>
                <w:p>
                  <w:pPr>
                    <w:spacing w:line="240" w:lineRule="auto"/>
                    <w:ind w:left="11" w:leftChars="-38" w:hanging="102" w:hangingChars="49"/>
                    <w:jc w:val="center"/>
                    <w:rPr>
                      <w:b w:val="0"/>
                      <w:bCs w:val="0"/>
                      <w:color w:val="000000"/>
                      <w:sz w:val="21"/>
                      <w:szCs w:val="21"/>
                    </w:rPr>
                  </w:pPr>
                  <w:r>
                    <w:rPr>
                      <w:b w:val="0"/>
                      <w:bCs w:val="0"/>
                      <w:color w:val="000000"/>
                      <w:sz w:val="21"/>
                      <w:szCs w:val="21"/>
                    </w:rPr>
                    <w:t>0.1</w:t>
                  </w:r>
                </w:p>
              </w:tc>
              <w:tc>
                <w:tcPr>
                  <w:tcW w:w="627" w:type="pct"/>
                  <w:vAlign w:val="center"/>
                </w:tcPr>
                <w:p>
                  <w:pPr>
                    <w:spacing w:line="240" w:lineRule="auto"/>
                    <w:ind w:left="11" w:leftChars="-38" w:hanging="102" w:hangingChars="49"/>
                    <w:jc w:val="center"/>
                    <w:rPr>
                      <w:b w:val="0"/>
                      <w:bCs w:val="0"/>
                      <w:color w:val="000000"/>
                      <w:sz w:val="21"/>
                      <w:szCs w:val="21"/>
                    </w:rPr>
                  </w:pPr>
                  <w:r>
                    <w:rPr>
                      <w:b w:val="0"/>
                      <w:bCs w:val="0"/>
                      <w:color w:val="000000"/>
                      <w:sz w:val="21"/>
                      <w:szCs w:val="21"/>
                    </w:rPr>
                    <w:t>0.2</w:t>
                  </w:r>
                </w:p>
              </w:tc>
              <w:tc>
                <w:tcPr>
                  <w:tcW w:w="627" w:type="pct"/>
                  <w:vAlign w:val="center"/>
                </w:tcPr>
                <w:p>
                  <w:pPr>
                    <w:spacing w:line="240" w:lineRule="auto"/>
                    <w:ind w:left="11" w:leftChars="-38" w:hanging="102" w:hangingChars="49"/>
                    <w:jc w:val="center"/>
                    <w:rPr>
                      <w:b w:val="0"/>
                      <w:bCs w:val="0"/>
                      <w:color w:val="000000"/>
                      <w:sz w:val="21"/>
                      <w:szCs w:val="21"/>
                    </w:rPr>
                  </w:pPr>
                  <w:r>
                    <w:rPr>
                      <w:b w:val="0"/>
                      <w:bCs w:val="0"/>
                      <w:color w:val="000000"/>
                      <w:sz w:val="21"/>
                      <w:szCs w:val="21"/>
                    </w:rPr>
                    <w:t>0.3</w:t>
                  </w:r>
                </w:p>
              </w:tc>
              <w:tc>
                <w:tcPr>
                  <w:tcW w:w="627" w:type="pct"/>
                  <w:vAlign w:val="center"/>
                </w:tcPr>
                <w:p>
                  <w:pPr>
                    <w:spacing w:line="240" w:lineRule="auto"/>
                    <w:ind w:left="11" w:leftChars="-38" w:hanging="102" w:hangingChars="49"/>
                    <w:jc w:val="center"/>
                    <w:rPr>
                      <w:b w:val="0"/>
                      <w:bCs w:val="0"/>
                      <w:color w:val="000000"/>
                      <w:sz w:val="21"/>
                      <w:szCs w:val="21"/>
                    </w:rPr>
                  </w:pPr>
                  <w:r>
                    <w:rPr>
                      <w:b w:val="0"/>
                      <w:bCs w:val="0"/>
                      <w:color w:val="000000"/>
                      <w:sz w:val="21"/>
                      <w:szCs w:val="21"/>
                    </w:rPr>
                    <w:t>0.4</w:t>
                  </w:r>
                </w:p>
              </w:tc>
              <w:tc>
                <w:tcPr>
                  <w:tcW w:w="627" w:type="pct"/>
                  <w:vAlign w:val="center"/>
                </w:tcPr>
                <w:p>
                  <w:pPr>
                    <w:spacing w:line="240" w:lineRule="auto"/>
                    <w:ind w:left="11" w:leftChars="-38" w:hanging="102" w:hangingChars="49"/>
                    <w:jc w:val="center"/>
                    <w:rPr>
                      <w:b w:val="0"/>
                      <w:bCs w:val="0"/>
                      <w:color w:val="000000"/>
                      <w:sz w:val="21"/>
                      <w:szCs w:val="21"/>
                    </w:rPr>
                  </w:pPr>
                  <w:r>
                    <w:rPr>
                      <w:b w:val="0"/>
                      <w:bCs w:val="0"/>
                      <w:color w:val="000000"/>
                      <w:sz w:val="21"/>
                      <w:szCs w:val="21"/>
                    </w:rPr>
                    <w:t>0.5</w:t>
                  </w:r>
                </w:p>
              </w:tc>
              <w:tc>
                <w:tcPr>
                  <w:tcW w:w="627" w:type="pct"/>
                  <w:vAlign w:val="center"/>
                </w:tcPr>
                <w:p>
                  <w:pPr>
                    <w:spacing w:line="240" w:lineRule="auto"/>
                    <w:ind w:left="11" w:leftChars="-38" w:hanging="102" w:hangingChars="49"/>
                    <w:jc w:val="center"/>
                    <w:rPr>
                      <w:b w:val="0"/>
                      <w:bCs w:val="0"/>
                      <w:color w:val="000000"/>
                      <w:sz w:val="21"/>
                      <w:szCs w:val="21"/>
                    </w:rPr>
                  </w:pPr>
                  <w:r>
                    <w:rPr>
                      <w:b w:val="0"/>
                      <w:bCs w:val="0"/>
                      <w:color w:val="00000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232" w:type="pct"/>
                  <w:vAlign w:val="center"/>
                </w:tcPr>
                <w:p>
                  <w:pPr>
                    <w:spacing w:line="240" w:lineRule="auto"/>
                    <w:ind w:left="11" w:leftChars="-38" w:hanging="102" w:hangingChars="49"/>
                    <w:jc w:val="center"/>
                    <w:rPr>
                      <w:b w:val="0"/>
                      <w:bCs w:val="0"/>
                      <w:color w:val="000000"/>
                      <w:sz w:val="21"/>
                      <w:szCs w:val="21"/>
                    </w:rPr>
                  </w:pPr>
                  <w:r>
                    <w:rPr>
                      <w:b w:val="0"/>
                      <w:bCs w:val="0"/>
                      <w:color w:val="000000"/>
                      <w:sz w:val="21"/>
                      <w:szCs w:val="21"/>
                    </w:rPr>
                    <w:t>5</w:t>
                  </w:r>
                </w:p>
              </w:tc>
              <w:tc>
                <w:tcPr>
                  <w:tcW w:w="628" w:type="pct"/>
                  <w:vAlign w:val="center"/>
                </w:tcPr>
                <w:p>
                  <w:pPr>
                    <w:spacing w:line="240" w:lineRule="auto"/>
                    <w:ind w:left="11" w:leftChars="-38" w:hanging="102" w:hangingChars="49"/>
                    <w:jc w:val="center"/>
                    <w:rPr>
                      <w:b w:val="0"/>
                      <w:bCs w:val="0"/>
                      <w:color w:val="000000"/>
                      <w:sz w:val="21"/>
                      <w:szCs w:val="21"/>
                    </w:rPr>
                  </w:pPr>
                  <w:r>
                    <w:rPr>
                      <w:b w:val="0"/>
                      <w:bCs w:val="0"/>
                      <w:color w:val="000000"/>
                      <w:sz w:val="21"/>
                      <w:szCs w:val="21"/>
                    </w:rPr>
                    <w:t>0.0283</w:t>
                  </w:r>
                </w:p>
              </w:tc>
              <w:tc>
                <w:tcPr>
                  <w:tcW w:w="627" w:type="pct"/>
                  <w:vAlign w:val="center"/>
                </w:tcPr>
                <w:p>
                  <w:pPr>
                    <w:spacing w:line="240" w:lineRule="auto"/>
                    <w:ind w:left="11" w:leftChars="-38" w:hanging="102" w:hangingChars="49"/>
                    <w:jc w:val="center"/>
                    <w:rPr>
                      <w:b w:val="0"/>
                      <w:bCs w:val="0"/>
                      <w:color w:val="000000"/>
                      <w:sz w:val="21"/>
                      <w:szCs w:val="21"/>
                    </w:rPr>
                  </w:pPr>
                  <w:r>
                    <w:rPr>
                      <w:b w:val="0"/>
                      <w:bCs w:val="0"/>
                      <w:color w:val="000000"/>
                      <w:sz w:val="21"/>
                      <w:szCs w:val="21"/>
                    </w:rPr>
                    <w:t>0.0476</w:t>
                  </w:r>
                </w:p>
              </w:tc>
              <w:tc>
                <w:tcPr>
                  <w:tcW w:w="627" w:type="pct"/>
                  <w:vAlign w:val="center"/>
                </w:tcPr>
                <w:p>
                  <w:pPr>
                    <w:spacing w:line="240" w:lineRule="auto"/>
                    <w:ind w:left="11" w:leftChars="-38" w:hanging="102" w:hangingChars="49"/>
                    <w:jc w:val="center"/>
                    <w:rPr>
                      <w:b w:val="0"/>
                      <w:bCs w:val="0"/>
                      <w:color w:val="000000"/>
                      <w:sz w:val="21"/>
                      <w:szCs w:val="21"/>
                    </w:rPr>
                  </w:pPr>
                  <w:r>
                    <w:rPr>
                      <w:b w:val="0"/>
                      <w:bCs w:val="0"/>
                      <w:color w:val="000000"/>
                      <w:sz w:val="21"/>
                      <w:szCs w:val="21"/>
                    </w:rPr>
                    <w:t>0.0646</w:t>
                  </w:r>
                </w:p>
              </w:tc>
              <w:tc>
                <w:tcPr>
                  <w:tcW w:w="627" w:type="pct"/>
                  <w:vAlign w:val="center"/>
                </w:tcPr>
                <w:p>
                  <w:pPr>
                    <w:spacing w:line="240" w:lineRule="auto"/>
                    <w:ind w:left="11" w:leftChars="-38" w:hanging="102" w:hangingChars="49"/>
                    <w:jc w:val="center"/>
                    <w:rPr>
                      <w:b w:val="0"/>
                      <w:bCs w:val="0"/>
                      <w:color w:val="000000"/>
                      <w:sz w:val="21"/>
                      <w:szCs w:val="21"/>
                    </w:rPr>
                  </w:pPr>
                  <w:r>
                    <w:rPr>
                      <w:b w:val="0"/>
                      <w:bCs w:val="0"/>
                      <w:color w:val="000000"/>
                      <w:sz w:val="21"/>
                      <w:szCs w:val="21"/>
                    </w:rPr>
                    <w:t>0.0801</w:t>
                  </w:r>
                </w:p>
              </w:tc>
              <w:tc>
                <w:tcPr>
                  <w:tcW w:w="627" w:type="pct"/>
                  <w:vAlign w:val="center"/>
                </w:tcPr>
                <w:p>
                  <w:pPr>
                    <w:spacing w:line="240" w:lineRule="auto"/>
                    <w:ind w:left="11" w:leftChars="-38" w:hanging="102" w:hangingChars="49"/>
                    <w:jc w:val="center"/>
                    <w:rPr>
                      <w:b w:val="0"/>
                      <w:bCs w:val="0"/>
                      <w:color w:val="000000"/>
                      <w:sz w:val="21"/>
                      <w:szCs w:val="21"/>
                    </w:rPr>
                  </w:pPr>
                  <w:r>
                    <w:rPr>
                      <w:b w:val="0"/>
                      <w:bCs w:val="0"/>
                      <w:color w:val="000000"/>
                      <w:sz w:val="21"/>
                      <w:szCs w:val="21"/>
                    </w:rPr>
                    <w:t>0.0947</w:t>
                  </w:r>
                </w:p>
              </w:tc>
              <w:tc>
                <w:tcPr>
                  <w:tcW w:w="627" w:type="pct"/>
                  <w:vAlign w:val="center"/>
                </w:tcPr>
                <w:p>
                  <w:pPr>
                    <w:spacing w:line="240" w:lineRule="auto"/>
                    <w:ind w:left="11" w:leftChars="-38" w:hanging="102" w:hangingChars="49"/>
                    <w:jc w:val="center"/>
                    <w:rPr>
                      <w:b w:val="0"/>
                      <w:bCs w:val="0"/>
                      <w:color w:val="000000"/>
                      <w:sz w:val="21"/>
                      <w:szCs w:val="21"/>
                    </w:rPr>
                  </w:pPr>
                  <w:r>
                    <w:rPr>
                      <w:b w:val="0"/>
                      <w:bCs w:val="0"/>
                      <w:color w:val="000000"/>
                      <w:sz w:val="21"/>
                      <w:szCs w:val="21"/>
                    </w:rPr>
                    <w:t>0.1593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232" w:type="pct"/>
                  <w:vAlign w:val="center"/>
                </w:tcPr>
                <w:p>
                  <w:pPr>
                    <w:spacing w:line="240" w:lineRule="auto"/>
                    <w:ind w:left="11" w:leftChars="-38" w:hanging="102" w:hangingChars="49"/>
                    <w:jc w:val="center"/>
                    <w:rPr>
                      <w:b w:val="0"/>
                      <w:bCs w:val="0"/>
                      <w:color w:val="000000"/>
                      <w:sz w:val="21"/>
                      <w:szCs w:val="21"/>
                    </w:rPr>
                  </w:pPr>
                  <w:r>
                    <w:rPr>
                      <w:b w:val="0"/>
                      <w:bCs w:val="0"/>
                      <w:color w:val="000000"/>
                      <w:sz w:val="21"/>
                      <w:szCs w:val="21"/>
                    </w:rPr>
                    <w:t>10</w:t>
                  </w:r>
                </w:p>
              </w:tc>
              <w:tc>
                <w:tcPr>
                  <w:tcW w:w="628" w:type="pct"/>
                  <w:vAlign w:val="center"/>
                </w:tcPr>
                <w:p>
                  <w:pPr>
                    <w:spacing w:line="240" w:lineRule="auto"/>
                    <w:ind w:left="11" w:leftChars="-38" w:hanging="102" w:hangingChars="49"/>
                    <w:jc w:val="center"/>
                    <w:rPr>
                      <w:b w:val="0"/>
                      <w:bCs w:val="0"/>
                      <w:color w:val="000000"/>
                      <w:sz w:val="21"/>
                      <w:szCs w:val="21"/>
                    </w:rPr>
                  </w:pPr>
                  <w:r>
                    <w:rPr>
                      <w:b w:val="0"/>
                      <w:bCs w:val="0"/>
                      <w:color w:val="000000"/>
                      <w:sz w:val="21"/>
                      <w:szCs w:val="21"/>
                    </w:rPr>
                    <w:t>0.0566</w:t>
                  </w:r>
                </w:p>
              </w:tc>
              <w:tc>
                <w:tcPr>
                  <w:tcW w:w="627" w:type="pct"/>
                  <w:vAlign w:val="center"/>
                </w:tcPr>
                <w:p>
                  <w:pPr>
                    <w:spacing w:line="240" w:lineRule="auto"/>
                    <w:ind w:left="11" w:leftChars="-38" w:hanging="102" w:hangingChars="49"/>
                    <w:jc w:val="center"/>
                    <w:rPr>
                      <w:b w:val="0"/>
                      <w:bCs w:val="0"/>
                      <w:color w:val="000000"/>
                      <w:sz w:val="21"/>
                      <w:szCs w:val="21"/>
                    </w:rPr>
                  </w:pPr>
                  <w:r>
                    <w:rPr>
                      <w:b w:val="0"/>
                      <w:bCs w:val="0"/>
                      <w:color w:val="000000"/>
                      <w:sz w:val="21"/>
                      <w:szCs w:val="21"/>
                    </w:rPr>
                    <w:t>0.0953</w:t>
                  </w:r>
                </w:p>
              </w:tc>
              <w:tc>
                <w:tcPr>
                  <w:tcW w:w="627" w:type="pct"/>
                  <w:vAlign w:val="center"/>
                </w:tcPr>
                <w:p>
                  <w:pPr>
                    <w:spacing w:line="240" w:lineRule="auto"/>
                    <w:ind w:left="11" w:leftChars="-38" w:hanging="102" w:hangingChars="49"/>
                    <w:jc w:val="center"/>
                    <w:rPr>
                      <w:b w:val="0"/>
                      <w:bCs w:val="0"/>
                      <w:color w:val="000000"/>
                      <w:sz w:val="21"/>
                      <w:szCs w:val="21"/>
                    </w:rPr>
                  </w:pPr>
                  <w:r>
                    <w:rPr>
                      <w:b w:val="0"/>
                      <w:bCs w:val="0"/>
                      <w:color w:val="000000"/>
                      <w:sz w:val="21"/>
                      <w:szCs w:val="21"/>
                    </w:rPr>
                    <w:t>0.1291</w:t>
                  </w:r>
                </w:p>
              </w:tc>
              <w:tc>
                <w:tcPr>
                  <w:tcW w:w="627" w:type="pct"/>
                  <w:vAlign w:val="center"/>
                </w:tcPr>
                <w:p>
                  <w:pPr>
                    <w:spacing w:line="240" w:lineRule="auto"/>
                    <w:ind w:left="11" w:leftChars="-38" w:hanging="102" w:hangingChars="49"/>
                    <w:jc w:val="center"/>
                    <w:rPr>
                      <w:b w:val="0"/>
                      <w:bCs w:val="0"/>
                      <w:color w:val="000000"/>
                      <w:sz w:val="21"/>
                      <w:szCs w:val="21"/>
                    </w:rPr>
                  </w:pPr>
                  <w:r>
                    <w:rPr>
                      <w:b w:val="0"/>
                      <w:bCs w:val="0"/>
                      <w:color w:val="000000"/>
                      <w:sz w:val="21"/>
                      <w:szCs w:val="21"/>
                    </w:rPr>
                    <w:t>0.1602</w:t>
                  </w:r>
                </w:p>
              </w:tc>
              <w:tc>
                <w:tcPr>
                  <w:tcW w:w="627" w:type="pct"/>
                  <w:vAlign w:val="center"/>
                </w:tcPr>
                <w:p>
                  <w:pPr>
                    <w:spacing w:line="240" w:lineRule="auto"/>
                    <w:ind w:left="11" w:leftChars="-38" w:hanging="102" w:hangingChars="49"/>
                    <w:jc w:val="center"/>
                    <w:rPr>
                      <w:b w:val="0"/>
                      <w:bCs w:val="0"/>
                      <w:color w:val="000000"/>
                      <w:sz w:val="21"/>
                      <w:szCs w:val="21"/>
                    </w:rPr>
                  </w:pPr>
                  <w:r>
                    <w:rPr>
                      <w:b w:val="0"/>
                      <w:bCs w:val="0"/>
                      <w:color w:val="000000"/>
                      <w:sz w:val="21"/>
                      <w:szCs w:val="21"/>
                    </w:rPr>
                    <w:t>0.1894</w:t>
                  </w:r>
                </w:p>
              </w:tc>
              <w:tc>
                <w:tcPr>
                  <w:tcW w:w="627" w:type="pct"/>
                  <w:vAlign w:val="center"/>
                </w:tcPr>
                <w:p>
                  <w:pPr>
                    <w:spacing w:line="240" w:lineRule="auto"/>
                    <w:ind w:left="11" w:leftChars="-38" w:hanging="102" w:hangingChars="49"/>
                    <w:jc w:val="center"/>
                    <w:rPr>
                      <w:b w:val="0"/>
                      <w:bCs w:val="0"/>
                      <w:color w:val="000000"/>
                      <w:sz w:val="21"/>
                      <w:szCs w:val="21"/>
                    </w:rPr>
                  </w:pPr>
                  <w:r>
                    <w:rPr>
                      <w:b w:val="0"/>
                      <w:bCs w:val="0"/>
                      <w:color w:val="000000"/>
                      <w:sz w:val="21"/>
                      <w:szCs w:val="21"/>
                    </w:rPr>
                    <w:t>0.3186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232" w:type="pct"/>
                  <w:vAlign w:val="center"/>
                </w:tcPr>
                <w:p>
                  <w:pPr>
                    <w:spacing w:line="240" w:lineRule="auto"/>
                    <w:ind w:left="11" w:leftChars="-38" w:hanging="102" w:hangingChars="49"/>
                    <w:jc w:val="center"/>
                    <w:rPr>
                      <w:b w:val="0"/>
                      <w:bCs w:val="0"/>
                      <w:color w:val="000000"/>
                      <w:sz w:val="21"/>
                      <w:szCs w:val="21"/>
                    </w:rPr>
                  </w:pPr>
                  <w:r>
                    <w:rPr>
                      <w:b w:val="0"/>
                      <w:bCs w:val="0"/>
                      <w:color w:val="000000"/>
                      <w:sz w:val="21"/>
                      <w:szCs w:val="21"/>
                    </w:rPr>
                    <w:t>15</w:t>
                  </w:r>
                </w:p>
              </w:tc>
              <w:tc>
                <w:tcPr>
                  <w:tcW w:w="628" w:type="pct"/>
                  <w:vAlign w:val="center"/>
                </w:tcPr>
                <w:p>
                  <w:pPr>
                    <w:spacing w:line="240" w:lineRule="auto"/>
                    <w:ind w:left="11" w:leftChars="-38" w:hanging="102" w:hangingChars="49"/>
                    <w:jc w:val="center"/>
                    <w:rPr>
                      <w:b w:val="0"/>
                      <w:bCs w:val="0"/>
                      <w:color w:val="000000"/>
                      <w:sz w:val="21"/>
                      <w:szCs w:val="21"/>
                    </w:rPr>
                  </w:pPr>
                  <w:r>
                    <w:rPr>
                      <w:b w:val="0"/>
                      <w:bCs w:val="0"/>
                      <w:color w:val="000000"/>
                      <w:sz w:val="21"/>
                      <w:szCs w:val="21"/>
                    </w:rPr>
                    <w:t>0.0850</w:t>
                  </w:r>
                </w:p>
              </w:tc>
              <w:tc>
                <w:tcPr>
                  <w:tcW w:w="627" w:type="pct"/>
                  <w:vAlign w:val="center"/>
                </w:tcPr>
                <w:p>
                  <w:pPr>
                    <w:spacing w:line="240" w:lineRule="auto"/>
                    <w:ind w:left="11" w:leftChars="-38" w:hanging="102" w:hangingChars="49"/>
                    <w:jc w:val="center"/>
                    <w:rPr>
                      <w:b w:val="0"/>
                      <w:bCs w:val="0"/>
                      <w:color w:val="000000"/>
                      <w:sz w:val="21"/>
                      <w:szCs w:val="21"/>
                    </w:rPr>
                  </w:pPr>
                  <w:r>
                    <w:rPr>
                      <w:b w:val="0"/>
                      <w:bCs w:val="0"/>
                      <w:color w:val="000000"/>
                      <w:sz w:val="21"/>
                      <w:szCs w:val="21"/>
                    </w:rPr>
                    <w:t>0.1429</w:t>
                  </w:r>
                </w:p>
              </w:tc>
              <w:tc>
                <w:tcPr>
                  <w:tcW w:w="627" w:type="pct"/>
                  <w:vAlign w:val="center"/>
                </w:tcPr>
                <w:p>
                  <w:pPr>
                    <w:spacing w:line="240" w:lineRule="auto"/>
                    <w:ind w:left="11" w:leftChars="-38" w:hanging="102" w:hangingChars="49"/>
                    <w:jc w:val="center"/>
                    <w:rPr>
                      <w:b w:val="0"/>
                      <w:bCs w:val="0"/>
                      <w:color w:val="000000"/>
                      <w:sz w:val="21"/>
                      <w:szCs w:val="21"/>
                    </w:rPr>
                  </w:pPr>
                  <w:r>
                    <w:rPr>
                      <w:b w:val="0"/>
                      <w:bCs w:val="0"/>
                      <w:color w:val="000000"/>
                      <w:sz w:val="21"/>
                      <w:szCs w:val="21"/>
                    </w:rPr>
                    <w:t>0.1937</w:t>
                  </w:r>
                </w:p>
              </w:tc>
              <w:tc>
                <w:tcPr>
                  <w:tcW w:w="627" w:type="pct"/>
                  <w:vAlign w:val="center"/>
                </w:tcPr>
                <w:p>
                  <w:pPr>
                    <w:spacing w:line="240" w:lineRule="auto"/>
                    <w:ind w:left="11" w:leftChars="-38" w:hanging="102" w:hangingChars="49"/>
                    <w:jc w:val="center"/>
                    <w:rPr>
                      <w:b w:val="0"/>
                      <w:bCs w:val="0"/>
                      <w:color w:val="000000"/>
                      <w:sz w:val="21"/>
                      <w:szCs w:val="21"/>
                    </w:rPr>
                  </w:pPr>
                  <w:r>
                    <w:rPr>
                      <w:b w:val="0"/>
                      <w:bCs w:val="0"/>
                      <w:color w:val="000000"/>
                      <w:sz w:val="21"/>
                      <w:szCs w:val="21"/>
                    </w:rPr>
                    <w:t>0.2403</w:t>
                  </w:r>
                </w:p>
              </w:tc>
              <w:tc>
                <w:tcPr>
                  <w:tcW w:w="627" w:type="pct"/>
                  <w:vAlign w:val="center"/>
                </w:tcPr>
                <w:p>
                  <w:pPr>
                    <w:spacing w:line="240" w:lineRule="auto"/>
                    <w:ind w:left="11" w:leftChars="-38" w:hanging="102" w:hangingChars="49"/>
                    <w:jc w:val="center"/>
                    <w:rPr>
                      <w:b w:val="0"/>
                      <w:bCs w:val="0"/>
                      <w:color w:val="000000"/>
                      <w:sz w:val="21"/>
                      <w:szCs w:val="21"/>
                    </w:rPr>
                  </w:pPr>
                  <w:r>
                    <w:rPr>
                      <w:b w:val="0"/>
                      <w:bCs w:val="0"/>
                      <w:color w:val="000000"/>
                      <w:sz w:val="21"/>
                      <w:szCs w:val="21"/>
                    </w:rPr>
                    <w:t>0.2841</w:t>
                  </w:r>
                </w:p>
              </w:tc>
              <w:tc>
                <w:tcPr>
                  <w:tcW w:w="627" w:type="pct"/>
                  <w:vAlign w:val="center"/>
                </w:tcPr>
                <w:p>
                  <w:pPr>
                    <w:spacing w:line="240" w:lineRule="auto"/>
                    <w:ind w:left="11" w:leftChars="-38" w:hanging="102" w:hangingChars="49"/>
                    <w:jc w:val="center"/>
                    <w:rPr>
                      <w:b w:val="0"/>
                      <w:bCs w:val="0"/>
                      <w:color w:val="000000"/>
                      <w:sz w:val="21"/>
                      <w:szCs w:val="21"/>
                    </w:rPr>
                  </w:pPr>
                  <w:r>
                    <w:rPr>
                      <w:b w:val="0"/>
                      <w:bCs w:val="0"/>
                      <w:color w:val="000000"/>
                      <w:sz w:val="21"/>
                      <w:szCs w:val="21"/>
                    </w:rPr>
                    <w:t>0.4778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232" w:type="pct"/>
                  <w:vAlign w:val="center"/>
                </w:tcPr>
                <w:p>
                  <w:pPr>
                    <w:spacing w:line="240" w:lineRule="auto"/>
                    <w:ind w:left="11" w:leftChars="-38" w:hanging="102" w:hangingChars="49"/>
                    <w:jc w:val="center"/>
                    <w:rPr>
                      <w:b w:val="0"/>
                      <w:bCs w:val="0"/>
                      <w:color w:val="000000"/>
                      <w:sz w:val="21"/>
                      <w:szCs w:val="21"/>
                    </w:rPr>
                  </w:pPr>
                  <w:r>
                    <w:rPr>
                      <w:b w:val="0"/>
                      <w:bCs w:val="0"/>
                      <w:color w:val="000000"/>
                      <w:sz w:val="21"/>
                      <w:szCs w:val="21"/>
                    </w:rPr>
                    <w:t>20</w:t>
                  </w:r>
                </w:p>
              </w:tc>
              <w:tc>
                <w:tcPr>
                  <w:tcW w:w="628" w:type="pct"/>
                  <w:vAlign w:val="center"/>
                </w:tcPr>
                <w:p>
                  <w:pPr>
                    <w:spacing w:line="240" w:lineRule="auto"/>
                    <w:ind w:left="11" w:leftChars="-38" w:hanging="102" w:hangingChars="49"/>
                    <w:jc w:val="center"/>
                    <w:rPr>
                      <w:b w:val="0"/>
                      <w:bCs w:val="0"/>
                      <w:color w:val="000000"/>
                      <w:sz w:val="21"/>
                      <w:szCs w:val="21"/>
                    </w:rPr>
                  </w:pPr>
                  <w:r>
                    <w:rPr>
                      <w:b w:val="0"/>
                      <w:bCs w:val="0"/>
                      <w:color w:val="000000"/>
                      <w:sz w:val="21"/>
                      <w:szCs w:val="21"/>
                    </w:rPr>
                    <w:t>0.1133</w:t>
                  </w:r>
                </w:p>
              </w:tc>
              <w:tc>
                <w:tcPr>
                  <w:tcW w:w="627" w:type="pct"/>
                  <w:vAlign w:val="center"/>
                </w:tcPr>
                <w:p>
                  <w:pPr>
                    <w:spacing w:line="240" w:lineRule="auto"/>
                    <w:ind w:left="11" w:leftChars="-38" w:hanging="102" w:hangingChars="49"/>
                    <w:jc w:val="center"/>
                    <w:rPr>
                      <w:b w:val="0"/>
                      <w:bCs w:val="0"/>
                      <w:color w:val="000000"/>
                      <w:sz w:val="21"/>
                      <w:szCs w:val="21"/>
                    </w:rPr>
                  </w:pPr>
                  <w:r>
                    <w:rPr>
                      <w:b w:val="0"/>
                      <w:bCs w:val="0"/>
                      <w:color w:val="000000"/>
                      <w:sz w:val="21"/>
                      <w:szCs w:val="21"/>
                    </w:rPr>
                    <w:t>0.1905</w:t>
                  </w:r>
                </w:p>
              </w:tc>
              <w:tc>
                <w:tcPr>
                  <w:tcW w:w="627" w:type="pct"/>
                  <w:vAlign w:val="center"/>
                </w:tcPr>
                <w:p>
                  <w:pPr>
                    <w:spacing w:line="240" w:lineRule="auto"/>
                    <w:ind w:left="11" w:leftChars="-38" w:hanging="102" w:hangingChars="49"/>
                    <w:jc w:val="center"/>
                    <w:rPr>
                      <w:b w:val="0"/>
                      <w:bCs w:val="0"/>
                      <w:color w:val="000000"/>
                      <w:sz w:val="21"/>
                      <w:szCs w:val="21"/>
                    </w:rPr>
                  </w:pPr>
                  <w:r>
                    <w:rPr>
                      <w:b w:val="0"/>
                      <w:bCs w:val="0"/>
                      <w:color w:val="000000"/>
                      <w:sz w:val="21"/>
                      <w:szCs w:val="21"/>
                    </w:rPr>
                    <w:t>0.2583</w:t>
                  </w:r>
                </w:p>
              </w:tc>
              <w:tc>
                <w:tcPr>
                  <w:tcW w:w="627" w:type="pct"/>
                  <w:vAlign w:val="center"/>
                </w:tcPr>
                <w:p>
                  <w:pPr>
                    <w:spacing w:line="240" w:lineRule="auto"/>
                    <w:ind w:left="11" w:leftChars="-38" w:hanging="102" w:hangingChars="49"/>
                    <w:jc w:val="center"/>
                    <w:rPr>
                      <w:b w:val="0"/>
                      <w:bCs w:val="0"/>
                      <w:color w:val="000000"/>
                      <w:sz w:val="21"/>
                      <w:szCs w:val="21"/>
                    </w:rPr>
                  </w:pPr>
                  <w:r>
                    <w:rPr>
                      <w:b w:val="0"/>
                      <w:bCs w:val="0"/>
                      <w:color w:val="000000"/>
                      <w:sz w:val="21"/>
                      <w:szCs w:val="21"/>
                    </w:rPr>
                    <w:t>0.3204</w:t>
                  </w:r>
                </w:p>
              </w:tc>
              <w:tc>
                <w:tcPr>
                  <w:tcW w:w="627" w:type="pct"/>
                  <w:vAlign w:val="center"/>
                </w:tcPr>
                <w:p>
                  <w:pPr>
                    <w:spacing w:line="240" w:lineRule="auto"/>
                    <w:ind w:left="11" w:leftChars="-38" w:hanging="102" w:hangingChars="49"/>
                    <w:jc w:val="center"/>
                    <w:rPr>
                      <w:b w:val="0"/>
                      <w:bCs w:val="0"/>
                      <w:color w:val="000000"/>
                      <w:sz w:val="21"/>
                      <w:szCs w:val="21"/>
                    </w:rPr>
                  </w:pPr>
                  <w:r>
                    <w:rPr>
                      <w:b w:val="0"/>
                      <w:bCs w:val="0"/>
                      <w:color w:val="000000"/>
                      <w:sz w:val="21"/>
                      <w:szCs w:val="21"/>
                    </w:rPr>
                    <w:t>0.3788</w:t>
                  </w:r>
                </w:p>
              </w:tc>
              <w:tc>
                <w:tcPr>
                  <w:tcW w:w="627" w:type="pct"/>
                  <w:vAlign w:val="center"/>
                </w:tcPr>
                <w:p>
                  <w:pPr>
                    <w:spacing w:line="240" w:lineRule="auto"/>
                    <w:ind w:left="11" w:leftChars="-38" w:hanging="102" w:hangingChars="49"/>
                    <w:jc w:val="center"/>
                    <w:rPr>
                      <w:b w:val="0"/>
                      <w:bCs w:val="0"/>
                      <w:color w:val="000000"/>
                      <w:sz w:val="21"/>
                      <w:szCs w:val="21"/>
                    </w:rPr>
                  </w:pPr>
                  <w:r>
                    <w:rPr>
                      <w:b w:val="0"/>
                      <w:bCs w:val="0"/>
                      <w:color w:val="000000"/>
                      <w:sz w:val="21"/>
                      <w:szCs w:val="21"/>
                    </w:rPr>
                    <w:t>0.6371</w:t>
                  </w:r>
                </w:p>
              </w:tc>
            </w:tr>
          </w:tbl>
          <w:p>
            <w:pPr>
              <w:snapToGrid w:val="0"/>
              <w:spacing w:line="460" w:lineRule="exact"/>
              <w:ind w:firstLine="31680"/>
              <w:rPr>
                <w:color w:val="000000"/>
              </w:rPr>
            </w:pPr>
            <w:r>
              <w:rPr>
                <w:rFonts w:hint="eastAsia" w:hAnsi="宋体"/>
                <w:color w:val="000000"/>
              </w:rPr>
              <w:t>施工扬尘的控制措施除装设围档外，抑制扬尘的一个简洁有效的措施是洒水</w:t>
            </w:r>
            <w:r>
              <w:rPr>
                <w:rFonts w:hint="eastAsia" w:hAnsi="宋体"/>
                <w:color w:val="000000"/>
                <w:lang w:eastAsia="zh-CN"/>
              </w:rPr>
              <w:t>，</w:t>
            </w:r>
            <w:r>
              <w:rPr>
                <w:rFonts w:hint="eastAsia" w:hAnsi="宋体"/>
                <w:color w:val="000000"/>
              </w:rPr>
              <w:t>如果在施工期内对车辆行驶的路面实施洒水抑尘，每天洒水</w:t>
            </w:r>
            <w:r>
              <w:rPr>
                <w:color w:val="000000"/>
              </w:rPr>
              <w:t>2~3</w:t>
            </w:r>
            <w:r>
              <w:rPr>
                <w:rFonts w:hint="eastAsia" w:hAnsi="宋体"/>
                <w:color w:val="000000"/>
              </w:rPr>
              <w:t>次可减少</w:t>
            </w:r>
            <w:r>
              <w:rPr>
                <w:color w:val="000000"/>
              </w:rPr>
              <w:t>50</w:t>
            </w:r>
            <w:r>
              <w:rPr>
                <w:rFonts w:hint="eastAsia" w:hAnsi="宋体"/>
                <w:color w:val="000000"/>
              </w:rPr>
              <w:t>～</w:t>
            </w:r>
            <w:r>
              <w:rPr>
                <w:color w:val="000000"/>
              </w:rPr>
              <w:t>70%</w:t>
            </w:r>
            <w:r>
              <w:rPr>
                <w:rFonts w:hint="eastAsia" w:hAnsi="宋体"/>
                <w:color w:val="000000"/>
              </w:rPr>
              <w:t>左右的扬尘产生量，类比监测结果见表</w:t>
            </w:r>
            <w:r>
              <w:rPr>
                <w:color w:val="000000"/>
              </w:rPr>
              <w:t>4-</w:t>
            </w:r>
            <w:r>
              <w:rPr>
                <w:rFonts w:hint="eastAsia"/>
                <w:color w:val="000000"/>
                <w:lang w:val="en-US" w:eastAsia="zh-CN"/>
              </w:rPr>
              <w:t>2</w:t>
            </w:r>
            <w:r>
              <w:rPr>
                <w:rFonts w:hint="eastAsia" w:hAnsi="宋体"/>
                <w:color w:val="000000"/>
              </w:rPr>
              <w:t>。</w:t>
            </w:r>
          </w:p>
          <w:p>
            <w:pPr>
              <w:snapToGrid w:val="0"/>
              <w:spacing w:line="460" w:lineRule="exact"/>
              <w:ind w:firstLine="31680"/>
              <w:jc w:val="center"/>
              <w:rPr>
                <w:rFonts w:hAnsi="宋体"/>
                <w:b/>
                <w:bCs/>
                <w:color w:val="000000"/>
                <w:sz w:val="21"/>
                <w:szCs w:val="21"/>
              </w:rPr>
            </w:pPr>
            <w:r>
              <w:rPr>
                <w:rFonts w:hint="eastAsia" w:hAnsi="宋体"/>
                <w:b/>
                <w:bCs/>
                <w:color w:val="000000"/>
                <w:sz w:val="21"/>
                <w:szCs w:val="21"/>
              </w:rPr>
              <w:t>表</w:t>
            </w:r>
            <w:r>
              <w:rPr>
                <w:rFonts w:hAnsi="宋体"/>
                <w:b/>
                <w:bCs/>
                <w:color w:val="000000"/>
                <w:sz w:val="21"/>
                <w:szCs w:val="21"/>
              </w:rPr>
              <w:t>4-</w:t>
            </w:r>
            <w:r>
              <w:rPr>
                <w:rFonts w:hint="eastAsia" w:hAnsi="宋体"/>
                <w:b/>
                <w:bCs/>
                <w:color w:val="000000"/>
                <w:sz w:val="21"/>
                <w:szCs w:val="21"/>
                <w:lang w:val="en-US" w:eastAsia="zh-CN"/>
              </w:rPr>
              <w:t>2</w:t>
            </w:r>
            <w:r>
              <w:rPr>
                <w:rFonts w:hAnsi="宋体"/>
                <w:b/>
                <w:bCs/>
                <w:color w:val="000000"/>
                <w:sz w:val="21"/>
                <w:szCs w:val="21"/>
              </w:rPr>
              <w:t xml:space="preserve">  </w:t>
            </w:r>
            <w:r>
              <w:rPr>
                <w:rFonts w:hint="eastAsia" w:hAnsi="宋体"/>
                <w:b/>
                <w:bCs/>
                <w:color w:val="000000"/>
                <w:sz w:val="21"/>
                <w:szCs w:val="21"/>
                <w:lang w:val="en-US" w:eastAsia="zh-CN"/>
              </w:rPr>
              <w:t xml:space="preserve"> </w:t>
            </w:r>
            <w:r>
              <w:rPr>
                <w:rFonts w:hAnsi="宋体"/>
                <w:b/>
                <w:bCs/>
                <w:color w:val="000000"/>
                <w:sz w:val="21"/>
                <w:szCs w:val="21"/>
              </w:rPr>
              <w:t xml:space="preserve">  </w:t>
            </w:r>
            <w:r>
              <w:rPr>
                <w:rFonts w:hint="eastAsia" w:hAnsi="宋体"/>
                <w:b/>
                <w:bCs/>
                <w:color w:val="000000"/>
                <w:sz w:val="21"/>
                <w:szCs w:val="21"/>
              </w:rPr>
              <w:t>洒水抑尘作用类比监测数据表</w:t>
            </w:r>
            <w:r>
              <w:rPr>
                <w:rFonts w:hAnsi="宋体"/>
                <w:b/>
                <w:bCs/>
                <w:color w:val="000000"/>
                <w:sz w:val="21"/>
                <w:szCs w:val="21"/>
              </w:rPr>
              <w:t xml:space="preserve"> </w:t>
            </w:r>
            <w:r>
              <w:rPr>
                <w:rFonts w:hint="eastAsia" w:hAnsi="宋体"/>
                <w:b/>
                <w:bCs/>
                <w:color w:val="000000"/>
                <w:sz w:val="21"/>
                <w:szCs w:val="21"/>
                <w:lang w:val="en-US" w:eastAsia="zh-CN"/>
              </w:rPr>
              <w:t xml:space="preserve"> </w:t>
            </w:r>
            <w:r>
              <w:rPr>
                <w:rFonts w:hAnsi="宋体"/>
                <w:b/>
                <w:bCs/>
                <w:color w:val="000000"/>
                <w:sz w:val="21"/>
                <w:szCs w:val="21"/>
              </w:rPr>
              <w:t xml:space="preserve">   </w:t>
            </w:r>
            <w:r>
              <w:rPr>
                <w:rFonts w:hint="eastAsia" w:hAnsi="宋体"/>
                <w:b/>
                <w:bCs/>
                <w:color w:val="000000"/>
                <w:sz w:val="21"/>
                <w:szCs w:val="21"/>
              </w:rPr>
              <w:t>单位：</w:t>
            </w:r>
            <w:r>
              <w:rPr>
                <w:rFonts w:hAnsi="宋体"/>
                <w:b/>
                <w:bCs/>
                <w:color w:val="000000"/>
                <w:sz w:val="21"/>
                <w:szCs w:val="21"/>
              </w:rPr>
              <w:t>mg/m</w:t>
            </w:r>
            <w:r>
              <w:rPr>
                <w:rFonts w:hAnsi="宋体"/>
                <w:b/>
                <w:bCs/>
                <w:color w:val="000000"/>
                <w:sz w:val="21"/>
                <w:szCs w:val="21"/>
                <w:vertAlign w:val="superscript"/>
              </w:rPr>
              <w:t>3</w:t>
            </w:r>
          </w:p>
          <w:tbl>
            <w:tblPr>
              <w:tblStyle w:val="3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3"/>
              <w:gridCol w:w="1037"/>
              <w:gridCol w:w="1291"/>
              <w:gridCol w:w="1164"/>
              <w:gridCol w:w="1030"/>
              <w:gridCol w:w="968"/>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591" w:type="pct"/>
                  <w:gridSpan w:val="2"/>
                  <w:vAlign w:val="center"/>
                </w:tcPr>
                <w:p>
                  <w:pPr>
                    <w:snapToGrid w:val="0"/>
                    <w:spacing w:line="240" w:lineRule="auto"/>
                    <w:ind w:left="11" w:leftChars="-38" w:hanging="102" w:hangingChars="49"/>
                    <w:jc w:val="center"/>
                    <w:rPr>
                      <w:b w:val="0"/>
                      <w:bCs w:val="0"/>
                      <w:color w:val="000000"/>
                      <w:sz w:val="21"/>
                      <w:szCs w:val="21"/>
                    </w:rPr>
                  </w:pPr>
                  <w:r>
                    <w:rPr>
                      <w:rFonts w:hint="eastAsia"/>
                      <w:b w:val="0"/>
                      <w:bCs w:val="0"/>
                      <w:color w:val="000000"/>
                      <w:sz w:val="21"/>
                      <w:szCs w:val="21"/>
                    </w:rPr>
                    <w:t>距离</w:t>
                  </w:r>
                  <w:r>
                    <w:rPr>
                      <w:b w:val="0"/>
                      <w:bCs w:val="0"/>
                      <w:color w:val="000000"/>
                      <w:sz w:val="21"/>
                      <w:szCs w:val="21"/>
                    </w:rPr>
                    <w:t>m</w:t>
                  </w:r>
                </w:p>
              </w:tc>
              <w:tc>
                <w:tcPr>
                  <w:tcW w:w="812" w:type="pct"/>
                  <w:vAlign w:val="center"/>
                </w:tcPr>
                <w:p>
                  <w:pPr>
                    <w:snapToGrid w:val="0"/>
                    <w:spacing w:line="240" w:lineRule="auto"/>
                    <w:ind w:left="11" w:leftChars="-38" w:hanging="102" w:hangingChars="49"/>
                    <w:jc w:val="center"/>
                    <w:rPr>
                      <w:b w:val="0"/>
                      <w:bCs w:val="0"/>
                      <w:color w:val="000000"/>
                      <w:sz w:val="21"/>
                      <w:szCs w:val="21"/>
                    </w:rPr>
                  </w:pPr>
                  <w:r>
                    <w:rPr>
                      <w:b w:val="0"/>
                      <w:bCs w:val="0"/>
                      <w:color w:val="000000"/>
                      <w:sz w:val="21"/>
                      <w:szCs w:val="21"/>
                    </w:rPr>
                    <w:t>5</w:t>
                  </w:r>
                </w:p>
              </w:tc>
              <w:tc>
                <w:tcPr>
                  <w:tcW w:w="732" w:type="pct"/>
                  <w:vAlign w:val="center"/>
                </w:tcPr>
                <w:p>
                  <w:pPr>
                    <w:snapToGrid w:val="0"/>
                    <w:spacing w:line="240" w:lineRule="auto"/>
                    <w:ind w:left="11" w:leftChars="-38" w:hanging="102" w:hangingChars="49"/>
                    <w:jc w:val="center"/>
                    <w:rPr>
                      <w:b w:val="0"/>
                      <w:bCs w:val="0"/>
                      <w:color w:val="000000"/>
                      <w:sz w:val="21"/>
                      <w:szCs w:val="21"/>
                    </w:rPr>
                  </w:pPr>
                  <w:r>
                    <w:rPr>
                      <w:b w:val="0"/>
                      <w:bCs w:val="0"/>
                      <w:color w:val="000000"/>
                      <w:sz w:val="21"/>
                      <w:szCs w:val="21"/>
                    </w:rPr>
                    <w:t>20</w:t>
                  </w:r>
                </w:p>
              </w:tc>
              <w:tc>
                <w:tcPr>
                  <w:tcW w:w="648" w:type="pct"/>
                  <w:vAlign w:val="center"/>
                </w:tcPr>
                <w:p>
                  <w:pPr>
                    <w:snapToGrid w:val="0"/>
                    <w:spacing w:line="240" w:lineRule="auto"/>
                    <w:ind w:left="11" w:leftChars="-38" w:hanging="102" w:hangingChars="49"/>
                    <w:jc w:val="center"/>
                    <w:rPr>
                      <w:b w:val="0"/>
                      <w:bCs w:val="0"/>
                      <w:color w:val="000000"/>
                      <w:sz w:val="21"/>
                      <w:szCs w:val="21"/>
                    </w:rPr>
                  </w:pPr>
                  <w:r>
                    <w:rPr>
                      <w:b w:val="0"/>
                      <w:bCs w:val="0"/>
                      <w:color w:val="000000"/>
                      <w:sz w:val="21"/>
                      <w:szCs w:val="21"/>
                    </w:rPr>
                    <w:t>50</w:t>
                  </w:r>
                </w:p>
              </w:tc>
              <w:tc>
                <w:tcPr>
                  <w:tcW w:w="609" w:type="pct"/>
                  <w:vAlign w:val="center"/>
                </w:tcPr>
                <w:p>
                  <w:pPr>
                    <w:snapToGrid w:val="0"/>
                    <w:spacing w:line="240" w:lineRule="auto"/>
                    <w:ind w:left="11" w:leftChars="-38" w:hanging="102" w:hangingChars="49"/>
                    <w:jc w:val="center"/>
                    <w:rPr>
                      <w:b w:val="0"/>
                      <w:bCs w:val="0"/>
                      <w:color w:val="000000"/>
                      <w:sz w:val="21"/>
                      <w:szCs w:val="21"/>
                    </w:rPr>
                  </w:pPr>
                  <w:r>
                    <w:rPr>
                      <w:b w:val="0"/>
                      <w:bCs w:val="0"/>
                      <w:color w:val="000000"/>
                      <w:sz w:val="21"/>
                      <w:szCs w:val="21"/>
                    </w:rPr>
                    <w:t>100</w:t>
                  </w:r>
                </w:p>
              </w:tc>
              <w:tc>
                <w:tcPr>
                  <w:tcW w:w="605" w:type="pct"/>
                  <w:vAlign w:val="center"/>
                </w:tcPr>
                <w:p>
                  <w:pPr>
                    <w:snapToGrid w:val="0"/>
                    <w:spacing w:line="240" w:lineRule="auto"/>
                    <w:ind w:left="11" w:leftChars="-38" w:hanging="102" w:hangingChars="49"/>
                    <w:jc w:val="center"/>
                    <w:rPr>
                      <w:b w:val="0"/>
                      <w:bCs w:val="0"/>
                      <w:color w:val="000000"/>
                      <w:sz w:val="21"/>
                      <w:szCs w:val="21"/>
                    </w:rPr>
                  </w:pPr>
                  <w:r>
                    <w:rPr>
                      <w:b w:val="0"/>
                      <w:bCs w:val="0"/>
                      <w:color w:val="000000"/>
                      <w:sz w:val="21"/>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939" w:type="pct"/>
                  <w:vMerge w:val="restart"/>
                  <w:vAlign w:val="center"/>
                </w:tcPr>
                <w:p>
                  <w:pPr>
                    <w:snapToGrid w:val="0"/>
                    <w:spacing w:line="240" w:lineRule="auto"/>
                    <w:ind w:left="11" w:leftChars="-38" w:hanging="102" w:hangingChars="49"/>
                    <w:jc w:val="center"/>
                    <w:rPr>
                      <w:b w:val="0"/>
                      <w:bCs w:val="0"/>
                      <w:color w:val="000000"/>
                      <w:sz w:val="21"/>
                      <w:szCs w:val="21"/>
                    </w:rPr>
                  </w:pPr>
                  <w:r>
                    <w:rPr>
                      <w:b w:val="0"/>
                      <w:bCs w:val="0"/>
                      <w:color w:val="000000"/>
                      <w:sz w:val="21"/>
                      <w:szCs w:val="21"/>
                    </w:rPr>
                    <w:t>TSP</w:t>
                  </w:r>
                  <w:r>
                    <w:rPr>
                      <w:rFonts w:hint="eastAsia"/>
                      <w:b w:val="0"/>
                      <w:bCs w:val="0"/>
                      <w:color w:val="000000"/>
                      <w:sz w:val="21"/>
                      <w:szCs w:val="21"/>
                    </w:rPr>
                    <w:t>（</w:t>
                  </w:r>
                  <w:r>
                    <w:rPr>
                      <w:b w:val="0"/>
                      <w:bCs w:val="0"/>
                      <w:color w:val="000000"/>
                      <w:sz w:val="21"/>
                      <w:szCs w:val="21"/>
                    </w:rPr>
                    <w:t>mg/m</w:t>
                  </w:r>
                  <w:r>
                    <w:rPr>
                      <w:b w:val="0"/>
                      <w:bCs w:val="0"/>
                      <w:color w:val="000000"/>
                      <w:sz w:val="21"/>
                      <w:szCs w:val="21"/>
                      <w:vertAlign w:val="superscript"/>
                    </w:rPr>
                    <w:t>3</w:t>
                  </w:r>
                  <w:r>
                    <w:rPr>
                      <w:rFonts w:hint="eastAsia"/>
                      <w:b w:val="0"/>
                      <w:bCs w:val="0"/>
                      <w:color w:val="000000"/>
                      <w:sz w:val="21"/>
                      <w:szCs w:val="21"/>
                    </w:rPr>
                    <w:t>）</w:t>
                  </w:r>
                </w:p>
              </w:tc>
              <w:tc>
                <w:tcPr>
                  <w:tcW w:w="652" w:type="pct"/>
                  <w:vAlign w:val="center"/>
                </w:tcPr>
                <w:p>
                  <w:pPr>
                    <w:snapToGrid w:val="0"/>
                    <w:spacing w:line="240" w:lineRule="auto"/>
                    <w:ind w:left="11" w:leftChars="-38" w:hanging="102" w:hangingChars="49"/>
                    <w:jc w:val="center"/>
                    <w:rPr>
                      <w:b w:val="0"/>
                      <w:bCs w:val="0"/>
                      <w:color w:val="000000"/>
                      <w:sz w:val="21"/>
                      <w:szCs w:val="21"/>
                    </w:rPr>
                  </w:pPr>
                  <w:r>
                    <w:rPr>
                      <w:rFonts w:hint="eastAsia"/>
                      <w:b w:val="0"/>
                      <w:bCs w:val="0"/>
                      <w:color w:val="000000"/>
                      <w:sz w:val="21"/>
                      <w:szCs w:val="21"/>
                    </w:rPr>
                    <w:t>不洒水</w:t>
                  </w:r>
                </w:p>
              </w:tc>
              <w:tc>
                <w:tcPr>
                  <w:tcW w:w="812" w:type="pct"/>
                  <w:vAlign w:val="center"/>
                </w:tcPr>
                <w:p>
                  <w:pPr>
                    <w:snapToGrid w:val="0"/>
                    <w:spacing w:line="240" w:lineRule="auto"/>
                    <w:ind w:left="11" w:leftChars="-38" w:hanging="102" w:hangingChars="49"/>
                    <w:jc w:val="center"/>
                    <w:rPr>
                      <w:b w:val="0"/>
                      <w:bCs w:val="0"/>
                      <w:color w:val="000000"/>
                      <w:sz w:val="21"/>
                      <w:szCs w:val="21"/>
                    </w:rPr>
                  </w:pPr>
                  <w:r>
                    <w:rPr>
                      <w:b w:val="0"/>
                      <w:bCs w:val="0"/>
                      <w:color w:val="000000"/>
                      <w:sz w:val="21"/>
                      <w:szCs w:val="21"/>
                    </w:rPr>
                    <w:t>10.14</w:t>
                  </w:r>
                </w:p>
              </w:tc>
              <w:tc>
                <w:tcPr>
                  <w:tcW w:w="732" w:type="pct"/>
                  <w:vAlign w:val="center"/>
                </w:tcPr>
                <w:p>
                  <w:pPr>
                    <w:snapToGrid w:val="0"/>
                    <w:spacing w:line="240" w:lineRule="auto"/>
                    <w:ind w:left="11" w:leftChars="-38" w:hanging="102" w:hangingChars="49"/>
                    <w:jc w:val="center"/>
                    <w:rPr>
                      <w:b w:val="0"/>
                      <w:bCs w:val="0"/>
                      <w:color w:val="000000"/>
                      <w:sz w:val="21"/>
                      <w:szCs w:val="21"/>
                    </w:rPr>
                  </w:pPr>
                  <w:r>
                    <w:rPr>
                      <w:b w:val="0"/>
                      <w:bCs w:val="0"/>
                      <w:color w:val="000000"/>
                      <w:sz w:val="21"/>
                      <w:szCs w:val="21"/>
                    </w:rPr>
                    <w:t>2.89</w:t>
                  </w:r>
                </w:p>
              </w:tc>
              <w:tc>
                <w:tcPr>
                  <w:tcW w:w="648" w:type="pct"/>
                  <w:vAlign w:val="center"/>
                </w:tcPr>
                <w:p>
                  <w:pPr>
                    <w:snapToGrid w:val="0"/>
                    <w:spacing w:line="240" w:lineRule="auto"/>
                    <w:ind w:left="11" w:leftChars="-38" w:hanging="102" w:hangingChars="49"/>
                    <w:jc w:val="center"/>
                    <w:rPr>
                      <w:b w:val="0"/>
                      <w:bCs w:val="0"/>
                      <w:color w:val="000000"/>
                      <w:sz w:val="21"/>
                      <w:szCs w:val="21"/>
                    </w:rPr>
                  </w:pPr>
                  <w:r>
                    <w:rPr>
                      <w:b w:val="0"/>
                      <w:bCs w:val="0"/>
                      <w:color w:val="000000"/>
                      <w:sz w:val="21"/>
                      <w:szCs w:val="21"/>
                    </w:rPr>
                    <w:t>0.86</w:t>
                  </w:r>
                </w:p>
              </w:tc>
              <w:tc>
                <w:tcPr>
                  <w:tcW w:w="609" w:type="pct"/>
                  <w:vAlign w:val="center"/>
                </w:tcPr>
                <w:p>
                  <w:pPr>
                    <w:snapToGrid w:val="0"/>
                    <w:spacing w:line="240" w:lineRule="auto"/>
                    <w:ind w:left="11" w:leftChars="-38" w:hanging="102" w:hangingChars="49"/>
                    <w:jc w:val="center"/>
                    <w:rPr>
                      <w:b w:val="0"/>
                      <w:bCs w:val="0"/>
                      <w:color w:val="000000"/>
                      <w:sz w:val="21"/>
                      <w:szCs w:val="21"/>
                    </w:rPr>
                  </w:pPr>
                  <w:r>
                    <w:rPr>
                      <w:b w:val="0"/>
                      <w:bCs w:val="0"/>
                      <w:color w:val="000000"/>
                      <w:sz w:val="21"/>
                      <w:szCs w:val="21"/>
                    </w:rPr>
                    <w:t>1.15</w:t>
                  </w:r>
                </w:p>
              </w:tc>
              <w:tc>
                <w:tcPr>
                  <w:tcW w:w="605" w:type="pct"/>
                  <w:vAlign w:val="center"/>
                </w:tcPr>
                <w:p>
                  <w:pPr>
                    <w:snapToGrid w:val="0"/>
                    <w:spacing w:line="240" w:lineRule="auto"/>
                    <w:ind w:left="11" w:leftChars="-38" w:hanging="102" w:hangingChars="49"/>
                    <w:jc w:val="center"/>
                    <w:rPr>
                      <w:b w:val="0"/>
                      <w:bCs w:val="0"/>
                      <w:color w:val="000000"/>
                      <w:sz w:val="21"/>
                      <w:szCs w:val="21"/>
                    </w:rPr>
                  </w:pPr>
                  <w:r>
                    <w:rPr>
                      <w:b w:val="0"/>
                      <w:bCs w:val="0"/>
                      <w:color w:val="000000"/>
                      <w:sz w:val="21"/>
                      <w:szCs w:val="21"/>
                    </w:rPr>
                    <w:t>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939" w:type="pct"/>
                  <w:vMerge w:val="continue"/>
                  <w:vAlign w:val="center"/>
                </w:tcPr>
                <w:p>
                  <w:pPr>
                    <w:widowControl/>
                    <w:snapToGrid w:val="0"/>
                    <w:spacing w:line="240" w:lineRule="auto"/>
                    <w:ind w:firstLine="31680"/>
                    <w:jc w:val="left"/>
                    <w:rPr>
                      <w:b w:val="0"/>
                      <w:bCs w:val="0"/>
                      <w:color w:val="000000"/>
                      <w:sz w:val="21"/>
                      <w:szCs w:val="21"/>
                    </w:rPr>
                  </w:pPr>
                </w:p>
              </w:tc>
              <w:tc>
                <w:tcPr>
                  <w:tcW w:w="652" w:type="pct"/>
                  <w:vAlign w:val="center"/>
                </w:tcPr>
                <w:p>
                  <w:pPr>
                    <w:snapToGrid w:val="0"/>
                    <w:spacing w:line="240" w:lineRule="auto"/>
                    <w:ind w:left="11" w:leftChars="-38" w:hanging="102" w:hangingChars="49"/>
                    <w:jc w:val="center"/>
                    <w:rPr>
                      <w:b w:val="0"/>
                      <w:bCs w:val="0"/>
                      <w:color w:val="000000"/>
                      <w:sz w:val="21"/>
                      <w:szCs w:val="21"/>
                    </w:rPr>
                  </w:pPr>
                  <w:r>
                    <w:rPr>
                      <w:rFonts w:hint="eastAsia"/>
                      <w:b w:val="0"/>
                      <w:bCs w:val="0"/>
                      <w:color w:val="000000"/>
                      <w:sz w:val="21"/>
                      <w:szCs w:val="21"/>
                    </w:rPr>
                    <w:t>洒水</w:t>
                  </w:r>
                </w:p>
              </w:tc>
              <w:tc>
                <w:tcPr>
                  <w:tcW w:w="812" w:type="pct"/>
                  <w:vAlign w:val="center"/>
                </w:tcPr>
                <w:p>
                  <w:pPr>
                    <w:snapToGrid w:val="0"/>
                    <w:spacing w:line="240" w:lineRule="auto"/>
                    <w:ind w:left="11" w:leftChars="-38" w:hanging="102" w:hangingChars="49"/>
                    <w:jc w:val="center"/>
                    <w:rPr>
                      <w:b w:val="0"/>
                      <w:bCs w:val="0"/>
                      <w:color w:val="000000"/>
                      <w:sz w:val="21"/>
                      <w:szCs w:val="21"/>
                    </w:rPr>
                  </w:pPr>
                  <w:r>
                    <w:rPr>
                      <w:b w:val="0"/>
                      <w:bCs w:val="0"/>
                      <w:color w:val="000000"/>
                      <w:sz w:val="21"/>
                      <w:szCs w:val="21"/>
                    </w:rPr>
                    <w:t>2.01</w:t>
                  </w:r>
                </w:p>
              </w:tc>
              <w:tc>
                <w:tcPr>
                  <w:tcW w:w="732" w:type="pct"/>
                  <w:vAlign w:val="center"/>
                </w:tcPr>
                <w:p>
                  <w:pPr>
                    <w:snapToGrid w:val="0"/>
                    <w:spacing w:line="240" w:lineRule="auto"/>
                    <w:ind w:left="11" w:leftChars="-38" w:hanging="102" w:hangingChars="49"/>
                    <w:jc w:val="center"/>
                    <w:rPr>
                      <w:b w:val="0"/>
                      <w:bCs w:val="0"/>
                      <w:color w:val="000000"/>
                      <w:sz w:val="21"/>
                      <w:szCs w:val="21"/>
                    </w:rPr>
                  </w:pPr>
                  <w:r>
                    <w:rPr>
                      <w:b w:val="0"/>
                      <w:bCs w:val="0"/>
                      <w:color w:val="000000"/>
                      <w:sz w:val="21"/>
                      <w:szCs w:val="21"/>
                    </w:rPr>
                    <w:t>1.40</w:t>
                  </w:r>
                </w:p>
              </w:tc>
              <w:tc>
                <w:tcPr>
                  <w:tcW w:w="648" w:type="pct"/>
                  <w:vAlign w:val="center"/>
                </w:tcPr>
                <w:p>
                  <w:pPr>
                    <w:snapToGrid w:val="0"/>
                    <w:spacing w:line="240" w:lineRule="auto"/>
                    <w:ind w:left="11" w:leftChars="-38" w:hanging="102" w:hangingChars="49"/>
                    <w:jc w:val="center"/>
                    <w:rPr>
                      <w:b w:val="0"/>
                      <w:bCs w:val="0"/>
                      <w:color w:val="000000"/>
                      <w:sz w:val="21"/>
                      <w:szCs w:val="21"/>
                    </w:rPr>
                  </w:pPr>
                  <w:r>
                    <w:rPr>
                      <w:b w:val="0"/>
                      <w:bCs w:val="0"/>
                      <w:color w:val="000000"/>
                      <w:sz w:val="21"/>
                      <w:szCs w:val="21"/>
                    </w:rPr>
                    <w:t>0.60</w:t>
                  </w:r>
                </w:p>
              </w:tc>
              <w:tc>
                <w:tcPr>
                  <w:tcW w:w="609" w:type="pct"/>
                  <w:vAlign w:val="center"/>
                </w:tcPr>
                <w:p>
                  <w:pPr>
                    <w:snapToGrid w:val="0"/>
                    <w:spacing w:line="240" w:lineRule="auto"/>
                    <w:ind w:left="11" w:leftChars="-38" w:hanging="102" w:hangingChars="49"/>
                    <w:jc w:val="center"/>
                    <w:rPr>
                      <w:b w:val="0"/>
                      <w:bCs w:val="0"/>
                      <w:color w:val="000000"/>
                      <w:sz w:val="21"/>
                      <w:szCs w:val="21"/>
                    </w:rPr>
                  </w:pPr>
                  <w:r>
                    <w:rPr>
                      <w:b w:val="0"/>
                      <w:bCs w:val="0"/>
                      <w:color w:val="000000"/>
                      <w:sz w:val="21"/>
                      <w:szCs w:val="21"/>
                    </w:rPr>
                    <w:t>0.67</w:t>
                  </w:r>
                </w:p>
              </w:tc>
              <w:tc>
                <w:tcPr>
                  <w:tcW w:w="605" w:type="pct"/>
                  <w:vAlign w:val="center"/>
                </w:tcPr>
                <w:p>
                  <w:pPr>
                    <w:snapToGrid w:val="0"/>
                    <w:spacing w:line="240" w:lineRule="auto"/>
                    <w:ind w:left="11" w:leftChars="-38" w:hanging="102" w:hangingChars="49"/>
                    <w:jc w:val="center"/>
                    <w:rPr>
                      <w:b w:val="0"/>
                      <w:bCs w:val="0"/>
                      <w:color w:val="000000"/>
                      <w:sz w:val="21"/>
                      <w:szCs w:val="21"/>
                    </w:rPr>
                  </w:pPr>
                  <w:r>
                    <w:rPr>
                      <w:b w:val="0"/>
                      <w:bCs w:val="0"/>
                      <w:color w:val="000000"/>
                      <w:sz w:val="21"/>
                      <w:szCs w:val="21"/>
                    </w:rPr>
                    <w:t>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591" w:type="pct"/>
                  <w:gridSpan w:val="2"/>
                  <w:vAlign w:val="center"/>
                </w:tcPr>
                <w:p>
                  <w:pPr>
                    <w:snapToGrid w:val="0"/>
                    <w:spacing w:line="240" w:lineRule="auto"/>
                    <w:ind w:left="11" w:leftChars="-38" w:hanging="102" w:hangingChars="49"/>
                    <w:jc w:val="center"/>
                    <w:rPr>
                      <w:b w:val="0"/>
                      <w:bCs w:val="0"/>
                      <w:color w:val="000000"/>
                      <w:sz w:val="21"/>
                      <w:szCs w:val="21"/>
                    </w:rPr>
                  </w:pPr>
                  <w:r>
                    <w:rPr>
                      <w:rFonts w:hint="eastAsia"/>
                      <w:b w:val="0"/>
                      <w:bCs w:val="0"/>
                      <w:color w:val="000000"/>
                      <w:sz w:val="21"/>
                      <w:szCs w:val="21"/>
                    </w:rPr>
                    <w:t>衰减率（</w:t>
                  </w:r>
                  <w:r>
                    <w:rPr>
                      <w:b w:val="0"/>
                      <w:bCs w:val="0"/>
                      <w:color w:val="000000"/>
                      <w:sz w:val="21"/>
                      <w:szCs w:val="21"/>
                    </w:rPr>
                    <w:t>%</w:t>
                  </w:r>
                  <w:r>
                    <w:rPr>
                      <w:rFonts w:hint="eastAsia"/>
                      <w:b w:val="0"/>
                      <w:bCs w:val="0"/>
                      <w:color w:val="000000"/>
                      <w:sz w:val="21"/>
                      <w:szCs w:val="21"/>
                    </w:rPr>
                    <w:t>）</w:t>
                  </w:r>
                </w:p>
              </w:tc>
              <w:tc>
                <w:tcPr>
                  <w:tcW w:w="812" w:type="pct"/>
                  <w:vAlign w:val="center"/>
                </w:tcPr>
                <w:p>
                  <w:pPr>
                    <w:snapToGrid w:val="0"/>
                    <w:spacing w:line="240" w:lineRule="auto"/>
                    <w:ind w:left="11" w:leftChars="-38" w:hanging="102" w:hangingChars="49"/>
                    <w:jc w:val="center"/>
                    <w:rPr>
                      <w:b w:val="0"/>
                      <w:bCs w:val="0"/>
                      <w:color w:val="000000"/>
                      <w:sz w:val="21"/>
                      <w:szCs w:val="21"/>
                    </w:rPr>
                  </w:pPr>
                  <w:r>
                    <w:rPr>
                      <w:b w:val="0"/>
                      <w:bCs w:val="0"/>
                      <w:color w:val="000000"/>
                      <w:sz w:val="21"/>
                      <w:szCs w:val="21"/>
                    </w:rPr>
                    <w:t>80.2</w:t>
                  </w:r>
                </w:p>
              </w:tc>
              <w:tc>
                <w:tcPr>
                  <w:tcW w:w="732" w:type="pct"/>
                  <w:vAlign w:val="center"/>
                </w:tcPr>
                <w:p>
                  <w:pPr>
                    <w:snapToGrid w:val="0"/>
                    <w:spacing w:line="240" w:lineRule="auto"/>
                    <w:ind w:left="11" w:leftChars="-38" w:hanging="102" w:hangingChars="49"/>
                    <w:jc w:val="center"/>
                    <w:rPr>
                      <w:b w:val="0"/>
                      <w:bCs w:val="0"/>
                      <w:color w:val="000000"/>
                      <w:sz w:val="21"/>
                      <w:szCs w:val="21"/>
                    </w:rPr>
                  </w:pPr>
                  <w:r>
                    <w:rPr>
                      <w:b w:val="0"/>
                      <w:bCs w:val="0"/>
                      <w:color w:val="000000"/>
                      <w:sz w:val="21"/>
                      <w:szCs w:val="21"/>
                    </w:rPr>
                    <w:t>51.6</w:t>
                  </w:r>
                </w:p>
              </w:tc>
              <w:tc>
                <w:tcPr>
                  <w:tcW w:w="648" w:type="pct"/>
                  <w:vAlign w:val="center"/>
                </w:tcPr>
                <w:p>
                  <w:pPr>
                    <w:snapToGrid w:val="0"/>
                    <w:spacing w:line="240" w:lineRule="auto"/>
                    <w:ind w:left="11" w:leftChars="-38" w:hanging="102" w:hangingChars="49"/>
                    <w:jc w:val="center"/>
                    <w:rPr>
                      <w:b w:val="0"/>
                      <w:bCs w:val="0"/>
                      <w:color w:val="000000"/>
                      <w:sz w:val="21"/>
                      <w:szCs w:val="21"/>
                    </w:rPr>
                  </w:pPr>
                  <w:r>
                    <w:rPr>
                      <w:b w:val="0"/>
                      <w:bCs w:val="0"/>
                      <w:color w:val="000000"/>
                      <w:sz w:val="21"/>
                      <w:szCs w:val="21"/>
                    </w:rPr>
                    <w:t>30.2</w:t>
                  </w:r>
                </w:p>
              </w:tc>
              <w:tc>
                <w:tcPr>
                  <w:tcW w:w="609" w:type="pct"/>
                  <w:vAlign w:val="center"/>
                </w:tcPr>
                <w:p>
                  <w:pPr>
                    <w:snapToGrid w:val="0"/>
                    <w:spacing w:line="240" w:lineRule="auto"/>
                    <w:ind w:left="11" w:leftChars="-38" w:hanging="102" w:hangingChars="49"/>
                    <w:jc w:val="center"/>
                    <w:rPr>
                      <w:b w:val="0"/>
                      <w:bCs w:val="0"/>
                      <w:color w:val="000000"/>
                      <w:sz w:val="21"/>
                      <w:szCs w:val="21"/>
                    </w:rPr>
                  </w:pPr>
                  <w:r>
                    <w:rPr>
                      <w:b w:val="0"/>
                      <w:bCs w:val="0"/>
                      <w:color w:val="000000"/>
                      <w:sz w:val="21"/>
                      <w:szCs w:val="21"/>
                    </w:rPr>
                    <w:t>41.7</w:t>
                  </w:r>
                </w:p>
              </w:tc>
              <w:tc>
                <w:tcPr>
                  <w:tcW w:w="605" w:type="pct"/>
                  <w:vAlign w:val="center"/>
                </w:tcPr>
                <w:p>
                  <w:pPr>
                    <w:snapToGrid w:val="0"/>
                    <w:spacing w:line="240" w:lineRule="auto"/>
                    <w:ind w:left="11" w:leftChars="-38" w:hanging="102" w:hangingChars="49"/>
                    <w:jc w:val="center"/>
                    <w:rPr>
                      <w:b w:val="0"/>
                      <w:bCs w:val="0"/>
                      <w:color w:val="000000"/>
                      <w:sz w:val="21"/>
                      <w:szCs w:val="21"/>
                    </w:rPr>
                  </w:pPr>
                  <w:r>
                    <w:rPr>
                      <w:b w:val="0"/>
                      <w:bCs w:val="0"/>
                      <w:color w:val="000000"/>
                      <w:sz w:val="21"/>
                      <w:szCs w:val="21"/>
                    </w:rPr>
                    <w:t>48.2</w:t>
                  </w:r>
                </w:p>
              </w:tc>
            </w:tr>
          </w:tbl>
          <w:p>
            <w:pPr>
              <w:pStyle w:val="31"/>
              <w:snapToGrid w:val="0"/>
              <w:spacing w:beforeAutospacing="0" w:afterAutospacing="0" w:line="360" w:lineRule="auto"/>
              <w:ind w:firstLine="31680"/>
              <w:rPr>
                <w:rFonts w:ascii="Times New Roman"/>
                <w:color w:val="000000"/>
                <w:kern w:val="2"/>
                <w:szCs w:val="24"/>
              </w:rPr>
            </w:pPr>
            <w:r>
              <w:rPr>
                <w:rFonts w:hint="eastAsia" w:ascii="Times New Roman"/>
                <w:color w:val="000000"/>
                <w:kern w:val="2"/>
              </w:rPr>
              <w:t>由上表可知，施工场地每天洒水</w:t>
            </w:r>
            <w:r>
              <w:rPr>
                <w:rFonts w:ascii="Times New Roman"/>
                <w:color w:val="000000"/>
                <w:kern w:val="2"/>
              </w:rPr>
              <w:t>2~3</w:t>
            </w:r>
            <w:r>
              <w:rPr>
                <w:rFonts w:hint="eastAsia" w:ascii="Times New Roman"/>
                <w:color w:val="000000"/>
                <w:kern w:val="2"/>
              </w:rPr>
              <w:t>次进行抑尘，可有效</w:t>
            </w:r>
            <w:r>
              <w:rPr>
                <w:rFonts w:hint="eastAsia" w:ascii="Times New Roman"/>
                <w:color w:val="000000"/>
                <w:kern w:val="2"/>
                <w:lang w:val="en-US" w:eastAsia="zh-CN"/>
              </w:rPr>
              <w:t>抑制</w:t>
            </w:r>
            <w:r>
              <w:rPr>
                <w:rFonts w:hint="eastAsia" w:ascii="Times New Roman"/>
                <w:color w:val="000000"/>
                <w:kern w:val="2"/>
              </w:rPr>
              <w:t>扬尘</w:t>
            </w:r>
            <w:r>
              <w:rPr>
                <w:rFonts w:hint="eastAsia" w:ascii="Times New Roman"/>
                <w:color w:val="000000"/>
                <w:kern w:val="2"/>
                <w:lang w:eastAsia="zh-CN"/>
              </w:rPr>
              <w:t>的</w:t>
            </w:r>
            <w:r>
              <w:rPr>
                <w:rFonts w:hint="eastAsia" w:ascii="Times New Roman"/>
                <w:color w:val="000000"/>
                <w:kern w:val="2"/>
              </w:rPr>
              <w:t>产生，并可将粉尘污染范围缩小</w:t>
            </w:r>
            <w:r>
              <w:rPr>
                <w:rFonts w:ascii="Times New Roman"/>
                <w:color w:val="000000"/>
                <w:kern w:val="2"/>
              </w:rPr>
              <w:t>20~50m</w:t>
            </w:r>
            <w:r>
              <w:rPr>
                <w:rFonts w:hint="eastAsia" w:ascii="Times New Roman"/>
                <w:color w:val="000000"/>
                <w:kern w:val="2"/>
                <w:lang w:eastAsia="zh-CN"/>
              </w:rPr>
              <w:t>，</w:t>
            </w:r>
            <w:r>
              <w:rPr>
                <w:rFonts w:hint="eastAsia" w:ascii="Times New Roman"/>
                <w:color w:val="000000"/>
                <w:kern w:val="2"/>
              </w:rPr>
              <w:t>道路洒水降尘后</w:t>
            </w:r>
            <w:r>
              <w:rPr>
                <w:rFonts w:ascii="Times New Roman"/>
                <w:color w:val="000000"/>
                <w:kern w:val="2"/>
              </w:rPr>
              <w:t>150m</w:t>
            </w:r>
            <w:r>
              <w:rPr>
                <w:rFonts w:hint="eastAsia" w:ascii="Times New Roman"/>
                <w:color w:val="000000"/>
                <w:kern w:val="2"/>
              </w:rPr>
              <w:t>内无组织颗粒物排放浓度可以达到《大气污染物综合排放标准》（</w:t>
            </w:r>
            <w:r>
              <w:rPr>
                <w:rFonts w:ascii="Times New Roman"/>
                <w:color w:val="000000"/>
                <w:kern w:val="2"/>
              </w:rPr>
              <w:t>GB16297</w:t>
            </w:r>
            <w:r>
              <w:rPr>
                <w:rFonts w:hint="eastAsia" w:ascii="Times New Roman"/>
                <w:color w:val="000000"/>
                <w:kern w:val="2"/>
                <w:lang w:val="en-US" w:eastAsia="zh-CN"/>
              </w:rPr>
              <w:t>-</w:t>
            </w:r>
            <w:r>
              <w:rPr>
                <w:rFonts w:ascii="Times New Roman"/>
                <w:color w:val="000000"/>
                <w:kern w:val="2"/>
              </w:rPr>
              <w:t>1996</w:t>
            </w:r>
            <w:r>
              <w:rPr>
                <w:rFonts w:hint="eastAsia" w:ascii="Times New Roman"/>
                <w:color w:val="000000"/>
                <w:kern w:val="2"/>
              </w:rPr>
              <w:t>）二级标准限值要求。</w:t>
            </w:r>
          </w:p>
          <w:p>
            <w:pPr>
              <w:adjustRightInd w:val="0"/>
              <w:snapToGrid w:val="0"/>
              <w:spacing w:line="360" w:lineRule="auto"/>
              <w:ind w:firstLine="31680"/>
              <w:rPr>
                <w:color w:val="000000"/>
              </w:rPr>
            </w:pPr>
            <w:r>
              <w:rPr>
                <w:rFonts w:hint="default" w:ascii="Times New Roman" w:hAnsi="Times New Roman" w:cs="Times New Roman"/>
                <w:color w:val="000000"/>
              </w:rPr>
              <w:t>（</w:t>
            </w:r>
            <w:r>
              <w:rPr>
                <w:color w:val="000000"/>
              </w:rPr>
              <w:t>2</w:t>
            </w:r>
            <w:r>
              <w:rPr>
                <w:rFonts w:hint="eastAsia" w:hAnsi="宋体"/>
                <w:color w:val="000000"/>
              </w:rPr>
              <w:t>）风力扬尘</w:t>
            </w:r>
          </w:p>
          <w:p>
            <w:pPr>
              <w:adjustRightInd w:val="0"/>
              <w:snapToGrid w:val="0"/>
              <w:spacing w:line="360" w:lineRule="auto"/>
              <w:ind w:firstLine="31680"/>
              <w:rPr>
                <w:color w:val="000000"/>
              </w:rPr>
            </w:pPr>
            <w:r>
              <w:rPr>
                <w:rFonts w:hint="eastAsia" w:hAnsi="宋体"/>
                <w:color w:val="000000"/>
              </w:rPr>
              <w:t>施工现场扬尘产生的另一个主要原因是露天堆场和裸露场地的风力扬尘</w:t>
            </w:r>
            <w:r>
              <w:rPr>
                <w:rFonts w:hint="eastAsia" w:hAnsi="宋体"/>
                <w:color w:val="000000"/>
                <w:lang w:eastAsia="zh-CN"/>
              </w:rPr>
              <w:t>，</w:t>
            </w:r>
            <w:r>
              <w:rPr>
                <w:rFonts w:hint="eastAsia" w:hAnsi="宋体"/>
                <w:color w:val="000000"/>
              </w:rPr>
              <w:t>在气候干燥又有风的情况下，会产生扬尘。</w:t>
            </w:r>
          </w:p>
          <w:p>
            <w:pPr>
              <w:adjustRightInd w:val="0"/>
              <w:snapToGrid w:val="0"/>
              <w:spacing w:line="360" w:lineRule="auto"/>
              <w:ind w:firstLine="31680"/>
              <w:rPr>
                <w:color w:val="000000"/>
              </w:rPr>
            </w:pPr>
            <w:r>
              <w:rPr>
                <w:rFonts w:hint="eastAsia" w:hAnsi="宋体"/>
                <w:color w:val="000000"/>
              </w:rPr>
              <w:t>尘粒在空气中的传播扩散情况与风速等气候条件有关，也与尘粒本身的沉降速度有关</w:t>
            </w:r>
            <w:r>
              <w:rPr>
                <w:rFonts w:hint="eastAsia" w:hAnsi="宋体"/>
                <w:color w:val="000000"/>
                <w:lang w:eastAsia="zh-CN"/>
              </w:rPr>
              <w:t>，</w:t>
            </w:r>
            <w:r>
              <w:rPr>
                <w:rFonts w:hint="eastAsia" w:hAnsi="宋体"/>
                <w:color w:val="000000"/>
              </w:rPr>
              <w:t>不同粒径的尘粒的沉降速度见表</w:t>
            </w:r>
            <w:r>
              <w:rPr>
                <w:color w:val="000000"/>
              </w:rPr>
              <w:t>4</w:t>
            </w:r>
            <w:r>
              <w:rPr>
                <w:rFonts w:hint="eastAsia"/>
                <w:color w:val="000000"/>
                <w:lang w:val="en-US" w:eastAsia="zh-CN"/>
              </w:rPr>
              <w:t>-3</w:t>
            </w:r>
            <w:r>
              <w:rPr>
                <w:rFonts w:hint="eastAsia" w:hAnsi="宋体"/>
                <w:color w:val="000000"/>
              </w:rPr>
              <w:t>。</w:t>
            </w:r>
          </w:p>
          <w:p>
            <w:pPr>
              <w:adjustRightInd w:val="0"/>
              <w:snapToGrid w:val="0"/>
              <w:spacing w:line="240" w:lineRule="auto"/>
              <w:ind w:firstLine="31680"/>
              <w:jc w:val="center"/>
              <w:rPr>
                <w:rFonts w:hAnsi="宋体"/>
                <w:b/>
                <w:bCs/>
                <w:color w:val="000000"/>
                <w:sz w:val="21"/>
                <w:szCs w:val="21"/>
              </w:rPr>
            </w:pPr>
            <w:r>
              <w:rPr>
                <w:rFonts w:hint="eastAsia" w:hAnsi="宋体"/>
                <w:b/>
                <w:bCs/>
                <w:color w:val="000000"/>
                <w:sz w:val="21"/>
                <w:szCs w:val="21"/>
              </w:rPr>
              <w:t>表</w:t>
            </w:r>
            <w:r>
              <w:rPr>
                <w:rFonts w:hAnsi="宋体"/>
                <w:b/>
                <w:bCs/>
                <w:color w:val="000000"/>
                <w:sz w:val="21"/>
                <w:szCs w:val="21"/>
              </w:rPr>
              <w:t>4-</w:t>
            </w:r>
            <w:r>
              <w:rPr>
                <w:rFonts w:hint="eastAsia" w:hAnsi="宋体"/>
                <w:b/>
                <w:bCs/>
                <w:color w:val="000000"/>
                <w:sz w:val="21"/>
                <w:szCs w:val="21"/>
                <w:lang w:val="en-US" w:eastAsia="zh-CN"/>
              </w:rPr>
              <w:t>3</w:t>
            </w:r>
            <w:r>
              <w:rPr>
                <w:rFonts w:hAnsi="宋体"/>
                <w:b/>
                <w:bCs/>
                <w:color w:val="000000"/>
                <w:sz w:val="21"/>
                <w:szCs w:val="21"/>
              </w:rPr>
              <w:t xml:space="preserve">   </w:t>
            </w:r>
            <w:r>
              <w:rPr>
                <w:rFonts w:hint="eastAsia" w:hAnsi="宋体"/>
                <w:b/>
                <w:bCs/>
                <w:color w:val="000000"/>
                <w:sz w:val="21"/>
                <w:szCs w:val="21"/>
                <w:lang w:val="en-US" w:eastAsia="zh-CN"/>
              </w:rPr>
              <w:t xml:space="preserve">   </w:t>
            </w:r>
            <w:r>
              <w:rPr>
                <w:rFonts w:hAnsi="宋体"/>
                <w:b/>
                <w:bCs/>
                <w:color w:val="000000"/>
                <w:sz w:val="21"/>
                <w:szCs w:val="21"/>
              </w:rPr>
              <w:t xml:space="preserve"> </w:t>
            </w:r>
            <w:r>
              <w:rPr>
                <w:rFonts w:hint="eastAsia" w:hAnsi="宋体"/>
                <w:b/>
                <w:bCs/>
                <w:color w:val="000000"/>
                <w:sz w:val="21"/>
                <w:szCs w:val="21"/>
                <w:lang w:val="en-US" w:eastAsia="zh-CN"/>
              </w:rPr>
              <w:t xml:space="preserve">   </w:t>
            </w:r>
            <w:r>
              <w:rPr>
                <w:rFonts w:hint="eastAsia" w:hAnsi="宋体"/>
                <w:b/>
                <w:bCs/>
                <w:color w:val="000000"/>
                <w:sz w:val="21"/>
                <w:szCs w:val="21"/>
              </w:rPr>
              <w:t>不同粒径尘粒的沉降速度</w:t>
            </w:r>
          </w:p>
          <w:tbl>
            <w:tblPr>
              <w:tblStyle w:val="3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921"/>
              <w:gridCol w:w="919"/>
              <w:gridCol w:w="919"/>
              <w:gridCol w:w="919"/>
              <w:gridCol w:w="919"/>
              <w:gridCol w:w="919"/>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51" w:type="pct"/>
                  <w:vAlign w:val="center"/>
                </w:tcPr>
                <w:p>
                  <w:pPr>
                    <w:snapToGrid w:val="0"/>
                    <w:spacing w:line="240" w:lineRule="auto"/>
                    <w:ind w:firstLine="0" w:firstLineChars="0"/>
                    <w:jc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rPr>
                    <w:t>粒径</w:t>
                  </w:r>
                  <w:r>
                    <w:rPr>
                      <w:rFonts w:hint="default" w:ascii="Times New Roman" w:hAnsi="Times New Roman" w:eastAsia="宋体" w:cs="Times New Roman"/>
                      <w:color w:val="000000"/>
                      <w:sz w:val="21"/>
                      <w:szCs w:val="21"/>
                      <w:lang w:val="en-US" w:eastAsia="zh-CN"/>
                    </w:rPr>
                    <w:t>（</w:t>
                  </w:r>
                  <w:r>
                    <w:rPr>
                      <w:rFonts w:hint="default" w:ascii="Times New Roman" w:hAnsi="Times New Roman" w:cs="Times New Roman"/>
                      <w:b w:val="0"/>
                      <w:bCs w:val="0"/>
                      <w:color w:val="000000"/>
                      <w:sz w:val="21"/>
                      <w:szCs w:val="21"/>
                    </w:rPr>
                    <w:t>微米)</w:t>
                  </w:r>
                </w:p>
              </w:tc>
              <w:tc>
                <w:tcPr>
                  <w:tcW w:w="579" w:type="pct"/>
                  <w:vAlign w:val="center"/>
                </w:tcPr>
                <w:p>
                  <w:pPr>
                    <w:snapToGrid w:val="0"/>
                    <w:spacing w:line="240" w:lineRule="auto"/>
                    <w:ind w:firstLine="0" w:firstLineChars="0"/>
                    <w:jc w:val="center"/>
                    <w:rPr>
                      <w:b w:val="0"/>
                      <w:bCs w:val="0"/>
                      <w:color w:val="000000"/>
                      <w:sz w:val="21"/>
                      <w:szCs w:val="21"/>
                    </w:rPr>
                  </w:pPr>
                  <w:r>
                    <w:rPr>
                      <w:b w:val="0"/>
                      <w:bCs w:val="0"/>
                      <w:color w:val="000000"/>
                      <w:sz w:val="21"/>
                      <w:szCs w:val="21"/>
                    </w:rPr>
                    <w:t>10</w:t>
                  </w:r>
                </w:p>
              </w:tc>
              <w:tc>
                <w:tcPr>
                  <w:tcW w:w="578" w:type="pct"/>
                  <w:vAlign w:val="center"/>
                </w:tcPr>
                <w:p>
                  <w:pPr>
                    <w:snapToGrid w:val="0"/>
                    <w:spacing w:line="240" w:lineRule="auto"/>
                    <w:ind w:firstLine="0" w:firstLineChars="0"/>
                    <w:jc w:val="center"/>
                    <w:rPr>
                      <w:b w:val="0"/>
                      <w:bCs w:val="0"/>
                      <w:color w:val="000000"/>
                      <w:sz w:val="21"/>
                      <w:szCs w:val="21"/>
                    </w:rPr>
                  </w:pPr>
                  <w:r>
                    <w:rPr>
                      <w:b w:val="0"/>
                      <w:bCs w:val="0"/>
                      <w:color w:val="000000"/>
                      <w:sz w:val="21"/>
                      <w:szCs w:val="21"/>
                    </w:rPr>
                    <w:t>20</w:t>
                  </w:r>
                </w:p>
              </w:tc>
              <w:tc>
                <w:tcPr>
                  <w:tcW w:w="578" w:type="pct"/>
                  <w:vAlign w:val="center"/>
                </w:tcPr>
                <w:p>
                  <w:pPr>
                    <w:snapToGrid w:val="0"/>
                    <w:spacing w:line="240" w:lineRule="auto"/>
                    <w:ind w:firstLine="0" w:firstLineChars="0"/>
                    <w:jc w:val="center"/>
                    <w:rPr>
                      <w:b w:val="0"/>
                      <w:bCs w:val="0"/>
                      <w:color w:val="000000"/>
                      <w:sz w:val="21"/>
                      <w:szCs w:val="21"/>
                    </w:rPr>
                  </w:pPr>
                  <w:r>
                    <w:rPr>
                      <w:b w:val="0"/>
                      <w:bCs w:val="0"/>
                      <w:color w:val="000000"/>
                      <w:sz w:val="21"/>
                      <w:szCs w:val="21"/>
                    </w:rPr>
                    <w:t>30</w:t>
                  </w:r>
                </w:p>
              </w:tc>
              <w:tc>
                <w:tcPr>
                  <w:tcW w:w="578" w:type="pct"/>
                  <w:vAlign w:val="center"/>
                </w:tcPr>
                <w:p>
                  <w:pPr>
                    <w:snapToGrid w:val="0"/>
                    <w:spacing w:line="240" w:lineRule="auto"/>
                    <w:ind w:firstLine="0" w:firstLineChars="0"/>
                    <w:jc w:val="center"/>
                    <w:rPr>
                      <w:b w:val="0"/>
                      <w:bCs w:val="0"/>
                      <w:color w:val="000000"/>
                      <w:sz w:val="21"/>
                      <w:szCs w:val="21"/>
                    </w:rPr>
                  </w:pPr>
                  <w:r>
                    <w:rPr>
                      <w:b w:val="0"/>
                      <w:bCs w:val="0"/>
                      <w:color w:val="000000"/>
                      <w:sz w:val="21"/>
                      <w:szCs w:val="21"/>
                    </w:rPr>
                    <w:t>40</w:t>
                  </w:r>
                </w:p>
              </w:tc>
              <w:tc>
                <w:tcPr>
                  <w:tcW w:w="578" w:type="pct"/>
                  <w:vAlign w:val="center"/>
                </w:tcPr>
                <w:p>
                  <w:pPr>
                    <w:snapToGrid w:val="0"/>
                    <w:spacing w:line="240" w:lineRule="auto"/>
                    <w:ind w:firstLine="0" w:firstLineChars="0"/>
                    <w:jc w:val="center"/>
                    <w:rPr>
                      <w:b w:val="0"/>
                      <w:bCs w:val="0"/>
                      <w:color w:val="000000"/>
                      <w:sz w:val="21"/>
                      <w:szCs w:val="21"/>
                    </w:rPr>
                  </w:pPr>
                  <w:r>
                    <w:rPr>
                      <w:b w:val="0"/>
                      <w:bCs w:val="0"/>
                      <w:color w:val="000000"/>
                      <w:sz w:val="21"/>
                      <w:szCs w:val="21"/>
                    </w:rPr>
                    <w:t>50</w:t>
                  </w:r>
                </w:p>
              </w:tc>
              <w:tc>
                <w:tcPr>
                  <w:tcW w:w="578" w:type="pct"/>
                  <w:vAlign w:val="center"/>
                </w:tcPr>
                <w:p>
                  <w:pPr>
                    <w:snapToGrid w:val="0"/>
                    <w:spacing w:line="240" w:lineRule="auto"/>
                    <w:ind w:firstLine="0" w:firstLineChars="0"/>
                    <w:jc w:val="center"/>
                    <w:rPr>
                      <w:b w:val="0"/>
                      <w:bCs w:val="0"/>
                      <w:color w:val="000000"/>
                      <w:sz w:val="21"/>
                      <w:szCs w:val="21"/>
                    </w:rPr>
                  </w:pPr>
                  <w:r>
                    <w:rPr>
                      <w:b w:val="0"/>
                      <w:bCs w:val="0"/>
                      <w:color w:val="000000"/>
                      <w:sz w:val="21"/>
                      <w:szCs w:val="21"/>
                    </w:rPr>
                    <w:t>60</w:t>
                  </w:r>
                </w:p>
              </w:tc>
              <w:tc>
                <w:tcPr>
                  <w:tcW w:w="576" w:type="pct"/>
                  <w:vAlign w:val="center"/>
                </w:tcPr>
                <w:p>
                  <w:pPr>
                    <w:snapToGrid w:val="0"/>
                    <w:spacing w:line="240" w:lineRule="auto"/>
                    <w:ind w:firstLine="0" w:firstLineChars="0"/>
                    <w:jc w:val="center"/>
                    <w:rPr>
                      <w:b w:val="0"/>
                      <w:bCs w:val="0"/>
                      <w:color w:val="000000"/>
                      <w:sz w:val="21"/>
                      <w:szCs w:val="21"/>
                    </w:rPr>
                  </w:pPr>
                  <w:r>
                    <w:rPr>
                      <w:b w:val="0"/>
                      <w:bCs w:val="0"/>
                      <w:color w:val="000000"/>
                      <w:sz w:val="21"/>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951" w:type="pct"/>
                  <w:vAlign w:val="center"/>
                </w:tcPr>
                <w:p>
                  <w:pPr>
                    <w:snapToGrid w:val="0"/>
                    <w:spacing w:line="240" w:lineRule="auto"/>
                    <w:ind w:firstLine="0" w:firstLineChars="0"/>
                    <w:jc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rPr>
                    <w:t>沉降速度</w:t>
                  </w:r>
                </w:p>
                <w:p>
                  <w:pPr>
                    <w:snapToGrid w:val="0"/>
                    <w:spacing w:line="240" w:lineRule="auto"/>
                    <w:ind w:firstLine="0" w:firstLineChars="0"/>
                    <w:jc w:val="center"/>
                    <w:rPr>
                      <w:rFonts w:hint="default" w:ascii="Times New Roman" w:hAnsi="Times New Roman" w:cs="Times New Roman"/>
                      <w:b w:val="0"/>
                      <w:bCs w:val="0"/>
                      <w:color w:val="000000"/>
                      <w:sz w:val="21"/>
                      <w:szCs w:val="21"/>
                    </w:rPr>
                  </w:pPr>
                  <w:r>
                    <w:rPr>
                      <w:rFonts w:hint="default" w:ascii="Times New Roman" w:hAnsi="Times New Roman" w:eastAsia="宋体" w:cs="Times New Roman"/>
                      <w:color w:val="000000"/>
                      <w:sz w:val="21"/>
                      <w:szCs w:val="21"/>
                      <w:lang w:val="en-US" w:eastAsia="zh-CN"/>
                    </w:rPr>
                    <w:t>（</w:t>
                  </w:r>
                  <w:r>
                    <w:rPr>
                      <w:rFonts w:hint="default" w:ascii="Times New Roman" w:hAnsi="Times New Roman" w:cs="Times New Roman"/>
                      <w:b w:val="0"/>
                      <w:bCs w:val="0"/>
                      <w:color w:val="000000"/>
                      <w:sz w:val="21"/>
                      <w:szCs w:val="21"/>
                    </w:rPr>
                    <w:t>m/s</w:t>
                  </w:r>
                  <w:r>
                    <w:rPr>
                      <w:rFonts w:hint="default" w:ascii="Times New Roman" w:hAnsi="Times New Roman" w:eastAsia="宋体" w:cs="Times New Roman"/>
                      <w:color w:val="000000"/>
                      <w:sz w:val="21"/>
                      <w:szCs w:val="21"/>
                      <w:lang w:val="en-US" w:eastAsia="zh-CN"/>
                    </w:rPr>
                    <w:t>）</w:t>
                  </w:r>
                </w:p>
              </w:tc>
              <w:tc>
                <w:tcPr>
                  <w:tcW w:w="579" w:type="pct"/>
                  <w:vAlign w:val="center"/>
                </w:tcPr>
                <w:p>
                  <w:pPr>
                    <w:snapToGrid w:val="0"/>
                    <w:spacing w:line="240" w:lineRule="auto"/>
                    <w:ind w:firstLine="0" w:firstLineChars="0"/>
                    <w:jc w:val="center"/>
                    <w:rPr>
                      <w:b w:val="0"/>
                      <w:bCs w:val="0"/>
                      <w:color w:val="000000"/>
                      <w:sz w:val="21"/>
                      <w:szCs w:val="21"/>
                    </w:rPr>
                  </w:pPr>
                  <w:r>
                    <w:rPr>
                      <w:b w:val="0"/>
                      <w:bCs w:val="0"/>
                      <w:color w:val="000000"/>
                      <w:sz w:val="21"/>
                      <w:szCs w:val="21"/>
                    </w:rPr>
                    <w:t>0.0</w:t>
                  </w:r>
                  <w:r>
                    <w:rPr>
                      <w:rFonts w:ascii="宋体"/>
                      <w:b w:val="0"/>
                      <w:bCs w:val="0"/>
                      <w:color w:val="000000"/>
                      <w:sz w:val="21"/>
                      <w:szCs w:val="21"/>
                    </w:rPr>
                    <w:t>0</w:t>
                  </w:r>
                  <w:r>
                    <w:rPr>
                      <w:b w:val="0"/>
                      <w:bCs w:val="0"/>
                      <w:color w:val="000000"/>
                      <w:sz w:val="21"/>
                      <w:szCs w:val="21"/>
                    </w:rPr>
                    <w:t>3</w:t>
                  </w:r>
                </w:p>
              </w:tc>
              <w:tc>
                <w:tcPr>
                  <w:tcW w:w="578" w:type="pct"/>
                  <w:vAlign w:val="center"/>
                </w:tcPr>
                <w:p>
                  <w:pPr>
                    <w:snapToGrid w:val="0"/>
                    <w:spacing w:line="240" w:lineRule="auto"/>
                    <w:ind w:firstLine="0" w:firstLineChars="0"/>
                    <w:jc w:val="center"/>
                    <w:rPr>
                      <w:b w:val="0"/>
                      <w:bCs w:val="0"/>
                      <w:color w:val="000000"/>
                      <w:sz w:val="21"/>
                      <w:szCs w:val="21"/>
                    </w:rPr>
                  </w:pPr>
                  <w:r>
                    <w:rPr>
                      <w:b w:val="0"/>
                      <w:bCs w:val="0"/>
                      <w:color w:val="000000"/>
                      <w:sz w:val="21"/>
                      <w:szCs w:val="21"/>
                    </w:rPr>
                    <w:t>0.012</w:t>
                  </w:r>
                </w:p>
              </w:tc>
              <w:tc>
                <w:tcPr>
                  <w:tcW w:w="578" w:type="pct"/>
                  <w:vAlign w:val="center"/>
                </w:tcPr>
                <w:p>
                  <w:pPr>
                    <w:snapToGrid w:val="0"/>
                    <w:spacing w:line="240" w:lineRule="auto"/>
                    <w:ind w:firstLine="0" w:firstLineChars="0"/>
                    <w:jc w:val="center"/>
                    <w:rPr>
                      <w:b w:val="0"/>
                      <w:bCs w:val="0"/>
                      <w:color w:val="000000"/>
                      <w:sz w:val="21"/>
                      <w:szCs w:val="21"/>
                    </w:rPr>
                  </w:pPr>
                  <w:r>
                    <w:rPr>
                      <w:b w:val="0"/>
                      <w:bCs w:val="0"/>
                      <w:color w:val="000000"/>
                      <w:sz w:val="21"/>
                      <w:szCs w:val="21"/>
                    </w:rPr>
                    <w:t>0.027</w:t>
                  </w:r>
                </w:p>
              </w:tc>
              <w:tc>
                <w:tcPr>
                  <w:tcW w:w="578" w:type="pct"/>
                  <w:vAlign w:val="center"/>
                </w:tcPr>
                <w:p>
                  <w:pPr>
                    <w:snapToGrid w:val="0"/>
                    <w:spacing w:line="240" w:lineRule="auto"/>
                    <w:ind w:firstLine="0" w:firstLineChars="0"/>
                    <w:jc w:val="center"/>
                    <w:rPr>
                      <w:b w:val="0"/>
                      <w:bCs w:val="0"/>
                      <w:color w:val="000000"/>
                      <w:sz w:val="21"/>
                      <w:szCs w:val="21"/>
                    </w:rPr>
                  </w:pPr>
                  <w:r>
                    <w:rPr>
                      <w:b w:val="0"/>
                      <w:bCs w:val="0"/>
                      <w:color w:val="000000"/>
                      <w:sz w:val="21"/>
                      <w:szCs w:val="21"/>
                    </w:rPr>
                    <w:t>0.048</w:t>
                  </w:r>
                </w:p>
              </w:tc>
              <w:tc>
                <w:tcPr>
                  <w:tcW w:w="578" w:type="pct"/>
                  <w:vAlign w:val="center"/>
                </w:tcPr>
                <w:p>
                  <w:pPr>
                    <w:snapToGrid w:val="0"/>
                    <w:spacing w:line="240" w:lineRule="auto"/>
                    <w:ind w:firstLine="0" w:firstLineChars="0"/>
                    <w:jc w:val="center"/>
                    <w:rPr>
                      <w:b w:val="0"/>
                      <w:bCs w:val="0"/>
                      <w:color w:val="000000"/>
                      <w:sz w:val="21"/>
                      <w:szCs w:val="21"/>
                    </w:rPr>
                  </w:pPr>
                  <w:r>
                    <w:rPr>
                      <w:b w:val="0"/>
                      <w:bCs w:val="0"/>
                      <w:color w:val="000000"/>
                      <w:sz w:val="21"/>
                      <w:szCs w:val="21"/>
                    </w:rPr>
                    <w:t>0.075</w:t>
                  </w:r>
                </w:p>
              </w:tc>
              <w:tc>
                <w:tcPr>
                  <w:tcW w:w="578" w:type="pct"/>
                  <w:vAlign w:val="center"/>
                </w:tcPr>
                <w:p>
                  <w:pPr>
                    <w:snapToGrid w:val="0"/>
                    <w:spacing w:line="240" w:lineRule="auto"/>
                    <w:ind w:firstLine="0" w:firstLineChars="0"/>
                    <w:jc w:val="center"/>
                    <w:rPr>
                      <w:b w:val="0"/>
                      <w:bCs w:val="0"/>
                      <w:color w:val="000000"/>
                      <w:sz w:val="21"/>
                      <w:szCs w:val="21"/>
                    </w:rPr>
                  </w:pPr>
                  <w:r>
                    <w:rPr>
                      <w:b w:val="0"/>
                      <w:bCs w:val="0"/>
                      <w:color w:val="000000"/>
                      <w:sz w:val="21"/>
                      <w:szCs w:val="21"/>
                    </w:rPr>
                    <w:t>0.108</w:t>
                  </w:r>
                </w:p>
              </w:tc>
              <w:tc>
                <w:tcPr>
                  <w:tcW w:w="576" w:type="pct"/>
                  <w:vAlign w:val="center"/>
                </w:tcPr>
                <w:p>
                  <w:pPr>
                    <w:snapToGrid w:val="0"/>
                    <w:spacing w:line="240" w:lineRule="auto"/>
                    <w:ind w:firstLine="0" w:firstLineChars="0"/>
                    <w:jc w:val="center"/>
                    <w:rPr>
                      <w:b w:val="0"/>
                      <w:bCs w:val="0"/>
                      <w:color w:val="000000"/>
                      <w:sz w:val="21"/>
                      <w:szCs w:val="21"/>
                    </w:rPr>
                  </w:pPr>
                  <w:r>
                    <w:rPr>
                      <w:b w:val="0"/>
                      <w:bCs w:val="0"/>
                      <w:color w:val="000000"/>
                      <w:sz w:val="21"/>
                      <w:szCs w:val="21"/>
                    </w:rPr>
                    <w:t>0.147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1" w:type="pct"/>
                  <w:vAlign w:val="center"/>
                </w:tcPr>
                <w:p>
                  <w:pPr>
                    <w:snapToGrid w:val="0"/>
                    <w:spacing w:line="240" w:lineRule="auto"/>
                    <w:ind w:firstLine="0" w:firstLineChars="0"/>
                    <w:jc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rPr>
                    <w:t>粒径</w:t>
                  </w:r>
                  <w:r>
                    <w:rPr>
                      <w:rFonts w:hint="default" w:ascii="Times New Roman" w:hAnsi="Times New Roman" w:eastAsia="宋体" w:cs="Times New Roman"/>
                      <w:color w:val="000000"/>
                      <w:sz w:val="21"/>
                      <w:szCs w:val="21"/>
                      <w:lang w:val="en-US" w:eastAsia="zh-CN"/>
                    </w:rPr>
                    <w:t>（</w:t>
                  </w:r>
                  <w:r>
                    <w:rPr>
                      <w:rFonts w:hint="default" w:ascii="Times New Roman" w:hAnsi="Times New Roman" w:cs="Times New Roman"/>
                      <w:b w:val="0"/>
                      <w:bCs w:val="0"/>
                      <w:color w:val="000000"/>
                      <w:sz w:val="21"/>
                      <w:szCs w:val="21"/>
                    </w:rPr>
                    <w:t>μm</w:t>
                  </w:r>
                  <w:r>
                    <w:rPr>
                      <w:rFonts w:hint="default" w:ascii="Times New Roman" w:hAnsi="Times New Roman" w:eastAsia="宋体" w:cs="Times New Roman"/>
                      <w:color w:val="000000"/>
                      <w:sz w:val="21"/>
                      <w:szCs w:val="21"/>
                      <w:lang w:val="en-US" w:eastAsia="zh-CN"/>
                    </w:rPr>
                    <w:t>）</w:t>
                  </w:r>
                </w:p>
              </w:tc>
              <w:tc>
                <w:tcPr>
                  <w:tcW w:w="579" w:type="pct"/>
                  <w:vAlign w:val="center"/>
                </w:tcPr>
                <w:p>
                  <w:pPr>
                    <w:snapToGrid w:val="0"/>
                    <w:spacing w:line="240" w:lineRule="auto"/>
                    <w:ind w:firstLine="0" w:firstLineChars="0"/>
                    <w:jc w:val="center"/>
                    <w:rPr>
                      <w:b w:val="0"/>
                      <w:bCs w:val="0"/>
                      <w:color w:val="000000"/>
                      <w:sz w:val="21"/>
                      <w:szCs w:val="21"/>
                    </w:rPr>
                  </w:pPr>
                  <w:r>
                    <w:rPr>
                      <w:b w:val="0"/>
                      <w:bCs w:val="0"/>
                      <w:color w:val="000000"/>
                      <w:sz w:val="21"/>
                      <w:szCs w:val="21"/>
                    </w:rPr>
                    <w:t>80</w:t>
                  </w:r>
                </w:p>
              </w:tc>
              <w:tc>
                <w:tcPr>
                  <w:tcW w:w="578" w:type="pct"/>
                  <w:vAlign w:val="center"/>
                </w:tcPr>
                <w:p>
                  <w:pPr>
                    <w:snapToGrid w:val="0"/>
                    <w:spacing w:line="240" w:lineRule="auto"/>
                    <w:ind w:firstLine="0" w:firstLineChars="0"/>
                    <w:jc w:val="center"/>
                    <w:rPr>
                      <w:b w:val="0"/>
                      <w:bCs w:val="0"/>
                      <w:color w:val="000000"/>
                      <w:sz w:val="21"/>
                      <w:szCs w:val="21"/>
                    </w:rPr>
                  </w:pPr>
                  <w:r>
                    <w:rPr>
                      <w:b w:val="0"/>
                      <w:bCs w:val="0"/>
                      <w:color w:val="000000"/>
                      <w:sz w:val="21"/>
                      <w:szCs w:val="21"/>
                    </w:rPr>
                    <w:t>90</w:t>
                  </w:r>
                </w:p>
              </w:tc>
              <w:tc>
                <w:tcPr>
                  <w:tcW w:w="578" w:type="pct"/>
                  <w:vAlign w:val="center"/>
                </w:tcPr>
                <w:p>
                  <w:pPr>
                    <w:snapToGrid w:val="0"/>
                    <w:spacing w:line="240" w:lineRule="auto"/>
                    <w:ind w:firstLine="0" w:firstLineChars="0"/>
                    <w:jc w:val="center"/>
                    <w:rPr>
                      <w:b w:val="0"/>
                      <w:bCs w:val="0"/>
                      <w:color w:val="000000"/>
                      <w:sz w:val="21"/>
                      <w:szCs w:val="21"/>
                    </w:rPr>
                  </w:pPr>
                  <w:r>
                    <w:rPr>
                      <w:b w:val="0"/>
                      <w:bCs w:val="0"/>
                      <w:color w:val="000000"/>
                      <w:sz w:val="21"/>
                      <w:szCs w:val="21"/>
                    </w:rPr>
                    <w:t>100</w:t>
                  </w:r>
                </w:p>
              </w:tc>
              <w:tc>
                <w:tcPr>
                  <w:tcW w:w="578" w:type="pct"/>
                  <w:vAlign w:val="center"/>
                </w:tcPr>
                <w:p>
                  <w:pPr>
                    <w:snapToGrid w:val="0"/>
                    <w:spacing w:line="240" w:lineRule="auto"/>
                    <w:ind w:firstLine="0" w:firstLineChars="0"/>
                    <w:jc w:val="center"/>
                    <w:rPr>
                      <w:b w:val="0"/>
                      <w:bCs w:val="0"/>
                      <w:color w:val="000000"/>
                      <w:sz w:val="21"/>
                      <w:szCs w:val="21"/>
                    </w:rPr>
                  </w:pPr>
                  <w:r>
                    <w:rPr>
                      <w:b w:val="0"/>
                      <w:bCs w:val="0"/>
                      <w:color w:val="000000"/>
                      <w:sz w:val="21"/>
                      <w:szCs w:val="21"/>
                    </w:rPr>
                    <w:t>150</w:t>
                  </w:r>
                </w:p>
              </w:tc>
              <w:tc>
                <w:tcPr>
                  <w:tcW w:w="578" w:type="pct"/>
                  <w:vAlign w:val="center"/>
                </w:tcPr>
                <w:p>
                  <w:pPr>
                    <w:snapToGrid w:val="0"/>
                    <w:spacing w:line="240" w:lineRule="auto"/>
                    <w:ind w:firstLine="0" w:firstLineChars="0"/>
                    <w:jc w:val="center"/>
                    <w:rPr>
                      <w:b w:val="0"/>
                      <w:bCs w:val="0"/>
                      <w:color w:val="000000"/>
                      <w:sz w:val="21"/>
                      <w:szCs w:val="21"/>
                    </w:rPr>
                  </w:pPr>
                  <w:r>
                    <w:rPr>
                      <w:b w:val="0"/>
                      <w:bCs w:val="0"/>
                      <w:color w:val="000000"/>
                      <w:sz w:val="21"/>
                      <w:szCs w:val="21"/>
                    </w:rPr>
                    <w:t>200</w:t>
                  </w:r>
                </w:p>
              </w:tc>
              <w:tc>
                <w:tcPr>
                  <w:tcW w:w="578" w:type="pct"/>
                  <w:vAlign w:val="center"/>
                </w:tcPr>
                <w:p>
                  <w:pPr>
                    <w:snapToGrid w:val="0"/>
                    <w:spacing w:line="240" w:lineRule="auto"/>
                    <w:ind w:firstLine="0" w:firstLineChars="0"/>
                    <w:jc w:val="center"/>
                    <w:rPr>
                      <w:b w:val="0"/>
                      <w:bCs w:val="0"/>
                      <w:color w:val="000000"/>
                      <w:sz w:val="21"/>
                      <w:szCs w:val="21"/>
                    </w:rPr>
                  </w:pPr>
                  <w:r>
                    <w:rPr>
                      <w:b w:val="0"/>
                      <w:bCs w:val="0"/>
                      <w:color w:val="000000"/>
                      <w:sz w:val="21"/>
                      <w:szCs w:val="21"/>
                    </w:rPr>
                    <w:t>250</w:t>
                  </w:r>
                </w:p>
              </w:tc>
              <w:tc>
                <w:tcPr>
                  <w:tcW w:w="576" w:type="pct"/>
                  <w:vAlign w:val="center"/>
                </w:tcPr>
                <w:p>
                  <w:pPr>
                    <w:snapToGrid w:val="0"/>
                    <w:spacing w:line="240" w:lineRule="auto"/>
                    <w:ind w:firstLine="0" w:firstLineChars="0"/>
                    <w:jc w:val="center"/>
                    <w:rPr>
                      <w:b w:val="0"/>
                      <w:bCs w:val="0"/>
                      <w:color w:val="000000"/>
                      <w:sz w:val="21"/>
                      <w:szCs w:val="21"/>
                    </w:rPr>
                  </w:pPr>
                  <w:r>
                    <w:rPr>
                      <w:b w:val="0"/>
                      <w:bCs w:val="0"/>
                      <w:color w:val="000000"/>
                      <w:sz w:val="21"/>
                      <w:szCs w:val="21"/>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jc w:val="center"/>
              </w:trPr>
              <w:tc>
                <w:tcPr>
                  <w:tcW w:w="951" w:type="pct"/>
                  <w:vAlign w:val="center"/>
                </w:tcPr>
                <w:p>
                  <w:pPr>
                    <w:snapToGrid w:val="0"/>
                    <w:spacing w:line="240" w:lineRule="auto"/>
                    <w:ind w:firstLine="0" w:firstLineChars="0"/>
                    <w:jc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rPr>
                    <w:t>沉降速度</w:t>
                  </w:r>
                </w:p>
                <w:p>
                  <w:pPr>
                    <w:snapToGrid w:val="0"/>
                    <w:spacing w:line="240" w:lineRule="auto"/>
                    <w:ind w:firstLine="0" w:firstLineChars="0"/>
                    <w:jc w:val="center"/>
                    <w:rPr>
                      <w:rFonts w:hint="default" w:ascii="Times New Roman" w:hAnsi="Times New Roman" w:cs="Times New Roman"/>
                      <w:b w:val="0"/>
                      <w:bCs w:val="0"/>
                      <w:color w:val="000000"/>
                      <w:sz w:val="21"/>
                      <w:szCs w:val="21"/>
                    </w:rPr>
                  </w:pPr>
                  <w:r>
                    <w:rPr>
                      <w:rFonts w:hint="default" w:ascii="Times New Roman" w:hAnsi="Times New Roman" w:eastAsia="宋体" w:cs="Times New Roman"/>
                      <w:color w:val="000000"/>
                      <w:sz w:val="21"/>
                      <w:szCs w:val="21"/>
                      <w:lang w:val="en-US" w:eastAsia="zh-CN"/>
                    </w:rPr>
                    <w:t>（</w:t>
                  </w:r>
                  <w:r>
                    <w:rPr>
                      <w:rFonts w:hint="default" w:ascii="Times New Roman" w:hAnsi="Times New Roman" w:cs="Times New Roman"/>
                      <w:b w:val="0"/>
                      <w:bCs w:val="0"/>
                      <w:color w:val="000000"/>
                      <w:sz w:val="21"/>
                      <w:szCs w:val="21"/>
                    </w:rPr>
                    <w:t>m/s</w:t>
                  </w:r>
                  <w:r>
                    <w:rPr>
                      <w:rFonts w:hint="default" w:ascii="Times New Roman" w:hAnsi="Times New Roman" w:eastAsia="宋体" w:cs="Times New Roman"/>
                      <w:color w:val="000000"/>
                      <w:sz w:val="21"/>
                      <w:szCs w:val="21"/>
                      <w:lang w:val="en-US" w:eastAsia="zh-CN"/>
                    </w:rPr>
                    <w:t>）</w:t>
                  </w:r>
                </w:p>
              </w:tc>
              <w:tc>
                <w:tcPr>
                  <w:tcW w:w="579" w:type="pct"/>
                  <w:vAlign w:val="center"/>
                </w:tcPr>
                <w:p>
                  <w:pPr>
                    <w:snapToGrid w:val="0"/>
                    <w:spacing w:line="240" w:lineRule="auto"/>
                    <w:ind w:firstLine="0" w:firstLineChars="0"/>
                    <w:jc w:val="center"/>
                    <w:rPr>
                      <w:b w:val="0"/>
                      <w:bCs w:val="0"/>
                      <w:color w:val="000000"/>
                      <w:sz w:val="21"/>
                      <w:szCs w:val="21"/>
                    </w:rPr>
                  </w:pPr>
                  <w:r>
                    <w:rPr>
                      <w:b w:val="0"/>
                      <w:bCs w:val="0"/>
                      <w:color w:val="000000"/>
                      <w:sz w:val="21"/>
                      <w:szCs w:val="21"/>
                    </w:rPr>
                    <w:t>0.158</w:t>
                  </w:r>
                </w:p>
              </w:tc>
              <w:tc>
                <w:tcPr>
                  <w:tcW w:w="578" w:type="pct"/>
                  <w:vAlign w:val="center"/>
                </w:tcPr>
                <w:p>
                  <w:pPr>
                    <w:snapToGrid w:val="0"/>
                    <w:spacing w:line="240" w:lineRule="auto"/>
                    <w:ind w:firstLine="0" w:firstLineChars="0"/>
                    <w:jc w:val="center"/>
                    <w:rPr>
                      <w:b w:val="0"/>
                      <w:bCs w:val="0"/>
                      <w:color w:val="000000"/>
                      <w:sz w:val="21"/>
                      <w:szCs w:val="21"/>
                    </w:rPr>
                  </w:pPr>
                  <w:r>
                    <w:rPr>
                      <w:b w:val="0"/>
                      <w:bCs w:val="0"/>
                      <w:color w:val="000000"/>
                      <w:sz w:val="21"/>
                      <w:szCs w:val="21"/>
                    </w:rPr>
                    <w:t>0.170</w:t>
                  </w:r>
                </w:p>
              </w:tc>
              <w:tc>
                <w:tcPr>
                  <w:tcW w:w="578" w:type="pct"/>
                  <w:vAlign w:val="center"/>
                </w:tcPr>
                <w:p>
                  <w:pPr>
                    <w:snapToGrid w:val="0"/>
                    <w:spacing w:line="240" w:lineRule="auto"/>
                    <w:ind w:firstLine="0" w:firstLineChars="0"/>
                    <w:jc w:val="center"/>
                    <w:rPr>
                      <w:b w:val="0"/>
                      <w:bCs w:val="0"/>
                      <w:color w:val="000000"/>
                      <w:sz w:val="21"/>
                      <w:szCs w:val="21"/>
                    </w:rPr>
                  </w:pPr>
                  <w:r>
                    <w:rPr>
                      <w:b w:val="0"/>
                      <w:bCs w:val="0"/>
                      <w:color w:val="000000"/>
                      <w:sz w:val="21"/>
                      <w:szCs w:val="21"/>
                    </w:rPr>
                    <w:t>0.182</w:t>
                  </w:r>
                </w:p>
              </w:tc>
              <w:tc>
                <w:tcPr>
                  <w:tcW w:w="578" w:type="pct"/>
                  <w:vAlign w:val="center"/>
                </w:tcPr>
                <w:p>
                  <w:pPr>
                    <w:snapToGrid w:val="0"/>
                    <w:spacing w:line="240" w:lineRule="auto"/>
                    <w:ind w:firstLine="0" w:firstLineChars="0"/>
                    <w:jc w:val="center"/>
                    <w:rPr>
                      <w:b w:val="0"/>
                      <w:bCs w:val="0"/>
                      <w:color w:val="000000"/>
                      <w:sz w:val="21"/>
                      <w:szCs w:val="21"/>
                    </w:rPr>
                  </w:pPr>
                  <w:r>
                    <w:rPr>
                      <w:b w:val="0"/>
                      <w:bCs w:val="0"/>
                      <w:color w:val="000000"/>
                      <w:sz w:val="21"/>
                      <w:szCs w:val="21"/>
                    </w:rPr>
                    <w:t>0.239</w:t>
                  </w:r>
                </w:p>
              </w:tc>
              <w:tc>
                <w:tcPr>
                  <w:tcW w:w="578" w:type="pct"/>
                  <w:vAlign w:val="center"/>
                </w:tcPr>
                <w:p>
                  <w:pPr>
                    <w:snapToGrid w:val="0"/>
                    <w:spacing w:line="240" w:lineRule="auto"/>
                    <w:ind w:firstLine="0" w:firstLineChars="0"/>
                    <w:jc w:val="center"/>
                    <w:rPr>
                      <w:b w:val="0"/>
                      <w:bCs w:val="0"/>
                      <w:color w:val="000000"/>
                      <w:sz w:val="21"/>
                      <w:szCs w:val="21"/>
                    </w:rPr>
                  </w:pPr>
                  <w:r>
                    <w:rPr>
                      <w:b w:val="0"/>
                      <w:bCs w:val="0"/>
                      <w:color w:val="000000"/>
                      <w:sz w:val="21"/>
                      <w:szCs w:val="21"/>
                    </w:rPr>
                    <w:t>0.804</w:t>
                  </w:r>
                </w:p>
              </w:tc>
              <w:tc>
                <w:tcPr>
                  <w:tcW w:w="578" w:type="pct"/>
                  <w:vAlign w:val="center"/>
                </w:tcPr>
                <w:p>
                  <w:pPr>
                    <w:snapToGrid w:val="0"/>
                    <w:spacing w:line="240" w:lineRule="auto"/>
                    <w:ind w:firstLine="0" w:firstLineChars="0"/>
                    <w:jc w:val="center"/>
                    <w:rPr>
                      <w:b w:val="0"/>
                      <w:bCs w:val="0"/>
                      <w:color w:val="000000"/>
                      <w:sz w:val="21"/>
                      <w:szCs w:val="21"/>
                    </w:rPr>
                  </w:pPr>
                  <w:r>
                    <w:rPr>
                      <w:b w:val="0"/>
                      <w:bCs w:val="0"/>
                      <w:color w:val="000000"/>
                      <w:sz w:val="21"/>
                      <w:szCs w:val="21"/>
                    </w:rPr>
                    <w:t>1.005</w:t>
                  </w:r>
                </w:p>
              </w:tc>
              <w:tc>
                <w:tcPr>
                  <w:tcW w:w="576" w:type="pct"/>
                  <w:vAlign w:val="center"/>
                </w:tcPr>
                <w:p>
                  <w:pPr>
                    <w:snapToGrid w:val="0"/>
                    <w:spacing w:line="240" w:lineRule="auto"/>
                    <w:ind w:firstLine="0" w:firstLineChars="0"/>
                    <w:jc w:val="center"/>
                    <w:rPr>
                      <w:b w:val="0"/>
                      <w:bCs w:val="0"/>
                      <w:color w:val="000000"/>
                      <w:sz w:val="21"/>
                      <w:szCs w:val="21"/>
                    </w:rPr>
                  </w:pPr>
                  <w:r>
                    <w:rPr>
                      <w:b w:val="0"/>
                      <w:bCs w:val="0"/>
                      <w:color w:val="000000"/>
                      <w:sz w:val="21"/>
                      <w:szCs w:val="21"/>
                    </w:rPr>
                    <w:t>1.829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51" w:type="pct"/>
                  <w:vAlign w:val="center"/>
                </w:tcPr>
                <w:p>
                  <w:pPr>
                    <w:snapToGrid w:val="0"/>
                    <w:spacing w:line="240" w:lineRule="auto"/>
                    <w:ind w:firstLine="0" w:firstLineChars="0"/>
                    <w:jc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rPr>
                    <w:t>粒径(微米</w:t>
                  </w:r>
                  <w:r>
                    <w:rPr>
                      <w:rFonts w:hint="default" w:ascii="Times New Roman" w:hAnsi="Times New Roman" w:eastAsia="宋体" w:cs="Times New Roman"/>
                      <w:color w:val="000000"/>
                      <w:sz w:val="21"/>
                      <w:szCs w:val="21"/>
                      <w:lang w:val="en-US" w:eastAsia="zh-CN"/>
                    </w:rPr>
                    <w:t>）</w:t>
                  </w:r>
                </w:p>
              </w:tc>
              <w:tc>
                <w:tcPr>
                  <w:tcW w:w="579" w:type="pct"/>
                  <w:vAlign w:val="center"/>
                </w:tcPr>
                <w:p>
                  <w:pPr>
                    <w:snapToGrid w:val="0"/>
                    <w:spacing w:line="240" w:lineRule="auto"/>
                    <w:ind w:firstLine="0" w:firstLineChars="0"/>
                    <w:jc w:val="center"/>
                    <w:rPr>
                      <w:b w:val="0"/>
                      <w:bCs w:val="0"/>
                      <w:color w:val="000000"/>
                      <w:sz w:val="21"/>
                      <w:szCs w:val="21"/>
                    </w:rPr>
                  </w:pPr>
                  <w:r>
                    <w:rPr>
                      <w:b w:val="0"/>
                      <w:bCs w:val="0"/>
                      <w:color w:val="000000"/>
                      <w:sz w:val="21"/>
                      <w:szCs w:val="21"/>
                    </w:rPr>
                    <w:t>450</w:t>
                  </w:r>
                </w:p>
              </w:tc>
              <w:tc>
                <w:tcPr>
                  <w:tcW w:w="578" w:type="pct"/>
                  <w:vAlign w:val="center"/>
                </w:tcPr>
                <w:p>
                  <w:pPr>
                    <w:snapToGrid w:val="0"/>
                    <w:spacing w:line="240" w:lineRule="auto"/>
                    <w:ind w:firstLine="0" w:firstLineChars="0"/>
                    <w:jc w:val="center"/>
                    <w:rPr>
                      <w:b w:val="0"/>
                      <w:bCs w:val="0"/>
                      <w:color w:val="000000"/>
                      <w:sz w:val="21"/>
                      <w:szCs w:val="21"/>
                    </w:rPr>
                  </w:pPr>
                  <w:r>
                    <w:rPr>
                      <w:b w:val="0"/>
                      <w:bCs w:val="0"/>
                      <w:color w:val="000000"/>
                      <w:sz w:val="21"/>
                      <w:szCs w:val="21"/>
                    </w:rPr>
                    <w:t>550</w:t>
                  </w:r>
                </w:p>
              </w:tc>
              <w:tc>
                <w:tcPr>
                  <w:tcW w:w="578" w:type="pct"/>
                  <w:vAlign w:val="center"/>
                </w:tcPr>
                <w:p>
                  <w:pPr>
                    <w:snapToGrid w:val="0"/>
                    <w:spacing w:line="240" w:lineRule="auto"/>
                    <w:ind w:firstLine="0" w:firstLineChars="0"/>
                    <w:jc w:val="center"/>
                    <w:rPr>
                      <w:b w:val="0"/>
                      <w:bCs w:val="0"/>
                      <w:color w:val="000000"/>
                      <w:sz w:val="21"/>
                      <w:szCs w:val="21"/>
                    </w:rPr>
                  </w:pPr>
                  <w:r>
                    <w:rPr>
                      <w:b w:val="0"/>
                      <w:bCs w:val="0"/>
                      <w:color w:val="000000"/>
                      <w:sz w:val="21"/>
                      <w:szCs w:val="21"/>
                    </w:rPr>
                    <w:t>650</w:t>
                  </w:r>
                </w:p>
              </w:tc>
              <w:tc>
                <w:tcPr>
                  <w:tcW w:w="578" w:type="pct"/>
                  <w:vAlign w:val="center"/>
                </w:tcPr>
                <w:p>
                  <w:pPr>
                    <w:snapToGrid w:val="0"/>
                    <w:spacing w:line="240" w:lineRule="auto"/>
                    <w:ind w:firstLine="0" w:firstLineChars="0"/>
                    <w:jc w:val="center"/>
                    <w:rPr>
                      <w:b w:val="0"/>
                      <w:bCs w:val="0"/>
                      <w:color w:val="000000"/>
                      <w:sz w:val="21"/>
                      <w:szCs w:val="21"/>
                    </w:rPr>
                  </w:pPr>
                  <w:r>
                    <w:rPr>
                      <w:b w:val="0"/>
                      <w:bCs w:val="0"/>
                      <w:color w:val="000000"/>
                      <w:sz w:val="21"/>
                      <w:szCs w:val="21"/>
                    </w:rPr>
                    <w:t>750</w:t>
                  </w:r>
                </w:p>
              </w:tc>
              <w:tc>
                <w:tcPr>
                  <w:tcW w:w="578" w:type="pct"/>
                  <w:vAlign w:val="center"/>
                </w:tcPr>
                <w:p>
                  <w:pPr>
                    <w:snapToGrid w:val="0"/>
                    <w:spacing w:line="240" w:lineRule="auto"/>
                    <w:ind w:firstLine="0" w:firstLineChars="0"/>
                    <w:jc w:val="center"/>
                    <w:rPr>
                      <w:b w:val="0"/>
                      <w:bCs w:val="0"/>
                      <w:color w:val="000000"/>
                      <w:sz w:val="21"/>
                      <w:szCs w:val="21"/>
                    </w:rPr>
                  </w:pPr>
                  <w:r>
                    <w:rPr>
                      <w:b w:val="0"/>
                      <w:bCs w:val="0"/>
                      <w:color w:val="000000"/>
                      <w:sz w:val="21"/>
                      <w:szCs w:val="21"/>
                    </w:rPr>
                    <w:t>850</w:t>
                  </w:r>
                </w:p>
              </w:tc>
              <w:tc>
                <w:tcPr>
                  <w:tcW w:w="578" w:type="pct"/>
                  <w:vAlign w:val="center"/>
                </w:tcPr>
                <w:p>
                  <w:pPr>
                    <w:snapToGrid w:val="0"/>
                    <w:spacing w:line="240" w:lineRule="auto"/>
                    <w:ind w:firstLine="0" w:firstLineChars="0"/>
                    <w:jc w:val="center"/>
                    <w:rPr>
                      <w:b w:val="0"/>
                      <w:bCs w:val="0"/>
                      <w:color w:val="000000"/>
                      <w:sz w:val="21"/>
                      <w:szCs w:val="21"/>
                    </w:rPr>
                  </w:pPr>
                  <w:r>
                    <w:rPr>
                      <w:b w:val="0"/>
                      <w:bCs w:val="0"/>
                      <w:color w:val="000000"/>
                      <w:sz w:val="21"/>
                      <w:szCs w:val="21"/>
                    </w:rPr>
                    <w:t>950</w:t>
                  </w:r>
                </w:p>
              </w:tc>
              <w:tc>
                <w:tcPr>
                  <w:tcW w:w="576" w:type="pct"/>
                  <w:vAlign w:val="center"/>
                </w:tcPr>
                <w:p>
                  <w:pPr>
                    <w:snapToGrid w:val="0"/>
                    <w:spacing w:line="240" w:lineRule="auto"/>
                    <w:ind w:firstLine="0" w:firstLineChars="0"/>
                    <w:jc w:val="center"/>
                    <w:rPr>
                      <w:b w:val="0"/>
                      <w:bCs w:val="0"/>
                      <w:color w:val="000000"/>
                      <w:sz w:val="21"/>
                      <w:szCs w:val="21"/>
                    </w:rPr>
                  </w:pPr>
                  <w:r>
                    <w:rPr>
                      <w:b w:val="0"/>
                      <w:bCs w:val="0"/>
                      <w:color w:val="000000"/>
                      <w:sz w:val="21"/>
                      <w:szCs w:val="21"/>
                    </w:rPr>
                    <w:t>1050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951" w:type="pct"/>
                  <w:vAlign w:val="center"/>
                </w:tcPr>
                <w:p>
                  <w:pPr>
                    <w:snapToGrid w:val="0"/>
                    <w:spacing w:line="240" w:lineRule="auto"/>
                    <w:ind w:firstLine="0" w:firstLineChars="0"/>
                    <w:jc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rPr>
                    <w:t>沉降速度</w:t>
                  </w:r>
                </w:p>
                <w:p>
                  <w:pPr>
                    <w:snapToGrid w:val="0"/>
                    <w:spacing w:line="240" w:lineRule="auto"/>
                    <w:ind w:firstLine="0" w:firstLineChars="0"/>
                    <w:jc w:val="center"/>
                    <w:rPr>
                      <w:rFonts w:hint="default" w:ascii="Times New Roman" w:hAnsi="Times New Roman" w:cs="Times New Roman"/>
                      <w:b w:val="0"/>
                      <w:bCs w:val="0"/>
                      <w:color w:val="000000"/>
                      <w:sz w:val="21"/>
                      <w:szCs w:val="21"/>
                    </w:rPr>
                  </w:pPr>
                  <w:r>
                    <w:rPr>
                      <w:rFonts w:hint="default" w:ascii="Times New Roman" w:hAnsi="Times New Roman" w:eastAsia="宋体" w:cs="Times New Roman"/>
                      <w:color w:val="000000"/>
                      <w:sz w:val="21"/>
                      <w:szCs w:val="21"/>
                      <w:lang w:val="en-US" w:eastAsia="zh-CN"/>
                    </w:rPr>
                    <w:t>（</w:t>
                  </w:r>
                  <w:r>
                    <w:rPr>
                      <w:rFonts w:hint="default" w:ascii="Times New Roman" w:hAnsi="Times New Roman" w:cs="Times New Roman"/>
                      <w:b w:val="0"/>
                      <w:bCs w:val="0"/>
                      <w:color w:val="000000"/>
                      <w:sz w:val="21"/>
                      <w:szCs w:val="21"/>
                    </w:rPr>
                    <w:t>m/s</w:t>
                  </w:r>
                  <w:r>
                    <w:rPr>
                      <w:rFonts w:hint="default" w:ascii="Times New Roman" w:hAnsi="Times New Roman" w:eastAsia="宋体" w:cs="Times New Roman"/>
                      <w:color w:val="000000"/>
                      <w:sz w:val="21"/>
                      <w:szCs w:val="21"/>
                      <w:lang w:val="en-US" w:eastAsia="zh-CN"/>
                    </w:rPr>
                    <w:t>）</w:t>
                  </w:r>
                </w:p>
              </w:tc>
              <w:tc>
                <w:tcPr>
                  <w:tcW w:w="579" w:type="pct"/>
                  <w:vAlign w:val="center"/>
                </w:tcPr>
                <w:p>
                  <w:pPr>
                    <w:snapToGrid w:val="0"/>
                    <w:spacing w:line="240" w:lineRule="auto"/>
                    <w:ind w:firstLine="0" w:firstLineChars="0"/>
                    <w:jc w:val="center"/>
                    <w:rPr>
                      <w:b w:val="0"/>
                      <w:bCs w:val="0"/>
                      <w:color w:val="000000"/>
                      <w:sz w:val="21"/>
                      <w:szCs w:val="21"/>
                    </w:rPr>
                  </w:pPr>
                  <w:r>
                    <w:rPr>
                      <w:b w:val="0"/>
                      <w:bCs w:val="0"/>
                      <w:color w:val="000000"/>
                      <w:sz w:val="21"/>
                      <w:szCs w:val="21"/>
                    </w:rPr>
                    <w:t>2.211</w:t>
                  </w:r>
                </w:p>
              </w:tc>
              <w:tc>
                <w:tcPr>
                  <w:tcW w:w="578" w:type="pct"/>
                  <w:vAlign w:val="center"/>
                </w:tcPr>
                <w:p>
                  <w:pPr>
                    <w:snapToGrid w:val="0"/>
                    <w:spacing w:line="240" w:lineRule="auto"/>
                    <w:ind w:firstLine="0" w:firstLineChars="0"/>
                    <w:jc w:val="center"/>
                    <w:rPr>
                      <w:b w:val="0"/>
                      <w:bCs w:val="0"/>
                      <w:color w:val="000000"/>
                      <w:sz w:val="21"/>
                      <w:szCs w:val="21"/>
                    </w:rPr>
                  </w:pPr>
                  <w:r>
                    <w:rPr>
                      <w:b w:val="0"/>
                      <w:bCs w:val="0"/>
                      <w:color w:val="000000"/>
                      <w:sz w:val="21"/>
                      <w:szCs w:val="21"/>
                    </w:rPr>
                    <w:t>2.614</w:t>
                  </w:r>
                </w:p>
              </w:tc>
              <w:tc>
                <w:tcPr>
                  <w:tcW w:w="578" w:type="pct"/>
                  <w:vAlign w:val="center"/>
                </w:tcPr>
                <w:p>
                  <w:pPr>
                    <w:snapToGrid w:val="0"/>
                    <w:spacing w:line="240" w:lineRule="auto"/>
                    <w:ind w:firstLine="0" w:firstLineChars="0"/>
                    <w:jc w:val="center"/>
                    <w:rPr>
                      <w:b w:val="0"/>
                      <w:bCs w:val="0"/>
                      <w:color w:val="000000"/>
                      <w:sz w:val="21"/>
                      <w:szCs w:val="21"/>
                    </w:rPr>
                  </w:pPr>
                  <w:r>
                    <w:rPr>
                      <w:b w:val="0"/>
                      <w:bCs w:val="0"/>
                      <w:color w:val="000000"/>
                      <w:sz w:val="21"/>
                      <w:szCs w:val="21"/>
                    </w:rPr>
                    <w:t>3.016</w:t>
                  </w:r>
                </w:p>
              </w:tc>
              <w:tc>
                <w:tcPr>
                  <w:tcW w:w="578" w:type="pct"/>
                  <w:vAlign w:val="center"/>
                </w:tcPr>
                <w:p>
                  <w:pPr>
                    <w:snapToGrid w:val="0"/>
                    <w:spacing w:line="240" w:lineRule="auto"/>
                    <w:ind w:firstLine="0" w:firstLineChars="0"/>
                    <w:jc w:val="center"/>
                    <w:rPr>
                      <w:b w:val="0"/>
                      <w:bCs w:val="0"/>
                      <w:color w:val="000000"/>
                      <w:sz w:val="21"/>
                      <w:szCs w:val="21"/>
                    </w:rPr>
                  </w:pPr>
                  <w:r>
                    <w:rPr>
                      <w:b w:val="0"/>
                      <w:bCs w:val="0"/>
                      <w:color w:val="000000"/>
                      <w:sz w:val="21"/>
                      <w:szCs w:val="21"/>
                    </w:rPr>
                    <w:t>3.418</w:t>
                  </w:r>
                </w:p>
              </w:tc>
              <w:tc>
                <w:tcPr>
                  <w:tcW w:w="578" w:type="pct"/>
                  <w:vAlign w:val="center"/>
                </w:tcPr>
                <w:p>
                  <w:pPr>
                    <w:snapToGrid w:val="0"/>
                    <w:spacing w:line="240" w:lineRule="auto"/>
                    <w:ind w:firstLine="0" w:firstLineChars="0"/>
                    <w:jc w:val="center"/>
                    <w:rPr>
                      <w:b w:val="0"/>
                      <w:bCs w:val="0"/>
                      <w:color w:val="000000"/>
                      <w:sz w:val="21"/>
                      <w:szCs w:val="21"/>
                    </w:rPr>
                  </w:pPr>
                  <w:r>
                    <w:rPr>
                      <w:b w:val="0"/>
                      <w:bCs w:val="0"/>
                      <w:color w:val="000000"/>
                      <w:sz w:val="21"/>
                      <w:szCs w:val="21"/>
                    </w:rPr>
                    <w:t>3.820</w:t>
                  </w:r>
                </w:p>
              </w:tc>
              <w:tc>
                <w:tcPr>
                  <w:tcW w:w="578" w:type="pct"/>
                  <w:vAlign w:val="center"/>
                </w:tcPr>
                <w:p>
                  <w:pPr>
                    <w:snapToGrid w:val="0"/>
                    <w:spacing w:line="240" w:lineRule="auto"/>
                    <w:ind w:firstLine="0" w:firstLineChars="0"/>
                    <w:jc w:val="center"/>
                    <w:rPr>
                      <w:b w:val="0"/>
                      <w:bCs w:val="0"/>
                      <w:color w:val="000000"/>
                      <w:sz w:val="21"/>
                      <w:szCs w:val="21"/>
                    </w:rPr>
                  </w:pPr>
                  <w:r>
                    <w:rPr>
                      <w:b w:val="0"/>
                      <w:bCs w:val="0"/>
                      <w:color w:val="000000"/>
                      <w:sz w:val="21"/>
                      <w:szCs w:val="21"/>
                    </w:rPr>
                    <w:t>4.222</w:t>
                  </w:r>
                </w:p>
              </w:tc>
              <w:tc>
                <w:tcPr>
                  <w:tcW w:w="576" w:type="pct"/>
                  <w:vAlign w:val="center"/>
                </w:tcPr>
                <w:p>
                  <w:pPr>
                    <w:snapToGrid w:val="0"/>
                    <w:spacing w:line="240" w:lineRule="auto"/>
                    <w:ind w:firstLine="0" w:firstLineChars="0"/>
                    <w:jc w:val="center"/>
                    <w:rPr>
                      <w:b w:val="0"/>
                      <w:bCs w:val="0"/>
                      <w:color w:val="000000"/>
                      <w:sz w:val="21"/>
                      <w:szCs w:val="21"/>
                    </w:rPr>
                  </w:pPr>
                  <w:r>
                    <w:rPr>
                      <w:b w:val="0"/>
                      <w:bCs w:val="0"/>
                      <w:color w:val="000000"/>
                      <w:sz w:val="21"/>
                      <w:szCs w:val="21"/>
                    </w:rPr>
                    <w:t>4.624</w:t>
                  </w:r>
                </w:p>
              </w:tc>
            </w:tr>
          </w:tbl>
          <w:p>
            <w:pPr>
              <w:adjustRightInd w:val="0"/>
              <w:snapToGrid w:val="0"/>
              <w:spacing w:line="360" w:lineRule="auto"/>
              <w:ind w:firstLine="31680"/>
              <w:rPr>
                <w:rFonts w:hint="eastAsia" w:ascii="Times New Roman" w:hAnsi="宋体" w:cs="Times New Roman"/>
                <w:b w:val="0"/>
                <w:bCs w:val="0"/>
                <w:color w:val="000000"/>
              </w:rPr>
            </w:pPr>
            <w:r>
              <w:rPr>
                <w:rFonts w:hint="eastAsia" w:hAnsi="宋体"/>
                <w:color w:val="000000"/>
              </w:rPr>
              <w:t>从表</w:t>
            </w:r>
            <w:r>
              <w:rPr>
                <w:color w:val="000000"/>
              </w:rPr>
              <w:t>4-</w:t>
            </w:r>
            <w:r>
              <w:rPr>
                <w:rFonts w:hint="eastAsia"/>
                <w:color w:val="000000"/>
                <w:lang w:val="en-US" w:eastAsia="zh-CN"/>
              </w:rPr>
              <w:t>3可</w:t>
            </w:r>
            <w:r>
              <w:rPr>
                <w:rFonts w:hint="eastAsia" w:hAnsi="宋体"/>
                <w:color w:val="000000"/>
              </w:rPr>
              <w:t>以看出，尘粒的沉降速度随粒径的增大而迅速增大</w:t>
            </w:r>
            <w:r>
              <w:rPr>
                <w:rFonts w:hint="eastAsia" w:hAnsi="宋体"/>
                <w:color w:val="000000"/>
                <w:lang w:eastAsia="zh-CN"/>
              </w:rPr>
              <w:t>，</w:t>
            </w:r>
            <w:r>
              <w:rPr>
                <w:rFonts w:hint="eastAsia" w:hAnsi="宋体"/>
                <w:color w:val="000000"/>
              </w:rPr>
              <w:t>当粒径为</w:t>
            </w:r>
            <w:r>
              <w:rPr>
                <w:color w:val="000000"/>
              </w:rPr>
              <w:t>250μm</w:t>
            </w:r>
            <w:r>
              <w:rPr>
                <w:rFonts w:hint="eastAsia" w:hAnsi="宋体"/>
                <w:color w:val="000000"/>
              </w:rPr>
              <w:t>时，沉降速度为</w:t>
            </w:r>
            <w:r>
              <w:rPr>
                <w:color w:val="000000"/>
              </w:rPr>
              <w:t>1.005</w:t>
            </w:r>
            <w:r>
              <w:rPr>
                <w:rFonts w:hint="eastAsia" w:ascii="Times New Roman" w:hAnsi="Times New Roman" w:eastAsia="宋体" w:cs="Times New Roman"/>
                <w:b w:val="0"/>
                <w:bCs w:val="0"/>
                <w:snapToGrid w:val="0"/>
                <w:color w:val="000000"/>
                <w:kern w:val="0"/>
                <w:sz w:val="24"/>
                <w:szCs w:val="24"/>
                <w:vertAlign w:val="baseline"/>
                <w:lang w:val="en-US" w:eastAsia="zh-CN"/>
              </w:rPr>
              <w:t>m</w:t>
            </w:r>
            <w:r>
              <w:rPr>
                <w:rFonts w:hint="eastAsia" w:ascii="Times New Roman" w:hAnsi="Times New Roman" w:eastAsia="宋体" w:cs="Times New Roman"/>
                <w:b w:val="0"/>
                <w:bCs w:val="0"/>
                <w:snapToGrid w:val="0"/>
                <w:color w:val="000000"/>
                <w:kern w:val="0"/>
                <w:sz w:val="24"/>
                <w:szCs w:val="24"/>
                <w:vertAlign w:val="superscript"/>
                <w:lang w:val="en-US" w:eastAsia="zh-CN"/>
              </w:rPr>
              <w:t>3</w:t>
            </w:r>
            <w:r>
              <w:rPr>
                <w:rFonts w:hint="eastAsia" w:ascii="Times New Roman" w:hAnsi="Times New Roman" w:eastAsia="宋体" w:cs="Times New Roman"/>
                <w:b w:val="0"/>
                <w:bCs w:val="0"/>
                <w:snapToGrid w:val="0"/>
                <w:color w:val="000000"/>
                <w:kern w:val="0"/>
                <w:sz w:val="24"/>
                <w:szCs w:val="24"/>
                <w:vertAlign w:val="baseline"/>
                <w:lang w:val="en-US" w:eastAsia="zh-CN"/>
              </w:rPr>
              <w:t>/s</w:t>
            </w:r>
            <w:r>
              <w:rPr>
                <w:rFonts w:hint="eastAsia" w:hAnsi="宋体"/>
                <w:color w:val="000000"/>
                <w:sz w:val="24"/>
                <w:szCs w:val="24"/>
              </w:rPr>
              <w:t>，</w:t>
            </w:r>
            <w:r>
              <w:rPr>
                <w:rFonts w:hint="eastAsia" w:hAnsi="宋体"/>
                <w:color w:val="000000"/>
              </w:rPr>
              <w:t>因此可以认为当尘粒大于</w:t>
            </w:r>
            <w:r>
              <w:rPr>
                <w:color w:val="000000"/>
              </w:rPr>
              <w:t>250μm</w:t>
            </w:r>
            <w:r>
              <w:rPr>
                <w:rFonts w:hint="eastAsia" w:hAnsi="宋体"/>
                <w:color w:val="000000"/>
              </w:rPr>
              <w:t>时，主要影响范围在扬尘点下风向近距离范围内，而真正对外环境产生影响的是一些微小尘粒</w:t>
            </w:r>
            <w:r>
              <w:rPr>
                <w:rFonts w:hint="eastAsia" w:hAnsi="宋体"/>
                <w:color w:val="000000"/>
                <w:lang w:eastAsia="zh-CN"/>
              </w:rPr>
              <w:t>，</w:t>
            </w:r>
            <w:r>
              <w:rPr>
                <w:rFonts w:hint="eastAsia" w:hAnsi="宋体"/>
                <w:color w:val="000000"/>
              </w:rPr>
              <w:t>在有风的情况下，施工扬尘会对该区域造成一定的影响</w:t>
            </w:r>
            <w:r>
              <w:rPr>
                <w:rFonts w:hint="eastAsia" w:hAnsi="宋体"/>
                <w:color w:val="000000"/>
                <w:lang w:eastAsia="zh-CN"/>
              </w:rPr>
              <w:t>，</w:t>
            </w:r>
            <w:r>
              <w:rPr>
                <w:rFonts w:hint="eastAsia" w:hAnsi="宋体"/>
                <w:color w:val="000000"/>
              </w:rPr>
              <w:t>由起尘计算公式可知，</w:t>
            </w:r>
            <w:r>
              <w:rPr>
                <w:color w:val="000000"/>
              </w:rPr>
              <w:t>V0</w:t>
            </w:r>
            <w:r>
              <w:rPr>
                <w:rFonts w:hint="eastAsia" w:hAnsi="宋体"/>
                <w:color w:val="000000"/>
              </w:rPr>
              <w:t>与粒径和含水率有关，因此，通过采取减少露天堆放和</w:t>
            </w:r>
            <w:r>
              <w:rPr>
                <w:rFonts w:hint="eastAsia" w:ascii="Times New Roman" w:hAnsi="宋体" w:cs="Times New Roman"/>
                <w:b w:val="0"/>
                <w:bCs w:val="0"/>
                <w:color w:val="000000"/>
              </w:rPr>
              <w:t>保证一定含水率及减少裸露地面等措施后，风力起尘对环境的影响较小。</w:t>
            </w:r>
          </w:p>
          <w:p>
            <w:pPr>
              <w:adjustRightInd w:val="0"/>
              <w:snapToGrid w:val="0"/>
              <w:spacing w:line="360" w:lineRule="auto"/>
              <w:ind w:firstLine="31680"/>
              <w:rPr>
                <w:rFonts w:hint="default" w:ascii="Times New Roman" w:hAnsi="Times New Roman" w:cs="Times New Roman"/>
                <w:b w:val="0"/>
                <w:bCs w:val="0"/>
                <w:color w:val="000000"/>
              </w:rPr>
            </w:pPr>
            <w:r>
              <w:rPr>
                <w:rFonts w:hint="default" w:ascii="Times New Roman" w:hAnsi="Times New Roman" w:cs="Times New Roman"/>
                <w:color w:val="000000"/>
              </w:rPr>
              <w:t>（</w:t>
            </w:r>
            <w:r>
              <w:rPr>
                <w:rFonts w:hint="default" w:ascii="Times New Roman" w:hAnsi="Times New Roman" w:cs="Times New Roman"/>
                <w:b w:val="0"/>
                <w:bCs w:val="0"/>
                <w:color w:val="000000"/>
                <w:lang w:val="en-US" w:eastAsia="zh-CN"/>
              </w:rPr>
              <w:t>3</w:t>
            </w:r>
            <w:r>
              <w:rPr>
                <w:rFonts w:hint="default" w:ascii="Times New Roman" w:hAnsi="Times New Roman" w:cs="Times New Roman"/>
                <w:b w:val="0"/>
                <w:bCs w:val="0"/>
                <w:color w:val="000000"/>
              </w:rPr>
              <w:t>）施工机械燃油废气</w:t>
            </w:r>
          </w:p>
          <w:p>
            <w:pPr>
              <w:adjustRightInd w:val="0"/>
              <w:snapToGrid w:val="0"/>
              <w:spacing w:line="360" w:lineRule="auto"/>
              <w:ind w:firstLine="31680"/>
              <w:rPr>
                <w:rFonts w:hint="default" w:ascii="Times New Roman" w:hAnsi="Times New Roman" w:cs="Times New Roman"/>
                <w:color w:val="000000"/>
                <w:highlight w:val="none"/>
              </w:rPr>
            </w:pPr>
            <w:r>
              <w:rPr>
                <w:rFonts w:hint="default" w:ascii="Times New Roman" w:hAnsi="Times New Roman" w:cs="Times New Roman"/>
                <w:color w:val="000000"/>
              </w:rPr>
              <w:t>施工机械燃油废气和汽车行驶尾气所含的污染物相似，主要有SO</w:t>
            </w:r>
            <w:r>
              <w:rPr>
                <w:rFonts w:hint="default" w:ascii="Times New Roman" w:hAnsi="Times New Roman" w:cs="Times New Roman"/>
                <w:color w:val="000000"/>
                <w:vertAlign w:val="subscript"/>
              </w:rPr>
              <w:t>2</w:t>
            </w:r>
            <w:r>
              <w:rPr>
                <w:rFonts w:hint="default" w:ascii="Times New Roman" w:hAnsi="Times New Roman" w:cs="Times New Roman"/>
                <w:color w:val="000000"/>
              </w:rPr>
              <w:t>、NO</w:t>
            </w:r>
            <w:r>
              <w:rPr>
                <w:rFonts w:hint="default" w:ascii="Times New Roman" w:hAnsi="Times New Roman" w:cs="Times New Roman"/>
                <w:color w:val="000000"/>
                <w:vertAlign w:val="subscript"/>
              </w:rPr>
              <w:t>X</w:t>
            </w:r>
            <w:r>
              <w:rPr>
                <w:rFonts w:hint="default" w:ascii="Times New Roman" w:hAnsi="Times New Roman" w:cs="Times New Roman"/>
                <w:color w:val="000000"/>
              </w:rPr>
              <w:t>、TSP等</w:t>
            </w:r>
            <w:r>
              <w:rPr>
                <w:rFonts w:hint="default" w:ascii="Times New Roman" w:hAnsi="Times New Roman" w:cs="Times New Roman"/>
                <w:color w:val="000000"/>
                <w:lang w:eastAsia="zh-CN"/>
              </w:rPr>
              <w:t>，</w:t>
            </w:r>
            <w:r>
              <w:rPr>
                <w:rFonts w:hint="default" w:ascii="Times New Roman" w:hAnsi="Times New Roman" w:cs="Times New Roman"/>
                <w:color w:val="000000"/>
              </w:rPr>
              <w:t>污染源多为无组织排放，点源分散，其中汽车尾气流动性较大，排放特征与面源相似，但总的排放量不大，根据类似工程分析数据，SO</w:t>
            </w:r>
            <w:r>
              <w:rPr>
                <w:rFonts w:hint="default" w:ascii="Times New Roman" w:hAnsi="Times New Roman" w:cs="Times New Roman"/>
                <w:color w:val="000000"/>
                <w:vertAlign w:val="subscript"/>
              </w:rPr>
              <w:t>2</w:t>
            </w:r>
            <w:r>
              <w:rPr>
                <w:rFonts w:hint="default" w:ascii="Times New Roman" w:hAnsi="Times New Roman" w:cs="Times New Roman"/>
                <w:color w:val="000000"/>
              </w:rPr>
              <w:t>、NO</w:t>
            </w:r>
            <w:r>
              <w:rPr>
                <w:rFonts w:hint="default" w:ascii="Times New Roman" w:hAnsi="Times New Roman" w:cs="Times New Roman"/>
                <w:color w:val="000000"/>
                <w:vertAlign w:val="subscript"/>
              </w:rPr>
              <w:t>X</w:t>
            </w:r>
            <w:r>
              <w:rPr>
                <w:rFonts w:hint="default" w:ascii="Times New Roman" w:hAnsi="Times New Roman" w:cs="Times New Roman"/>
                <w:color w:val="000000"/>
              </w:rPr>
              <w:t>、TS</w:t>
            </w:r>
            <w:r>
              <w:rPr>
                <w:rFonts w:hint="default" w:ascii="Times New Roman" w:hAnsi="Times New Roman" w:cs="Times New Roman"/>
                <w:color w:val="000000"/>
                <w:highlight w:val="none"/>
              </w:rPr>
              <w:t>P浓度一般低于二级标准，不会对施工人员产生有害影响。</w:t>
            </w:r>
          </w:p>
          <w:p>
            <w:pPr>
              <w:pStyle w:val="4"/>
              <w:snapToGrid w:val="0"/>
              <w:spacing w:line="360" w:lineRule="auto"/>
              <w:rPr>
                <w:color w:val="000000"/>
                <w:sz w:val="24"/>
                <w:szCs w:val="24"/>
              </w:rPr>
            </w:pPr>
            <w:r>
              <w:rPr>
                <w:rFonts w:hint="eastAsia"/>
                <w:color w:val="000000"/>
                <w:sz w:val="24"/>
                <w:szCs w:val="24"/>
                <w:lang w:val="en-US" w:eastAsia="zh-CN"/>
              </w:rPr>
              <w:t>2</w:t>
            </w:r>
            <w:r>
              <w:rPr>
                <w:rFonts w:hint="eastAsia"/>
                <w:color w:val="000000"/>
                <w:sz w:val="24"/>
                <w:szCs w:val="24"/>
              </w:rPr>
              <w:t>、水环境影响分析</w:t>
            </w:r>
          </w:p>
          <w:p>
            <w:pPr>
              <w:autoSpaceDE w:val="0"/>
              <w:autoSpaceDN w:val="0"/>
              <w:snapToGrid w:val="0"/>
              <w:spacing w:line="360" w:lineRule="auto"/>
              <w:ind w:firstLine="31680"/>
              <w:textAlignment w:val="baseline"/>
            </w:pPr>
            <w:r>
              <w:rPr>
                <w:rFonts w:hint="eastAsia"/>
              </w:rPr>
              <w:t>（</w:t>
            </w:r>
            <w:r>
              <w:t>1</w:t>
            </w:r>
            <w:r>
              <w:rPr>
                <w:rFonts w:hint="eastAsia"/>
              </w:rPr>
              <w:t>）施工废水</w:t>
            </w:r>
          </w:p>
          <w:p>
            <w:pPr>
              <w:snapToGrid w:val="0"/>
              <w:spacing w:line="360" w:lineRule="auto"/>
              <w:ind w:firstLine="31680"/>
              <w:rPr>
                <w:rFonts w:hint="eastAsia" w:ascii="Times New Roman" w:hAnsi="Times New Roman" w:eastAsia="宋体" w:cs="Times New Roman"/>
              </w:rPr>
            </w:pPr>
            <w:r>
              <w:rPr>
                <w:rFonts w:hint="eastAsia"/>
              </w:rPr>
              <w:t>本工程购买商品混凝土，不</w:t>
            </w:r>
            <w:r>
              <w:rPr>
                <w:rFonts w:hint="eastAsia"/>
                <w:lang w:val="en-US" w:eastAsia="zh-CN"/>
              </w:rPr>
              <w:t>设置</w:t>
            </w:r>
            <w:r>
              <w:rPr>
                <w:rFonts w:hint="eastAsia"/>
              </w:rPr>
              <w:t>混凝土拌合站</w:t>
            </w:r>
            <w:r>
              <w:rPr>
                <w:rFonts w:hint="eastAsia"/>
                <w:lang w:eastAsia="zh-CN"/>
              </w:rPr>
              <w:t>，</w:t>
            </w:r>
            <w:r>
              <w:rPr>
                <w:rFonts w:hint="eastAsia"/>
              </w:rPr>
              <w:t>施工废水为混凝土养护废水，主要含泥沙等污染物，混凝土养护</w:t>
            </w:r>
            <w:r>
              <w:rPr>
                <w:rFonts w:hint="eastAsia"/>
                <w:lang w:val="en-US" w:eastAsia="zh-CN"/>
              </w:rPr>
              <w:t>废水</w:t>
            </w:r>
            <w:r>
              <w:rPr>
                <w:rFonts w:hint="eastAsia"/>
              </w:rPr>
              <w:t>分散泼洒至混凝</w:t>
            </w:r>
            <w:r>
              <w:rPr>
                <w:rFonts w:hint="eastAsia" w:ascii="Times New Roman" w:hAnsi="Times New Roman" w:eastAsia="宋体" w:cs="Times New Roman"/>
              </w:rPr>
              <w:t>土表面，</w:t>
            </w:r>
            <w:r>
              <w:rPr>
                <w:rFonts w:hint="eastAsia" w:ascii="Times New Roman" w:hAnsi="Times New Roman" w:eastAsia="宋体" w:cs="Times New Roman"/>
                <w:lang w:val="en-US" w:eastAsia="zh-CN"/>
              </w:rPr>
              <w:t>自然</w:t>
            </w:r>
            <w:r>
              <w:rPr>
                <w:rFonts w:hint="eastAsia" w:ascii="Times New Roman" w:hAnsi="Times New Roman" w:eastAsia="宋体" w:cs="Times New Roman"/>
              </w:rPr>
              <w:t>蒸发消耗，</w:t>
            </w:r>
            <w:r>
              <w:rPr>
                <w:rFonts w:hint="eastAsia" w:ascii="Times New Roman" w:hAnsi="Times New Roman" w:eastAsia="宋体" w:cs="Times New Roman"/>
                <w:lang w:val="en-US" w:eastAsia="zh-CN"/>
              </w:rPr>
              <w:t>对周围环境产生的影响较小</w:t>
            </w:r>
            <w:r>
              <w:rPr>
                <w:rFonts w:hint="eastAsia" w:ascii="Times New Roman" w:hAnsi="Times New Roman" w:eastAsia="宋体" w:cs="Times New Roman"/>
              </w:rPr>
              <w:t>。</w:t>
            </w:r>
          </w:p>
          <w:p>
            <w:pPr>
              <w:snapToGrid w:val="0"/>
              <w:spacing w:line="360" w:lineRule="auto"/>
              <w:ind w:firstLine="31680"/>
              <w:rPr>
                <w:rFonts w:hint="eastAsia" w:ascii="Times New Roman" w:hAnsi="Times New Roman" w:eastAsia="宋体" w:cs="Times New Roman"/>
              </w:rPr>
            </w:pPr>
            <w:r>
              <w:rPr>
                <w:rFonts w:hint="eastAsia" w:ascii="Times New Roman" w:hAnsi="Times New Roman" w:eastAsia="宋体" w:cs="Times New Roman"/>
              </w:rPr>
              <w:t>（2）施工人员生活污水</w:t>
            </w:r>
          </w:p>
          <w:p>
            <w:pPr>
              <w:snapToGrid w:val="0"/>
              <w:spacing w:line="360" w:lineRule="auto"/>
              <w:ind w:firstLine="31680"/>
              <w:rPr>
                <w:rFonts w:hint="eastAsia" w:ascii="Times New Roman" w:hAnsi="Times New Roman" w:eastAsia="宋体" w:cs="Times New Roman"/>
              </w:rPr>
            </w:pPr>
            <w:r>
              <w:rPr>
                <w:rFonts w:hint="eastAsia" w:ascii="Times New Roman" w:hAnsi="Times New Roman" w:eastAsia="宋体" w:cs="Times New Roman"/>
              </w:rPr>
              <w:t>施工</w:t>
            </w:r>
            <w:r>
              <w:rPr>
                <w:rFonts w:hint="eastAsia" w:ascii="Times New Roman" w:hAnsi="Times New Roman" w:eastAsia="宋体" w:cs="Times New Roman"/>
                <w:lang w:val="en-US" w:eastAsia="zh-CN"/>
              </w:rPr>
              <w:t>人</w:t>
            </w:r>
            <w:r>
              <w:rPr>
                <w:rFonts w:hint="eastAsia"/>
                <w:lang w:val="en-US" w:eastAsia="zh-CN"/>
              </w:rPr>
              <w:t>数约20人，</w:t>
            </w:r>
            <w:r>
              <w:rPr>
                <w:rFonts w:hint="eastAsia" w:cs="Times New Roman"/>
                <w:highlight w:val="none"/>
                <w:lang w:val="en-US" w:eastAsia="zh-CN"/>
              </w:rPr>
              <w:t>产</w:t>
            </w:r>
            <w:r>
              <w:rPr>
                <w:rFonts w:hint="eastAsia" w:cs="Times New Roman"/>
                <w:lang w:val="en-US" w:eastAsia="zh-CN"/>
              </w:rPr>
              <w:t>生的生活废水经化粪池处理后</w:t>
            </w:r>
            <w:r>
              <w:rPr>
                <w:rFonts w:hint="eastAsia"/>
                <w:lang w:val="en-US" w:eastAsia="zh-CN"/>
              </w:rPr>
              <w:t>由泉街子镇环卫部门定期清运处置，</w:t>
            </w:r>
            <w:r>
              <w:rPr>
                <w:rFonts w:hint="eastAsia" w:ascii="Times New Roman" w:hAnsi="Times New Roman" w:eastAsia="宋体" w:cs="Times New Roman"/>
              </w:rPr>
              <w:t>对周围水环境产生影响较小。</w:t>
            </w:r>
          </w:p>
          <w:p>
            <w:pPr>
              <w:pStyle w:val="4"/>
              <w:snapToGrid w:val="0"/>
              <w:spacing w:line="360" w:lineRule="auto"/>
              <w:rPr>
                <w:color w:val="000000"/>
                <w:sz w:val="24"/>
                <w:szCs w:val="24"/>
              </w:rPr>
            </w:pPr>
            <w:r>
              <w:rPr>
                <w:rFonts w:hint="eastAsia"/>
                <w:color w:val="000000"/>
                <w:sz w:val="24"/>
                <w:szCs w:val="24"/>
                <w:lang w:val="en-US" w:eastAsia="zh-CN"/>
              </w:rPr>
              <w:t>3</w:t>
            </w:r>
            <w:r>
              <w:rPr>
                <w:rFonts w:hint="eastAsia"/>
                <w:color w:val="000000"/>
                <w:sz w:val="24"/>
                <w:szCs w:val="24"/>
              </w:rPr>
              <w:t>、声环境影响分析</w:t>
            </w:r>
          </w:p>
          <w:p>
            <w:pPr>
              <w:pStyle w:val="155"/>
              <w:snapToGrid w:val="0"/>
              <w:spacing w:line="360" w:lineRule="auto"/>
              <w:ind w:left="0" w:right="0" w:firstLine="480" w:firstLineChars="200"/>
              <w:jc w:val="both"/>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lang w:val="en-US" w:eastAsia="zh-CN"/>
              </w:rPr>
              <w:t>1</w:t>
            </w:r>
            <w:r>
              <w:rPr>
                <w:rFonts w:hint="default" w:ascii="Times New Roman" w:hAnsi="Times New Roman" w:eastAsia="宋体" w:cs="Times New Roman"/>
                <w:color w:val="000000"/>
                <w:sz w:val="24"/>
                <w:szCs w:val="24"/>
              </w:rPr>
              <w:t>）施工噪声</w:t>
            </w:r>
          </w:p>
          <w:p>
            <w:pPr>
              <w:pStyle w:val="155"/>
              <w:snapToGrid w:val="0"/>
              <w:spacing w:line="360" w:lineRule="auto"/>
              <w:ind w:left="0" w:right="0" w:firstLine="480" w:firstLineChars="200"/>
              <w:jc w:val="both"/>
              <w:rPr>
                <w:color w:val="000000"/>
                <w:sz w:val="24"/>
                <w:szCs w:val="24"/>
              </w:rPr>
            </w:pPr>
            <w:r>
              <w:rPr>
                <w:rFonts w:hint="default" w:ascii="Times New Roman" w:hAnsi="Times New Roman" w:eastAsia="宋体" w:cs="Times New Roman"/>
                <w:color w:val="000000"/>
                <w:sz w:val="24"/>
                <w:szCs w:val="24"/>
              </w:rPr>
              <w:t>本工程施工期噪声污染源包括两部分，一个是主要来自施工机械噪声，主要有推土机、挖掘机、打夯机等，噪声级一般在73～85dB（A）之间；另一个是交通运输噪声</w:t>
            </w:r>
            <w:r>
              <w:rPr>
                <w:rFonts w:hint="eastAsia"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工程使用的运输车辆主要为自卸汽车、混凝土运输罐车等，噪声级一般在72～85dB（A）之间。</w:t>
            </w:r>
          </w:p>
          <w:p>
            <w:pPr>
              <w:pStyle w:val="155"/>
              <w:snapToGrid w:val="0"/>
              <w:spacing w:line="360" w:lineRule="auto"/>
              <w:ind w:left="0" w:right="0" w:firstLine="480" w:firstLineChars="200"/>
              <w:jc w:val="both"/>
              <w:rPr>
                <w:color w:val="000000"/>
                <w:sz w:val="24"/>
                <w:szCs w:val="24"/>
              </w:rPr>
            </w:pPr>
            <w:r>
              <w:rPr>
                <w:rFonts w:hint="eastAsia" w:hAnsi="宋体"/>
                <w:color w:val="000000"/>
                <w:sz w:val="24"/>
                <w:szCs w:val="24"/>
              </w:rPr>
              <w:t>本工程主要施工机械及运输车辆噪声源强见下表：</w:t>
            </w:r>
          </w:p>
          <w:p>
            <w:pPr>
              <w:pStyle w:val="89"/>
              <w:spacing w:line="240" w:lineRule="auto"/>
              <w:ind w:firstLine="31680"/>
              <w:jc w:val="center"/>
              <w:rPr>
                <w:rFonts w:hAnsi="宋体"/>
                <w:b/>
                <w:bCs w:val="0"/>
                <w:color w:val="000000"/>
                <w:sz w:val="21"/>
                <w:szCs w:val="21"/>
              </w:rPr>
            </w:pPr>
            <w:r>
              <w:rPr>
                <w:rFonts w:hint="eastAsia" w:hAnsi="宋体"/>
                <w:b/>
                <w:bCs w:val="0"/>
                <w:color w:val="000000"/>
                <w:sz w:val="21"/>
                <w:szCs w:val="21"/>
              </w:rPr>
              <w:t>表</w:t>
            </w:r>
            <w:r>
              <w:rPr>
                <w:rFonts w:hAnsi="宋体"/>
                <w:b/>
                <w:bCs w:val="0"/>
                <w:color w:val="000000"/>
                <w:sz w:val="21"/>
                <w:szCs w:val="21"/>
              </w:rPr>
              <w:t>4-</w:t>
            </w:r>
            <w:r>
              <w:rPr>
                <w:rFonts w:hint="eastAsia" w:hAnsi="宋体"/>
                <w:b/>
                <w:bCs w:val="0"/>
                <w:color w:val="000000"/>
                <w:sz w:val="21"/>
                <w:szCs w:val="21"/>
                <w:lang w:val="en-US" w:eastAsia="zh-CN"/>
              </w:rPr>
              <w:t>4</w:t>
            </w:r>
            <w:r>
              <w:rPr>
                <w:rFonts w:hAnsi="宋体"/>
                <w:b/>
                <w:bCs w:val="0"/>
                <w:color w:val="000000"/>
                <w:sz w:val="21"/>
                <w:szCs w:val="21"/>
              </w:rPr>
              <w:t xml:space="preserve">   </w:t>
            </w:r>
            <w:r>
              <w:rPr>
                <w:rFonts w:hint="eastAsia" w:hAnsi="宋体"/>
                <w:b/>
                <w:bCs w:val="0"/>
                <w:color w:val="000000"/>
                <w:sz w:val="21"/>
                <w:szCs w:val="21"/>
                <w:lang w:val="en-US" w:eastAsia="zh-CN"/>
              </w:rPr>
              <w:t xml:space="preserve"> </w:t>
            </w:r>
            <w:r>
              <w:rPr>
                <w:rFonts w:hAnsi="宋体"/>
                <w:b/>
                <w:bCs w:val="0"/>
                <w:color w:val="000000"/>
                <w:sz w:val="21"/>
                <w:szCs w:val="21"/>
              </w:rPr>
              <w:t xml:space="preserve"> </w:t>
            </w:r>
            <w:r>
              <w:rPr>
                <w:rFonts w:hint="eastAsia" w:hAnsi="宋体"/>
                <w:b/>
                <w:bCs w:val="0"/>
                <w:color w:val="000000"/>
                <w:sz w:val="21"/>
                <w:szCs w:val="21"/>
                <w:lang w:val="en-US" w:eastAsia="zh-CN"/>
              </w:rPr>
              <w:t xml:space="preserve"> </w:t>
            </w:r>
            <w:r>
              <w:rPr>
                <w:rFonts w:hint="eastAsia" w:hAnsi="宋体"/>
                <w:b/>
                <w:bCs w:val="0"/>
                <w:color w:val="000000"/>
                <w:sz w:val="21"/>
                <w:szCs w:val="21"/>
              </w:rPr>
              <w:t>工程主要施工机械及交通噪声源强一览表</w:t>
            </w:r>
          </w:p>
          <w:tbl>
            <w:tblPr>
              <w:tblStyle w:val="36"/>
              <w:tblW w:w="4996"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8"/>
              <w:gridCol w:w="2053"/>
              <w:gridCol w:w="1815"/>
              <w:gridCol w:w="1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358" w:type="pct"/>
                  <w:vAlign w:val="center"/>
                </w:tcPr>
                <w:p>
                  <w:pPr>
                    <w:pStyle w:val="180"/>
                    <w:spacing w:line="240" w:lineRule="auto"/>
                    <w:rPr>
                      <w:b w:val="0"/>
                      <w:bCs w:val="0"/>
                      <w:color w:val="000000"/>
                      <w:kern w:val="2"/>
                      <w:szCs w:val="21"/>
                      <w:lang w:eastAsia="zh-CN"/>
                    </w:rPr>
                  </w:pPr>
                  <w:r>
                    <w:rPr>
                      <w:rFonts w:hint="eastAsia"/>
                      <w:b w:val="0"/>
                      <w:bCs w:val="0"/>
                      <w:color w:val="000000"/>
                      <w:kern w:val="2"/>
                      <w:szCs w:val="21"/>
                      <w:lang w:eastAsia="zh-CN"/>
                    </w:rPr>
                    <w:t>施工机械设备名称</w:t>
                  </w:r>
                </w:p>
              </w:tc>
              <w:tc>
                <w:tcPr>
                  <w:tcW w:w="1292" w:type="pct"/>
                  <w:vAlign w:val="center"/>
                </w:tcPr>
                <w:p>
                  <w:pPr>
                    <w:pStyle w:val="180"/>
                    <w:spacing w:line="240" w:lineRule="auto"/>
                    <w:rPr>
                      <w:b w:val="0"/>
                      <w:bCs w:val="0"/>
                      <w:color w:val="000000"/>
                      <w:kern w:val="2"/>
                      <w:szCs w:val="21"/>
                      <w:lang w:eastAsia="zh-CN"/>
                    </w:rPr>
                  </w:pPr>
                  <w:r>
                    <w:rPr>
                      <w:rFonts w:hint="eastAsia"/>
                      <w:b w:val="0"/>
                      <w:bCs w:val="0"/>
                      <w:color w:val="000000"/>
                      <w:kern w:val="2"/>
                      <w:szCs w:val="21"/>
                      <w:lang w:eastAsia="zh-CN"/>
                    </w:rPr>
                    <w:t>噪声强度</w:t>
                  </w:r>
                  <w:r>
                    <w:rPr>
                      <w:b w:val="0"/>
                      <w:bCs w:val="0"/>
                      <w:color w:val="000000"/>
                      <w:kern w:val="2"/>
                      <w:szCs w:val="21"/>
                      <w:lang w:eastAsia="zh-CN"/>
                    </w:rPr>
                    <w:t>dB</w:t>
                  </w:r>
                  <w:r>
                    <w:rPr>
                      <w:rFonts w:hint="eastAsia"/>
                      <w:b w:val="0"/>
                      <w:bCs w:val="0"/>
                      <w:color w:val="000000"/>
                      <w:kern w:val="2"/>
                      <w:szCs w:val="21"/>
                      <w:lang w:eastAsia="zh-CN"/>
                    </w:rPr>
                    <w:t>（</w:t>
                  </w:r>
                  <w:r>
                    <w:rPr>
                      <w:b w:val="0"/>
                      <w:bCs w:val="0"/>
                      <w:color w:val="000000"/>
                      <w:kern w:val="2"/>
                      <w:szCs w:val="21"/>
                      <w:lang w:eastAsia="zh-CN"/>
                    </w:rPr>
                    <w:t>A</w:t>
                  </w:r>
                  <w:r>
                    <w:rPr>
                      <w:rFonts w:hint="eastAsia"/>
                      <w:b w:val="0"/>
                      <w:bCs w:val="0"/>
                      <w:color w:val="000000"/>
                      <w:kern w:val="2"/>
                      <w:szCs w:val="21"/>
                      <w:lang w:eastAsia="zh-CN"/>
                    </w:rPr>
                    <w:t>）</w:t>
                  </w:r>
                </w:p>
              </w:tc>
              <w:tc>
                <w:tcPr>
                  <w:tcW w:w="1142" w:type="pct"/>
                  <w:vAlign w:val="center"/>
                </w:tcPr>
                <w:p>
                  <w:pPr>
                    <w:pStyle w:val="180"/>
                    <w:spacing w:line="240" w:lineRule="auto"/>
                    <w:rPr>
                      <w:rFonts w:hint="eastAsia"/>
                      <w:b w:val="0"/>
                      <w:bCs w:val="0"/>
                      <w:color w:val="000000"/>
                      <w:kern w:val="2"/>
                      <w:szCs w:val="21"/>
                      <w:lang w:eastAsia="zh-CN"/>
                    </w:rPr>
                  </w:pPr>
                  <w:r>
                    <w:rPr>
                      <w:rFonts w:hint="eastAsia"/>
                      <w:b w:val="0"/>
                      <w:bCs w:val="0"/>
                      <w:color w:val="000000"/>
                      <w:kern w:val="2"/>
                      <w:szCs w:val="21"/>
                      <w:lang w:eastAsia="zh-CN"/>
                    </w:rPr>
                    <w:t>运输车辆名称</w:t>
                  </w:r>
                </w:p>
              </w:tc>
              <w:tc>
                <w:tcPr>
                  <w:tcW w:w="1206" w:type="pct"/>
                  <w:vAlign w:val="center"/>
                </w:tcPr>
                <w:p>
                  <w:pPr>
                    <w:pStyle w:val="180"/>
                    <w:spacing w:line="240" w:lineRule="auto"/>
                    <w:rPr>
                      <w:b w:val="0"/>
                      <w:bCs w:val="0"/>
                      <w:color w:val="000000"/>
                      <w:kern w:val="2"/>
                      <w:szCs w:val="21"/>
                      <w:lang w:eastAsia="zh-CN"/>
                    </w:rPr>
                  </w:pPr>
                  <w:r>
                    <w:rPr>
                      <w:rFonts w:hint="eastAsia"/>
                      <w:b w:val="0"/>
                      <w:bCs w:val="0"/>
                      <w:color w:val="000000"/>
                      <w:kern w:val="2"/>
                      <w:szCs w:val="21"/>
                      <w:lang w:eastAsia="zh-CN"/>
                    </w:rPr>
                    <w:t>噪声强度</w:t>
                  </w:r>
                  <w:r>
                    <w:rPr>
                      <w:b w:val="0"/>
                      <w:bCs w:val="0"/>
                      <w:color w:val="000000"/>
                      <w:kern w:val="2"/>
                      <w:szCs w:val="21"/>
                      <w:lang w:eastAsia="zh-CN"/>
                    </w:rPr>
                    <w:t>dB</w:t>
                  </w:r>
                  <w:r>
                    <w:rPr>
                      <w:rFonts w:hint="eastAsia"/>
                      <w:b w:val="0"/>
                      <w:bCs w:val="0"/>
                      <w:color w:val="000000"/>
                      <w:kern w:val="2"/>
                      <w:szCs w:val="21"/>
                      <w:lang w:eastAsia="zh-CN"/>
                    </w:rPr>
                    <w:t>（</w:t>
                  </w:r>
                  <w:r>
                    <w:rPr>
                      <w:b w:val="0"/>
                      <w:bCs w:val="0"/>
                      <w:color w:val="000000"/>
                      <w:kern w:val="2"/>
                      <w:szCs w:val="21"/>
                      <w:lang w:eastAsia="zh-CN"/>
                    </w:rPr>
                    <w:t>A</w:t>
                  </w:r>
                  <w:r>
                    <w:rPr>
                      <w:rFonts w:hint="eastAsia"/>
                      <w:b w:val="0"/>
                      <w:bCs w:val="0"/>
                      <w:color w:val="000000"/>
                      <w:kern w:val="2"/>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358" w:type="pct"/>
                  <w:vAlign w:val="center"/>
                </w:tcPr>
                <w:p>
                  <w:pPr>
                    <w:pStyle w:val="180"/>
                    <w:spacing w:line="240" w:lineRule="auto"/>
                    <w:rPr>
                      <w:b w:val="0"/>
                      <w:bCs w:val="0"/>
                      <w:color w:val="000000"/>
                      <w:kern w:val="2"/>
                      <w:szCs w:val="21"/>
                      <w:lang w:eastAsia="zh-CN"/>
                    </w:rPr>
                  </w:pPr>
                  <w:r>
                    <w:rPr>
                      <w:rFonts w:hint="eastAsia"/>
                      <w:b w:val="0"/>
                      <w:bCs w:val="0"/>
                      <w:color w:val="000000"/>
                      <w:kern w:val="2"/>
                      <w:szCs w:val="21"/>
                      <w:lang w:eastAsia="zh-CN"/>
                    </w:rPr>
                    <w:t>挖掘机</w:t>
                  </w:r>
                </w:p>
              </w:tc>
              <w:tc>
                <w:tcPr>
                  <w:tcW w:w="1292" w:type="pct"/>
                  <w:vAlign w:val="center"/>
                </w:tcPr>
                <w:p>
                  <w:pPr>
                    <w:pStyle w:val="180"/>
                    <w:spacing w:line="240" w:lineRule="auto"/>
                    <w:rPr>
                      <w:b w:val="0"/>
                      <w:bCs w:val="0"/>
                      <w:color w:val="000000"/>
                      <w:kern w:val="2"/>
                      <w:szCs w:val="21"/>
                      <w:lang w:eastAsia="zh-CN"/>
                    </w:rPr>
                  </w:pPr>
                  <w:r>
                    <w:rPr>
                      <w:b w:val="0"/>
                      <w:bCs w:val="0"/>
                      <w:color w:val="000000"/>
                      <w:kern w:val="2"/>
                      <w:szCs w:val="21"/>
                      <w:lang w:eastAsia="zh-CN"/>
                    </w:rPr>
                    <w:t>85</w:t>
                  </w:r>
                </w:p>
              </w:tc>
              <w:tc>
                <w:tcPr>
                  <w:tcW w:w="1142" w:type="pct"/>
                  <w:vAlign w:val="center"/>
                </w:tcPr>
                <w:p>
                  <w:pPr>
                    <w:pStyle w:val="180"/>
                    <w:spacing w:line="240" w:lineRule="auto"/>
                    <w:rPr>
                      <w:rFonts w:hint="eastAsia"/>
                      <w:b w:val="0"/>
                      <w:bCs w:val="0"/>
                      <w:color w:val="000000"/>
                      <w:kern w:val="2"/>
                      <w:szCs w:val="21"/>
                      <w:lang w:eastAsia="zh-CN"/>
                    </w:rPr>
                  </w:pPr>
                  <w:r>
                    <w:rPr>
                      <w:rFonts w:hint="eastAsia"/>
                      <w:b w:val="0"/>
                      <w:bCs w:val="0"/>
                      <w:color w:val="000000"/>
                      <w:kern w:val="2"/>
                      <w:szCs w:val="21"/>
                      <w:lang w:eastAsia="zh-CN"/>
                    </w:rPr>
                    <w:t>自卸汽车</w:t>
                  </w:r>
                </w:p>
              </w:tc>
              <w:tc>
                <w:tcPr>
                  <w:tcW w:w="1206" w:type="pct"/>
                  <w:vAlign w:val="center"/>
                </w:tcPr>
                <w:p>
                  <w:pPr>
                    <w:pStyle w:val="180"/>
                    <w:spacing w:line="240" w:lineRule="auto"/>
                    <w:rPr>
                      <w:b w:val="0"/>
                      <w:bCs w:val="0"/>
                      <w:color w:val="000000"/>
                      <w:kern w:val="2"/>
                      <w:szCs w:val="21"/>
                      <w:lang w:eastAsia="zh-CN"/>
                    </w:rPr>
                  </w:pPr>
                  <w:r>
                    <w:rPr>
                      <w:b w:val="0"/>
                      <w:bCs w:val="0"/>
                      <w:color w:val="000000"/>
                      <w:kern w:val="2"/>
                      <w:szCs w:val="21"/>
                      <w:lang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358" w:type="pct"/>
                  <w:vAlign w:val="center"/>
                </w:tcPr>
                <w:p>
                  <w:pPr>
                    <w:pStyle w:val="180"/>
                    <w:spacing w:line="240" w:lineRule="auto"/>
                    <w:rPr>
                      <w:b w:val="0"/>
                      <w:bCs w:val="0"/>
                      <w:color w:val="000000"/>
                      <w:kern w:val="2"/>
                      <w:szCs w:val="21"/>
                      <w:lang w:eastAsia="zh-CN"/>
                    </w:rPr>
                  </w:pPr>
                  <w:r>
                    <w:rPr>
                      <w:rFonts w:hint="eastAsia"/>
                      <w:b w:val="0"/>
                      <w:bCs w:val="0"/>
                      <w:color w:val="000000"/>
                      <w:kern w:val="2"/>
                      <w:szCs w:val="21"/>
                      <w:lang w:eastAsia="zh-CN"/>
                    </w:rPr>
                    <w:t>推土机</w:t>
                  </w:r>
                </w:p>
              </w:tc>
              <w:tc>
                <w:tcPr>
                  <w:tcW w:w="1292" w:type="pct"/>
                  <w:vAlign w:val="center"/>
                </w:tcPr>
                <w:p>
                  <w:pPr>
                    <w:pStyle w:val="180"/>
                    <w:spacing w:line="240" w:lineRule="auto"/>
                    <w:rPr>
                      <w:b w:val="0"/>
                      <w:bCs w:val="0"/>
                      <w:color w:val="000000"/>
                      <w:kern w:val="2"/>
                      <w:szCs w:val="21"/>
                      <w:lang w:eastAsia="zh-CN"/>
                    </w:rPr>
                  </w:pPr>
                  <w:r>
                    <w:rPr>
                      <w:b w:val="0"/>
                      <w:bCs w:val="0"/>
                      <w:color w:val="000000"/>
                      <w:kern w:val="2"/>
                      <w:szCs w:val="21"/>
                      <w:lang w:eastAsia="zh-CN"/>
                    </w:rPr>
                    <w:t>85</w:t>
                  </w:r>
                </w:p>
              </w:tc>
              <w:tc>
                <w:tcPr>
                  <w:tcW w:w="1142" w:type="pct"/>
                  <w:vAlign w:val="center"/>
                </w:tcPr>
                <w:p>
                  <w:pPr>
                    <w:pStyle w:val="180"/>
                    <w:spacing w:line="240" w:lineRule="auto"/>
                    <w:rPr>
                      <w:rFonts w:hint="eastAsia"/>
                      <w:b w:val="0"/>
                      <w:bCs w:val="0"/>
                      <w:color w:val="000000"/>
                      <w:kern w:val="2"/>
                      <w:szCs w:val="21"/>
                      <w:lang w:eastAsia="zh-CN"/>
                    </w:rPr>
                  </w:pPr>
                  <w:r>
                    <w:rPr>
                      <w:rFonts w:hint="default"/>
                      <w:b w:val="0"/>
                      <w:bCs w:val="0"/>
                      <w:color w:val="000000"/>
                      <w:kern w:val="2"/>
                      <w:szCs w:val="21"/>
                      <w:lang w:eastAsia="zh-CN"/>
                    </w:rPr>
                    <w:t>混凝土运输罐车</w:t>
                  </w:r>
                </w:p>
              </w:tc>
              <w:tc>
                <w:tcPr>
                  <w:tcW w:w="1206" w:type="pct"/>
                  <w:vAlign w:val="center"/>
                </w:tcPr>
                <w:p>
                  <w:pPr>
                    <w:pStyle w:val="180"/>
                    <w:spacing w:line="240" w:lineRule="auto"/>
                    <w:rPr>
                      <w:b w:val="0"/>
                      <w:bCs w:val="0"/>
                      <w:color w:val="000000"/>
                      <w:kern w:val="2"/>
                      <w:szCs w:val="21"/>
                      <w:lang w:eastAsia="zh-CN"/>
                    </w:rPr>
                  </w:pPr>
                  <w:r>
                    <w:rPr>
                      <w:b w:val="0"/>
                      <w:bCs w:val="0"/>
                      <w:color w:val="000000"/>
                      <w:kern w:val="2"/>
                      <w:szCs w:val="21"/>
                      <w:lang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358" w:type="pct"/>
                  <w:vAlign w:val="center"/>
                </w:tcPr>
                <w:p>
                  <w:pPr>
                    <w:pStyle w:val="180"/>
                    <w:spacing w:line="240" w:lineRule="auto"/>
                    <w:rPr>
                      <w:b w:val="0"/>
                      <w:bCs w:val="0"/>
                      <w:color w:val="000000"/>
                      <w:kern w:val="2"/>
                      <w:szCs w:val="21"/>
                      <w:lang w:eastAsia="zh-CN"/>
                    </w:rPr>
                  </w:pPr>
                  <w:r>
                    <w:rPr>
                      <w:rFonts w:hint="eastAsia"/>
                      <w:b w:val="0"/>
                      <w:bCs w:val="0"/>
                      <w:color w:val="000000"/>
                      <w:kern w:val="2"/>
                      <w:szCs w:val="21"/>
                      <w:lang w:eastAsia="zh-CN"/>
                    </w:rPr>
                    <w:t>夯机</w:t>
                  </w:r>
                </w:p>
              </w:tc>
              <w:tc>
                <w:tcPr>
                  <w:tcW w:w="1292" w:type="pct"/>
                  <w:vAlign w:val="center"/>
                </w:tcPr>
                <w:p>
                  <w:pPr>
                    <w:pStyle w:val="180"/>
                    <w:spacing w:line="240" w:lineRule="auto"/>
                    <w:rPr>
                      <w:b w:val="0"/>
                      <w:bCs w:val="0"/>
                      <w:color w:val="000000"/>
                      <w:kern w:val="2"/>
                      <w:szCs w:val="21"/>
                      <w:lang w:eastAsia="zh-CN"/>
                    </w:rPr>
                  </w:pPr>
                  <w:r>
                    <w:rPr>
                      <w:b w:val="0"/>
                      <w:bCs w:val="0"/>
                      <w:color w:val="000000"/>
                      <w:kern w:val="2"/>
                      <w:szCs w:val="21"/>
                      <w:lang w:eastAsia="zh-CN"/>
                    </w:rPr>
                    <w:t>85</w:t>
                  </w:r>
                </w:p>
              </w:tc>
              <w:tc>
                <w:tcPr>
                  <w:tcW w:w="1142" w:type="pct"/>
                  <w:vAlign w:val="center"/>
                </w:tcPr>
                <w:p>
                  <w:pPr>
                    <w:pStyle w:val="180"/>
                    <w:spacing w:line="240" w:lineRule="auto"/>
                    <w:rPr>
                      <w:rFonts w:hint="eastAsia"/>
                      <w:b w:val="0"/>
                      <w:bCs w:val="0"/>
                      <w:color w:val="000000"/>
                      <w:kern w:val="2"/>
                      <w:szCs w:val="21"/>
                      <w:lang w:eastAsia="zh-CN"/>
                    </w:rPr>
                  </w:pPr>
                  <w:r>
                    <w:rPr>
                      <w:rFonts w:hint="eastAsia"/>
                      <w:b w:val="0"/>
                      <w:bCs w:val="0"/>
                      <w:color w:val="000000"/>
                      <w:kern w:val="2"/>
                      <w:szCs w:val="21"/>
                      <w:lang w:eastAsia="zh-CN"/>
                    </w:rPr>
                    <w:t>振捣器</w:t>
                  </w:r>
                </w:p>
              </w:tc>
              <w:tc>
                <w:tcPr>
                  <w:tcW w:w="1206" w:type="pct"/>
                  <w:vAlign w:val="center"/>
                </w:tcPr>
                <w:p>
                  <w:pPr>
                    <w:pStyle w:val="180"/>
                    <w:spacing w:line="240" w:lineRule="auto"/>
                    <w:rPr>
                      <w:b w:val="0"/>
                      <w:bCs w:val="0"/>
                      <w:color w:val="000000"/>
                      <w:kern w:val="2"/>
                      <w:szCs w:val="21"/>
                      <w:lang w:eastAsia="zh-CN"/>
                    </w:rPr>
                  </w:pPr>
                  <w:r>
                    <w:rPr>
                      <w:b w:val="0"/>
                      <w:bCs w:val="0"/>
                      <w:color w:val="000000"/>
                      <w:kern w:val="2"/>
                      <w:szCs w:val="21"/>
                      <w:lang w:eastAsia="zh-CN"/>
                    </w:rPr>
                    <w:t>75</w:t>
                  </w:r>
                </w:p>
              </w:tc>
            </w:tr>
          </w:tbl>
          <w:p>
            <w:pPr>
              <w:pStyle w:val="155"/>
              <w:snapToGrid w:val="0"/>
              <w:spacing w:line="360" w:lineRule="auto"/>
              <w:ind w:left="0" w:right="0" w:firstLine="480" w:firstLineChars="200"/>
              <w:jc w:val="both"/>
              <w:rPr>
                <w:color w:val="000000"/>
                <w:sz w:val="24"/>
                <w:szCs w:val="24"/>
              </w:rPr>
            </w:pPr>
            <w:r>
              <w:rPr>
                <w:rFonts w:hint="eastAsia" w:hAnsi="宋体"/>
                <w:color w:val="000000"/>
                <w:sz w:val="24"/>
                <w:szCs w:val="24"/>
              </w:rPr>
              <w:t>根据施工特点，主要声源来自机械设备作业施工</w:t>
            </w:r>
            <w:r>
              <w:rPr>
                <w:rFonts w:hint="eastAsia" w:hAnsi="宋体"/>
                <w:color w:val="000000"/>
                <w:sz w:val="24"/>
                <w:szCs w:val="24"/>
                <w:lang w:eastAsia="zh-CN"/>
              </w:rPr>
              <w:t>，</w:t>
            </w:r>
            <w:r>
              <w:rPr>
                <w:rFonts w:hint="eastAsia" w:hAnsi="宋体"/>
                <w:color w:val="000000"/>
                <w:sz w:val="24"/>
                <w:szCs w:val="24"/>
              </w:rPr>
              <w:t>施工机械作业时环境噪声的评价标准为《建筑施工场界环境噪声排放标准》（</w:t>
            </w:r>
            <w:r>
              <w:rPr>
                <w:color w:val="000000"/>
                <w:sz w:val="24"/>
                <w:szCs w:val="24"/>
              </w:rPr>
              <w:t>GB12523-2011</w:t>
            </w:r>
            <w:r>
              <w:rPr>
                <w:rFonts w:hint="eastAsia" w:hAnsi="宋体"/>
                <w:color w:val="000000"/>
                <w:sz w:val="24"/>
                <w:szCs w:val="24"/>
              </w:rPr>
              <w:t>）标准。</w:t>
            </w:r>
          </w:p>
          <w:p>
            <w:pPr>
              <w:pStyle w:val="155"/>
              <w:snapToGrid w:val="0"/>
              <w:spacing w:line="360" w:lineRule="auto"/>
              <w:ind w:left="0" w:right="0" w:firstLine="480" w:firstLineChars="200"/>
              <w:jc w:val="both"/>
              <w:rPr>
                <w:color w:val="000000"/>
                <w:sz w:val="24"/>
                <w:szCs w:val="24"/>
              </w:rPr>
            </w:pPr>
            <w:r>
              <w:rPr>
                <w:rFonts w:hint="eastAsia" w:hAnsi="宋体"/>
                <w:color w:val="000000"/>
                <w:sz w:val="24"/>
                <w:szCs w:val="24"/>
              </w:rPr>
              <w:t>工程施工建设分几个阶段进行</w:t>
            </w:r>
            <w:r>
              <w:rPr>
                <w:rFonts w:hint="eastAsia" w:hAnsi="宋体"/>
                <w:color w:val="000000"/>
                <w:sz w:val="24"/>
                <w:szCs w:val="24"/>
                <w:lang w:eastAsia="zh-CN"/>
              </w:rPr>
              <w:t>，</w:t>
            </w:r>
            <w:r>
              <w:rPr>
                <w:rFonts w:hint="eastAsia" w:hAnsi="宋体"/>
                <w:color w:val="000000"/>
                <w:sz w:val="24"/>
                <w:szCs w:val="24"/>
              </w:rPr>
              <w:t>各施工阶段的设备作业时需要一定的作业空间，施工机械操作运转时有一定的工作间距，因此噪声源强为点声源，其噪声影响随距离增加而逐渐衰减，噪声衰减公示如下：</w:t>
            </w:r>
          </w:p>
          <w:p>
            <w:pPr>
              <w:widowControl/>
              <w:adjustRightInd w:val="0"/>
              <w:snapToGrid w:val="0"/>
              <w:spacing w:line="360" w:lineRule="auto"/>
              <w:ind w:firstLine="31680"/>
              <w:jc w:val="center"/>
              <w:rPr>
                <w:color w:val="000000"/>
              </w:rPr>
            </w:pPr>
            <w:r>
              <w:rPr>
                <w:color w:val="000000"/>
                <w:kern w:val="0"/>
              </w:rPr>
              <w:t>LA(r)</w:t>
            </w:r>
            <w:r>
              <w:rPr>
                <w:rFonts w:hint="eastAsia" w:hAnsi="宋体"/>
                <w:color w:val="000000"/>
                <w:kern w:val="0"/>
              </w:rPr>
              <w:t>＝</w:t>
            </w:r>
            <w:r>
              <w:rPr>
                <w:color w:val="000000"/>
                <w:kern w:val="0"/>
              </w:rPr>
              <w:t>LA(r0)</w:t>
            </w:r>
            <w:r>
              <w:rPr>
                <w:rFonts w:hint="eastAsia" w:hAnsi="宋体"/>
                <w:color w:val="000000"/>
                <w:kern w:val="0"/>
              </w:rPr>
              <w:t>－</w:t>
            </w:r>
            <w:r>
              <w:rPr>
                <w:color w:val="000000"/>
                <w:kern w:val="0"/>
              </w:rPr>
              <w:t>20lg(r/ r0)</w:t>
            </w:r>
          </w:p>
          <w:p>
            <w:pPr>
              <w:pStyle w:val="155"/>
              <w:snapToGrid w:val="0"/>
              <w:spacing w:line="360" w:lineRule="auto"/>
              <w:ind w:left="0" w:right="0" w:firstLine="480" w:firstLineChars="200"/>
              <w:jc w:val="both"/>
              <w:rPr>
                <w:color w:val="000000"/>
                <w:sz w:val="24"/>
                <w:szCs w:val="24"/>
              </w:rPr>
            </w:pPr>
            <w:r>
              <w:rPr>
                <w:rFonts w:hint="eastAsia" w:hAnsi="宋体"/>
                <w:color w:val="000000"/>
                <w:sz w:val="24"/>
                <w:szCs w:val="24"/>
              </w:rPr>
              <w:t>式中：</w:t>
            </w:r>
            <w:r>
              <w:rPr>
                <w:color w:val="000000"/>
                <w:sz w:val="24"/>
                <w:szCs w:val="24"/>
              </w:rPr>
              <w:t>LA—</w:t>
            </w:r>
            <w:r>
              <w:rPr>
                <w:rFonts w:hint="eastAsia" w:hAnsi="宋体"/>
                <w:color w:val="000000"/>
                <w:sz w:val="24"/>
                <w:szCs w:val="24"/>
              </w:rPr>
              <w:t>距声源为</w:t>
            </w:r>
            <w:r>
              <w:rPr>
                <w:color w:val="000000"/>
                <w:sz w:val="24"/>
                <w:szCs w:val="24"/>
              </w:rPr>
              <w:t>rA</w:t>
            </w:r>
            <w:r>
              <w:rPr>
                <w:rFonts w:hint="eastAsia" w:hAnsi="宋体"/>
                <w:color w:val="000000"/>
                <w:sz w:val="24"/>
                <w:szCs w:val="24"/>
              </w:rPr>
              <w:t>的声级，</w:t>
            </w:r>
            <w:r>
              <w:rPr>
                <w:color w:val="000000"/>
                <w:sz w:val="24"/>
                <w:szCs w:val="24"/>
              </w:rPr>
              <w:t>dB</w:t>
            </w:r>
            <w:r>
              <w:rPr>
                <w:rFonts w:hint="eastAsia" w:hAnsi="宋体"/>
                <w:color w:val="000000"/>
                <w:sz w:val="24"/>
                <w:szCs w:val="24"/>
              </w:rPr>
              <w:t>（</w:t>
            </w:r>
            <w:r>
              <w:rPr>
                <w:color w:val="000000"/>
                <w:sz w:val="24"/>
                <w:szCs w:val="24"/>
              </w:rPr>
              <w:t>A</w:t>
            </w:r>
            <w:r>
              <w:rPr>
                <w:rFonts w:hint="eastAsia" w:hAnsi="宋体"/>
                <w:color w:val="000000"/>
                <w:sz w:val="24"/>
                <w:szCs w:val="24"/>
              </w:rPr>
              <w:t>）；</w:t>
            </w:r>
          </w:p>
          <w:p>
            <w:pPr>
              <w:pStyle w:val="155"/>
              <w:snapToGrid w:val="0"/>
              <w:spacing w:line="360" w:lineRule="auto"/>
              <w:ind w:left="130" w:leftChars="54" w:right="0" w:firstLine="1080" w:firstLineChars="450"/>
              <w:jc w:val="both"/>
              <w:rPr>
                <w:color w:val="000000"/>
                <w:sz w:val="24"/>
                <w:szCs w:val="24"/>
              </w:rPr>
            </w:pPr>
            <w:r>
              <w:rPr>
                <w:color w:val="000000"/>
                <w:sz w:val="24"/>
                <w:szCs w:val="24"/>
              </w:rPr>
              <w:t>L0—</w:t>
            </w:r>
            <w:r>
              <w:rPr>
                <w:rFonts w:hint="eastAsia" w:hAnsi="宋体"/>
                <w:color w:val="000000"/>
                <w:sz w:val="24"/>
                <w:szCs w:val="24"/>
              </w:rPr>
              <w:t>距声源为</w:t>
            </w:r>
            <w:r>
              <w:rPr>
                <w:color w:val="000000"/>
                <w:sz w:val="24"/>
                <w:szCs w:val="24"/>
              </w:rPr>
              <w:t>r0</w:t>
            </w:r>
            <w:r>
              <w:rPr>
                <w:rFonts w:hint="eastAsia" w:hAnsi="宋体"/>
                <w:color w:val="000000"/>
                <w:sz w:val="24"/>
                <w:szCs w:val="24"/>
              </w:rPr>
              <w:t>的声级，</w:t>
            </w:r>
            <w:r>
              <w:rPr>
                <w:color w:val="000000"/>
                <w:sz w:val="24"/>
                <w:szCs w:val="24"/>
              </w:rPr>
              <w:t>dB</w:t>
            </w:r>
            <w:r>
              <w:rPr>
                <w:rFonts w:hint="eastAsia" w:hAnsi="宋体"/>
                <w:color w:val="000000"/>
                <w:sz w:val="24"/>
                <w:szCs w:val="24"/>
              </w:rPr>
              <w:t>（</w:t>
            </w:r>
            <w:r>
              <w:rPr>
                <w:color w:val="000000"/>
                <w:sz w:val="24"/>
                <w:szCs w:val="24"/>
              </w:rPr>
              <w:t>A</w:t>
            </w:r>
            <w:r>
              <w:rPr>
                <w:rFonts w:hint="eastAsia" w:hAnsi="宋体"/>
                <w:color w:val="000000"/>
                <w:sz w:val="24"/>
                <w:szCs w:val="24"/>
              </w:rPr>
              <w:t>）。</w:t>
            </w:r>
          </w:p>
          <w:p>
            <w:pPr>
              <w:pStyle w:val="155"/>
              <w:snapToGrid w:val="0"/>
              <w:spacing w:line="360" w:lineRule="auto"/>
              <w:ind w:left="0" w:right="0" w:firstLine="480" w:firstLineChars="200"/>
              <w:jc w:val="both"/>
              <w:rPr>
                <w:color w:val="000000"/>
                <w:sz w:val="24"/>
                <w:szCs w:val="24"/>
              </w:rPr>
            </w:pPr>
            <w:r>
              <w:rPr>
                <w:rFonts w:hint="eastAsia" w:hAnsi="宋体"/>
                <w:color w:val="000000"/>
                <w:sz w:val="24"/>
                <w:szCs w:val="24"/>
              </w:rPr>
              <w:t>通过上述噪声衰减公示并根据施工场界噪声限值标准的要求，计算出施工机械噪声对环境的影响范围，预测结果见表</w:t>
            </w:r>
            <w:r>
              <w:rPr>
                <w:color w:val="000000"/>
                <w:sz w:val="24"/>
                <w:szCs w:val="24"/>
              </w:rPr>
              <w:t>4-</w:t>
            </w:r>
            <w:r>
              <w:rPr>
                <w:rFonts w:hint="eastAsia"/>
                <w:color w:val="000000"/>
                <w:sz w:val="24"/>
                <w:szCs w:val="24"/>
                <w:lang w:val="en-US" w:eastAsia="zh-CN"/>
              </w:rPr>
              <w:t>5</w:t>
            </w:r>
            <w:r>
              <w:rPr>
                <w:rFonts w:hint="eastAsia" w:hAnsi="宋体"/>
                <w:color w:val="000000"/>
                <w:sz w:val="24"/>
                <w:szCs w:val="24"/>
              </w:rPr>
              <w:t>：</w:t>
            </w:r>
          </w:p>
          <w:p>
            <w:pPr>
              <w:pStyle w:val="89"/>
              <w:adjustRightInd w:val="0"/>
              <w:spacing w:line="240" w:lineRule="auto"/>
              <w:ind w:firstLine="31680"/>
              <w:jc w:val="center"/>
              <w:rPr>
                <w:rFonts w:hAnsi="宋体"/>
                <w:bCs/>
                <w:color w:val="000000"/>
                <w:sz w:val="21"/>
                <w:szCs w:val="21"/>
              </w:rPr>
            </w:pPr>
            <w:r>
              <w:rPr>
                <w:rFonts w:hint="default" w:ascii="Times New Roman" w:hAnsi="Times New Roman" w:cs="Times New Roman"/>
                <w:b/>
                <w:bCs w:val="0"/>
                <w:color w:val="000000"/>
                <w:sz w:val="21"/>
                <w:szCs w:val="21"/>
              </w:rPr>
              <w:t>表4-</w:t>
            </w:r>
            <w:r>
              <w:rPr>
                <w:rFonts w:hint="default" w:ascii="Times New Roman" w:hAnsi="Times New Roman" w:cs="Times New Roman"/>
                <w:b/>
                <w:bCs w:val="0"/>
                <w:color w:val="000000"/>
                <w:sz w:val="21"/>
                <w:szCs w:val="21"/>
                <w:lang w:val="en-US" w:eastAsia="zh-CN"/>
              </w:rPr>
              <w:t>5</w:t>
            </w:r>
            <w:r>
              <w:rPr>
                <w:rFonts w:hint="default" w:ascii="Times New Roman" w:hAnsi="Times New Roman" w:cs="Times New Roman"/>
                <w:b/>
                <w:bCs w:val="0"/>
                <w:color w:val="000000"/>
                <w:sz w:val="21"/>
                <w:szCs w:val="21"/>
              </w:rPr>
              <w:t xml:space="preserve"> </w:t>
            </w:r>
            <w:r>
              <w:rPr>
                <w:rFonts w:hint="default" w:ascii="Times New Roman" w:hAnsi="Times New Roman" w:cs="Times New Roman"/>
                <w:b/>
                <w:bCs w:val="0"/>
                <w:color w:val="000000"/>
                <w:sz w:val="21"/>
                <w:szCs w:val="21"/>
                <w:lang w:val="en-US" w:eastAsia="zh-CN"/>
              </w:rPr>
              <w:t xml:space="preserve"> </w:t>
            </w:r>
            <w:r>
              <w:rPr>
                <w:rFonts w:hint="default" w:ascii="Times New Roman" w:hAnsi="Times New Roman" w:cs="Times New Roman"/>
                <w:b/>
                <w:bCs w:val="0"/>
                <w:color w:val="000000"/>
                <w:sz w:val="21"/>
                <w:szCs w:val="21"/>
              </w:rPr>
              <w:t xml:space="preserve"> </w:t>
            </w:r>
            <w:r>
              <w:rPr>
                <w:rFonts w:hint="default" w:ascii="Times New Roman" w:hAnsi="Times New Roman" w:cs="Times New Roman"/>
                <w:b/>
                <w:bCs w:val="0"/>
                <w:color w:val="000000"/>
                <w:sz w:val="21"/>
                <w:szCs w:val="21"/>
                <w:lang w:val="en-US" w:eastAsia="zh-CN"/>
              </w:rPr>
              <w:t xml:space="preserve">  </w:t>
            </w:r>
            <w:r>
              <w:rPr>
                <w:rFonts w:hint="default" w:ascii="Times New Roman" w:hAnsi="Times New Roman" w:cs="Times New Roman"/>
                <w:b/>
                <w:bCs w:val="0"/>
                <w:color w:val="000000"/>
                <w:sz w:val="21"/>
                <w:szCs w:val="21"/>
              </w:rPr>
              <w:t xml:space="preserve">  施工机械噪声影响范围  </w:t>
            </w:r>
            <w:r>
              <w:rPr>
                <w:rFonts w:hint="default" w:ascii="Times New Roman" w:hAnsi="Times New Roman" w:cs="Times New Roman"/>
                <w:b/>
                <w:bCs w:val="0"/>
                <w:color w:val="000000"/>
                <w:sz w:val="21"/>
                <w:szCs w:val="21"/>
                <w:lang w:val="en-US" w:eastAsia="zh-CN"/>
              </w:rPr>
              <w:t xml:space="preserve">   </w:t>
            </w:r>
            <w:r>
              <w:rPr>
                <w:rFonts w:hint="default" w:ascii="Times New Roman" w:hAnsi="Times New Roman" w:cs="Times New Roman"/>
                <w:b/>
                <w:bCs w:val="0"/>
                <w:color w:val="000000"/>
                <w:sz w:val="21"/>
                <w:szCs w:val="21"/>
              </w:rPr>
              <w:t xml:space="preserve">  单位：dB（A）</w:t>
            </w:r>
          </w:p>
          <w:tbl>
            <w:tblPr>
              <w:tblStyle w:val="36"/>
              <w:tblW w:w="4997"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665"/>
              <w:gridCol w:w="474"/>
              <w:gridCol w:w="521"/>
              <w:gridCol w:w="493"/>
              <w:gridCol w:w="590"/>
              <w:gridCol w:w="466"/>
              <w:gridCol w:w="582"/>
              <w:gridCol w:w="620"/>
              <w:gridCol w:w="528"/>
              <w:gridCol w:w="639"/>
              <w:gridCol w:w="661"/>
              <w:gridCol w:w="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688" w:type="pct"/>
                  <w:vMerge w:val="restart"/>
                  <w:vAlign w:val="center"/>
                </w:tcPr>
                <w:p>
                  <w:pPr>
                    <w:pStyle w:val="180"/>
                    <w:adjustRightInd w:val="0"/>
                    <w:snapToGrid w:val="0"/>
                    <w:spacing w:line="240" w:lineRule="auto"/>
                    <w:rPr>
                      <w:b w:val="0"/>
                      <w:bCs w:val="0"/>
                      <w:color w:val="000000"/>
                      <w:kern w:val="2"/>
                      <w:szCs w:val="21"/>
                      <w:lang w:eastAsia="zh-CN"/>
                    </w:rPr>
                  </w:pPr>
                  <w:r>
                    <w:rPr>
                      <w:rFonts w:hint="eastAsia"/>
                      <w:b w:val="0"/>
                      <w:bCs w:val="0"/>
                      <w:color w:val="000000"/>
                      <w:kern w:val="2"/>
                      <w:szCs w:val="21"/>
                      <w:lang w:eastAsia="zh-CN"/>
                    </w:rPr>
                    <w:t>设备</w:t>
                  </w:r>
                </w:p>
              </w:tc>
              <w:tc>
                <w:tcPr>
                  <w:tcW w:w="419" w:type="pct"/>
                  <w:vMerge w:val="restart"/>
                  <w:vAlign w:val="center"/>
                </w:tcPr>
                <w:p>
                  <w:pPr>
                    <w:pStyle w:val="180"/>
                    <w:adjustRightInd w:val="0"/>
                    <w:snapToGrid w:val="0"/>
                    <w:spacing w:line="240" w:lineRule="auto"/>
                    <w:rPr>
                      <w:b w:val="0"/>
                      <w:bCs w:val="0"/>
                      <w:color w:val="000000"/>
                      <w:kern w:val="2"/>
                      <w:szCs w:val="21"/>
                      <w:lang w:eastAsia="zh-CN"/>
                    </w:rPr>
                  </w:pPr>
                  <w:r>
                    <w:rPr>
                      <w:rFonts w:hint="eastAsia"/>
                      <w:b w:val="0"/>
                      <w:bCs w:val="0"/>
                      <w:color w:val="000000"/>
                      <w:kern w:val="2"/>
                      <w:szCs w:val="21"/>
                      <w:lang w:eastAsia="zh-CN"/>
                    </w:rPr>
                    <w:t>源强</w:t>
                  </w:r>
                </w:p>
              </w:tc>
              <w:tc>
                <w:tcPr>
                  <w:tcW w:w="2356" w:type="pct"/>
                  <w:gridSpan w:val="7"/>
                  <w:vAlign w:val="center"/>
                </w:tcPr>
                <w:p>
                  <w:pPr>
                    <w:pStyle w:val="180"/>
                    <w:adjustRightInd w:val="0"/>
                    <w:snapToGrid w:val="0"/>
                    <w:spacing w:line="240" w:lineRule="auto"/>
                    <w:rPr>
                      <w:b w:val="0"/>
                      <w:bCs w:val="0"/>
                      <w:color w:val="000000"/>
                      <w:kern w:val="2"/>
                      <w:szCs w:val="21"/>
                      <w:lang w:eastAsia="zh-CN"/>
                    </w:rPr>
                  </w:pPr>
                  <w:r>
                    <w:rPr>
                      <w:rFonts w:hint="eastAsia"/>
                      <w:b w:val="0"/>
                      <w:bCs w:val="0"/>
                      <w:color w:val="000000"/>
                      <w:kern w:val="2"/>
                      <w:szCs w:val="21"/>
                      <w:lang w:eastAsia="zh-CN"/>
                    </w:rPr>
                    <w:t>距离（</w:t>
                  </w:r>
                  <w:r>
                    <w:rPr>
                      <w:b w:val="0"/>
                      <w:bCs w:val="0"/>
                      <w:color w:val="000000"/>
                      <w:kern w:val="2"/>
                      <w:szCs w:val="21"/>
                      <w:lang w:eastAsia="zh-CN"/>
                    </w:rPr>
                    <w:t>m</w:t>
                  </w:r>
                  <w:r>
                    <w:rPr>
                      <w:rFonts w:hint="eastAsia"/>
                      <w:b w:val="0"/>
                      <w:bCs w:val="0"/>
                      <w:color w:val="000000"/>
                      <w:kern w:val="2"/>
                      <w:szCs w:val="21"/>
                      <w:lang w:eastAsia="zh-CN"/>
                    </w:rPr>
                    <w:t>）</w:t>
                  </w:r>
                </w:p>
              </w:tc>
              <w:tc>
                <w:tcPr>
                  <w:tcW w:w="734" w:type="pct"/>
                  <w:gridSpan w:val="2"/>
                  <w:vAlign w:val="center"/>
                </w:tcPr>
                <w:p>
                  <w:pPr>
                    <w:pStyle w:val="180"/>
                    <w:adjustRightInd w:val="0"/>
                    <w:snapToGrid w:val="0"/>
                    <w:spacing w:line="240" w:lineRule="auto"/>
                    <w:rPr>
                      <w:b w:val="0"/>
                      <w:bCs w:val="0"/>
                      <w:color w:val="000000"/>
                      <w:kern w:val="2"/>
                      <w:szCs w:val="21"/>
                      <w:lang w:eastAsia="zh-CN"/>
                    </w:rPr>
                  </w:pPr>
                  <w:r>
                    <w:rPr>
                      <w:rFonts w:hint="eastAsia"/>
                      <w:b w:val="0"/>
                      <w:bCs w:val="0"/>
                      <w:color w:val="000000"/>
                      <w:kern w:val="2"/>
                      <w:szCs w:val="21"/>
                      <w:lang w:eastAsia="zh-CN"/>
                    </w:rPr>
                    <w:t>标准值</w:t>
                  </w:r>
                </w:p>
              </w:tc>
              <w:tc>
                <w:tcPr>
                  <w:tcW w:w="801" w:type="pct"/>
                  <w:gridSpan w:val="2"/>
                  <w:vAlign w:val="center"/>
                </w:tcPr>
                <w:p>
                  <w:pPr>
                    <w:pStyle w:val="180"/>
                    <w:adjustRightInd w:val="0"/>
                    <w:snapToGrid w:val="0"/>
                    <w:spacing w:line="240" w:lineRule="auto"/>
                    <w:rPr>
                      <w:b w:val="0"/>
                      <w:bCs w:val="0"/>
                      <w:color w:val="000000"/>
                      <w:kern w:val="2"/>
                      <w:szCs w:val="21"/>
                      <w:lang w:eastAsia="zh-CN"/>
                    </w:rPr>
                  </w:pPr>
                  <w:r>
                    <w:rPr>
                      <w:rFonts w:hint="eastAsia"/>
                      <w:b w:val="0"/>
                      <w:bCs w:val="0"/>
                      <w:color w:val="000000"/>
                      <w:kern w:val="2"/>
                      <w:szCs w:val="21"/>
                      <w:lang w:eastAsia="zh-CN"/>
                    </w:rPr>
                    <w:t>达标距离</w:t>
                  </w:r>
                  <w:r>
                    <w:rPr>
                      <w:b w:val="0"/>
                      <w:bCs w:val="0"/>
                      <w:color w:val="000000"/>
                      <w:kern w:val="2"/>
                      <w:szCs w:val="21"/>
                      <w:lang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88" w:type="pct"/>
                  <w:vMerge w:val="continue"/>
                  <w:vAlign w:val="center"/>
                </w:tcPr>
                <w:p>
                  <w:pPr>
                    <w:pStyle w:val="180"/>
                    <w:adjustRightInd w:val="0"/>
                    <w:snapToGrid w:val="0"/>
                    <w:spacing w:line="240" w:lineRule="auto"/>
                    <w:rPr>
                      <w:b w:val="0"/>
                      <w:bCs w:val="0"/>
                      <w:color w:val="000000"/>
                      <w:kern w:val="2"/>
                      <w:szCs w:val="21"/>
                      <w:lang w:eastAsia="zh-CN"/>
                    </w:rPr>
                  </w:pPr>
                </w:p>
              </w:tc>
              <w:tc>
                <w:tcPr>
                  <w:tcW w:w="419" w:type="pct"/>
                  <w:vMerge w:val="continue"/>
                  <w:vAlign w:val="center"/>
                </w:tcPr>
                <w:p>
                  <w:pPr>
                    <w:pStyle w:val="180"/>
                    <w:adjustRightInd w:val="0"/>
                    <w:snapToGrid w:val="0"/>
                    <w:spacing w:line="240" w:lineRule="auto"/>
                    <w:rPr>
                      <w:b w:val="0"/>
                      <w:bCs w:val="0"/>
                      <w:color w:val="000000"/>
                      <w:kern w:val="2"/>
                      <w:szCs w:val="21"/>
                      <w:lang w:eastAsia="zh-CN"/>
                    </w:rPr>
                  </w:pPr>
                </w:p>
              </w:tc>
              <w:tc>
                <w:tcPr>
                  <w:tcW w:w="298" w:type="pct"/>
                  <w:vAlign w:val="center"/>
                </w:tcPr>
                <w:p>
                  <w:pPr>
                    <w:pStyle w:val="180"/>
                    <w:adjustRightInd w:val="0"/>
                    <w:snapToGrid w:val="0"/>
                    <w:spacing w:line="240" w:lineRule="auto"/>
                    <w:rPr>
                      <w:b w:val="0"/>
                      <w:bCs w:val="0"/>
                      <w:color w:val="000000"/>
                      <w:kern w:val="2"/>
                      <w:szCs w:val="21"/>
                      <w:lang w:eastAsia="zh-CN"/>
                    </w:rPr>
                  </w:pPr>
                  <w:r>
                    <w:rPr>
                      <w:b w:val="0"/>
                      <w:bCs w:val="0"/>
                      <w:color w:val="000000"/>
                      <w:kern w:val="2"/>
                      <w:szCs w:val="21"/>
                      <w:lang w:eastAsia="zh-CN"/>
                    </w:rPr>
                    <w:t>10</w:t>
                  </w:r>
                </w:p>
              </w:tc>
              <w:tc>
                <w:tcPr>
                  <w:tcW w:w="328" w:type="pct"/>
                  <w:vAlign w:val="center"/>
                </w:tcPr>
                <w:p>
                  <w:pPr>
                    <w:pStyle w:val="180"/>
                    <w:adjustRightInd w:val="0"/>
                    <w:snapToGrid w:val="0"/>
                    <w:spacing w:line="240" w:lineRule="auto"/>
                    <w:rPr>
                      <w:b w:val="0"/>
                      <w:bCs w:val="0"/>
                      <w:color w:val="000000"/>
                      <w:kern w:val="2"/>
                      <w:szCs w:val="21"/>
                      <w:lang w:eastAsia="zh-CN"/>
                    </w:rPr>
                  </w:pPr>
                  <w:r>
                    <w:rPr>
                      <w:b w:val="0"/>
                      <w:bCs w:val="0"/>
                      <w:color w:val="000000"/>
                      <w:kern w:val="2"/>
                      <w:szCs w:val="21"/>
                      <w:lang w:eastAsia="zh-CN"/>
                    </w:rPr>
                    <w:t>20</w:t>
                  </w:r>
                </w:p>
              </w:tc>
              <w:tc>
                <w:tcPr>
                  <w:tcW w:w="310" w:type="pct"/>
                  <w:vAlign w:val="center"/>
                </w:tcPr>
                <w:p>
                  <w:pPr>
                    <w:pStyle w:val="180"/>
                    <w:adjustRightInd w:val="0"/>
                    <w:snapToGrid w:val="0"/>
                    <w:spacing w:line="240" w:lineRule="auto"/>
                    <w:rPr>
                      <w:b w:val="0"/>
                      <w:bCs w:val="0"/>
                      <w:color w:val="000000"/>
                      <w:kern w:val="2"/>
                      <w:szCs w:val="21"/>
                      <w:lang w:eastAsia="zh-CN"/>
                    </w:rPr>
                  </w:pPr>
                  <w:r>
                    <w:rPr>
                      <w:b w:val="0"/>
                      <w:bCs w:val="0"/>
                      <w:color w:val="000000"/>
                      <w:kern w:val="2"/>
                      <w:szCs w:val="21"/>
                      <w:lang w:eastAsia="zh-CN"/>
                    </w:rPr>
                    <w:t>40</w:t>
                  </w:r>
                </w:p>
              </w:tc>
              <w:tc>
                <w:tcPr>
                  <w:tcW w:w="371" w:type="pct"/>
                  <w:vAlign w:val="center"/>
                </w:tcPr>
                <w:p>
                  <w:pPr>
                    <w:pStyle w:val="180"/>
                    <w:adjustRightInd w:val="0"/>
                    <w:snapToGrid w:val="0"/>
                    <w:spacing w:line="240" w:lineRule="auto"/>
                    <w:rPr>
                      <w:b w:val="0"/>
                      <w:bCs w:val="0"/>
                      <w:color w:val="000000"/>
                      <w:kern w:val="2"/>
                      <w:szCs w:val="21"/>
                      <w:lang w:eastAsia="zh-CN"/>
                    </w:rPr>
                  </w:pPr>
                  <w:r>
                    <w:rPr>
                      <w:b w:val="0"/>
                      <w:bCs w:val="0"/>
                      <w:color w:val="000000"/>
                      <w:kern w:val="2"/>
                      <w:szCs w:val="21"/>
                      <w:lang w:eastAsia="zh-CN"/>
                    </w:rPr>
                    <w:t>60</w:t>
                  </w:r>
                </w:p>
              </w:tc>
              <w:tc>
                <w:tcPr>
                  <w:tcW w:w="293" w:type="pct"/>
                  <w:vAlign w:val="center"/>
                </w:tcPr>
                <w:p>
                  <w:pPr>
                    <w:pStyle w:val="180"/>
                    <w:adjustRightInd w:val="0"/>
                    <w:snapToGrid w:val="0"/>
                    <w:spacing w:line="240" w:lineRule="auto"/>
                    <w:rPr>
                      <w:b w:val="0"/>
                      <w:bCs w:val="0"/>
                      <w:color w:val="000000"/>
                      <w:kern w:val="2"/>
                      <w:szCs w:val="21"/>
                      <w:lang w:eastAsia="zh-CN"/>
                    </w:rPr>
                  </w:pPr>
                  <w:r>
                    <w:rPr>
                      <w:b w:val="0"/>
                      <w:bCs w:val="0"/>
                      <w:color w:val="000000"/>
                      <w:kern w:val="2"/>
                      <w:szCs w:val="21"/>
                      <w:lang w:eastAsia="zh-CN"/>
                    </w:rPr>
                    <w:t>80</w:t>
                  </w:r>
                </w:p>
              </w:tc>
              <w:tc>
                <w:tcPr>
                  <w:tcW w:w="366" w:type="pct"/>
                  <w:vAlign w:val="center"/>
                </w:tcPr>
                <w:p>
                  <w:pPr>
                    <w:pStyle w:val="180"/>
                    <w:adjustRightInd w:val="0"/>
                    <w:snapToGrid w:val="0"/>
                    <w:spacing w:line="240" w:lineRule="auto"/>
                    <w:rPr>
                      <w:b w:val="0"/>
                      <w:bCs w:val="0"/>
                      <w:color w:val="000000"/>
                      <w:kern w:val="2"/>
                      <w:szCs w:val="21"/>
                      <w:lang w:eastAsia="zh-CN"/>
                    </w:rPr>
                  </w:pPr>
                  <w:r>
                    <w:rPr>
                      <w:b w:val="0"/>
                      <w:bCs w:val="0"/>
                      <w:color w:val="000000"/>
                      <w:kern w:val="2"/>
                      <w:szCs w:val="21"/>
                      <w:lang w:eastAsia="zh-CN"/>
                    </w:rPr>
                    <w:t>100</w:t>
                  </w:r>
                </w:p>
              </w:tc>
              <w:tc>
                <w:tcPr>
                  <w:tcW w:w="386" w:type="pct"/>
                  <w:vAlign w:val="center"/>
                </w:tcPr>
                <w:p>
                  <w:pPr>
                    <w:pStyle w:val="180"/>
                    <w:adjustRightInd w:val="0"/>
                    <w:snapToGrid w:val="0"/>
                    <w:spacing w:line="240" w:lineRule="auto"/>
                    <w:rPr>
                      <w:b w:val="0"/>
                      <w:bCs w:val="0"/>
                      <w:color w:val="000000"/>
                      <w:kern w:val="2"/>
                      <w:szCs w:val="21"/>
                      <w:lang w:eastAsia="zh-CN"/>
                    </w:rPr>
                  </w:pPr>
                  <w:r>
                    <w:rPr>
                      <w:b w:val="0"/>
                      <w:bCs w:val="0"/>
                      <w:color w:val="000000"/>
                      <w:kern w:val="2"/>
                      <w:szCs w:val="21"/>
                      <w:lang w:eastAsia="zh-CN"/>
                    </w:rPr>
                    <w:t>150</w:t>
                  </w:r>
                </w:p>
              </w:tc>
              <w:tc>
                <w:tcPr>
                  <w:tcW w:w="332" w:type="pct"/>
                  <w:vAlign w:val="center"/>
                </w:tcPr>
                <w:p>
                  <w:pPr>
                    <w:pStyle w:val="180"/>
                    <w:adjustRightInd w:val="0"/>
                    <w:snapToGrid w:val="0"/>
                    <w:spacing w:line="240" w:lineRule="auto"/>
                    <w:rPr>
                      <w:b w:val="0"/>
                      <w:bCs w:val="0"/>
                      <w:color w:val="000000"/>
                      <w:kern w:val="2"/>
                      <w:szCs w:val="21"/>
                      <w:lang w:eastAsia="zh-CN"/>
                    </w:rPr>
                  </w:pPr>
                  <w:r>
                    <w:rPr>
                      <w:rFonts w:hint="eastAsia"/>
                      <w:b w:val="0"/>
                      <w:bCs w:val="0"/>
                      <w:color w:val="000000"/>
                      <w:kern w:val="2"/>
                      <w:szCs w:val="21"/>
                      <w:lang w:eastAsia="zh-CN"/>
                    </w:rPr>
                    <w:t>昼</w:t>
                  </w:r>
                </w:p>
              </w:tc>
              <w:tc>
                <w:tcPr>
                  <w:tcW w:w="402" w:type="pct"/>
                  <w:vAlign w:val="center"/>
                </w:tcPr>
                <w:p>
                  <w:pPr>
                    <w:pStyle w:val="180"/>
                    <w:adjustRightInd w:val="0"/>
                    <w:snapToGrid w:val="0"/>
                    <w:spacing w:line="240" w:lineRule="auto"/>
                    <w:rPr>
                      <w:b w:val="0"/>
                      <w:bCs w:val="0"/>
                      <w:color w:val="000000"/>
                      <w:kern w:val="2"/>
                      <w:szCs w:val="21"/>
                      <w:lang w:eastAsia="zh-CN"/>
                    </w:rPr>
                  </w:pPr>
                  <w:r>
                    <w:rPr>
                      <w:rFonts w:hint="eastAsia"/>
                      <w:b w:val="0"/>
                      <w:bCs w:val="0"/>
                      <w:color w:val="000000"/>
                      <w:kern w:val="2"/>
                      <w:szCs w:val="21"/>
                      <w:lang w:eastAsia="zh-CN"/>
                    </w:rPr>
                    <w:t>夜</w:t>
                  </w:r>
                </w:p>
              </w:tc>
              <w:tc>
                <w:tcPr>
                  <w:tcW w:w="416" w:type="pct"/>
                  <w:vAlign w:val="center"/>
                </w:tcPr>
                <w:p>
                  <w:pPr>
                    <w:pStyle w:val="180"/>
                    <w:adjustRightInd w:val="0"/>
                    <w:snapToGrid w:val="0"/>
                    <w:spacing w:line="240" w:lineRule="auto"/>
                    <w:rPr>
                      <w:b w:val="0"/>
                      <w:bCs w:val="0"/>
                      <w:color w:val="000000"/>
                      <w:kern w:val="2"/>
                      <w:szCs w:val="21"/>
                      <w:lang w:eastAsia="zh-CN"/>
                    </w:rPr>
                  </w:pPr>
                  <w:r>
                    <w:rPr>
                      <w:rFonts w:hint="eastAsia"/>
                      <w:b w:val="0"/>
                      <w:bCs w:val="0"/>
                      <w:color w:val="000000"/>
                      <w:kern w:val="2"/>
                      <w:szCs w:val="21"/>
                      <w:lang w:eastAsia="zh-CN"/>
                    </w:rPr>
                    <w:t>昼</w:t>
                  </w:r>
                </w:p>
              </w:tc>
              <w:tc>
                <w:tcPr>
                  <w:tcW w:w="384" w:type="pct"/>
                  <w:vAlign w:val="center"/>
                </w:tcPr>
                <w:p>
                  <w:pPr>
                    <w:pStyle w:val="180"/>
                    <w:adjustRightInd w:val="0"/>
                    <w:snapToGrid w:val="0"/>
                    <w:spacing w:line="240" w:lineRule="auto"/>
                    <w:rPr>
                      <w:b w:val="0"/>
                      <w:bCs w:val="0"/>
                      <w:color w:val="000000"/>
                      <w:kern w:val="2"/>
                      <w:szCs w:val="21"/>
                      <w:lang w:eastAsia="zh-CN"/>
                    </w:rPr>
                  </w:pPr>
                  <w:r>
                    <w:rPr>
                      <w:rFonts w:hint="eastAsia"/>
                      <w:b w:val="0"/>
                      <w:bCs w:val="0"/>
                      <w:color w:val="000000"/>
                      <w:kern w:val="2"/>
                      <w:szCs w:val="21"/>
                      <w:lang w:eastAsia="zh-CN"/>
                    </w:rPr>
                    <w:t>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688" w:type="pct"/>
                  <w:vAlign w:val="center"/>
                </w:tcPr>
                <w:p>
                  <w:pPr>
                    <w:pStyle w:val="180"/>
                    <w:adjustRightInd w:val="0"/>
                    <w:snapToGrid w:val="0"/>
                    <w:spacing w:line="240" w:lineRule="auto"/>
                    <w:rPr>
                      <w:b w:val="0"/>
                      <w:bCs w:val="0"/>
                      <w:color w:val="000000"/>
                      <w:kern w:val="2"/>
                      <w:szCs w:val="21"/>
                      <w:lang w:eastAsia="zh-CN"/>
                    </w:rPr>
                  </w:pPr>
                  <w:r>
                    <w:rPr>
                      <w:rFonts w:hint="eastAsia"/>
                      <w:b w:val="0"/>
                      <w:bCs w:val="0"/>
                      <w:color w:val="000000"/>
                      <w:kern w:val="2"/>
                      <w:szCs w:val="21"/>
                      <w:lang w:eastAsia="zh-CN"/>
                    </w:rPr>
                    <w:t>挖掘机</w:t>
                  </w:r>
                </w:p>
              </w:tc>
              <w:tc>
                <w:tcPr>
                  <w:tcW w:w="419" w:type="pct"/>
                  <w:vAlign w:val="center"/>
                </w:tcPr>
                <w:p>
                  <w:pPr>
                    <w:pStyle w:val="180"/>
                    <w:adjustRightInd w:val="0"/>
                    <w:snapToGrid w:val="0"/>
                    <w:spacing w:line="240" w:lineRule="auto"/>
                    <w:rPr>
                      <w:b w:val="0"/>
                      <w:bCs w:val="0"/>
                      <w:color w:val="000000"/>
                      <w:kern w:val="2"/>
                      <w:szCs w:val="21"/>
                      <w:lang w:eastAsia="zh-CN"/>
                    </w:rPr>
                  </w:pPr>
                  <w:r>
                    <w:rPr>
                      <w:b w:val="0"/>
                      <w:bCs w:val="0"/>
                      <w:color w:val="000000"/>
                      <w:kern w:val="2"/>
                      <w:szCs w:val="21"/>
                      <w:lang w:eastAsia="zh-CN"/>
                    </w:rPr>
                    <w:t>85</w:t>
                  </w:r>
                </w:p>
              </w:tc>
              <w:tc>
                <w:tcPr>
                  <w:tcW w:w="298" w:type="pct"/>
                  <w:vAlign w:val="center"/>
                </w:tcPr>
                <w:p>
                  <w:pPr>
                    <w:pStyle w:val="180"/>
                    <w:adjustRightInd w:val="0"/>
                    <w:snapToGrid w:val="0"/>
                    <w:spacing w:line="240" w:lineRule="auto"/>
                    <w:rPr>
                      <w:b w:val="0"/>
                      <w:bCs w:val="0"/>
                      <w:color w:val="000000"/>
                      <w:kern w:val="2"/>
                      <w:szCs w:val="21"/>
                      <w:lang w:eastAsia="zh-CN"/>
                    </w:rPr>
                  </w:pPr>
                  <w:r>
                    <w:rPr>
                      <w:b w:val="0"/>
                      <w:bCs w:val="0"/>
                      <w:color w:val="000000"/>
                      <w:kern w:val="2"/>
                      <w:szCs w:val="21"/>
                      <w:lang w:eastAsia="zh-CN"/>
                    </w:rPr>
                    <w:t>65</w:t>
                  </w:r>
                </w:p>
              </w:tc>
              <w:tc>
                <w:tcPr>
                  <w:tcW w:w="328" w:type="pct"/>
                  <w:vAlign w:val="center"/>
                </w:tcPr>
                <w:p>
                  <w:pPr>
                    <w:pStyle w:val="180"/>
                    <w:adjustRightInd w:val="0"/>
                    <w:snapToGrid w:val="0"/>
                    <w:spacing w:line="240" w:lineRule="auto"/>
                    <w:rPr>
                      <w:b w:val="0"/>
                      <w:bCs w:val="0"/>
                      <w:color w:val="000000"/>
                      <w:kern w:val="2"/>
                      <w:szCs w:val="21"/>
                      <w:lang w:eastAsia="zh-CN"/>
                    </w:rPr>
                  </w:pPr>
                  <w:r>
                    <w:rPr>
                      <w:b w:val="0"/>
                      <w:bCs w:val="0"/>
                      <w:color w:val="000000"/>
                      <w:kern w:val="2"/>
                      <w:szCs w:val="21"/>
                      <w:lang w:eastAsia="zh-CN"/>
                    </w:rPr>
                    <w:t>59</w:t>
                  </w:r>
                </w:p>
              </w:tc>
              <w:tc>
                <w:tcPr>
                  <w:tcW w:w="310" w:type="pct"/>
                  <w:vAlign w:val="center"/>
                </w:tcPr>
                <w:p>
                  <w:pPr>
                    <w:pStyle w:val="180"/>
                    <w:adjustRightInd w:val="0"/>
                    <w:snapToGrid w:val="0"/>
                    <w:spacing w:line="240" w:lineRule="auto"/>
                    <w:rPr>
                      <w:b w:val="0"/>
                      <w:bCs w:val="0"/>
                      <w:color w:val="000000"/>
                      <w:kern w:val="2"/>
                      <w:szCs w:val="21"/>
                      <w:lang w:eastAsia="zh-CN"/>
                    </w:rPr>
                  </w:pPr>
                  <w:r>
                    <w:rPr>
                      <w:b w:val="0"/>
                      <w:bCs w:val="0"/>
                      <w:color w:val="000000"/>
                      <w:kern w:val="2"/>
                      <w:szCs w:val="21"/>
                      <w:lang w:eastAsia="zh-CN"/>
                    </w:rPr>
                    <w:t>53</w:t>
                  </w:r>
                </w:p>
              </w:tc>
              <w:tc>
                <w:tcPr>
                  <w:tcW w:w="371" w:type="pct"/>
                  <w:vAlign w:val="center"/>
                </w:tcPr>
                <w:p>
                  <w:pPr>
                    <w:pStyle w:val="180"/>
                    <w:adjustRightInd w:val="0"/>
                    <w:snapToGrid w:val="0"/>
                    <w:spacing w:line="240" w:lineRule="auto"/>
                    <w:rPr>
                      <w:b w:val="0"/>
                      <w:bCs w:val="0"/>
                      <w:color w:val="000000"/>
                      <w:kern w:val="2"/>
                      <w:szCs w:val="21"/>
                      <w:lang w:eastAsia="zh-CN"/>
                    </w:rPr>
                  </w:pPr>
                  <w:r>
                    <w:rPr>
                      <w:b w:val="0"/>
                      <w:bCs w:val="0"/>
                      <w:color w:val="000000"/>
                      <w:kern w:val="2"/>
                      <w:szCs w:val="21"/>
                      <w:lang w:eastAsia="zh-CN"/>
                    </w:rPr>
                    <w:t>49</w:t>
                  </w:r>
                </w:p>
              </w:tc>
              <w:tc>
                <w:tcPr>
                  <w:tcW w:w="293" w:type="pct"/>
                  <w:vAlign w:val="center"/>
                </w:tcPr>
                <w:p>
                  <w:pPr>
                    <w:pStyle w:val="180"/>
                    <w:adjustRightInd w:val="0"/>
                    <w:snapToGrid w:val="0"/>
                    <w:spacing w:line="240" w:lineRule="auto"/>
                    <w:rPr>
                      <w:b w:val="0"/>
                      <w:bCs w:val="0"/>
                      <w:color w:val="000000"/>
                      <w:kern w:val="2"/>
                      <w:szCs w:val="21"/>
                      <w:lang w:eastAsia="zh-CN"/>
                    </w:rPr>
                  </w:pPr>
                  <w:r>
                    <w:rPr>
                      <w:b w:val="0"/>
                      <w:bCs w:val="0"/>
                      <w:color w:val="000000"/>
                      <w:kern w:val="2"/>
                      <w:szCs w:val="21"/>
                      <w:lang w:eastAsia="zh-CN"/>
                    </w:rPr>
                    <w:t>47</w:t>
                  </w:r>
                </w:p>
              </w:tc>
              <w:tc>
                <w:tcPr>
                  <w:tcW w:w="366" w:type="pct"/>
                  <w:vAlign w:val="center"/>
                </w:tcPr>
                <w:p>
                  <w:pPr>
                    <w:pStyle w:val="180"/>
                    <w:adjustRightInd w:val="0"/>
                    <w:snapToGrid w:val="0"/>
                    <w:spacing w:line="240" w:lineRule="auto"/>
                    <w:rPr>
                      <w:b w:val="0"/>
                      <w:bCs w:val="0"/>
                      <w:color w:val="000000"/>
                      <w:kern w:val="2"/>
                      <w:szCs w:val="21"/>
                      <w:lang w:eastAsia="zh-CN"/>
                    </w:rPr>
                  </w:pPr>
                  <w:r>
                    <w:rPr>
                      <w:b w:val="0"/>
                      <w:bCs w:val="0"/>
                      <w:color w:val="000000"/>
                      <w:kern w:val="2"/>
                      <w:szCs w:val="21"/>
                      <w:lang w:eastAsia="zh-CN"/>
                    </w:rPr>
                    <w:t>45</w:t>
                  </w:r>
                </w:p>
              </w:tc>
              <w:tc>
                <w:tcPr>
                  <w:tcW w:w="386" w:type="pct"/>
                  <w:vAlign w:val="center"/>
                </w:tcPr>
                <w:p>
                  <w:pPr>
                    <w:pStyle w:val="180"/>
                    <w:adjustRightInd w:val="0"/>
                    <w:snapToGrid w:val="0"/>
                    <w:spacing w:line="240" w:lineRule="auto"/>
                    <w:rPr>
                      <w:b w:val="0"/>
                      <w:bCs w:val="0"/>
                      <w:color w:val="000000"/>
                      <w:kern w:val="2"/>
                      <w:szCs w:val="21"/>
                      <w:lang w:eastAsia="zh-CN"/>
                    </w:rPr>
                  </w:pPr>
                  <w:r>
                    <w:rPr>
                      <w:b w:val="0"/>
                      <w:bCs w:val="0"/>
                      <w:color w:val="000000"/>
                      <w:kern w:val="2"/>
                      <w:szCs w:val="21"/>
                      <w:lang w:eastAsia="zh-CN"/>
                    </w:rPr>
                    <w:t>41</w:t>
                  </w:r>
                </w:p>
              </w:tc>
              <w:tc>
                <w:tcPr>
                  <w:tcW w:w="332" w:type="pct"/>
                  <w:vMerge w:val="restart"/>
                  <w:vAlign w:val="center"/>
                </w:tcPr>
                <w:p>
                  <w:pPr>
                    <w:pStyle w:val="180"/>
                    <w:adjustRightInd w:val="0"/>
                    <w:snapToGrid w:val="0"/>
                    <w:spacing w:line="240" w:lineRule="auto"/>
                    <w:rPr>
                      <w:b w:val="0"/>
                      <w:bCs w:val="0"/>
                      <w:color w:val="000000"/>
                      <w:kern w:val="2"/>
                      <w:szCs w:val="21"/>
                      <w:lang w:eastAsia="zh-CN"/>
                    </w:rPr>
                  </w:pPr>
                  <w:r>
                    <w:rPr>
                      <w:b w:val="0"/>
                      <w:bCs w:val="0"/>
                      <w:color w:val="000000"/>
                      <w:kern w:val="2"/>
                      <w:szCs w:val="21"/>
                      <w:lang w:eastAsia="zh-CN"/>
                    </w:rPr>
                    <w:t>70</w:t>
                  </w:r>
                </w:p>
              </w:tc>
              <w:tc>
                <w:tcPr>
                  <w:tcW w:w="402" w:type="pct"/>
                  <w:vMerge w:val="restart"/>
                  <w:vAlign w:val="center"/>
                </w:tcPr>
                <w:p>
                  <w:pPr>
                    <w:pStyle w:val="180"/>
                    <w:adjustRightInd w:val="0"/>
                    <w:snapToGrid w:val="0"/>
                    <w:spacing w:line="240" w:lineRule="auto"/>
                    <w:rPr>
                      <w:b w:val="0"/>
                      <w:bCs w:val="0"/>
                      <w:color w:val="000000"/>
                      <w:kern w:val="2"/>
                      <w:szCs w:val="21"/>
                      <w:lang w:eastAsia="zh-CN"/>
                    </w:rPr>
                  </w:pPr>
                  <w:r>
                    <w:rPr>
                      <w:b w:val="0"/>
                      <w:bCs w:val="0"/>
                      <w:color w:val="000000"/>
                      <w:kern w:val="2"/>
                      <w:szCs w:val="21"/>
                      <w:lang w:eastAsia="zh-CN"/>
                    </w:rPr>
                    <w:t>55</w:t>
                  </w:r>
                </w:p>
              </w:tc>
              <w:tc>
                <w:tcPr>
                  <w:tcW w:w="416" w:type="pct"/>
                  <w:vAlign w:val="center"/>
                </w:tcPr>
                <w:p>
                  <w:pPr>
                    <w:pStyle w:val="180"/>
                    <w:adjustRightInd w:val="0"/>
                    <w:snapToGrid w:val="0"/>
                    <w:spacing w:line="240" w:lineRule="auto"/>
                    <w:rPr>
                      <w:b w:val="0"/>
                      <w:bCs w:val="0"/>
                      <w:color w:val="000000"/>
                      <w:kern w:val="2"/>
                      <w:szCs w:val="21"/>
                      <w:lang w:eastAsia="zh-CN"/>
                    </w:rPr>
                  </w:pPr>
                  <w:r>
                    <w:rPr>
                      <w:b w:val="0"/>
                      <w:bCs w:val="0"/>
                      <w:color w:val="000000"/>
                      <w:kern w:val="2"/>
                      <w:szCs w:val="21"/>
                      <w:lang w:eastAsia="zh-CN"/>
                    </w:rPr>
                    <w:t>18</w:t>
                  </w:r>
                </w:p>
              </w:tc>
              <w:tc>
                <w:tcPr>
                  <w:tcW w:w="384" w:type="pct"/>
                  <w:vAlign w:val="center"/>
                </w:tcPr>
                <w:p>
                  <w:pPr>
                    <w:pStyle w:val="180"/>
                    <w:adjustRightInd w:val="0"/>
                    <w:snapToGrid w:val="0"/>
                    <w:spacing w:line="240" w:lineRule="auto"/>
                    <w:rPr>
                      <w:b w:val="0"/>
                      <w:bCs w:val="0"/>
                      <w:color w:val="000000"/>
                      <w:kern w:val="2"/>
                      <w:szCs w:val="21"/>
                      <w:lang w:eastAsia="zh-CN"/>
                    </w:rPr>
                  </w:pPr>
                  <w:r>
                    <w:rPr>
                      <w:b w:val="0"/>
                      <w:bCs w:val="0"/>
                      <w:color w:val="000000"/>
                      <w:kern w:val="2"/>
                      <w:szCs w:val="21"/>
                      <w:lang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8" w:type="pct"/>
                  <w:vAlign w:val="center"/>
                </w:tcPr>
                <w:p>
                  <w:pPr>
                    <w:pStyle w:val="180"/>
                    <w:adjustRightInd w:val="0"/>
                    <w:snapToGrid w:val="0"/>
                    <w:spacing w:line="240" w:lineRule="auto"/>
                    <w:rPr>
                      <w:b w:val="0"/>
                      <w:bCs w:val="0"/>
                      <w:color w:val="000000"/>
                      <w:kern w:val="2"/>
                      <w:szCs w:val="21"/>
                      <w:lang w:eastAsia="zh-CN"/>
                    </w:rPr>
                  </w:pPr>
                  <w:r>
                    <w:rPr>
                      <w:rFonts w:hint="eastAsia"/>
                      <w:b w:val="0"/>
                      <w:bCs w:val="0"/>
                      <w:color w:val="000000"/>
                      <w:kern w:val="2"/>
                      <w:szCs w:val="21"/>
                      <w:lang w:eastAsia="zh-CN"/>
                    </w:rPr>
                    <w:t>推土机</w:t>
                  </w:r>
                </w:p>
              </w:tc>
              <w:tc>
                <w:tcPr>
                  <w:tcW w:w="419" w:type="pct"/>
                  <w:vAlign w:val="center"/>
                </w:tcPr>
                <w:p>
                  <w:pPr>
                    <w:pStyle w:val="180"/>
                    <w:adjustRightInd w:val="0"/>
                    <w:snapToGrid w:val="0"/>
                    <w:spacing w:line="240" w:lineRule="auto"/>
                    <w:rPr>
                      <w:b w:val="0"/>
                      <w:bCs w:val="0"/>
                      <w:color w:val="000000"/>
                      <w:kern w:val="2"/>
                      <w:szCs w:val="21"/>
                      <w:lang w:eastAsia="zh-CN"/>
                    </w:rPr>
                  </w:pPr>
                  <w:r>
                    <w:rPr>
                      <w:b w:val="0"/>
                      <w:bCs w:val="0"/>
                      <w:color w:val="000000"/>
                      <w:kern w:val="2"/>
                      <w:szCs w:val="21"/>
                      <w:lang w:eastAsia="zh-CN"/>
                    </w:rPr>
                    <w:t>85</w:t>
                  </w:r>
                </w:p>
              </w:tc>
              <w:tc>
                <w:tcPr>
                  <w:tcW w:w="298" w:type="pct"/>
                  <w:vAlign w:val="center"/>
                </w:tcPr>
                <w:p>
                  <w:pPr>
                    <w:pStyle w:val="180"/>
                    <w:adjustRightInd w:val="0"/>
                    <w:snapToGrid w:val="0"/>
                    <w:spacing w:line="240" w:lineRule="auto"/>
                    <w:rPr>
                      <w:b w:val="0"/>
                      <w:bCs w:val="0"/>
                      <w:color w:val="000000"/>
                      <w:kern w:val="2"/>
                      <w:szCs w:val="21"/>
                      <w:lang w:eastAsia="zh-CN"/>
                    </w:rPr>
                  </w:pPr>
                  <w:r>
                    <w:rPr>
                      <w:b w:val="0"/>
                      <w:bCs w:val="0"/>
                      <w:color w:val="000000"/>
                      <w:kern w:val="2"/>
                      <w:szCs w:val="21"/>
                      <w:lang w:eastAsia="zh-CN"/>
                    </w:rPr>
                    <w:t>65</w:t>
                  </w:r>
                </w:p>
              </w:tc>
              <w:tc>
                <w:tcPr>
                  <w:tcW w:w="328" w:type="pct"/>
                  <w:vAlign w:val="center"/>
                </w:tcPr>
                <w:p>
                  <w:pPr>
                    <w:pStyle w:val="180"/>
                    <w:adjustRightInd w:val="0"/>
                    <w:snapToGrid w:val="0"/>
                    <w:spacing w:line="240" w:lineRule="auto"/>
                    <w:rPr>
                      <w:b w:val="0"/>
                      <w:bCs w:val="0"/>
                      <w:color w:val="000000"/>
                      <w:kern w:val="2"/>
                      <w:szCs w:val="21"/>
                      <w:lang w:eastAsia="zh-CN"/>
                    </w:rPr>
                  </w:pPr>
                  <w:r>
                    <w:rPr>
                      <w:b w:val="0"/>
                      <w:bCs w:val="0"/>
                      <w:color w:val="000000"/>
                      <w:kern w:val="2"/>
                      <w:szCs w:val="21"/>
                      <w:lang w:eastAsia="zh-CN"/>
                    </w:rPr>
                    <w:t>59</w:t>
                  </w:r>
                </w:p>
              </w:tc>
              <w:tc>
                <w:tcPr>
                  <w:tcW w:w="310" w:type="pct"/>
                  <w:vAlign w:val="center"/>
                </w:tcPr>
                <w:p>
                  <w:pPr>
                    <w:pStyle w:val="180"/>
                    <w:adjustRightInd w:val="0"/>
                    <w:snapToGrid w:val="0"/>
                    <w:spacing w:line="240" w:lineRule="auto"/>
                    <w:rPr>
                      <w:b w:val="0"/>
                      <w:bCs w:val="0"/>
                      <w:color w:val="000000"/>
                      <w:kern w:val="2"/>
                      <w:szCs w:val="21"/>
                      <w:lang w:eastAsia="zh-CN"/>
                    </w:rPr>
                  </w:pPr>
                  <w:r>
                    <w:rPr>
                      <w:b w:val="0"/>
                      <w:bCs w:val="0"/>
                      <w:color w:val="000000"/>
                      <w:kern w:val="2"/>
                      <w:szCs w:val="21"/>
                      <w:lang w:eastAsia="zh-CN"/>
                    </w:rPr>
                    <w:t>53</w:t>
                  </w:r>
                </w:p>
              </w:tc>
              <w:tc>
                <w:tcPr>
                  <w:tcW w:w="371" w:type="pct"/>
                  <w:vAlign w:val="center"/>
                </w:tcPr>
                <w:p>
                  <w:pPr>
                    <w:pStyle w:val="180"/>
                    <w:adjustRightInd w:val="0"/>
                    <w:snapToGrid w:val="0"/>
                    <w:spacing w:line="240" w:lineRule="auto"/>
                    <w:rPr>
                      <w:b w:val="0"/>
                      <w:bCs w:val="0"/>
                      <w:color w:val="000000"/>
                      <w:kern w:val="2"/>
                      <w:szCs w:val="21"/>
                      <w:lang w:eastAsia="zh-CN"/>
                    </w:rPr>
                  </w:pPr>
                  <w:r>
                    <w:rPr>
                      <w:b w:val="0"/>
                      <w:bCs w:val="0"/>
                      <w:color w:val="000000"/>
                      <w:kern w:val="2"/>
                      <w:szCs w:val="21"/>
                      <w:lang w:eastAsia="zh-CN"/>
                    </w:rPr>
                    <w:t>49</w:t>
                  </w:r>
                </w:p>
              </w:tc>
              <w:tc>
                <w:tcPr>
                  <w:tcW w:w="293" w:type="pct"/>
                  <w:vAlign w:val="center"/>
                </w:tcPr>
                <w:p>
                  <w:pPr>
                    <w:pStyle w:val="180"/>
                    <w:adjustRightInd w:val="0"/>
                    <w:snapToGrid w:val="0"/>
                    <w:spacing w:line="240" w:lineRule="auto"/>
                    <w:rPr>
                      <w:b w:val="0"/>
                      <w:bCs w:val="0"/>
                      <w:color w:val="000000"/>
                      <w:kern w:val="2"/>
                      <w:szCs w:val="21"/>
                      <w:lang w:eastAsia="zh-CN"/>
                    </w:rPr>
                  </w:pPr>
                  <w:r>
                    <w:rPr>
                      <w:b w:val="0"/>
                      <w:bCs w:val="0"/>
                      <w:color w:val="000000"/>
                      <w:kern w:val="2"/>
                      <w:szCs w:val="21"/>
                      <w:lang w:eastAsia="zh-CN"/>
                    </w:rPr>
                    <w:t>47</w:t>
                  </w:r>
                </w:p>
              </w:tc>
              <w:tc>
                <w:tcPr>
                  <w:tcW w:w="366" w:type="pct"/>
                  <w:vAlign w:val="center"/>
                </w:tcPr>
                <w:p>
                  <w:pPr>
                    <w:pStyle w:val="180"/>
                    <w:adjustRightInd w:val="0"/>
                    <w:snapToGrid w:val="0"/>
                    <w:spacing w:line="240" w:lineRule="auto"/>
                    <w:rPr>
                      <w:b w:val="0"/>
                      <w:bCs w:val="0"/>
                      <w:color w:val="000000"/>
                      <w:kern w:val="2"/>
                      <w:szCs w:val="21"/>
                      <w:lang w:eastAsia="zh-CN"/>
                    </w:rPr>
                  </w:pPr>
                  <w:r>
                    <w:rPr>
                      <w:b w:val="0"/>
                      <w:bCs w:val="0"/>
                      <w:color w:val="000000"/>
                      <w:kern w:val="2"/>
                      <w:szCs w:val="21"/>
                      <w:lang w:eastAsia="zh-CN"/>
                    </w:rPr>
                    <w:t>45</w:t>
                  </w:r>
                </w:p>
              </w:tc>
              <w:tc>
                <w:tcPr>
                  <w:tcW w:w="386" w:type="pct"/>
                  <w:vAlign w:val="center"/>
                </w:tcPr>
                <w:p>
                  <w:pPr>
                    <w:pStyle w:val="180"/>
                    <w:adjustRightInd w:val="0"/>
                    <w:snapToGrid w:val="0"/>
                    <w:spacing w:line="240" w:lineRule="auto"/>
                    <w:rPr>
                      <w:b w:val="0"/>
                      <w:bCs w:val="0"/>
                      <w:color w:val="000000"/>
                      <w:kern w:val="2"/>
                      <w:szCs w:val="21"/>
                      <w:lang w:eastAsia="zh-CN"/>
                    </w:rPr>
                  </w:pPr>
                  <w:r>
                    <w:rPr>
                      <w:b w:val="0"/>
                      <w:bCs w:val="0"/>
                      <w:color w:val="000000"/>
                      <w:kern w:val="2"/>
                      <w:szCs w:val="21"/>
                      <w:lang w:eastAsia="zh-CN"/>
                    </w:rPr>
                    <w:t>41</w:t>
                  </w:r>
                </w:p>
              </w:tc>
              <w:tc>
                <w:tcPr>
                  <w:tcW w:w="332" w:type="pct"/>
                  <w:vMerge w:val="continue"/>
                  <w:vAlign w:val="center"/>
                </w:tcPr>
                <w:p>
                  <w:pPr>
                    <w:pStyle w:val="180"/>
                    <w:adjustRightInd w:val="0"/>
                    <w:snapToGrid w:val="0"/>
                    <w:spacing w:line="240" w:lineRule="auto"/>
                    <w:rPr>
                      <w:b w:val="0"/>
                      <w:bCs w:val="0"/>
                      <w:color w:val="000000"/>
                      <w:kern w:val="2"/>
                      <w:szCs w:val="21"/>
                      <w:lang w:eastAsia="zh-CN"/>
                    </w:rPr>
                  </w:pPr>
                </w:p>
              </w:tc>
              <w:tc>
                <w:tcPr>
                  <w:tcW w:w="402" w:type="pct"/>
                  <w:vMerge w:val="continue"/>
                  <w:vAlign w:val="center"/>
                </w:tcPr>
                <w:p>
                  <w:pPr>
                    <w:pStyle w:val="180"/>
                    <w:adjustRightInd w:val="0"/>
                    <w:snapToGrid w:val="0"/>
                    <w:spacing w:line="240" w:lineRule="auto"/>
                    <w:rPr>
                      <w:b w:val="0"/>
                      <w:bCs w:val="0"/>
                      <w:color w:val="000000"/>
                      <w:kern w:val="2"/>
                      <w:szCs w:val="21"/>
                      <w:lang w:eastAsia="zh-CN"/>
                    </w:rPr>
                  </w:pPr>
                </w:p>
              </w:tc>
              <w:tc>
                <w:tcPr>
                  <w:tcW w:w="416" w:type="pct"/>
                  <w:vAlign w:val="center"/>
                </w:tcPr>
                <w:p>
                  <w:pPr>
                    <w:pStyle w:val="180"/>
                    <w:adjustRightInd w:val="0"/>
                    <w:snapToGrid w:val="0"/>
                    <w:spacing w:line="240" w:lineRule="auto"/>
                    <w:rPr>
                      <w:b w:val="0"/>
                      <w:bCs w:val="0"/>
                      <w:color w:val="000000"/>
                      <w:kern w:val="2"/>
                      <w:szCs w:val="21"/>
                      <w:lang w:eastAsia="zh-CN"/>
                    </w:rPr>
                  </w:pPr>
                  <w:r>
                    <w:rPr>
                      <w:b w:val="0"/>
                      <w:bCs w:val="0"/>
                      <w:color w:val="000000"/>
                      <w:kern w:val="2"/>
                      <w:szCs w:val="21"/>
                      <w:lang w:eastAsia="zh-CN"/>
                    </w:rPr>
                    <w:t>18</w:t>
                  </w:r>
                </w:p>
              </w:tc>
              <w:tc>
                <w:tcPr>
                  <w:tcW w:w="384" w:type="pct"/>
                  <w:vAlign w:val="center"/>
                </w:tcPr>
                <w:p>
                  <w:pPr>
                    <w:pStyle w:val="180"/>
                    <w:adjustRightInd w:val="0"/>
                    <w:snapToGrid w:val="0"/>
                    <w:spacing w:line="240" w:lineRule="auto"/>
                    <w:rPr>
                      <w:b w:val="0"/>
                      <w:bCs w:val="0"/>
                      <w:color w:val="000000"/>
                      <w:kern w:val="2"/>
                      <w:szCs w:val="21"/>
                      <w:lang w:eastAsia="zh-CN"/>
                    </w:rPr>
                  </w:pPr>
                  <w:r>
                    <w:rPr>
                      <w:b w:val="0"/>
                      <w:bCs w:val="0"/>
                      <w:color w:val="000000"/>
                      <w:kern w:val="2"/>
                      <w:szCs w:val="21"/>
                      <w:lang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88" w:type="pct"/>
                  <w:vAlign w:val="center"/>
                </w:tcPr>
                <w:p>
                  <w:pPr>
                    <w:pStyle w:val="180"/>
                    <w:adjustRightInd w:val="0"/>
                    <w:snapToGrid w:val="0"/>
                    <w:spacing w:line="240" w:lineRule="auto"/>
                    <w:rPr>
                      <w:b w:val="0"/>
                      <w:bCs w:val="0"/>
                      <w:color w:val="000000"/>
                      <w:kern w:val="2"/>
                      <w:szCs w:val="21"/>
                      <w:lang w:eastAsia="zh-CN"/>
                    </w:rPr>
                  </w:pPr>
                  <w:r>
                    <w:rPr>
                      <w:rFonts w:hint="eastAsia"/>
                      <w:b w:val="0"/>
                      <w:bCs w:val="0"/>
                      <w:color w:val="000000"/>
                      <w:kern w:val="2"/>
                      <w:szCs w:val="21"/>
                      <w:lang w:eastAsia="zh-CN"/>
                    </w:rPr>
                    <w:t>夯机</w:t>
                  </w:r>
                </w:p>
              </w:tc>
              <w:tc>
                <w:tcPr>
                  <w:tcW w:w="419" w:type="pct"/>
                  <w:vAlign w:val="center"/>
                </w:tcPr>
                <w:p>
                  <w:pPr>
                    <w:pStyle w:val="180"/>
                    <w:adjustRightInd w:val="0"/>
                    <w:snapToGrid w:val="0"/>
                    <w:spacing w:line="240" w:lineRule="auto"/>
                    <w:rPr>
                      <w:b w:val="0"/>
                      <w:bCs w:val="0"/>
                      <w:color w:val="000000"/>
                      <w:kern w:val="2"/>
                      <w:szCs w:val="21"/>
                      <w:lang w:eastAsia="zh-CN"/>
                    </w:rPr>
                  </w:pPr>
                  <w:r>
                    <w:rPr>
                      <w:b w:val="0"/>
                      <w:bCs w:val="0"/>
                      <w:color w:val="000000"/>
                      <w:kern w:val="2"/>
                      <w:szCs w:val="21"/>
                      <w:lang w:eastAsia="zh-CN"/>
                    </w:rPr>
                    <w:t>85</w:t>
                  </w:r>
                </w:p>
              </w:tc>
              <w:tc>
                <w:tcPr>
                  <w:tcW w:w="298" w:type="pct"/>
                  <w:vAlign w:val="center"/>
                </w:tcPr>
                <w:p>
                  <w:pPr>
                    <w:pStyle w:val="180"/>
                    <w:adjustRightInd w:val="0"/>
                    <w:snapToGrid w:val="0"/>
                    <w:spacing w:line="240" w:lineRule="auto"/>
                    <w:rPr>
                      <w:b w:val="0"/>
                      <w:bCs w:val="0"/>
                      <w:color w:val="000000"/>
                      <w:kern w:val="2"/>
                      <w:szCs w:val="21"/>
                      <w:lang w:eastAsia="zh-CN"/>
                    </w:rPr>
                  </w:pPr>
                  <w:r>
                    <w:rPr>
                      <w:b w:val="0"/>
                      <w:bCs w:val="0"/>
                      <w:color w:val="000000"/>
                      <w:kern w:val="2"/>
                      <w:szCs w:val="21"/>
                      <w:lang w:eastAsia="zh-CN"/>
                    </w:rPr>
                    <w:t>65</w:t>
                  </w:r>
                </w:p>
              </w:tc>
              <w:tc>
                <w:tcPr>
                  <w:tcW w:w="328" w:type="pct"/>
                  <w:vAlign w:val="center"/>
                </w:tcPr>
                <w:p>
                  <w:pPr>
                    <w:pStyle w:val="180"/>
                    <w:adjustRightInd w:val="0"/>
                    <w:snapToGrid w:val="0"/>
                    <w:spacing w:line="240" w:lineRule="auto"/>
                    <w:rPr>
                      <w:b w:val="0"/>
                      <w:bCs w:val="0"/>
                      <w:color w:val="000000"/>
                      <w:kern w:val="2"/>
                      <w:szCs w:val="21"/>
                      <w:lang w:eastAsia="zh-CN"/>
                    </w:rPr>
                  </w:pPr>
                  <w:r>
                    <w:rPr>
                      <w:b w:val="0"/>
                      <w:bCs w:val="0"/>
                      <w:color w:val="000000"/>
                      <w:kern w:val="2"/>
                      <w:szCs w:val="21"/>
                      <w:lang w:eastAsia="zh-CN"/>
                    </w:rPr>
                    <w:t>59</w:t>
                  </w:r>
                </w:p>
              </w:tc>
              <w:tc>
                <w:tcPr>
                  <w:tcW w:w="310" w:type="pct"/>
                  <w:vAlign w:val="center"/>
                </w:tcPr>
                <w:p>
                  <w:pPr>
                    <w:pStyle w:val="180"/>
                    <w:adjustRightInd w:val="0"/>
                    <w:snapToGrid w:val="0"/>
                    <w:spacing w:line="240" w:lineRule="auto"/>
                    <w:rPr>
                      <w:b w:val="0"/>
                      <w:bCs w:val="0"/>
                      <w:color w:val="000000"/>
                      <w:kern w:val="2"/>
                      <w:szCs w:val="21"/>
                      <w:lang w:eastAsia="zh-CN"/>
                    </w:rPr>
                  </w:pPr>
                  <w:r>
                    <w:rPr>
                      <w:b w:val="0"/>
                      <w:bCs w:val="0"/>
                      <w:color w:val="000000"/>
                      <w:kern w:val="2"/>
                      <w:szCs w:val="21"/>
                      <w:lang w:eastAsia="zh-CN"/>
                    </w:rPr>
                    <w:t>53</w:t>
                  </w:r>
                </w:p>
              </w:tc>
              <w:tc>
                <w:tcPr>
                  <w:tcW w:w="371" w:type="pct"/>
                  <w:vAlign w:val="center"/>
                </w:tcPr>
                <w:p>
                  <w:pPr>
                    <w:pStyle w:val="180"/>
                    <w:adjustRightInd w:val="0"/>
                    <w:snapToGrid w:val="0"/>
                    <w:spacing w:line="240" w:lineRule="auto"/>
                    <w:rPr>
                      <w:b w:val="0"/>
                      <w:bCs w:val="0"/>
                      <w:color w:val="000000"/>
                      <w:kern w:val="2"/>
                      <w:szCs w:val="21"/>
                      <w:lang w:eastAsia="zh-CN"/>
                    </w:rPr>
                  </w:pPr>
                  <w:r>
                    <w:rPr>
                      <w:b w:val="0"/>
                      <w:bCs w:val="0"/>
                      <w:color w:val="000000"/>
                      <w:kern w:val="2"/>
                      <w:szCs w:val="21"/>
                      <w:lang w:eastAsia="zh-CN"/>
                    </w:rPr>
                    <w:t>49</w:t>
                  </w:r>
                </w:p>
              </w:tc>
              <w:tc>
                <w:tcPr>
                  <w:tcW w:w="293" w:type="pct"/>
                  <w:vAlign w:val="center"/>
                </w:tcPr>
                <w:p>
                  <w:pPr>
                    <w:pStyle w:val="180"/>
                    <w:adjustRightInd w:val="0"/>
                    <w:snapToGrid w:val="0"/>
                    <w:spacing w:line="240" w:lineRule="auto"/>
                    <w:rPr>
                      <w:b w:val="0"/>
                      <w:bCs w:val="0"/>
                      <w:color w:val="000000"/>
                      <w:kern w:val="2"/>
                      <w:szCs w:val="21"/>
                      <w:lang w:eastAsia="zh-CN"/>
                    </w:rPr>
                  </w:pPr>
                  <w:r>
                    <w:rPr>
                      <w:b w:val="0"/>
                      <w:bCs w:val="0"/>
                      <w:color w:val="000000"/>
                      <w:kern w:val="2"/>
                      <w:szCs w:val="21"/>
                      <w:lang w:eastAsia="zh-CN"/>
                    </w:rPr>
                    <w:t>47</w:t>
                  </w:r>
                </w:p>
              </w:tc>
              <w:tc>
                <w:tcPr>
                  <w:tcW w:w="366" w:type="pct"/>
                  <w:vAlign w:val="center"/>
                </w:tcPr>
                <w:p>
                  <w:pPr>
                    <w:pStyle w:val="180"/>
                    <w:adjustRightInd w:val="0"/>
                    <w:snapToGrid w:val="0"/>
                    <w:spacing w:line="240" w:lineRule="auto"/>
                    <w:rPr>
                      <w:b w:val="0"/>
                      <w:bCs w:val="0"/>
                      <w:color w:val="000000"/>
                      <w:kern w:val="2"/>
                      <w:szCs w:val="21"/>
                      <w:lang w:eastAsia="zh-CN"/>
                    </w:rPr>
                  </w:pPr>
                  <w:r>
                    <w:rPr>
                      <w:b w:val="0"/>
                      <w:bCs w:val="0"/>
                      <w:color w:val="000000"/>
                      <w:kern w:val="2"/>
                      <w:szCs w:val="21"/>
                      <w:lang w:eastAsia="zh-CN"/>
                    </w:rPr>
                    <w:t>45</w:t>
                  </w:r>
                </w:p>
              </w:tc>
              <w:tc>
                <w:tcPr>
                  <w:tcW w:w="386" w:type="pct"/>
                  <w:vAlign w:val="center"/>
                </w:tcPr>
                <w:p>
                  <w:pPr>
                    <w:pStyle w:val="180"/>
                    <w:adjustRightInd w:val="0"/>
                    <w:snapToGrid w:val="0"/>
                    <w:spacing w:line="240" w:lineRule="auto"/>
                    <w:rPr>
                      <w:b w:val="0"/>
                      <w:bCs w:val="0"/>
                      <w:color w:val="000000"/>
                      <w:kern w:val="2"/>
                      <w:szCs w:val="21"/>
                      <w:lang w:eastAsia="zh-CN"/>
                    </w:rPr>
                  </w:pPr>
                  <w:r>
                    <w:rPr>
                      <w:b w:val="0"/>
                      <w:bCs w:val="0"/>
                      <w:color w:val="000000"/>
                      <w:kern w:val="2"/>
                      <w:szCs w:val="21"/>
                      <w:lang w:eastAsia="zh-CN"/>
                    </w:rPr>
                    <w:t>41</w:t>
                  </w:r>
                </w:p>
              </w:tc>
              <w:tc>
                <w:tcPr>
                  <w:tcW w:w="332" w:type="pct"/>
                  <w:vMerge w:val="continue"/>
                  <w:vAlign w:val="center"/>
                </w:tcPr>
                <w:p>
                  <w:pPr>
                    <w:pStyle w:val="180"/>
                    <w:adjustRightInd w:val="0"/>
                    <w:snapToGrid w:val="0"/>
                    <w:spacing w:line="240" w:lineRule="auto"/>
                    <w:rPr>
                      <w:b w:val="0"/>
                      <w:bCs w:val="0"/>
                      <w:color w:val="000000"/>
                      <w:kern w:val="2"/>
                      <w:szCs w:val="21"/>
                      <w:lang w:eastAsia="zh-CN"/>
                    </w:rPr>
                  </w:pPr>
                </w:p>
              </w:tc>
              <w:tc>
                <w:tcPr>
                  <w:tcW w:w="402" w:type="pct"/>
                  <w:vMerge w:val="continue"/>
                  <w:vAlign w:val="center"/>
                </w:tcPr>
                <w:p>
                  <w:pPr>
                    <w:pStyle w:val="180"/>
                    <w:adjustRightInd w:val="0"/>
                    <w:snapToGrid w:val="0"/>
                    <w:spacing w:line="240" w:lineRule="auto"/>
                    <w:rPr>
                      <w:b w:val="0"/>
                      <w:bCs w:val="0"/>
                      <w:color w:val="000000"/>
                      <w:kern w:val="2"/>
                      <w:szCs w:val="21"/>
                      <w:lang w:eastAsia="zh-CN"/>
                    </w:rPr>
                  </w:pPr>
                </w:p>
              </w:tc>
              <w:tc>
                <w:tcPr>
                  <w:tcW w:w="416" w:type="pct"/>
                  <w:vAlign w:val="center"/>
                </w:tcPr>
                <w:p>
                  <w:pPr>
                    <w:pStyle w:val="180"/>
                    <w:adjustRightInd w:val="0"/>
                    <w:snapToGrid w:val="0"/>
                    <w:spacing w:line="240" w:lineRule="auto"/>
                    <w:rPr>
                      <w:b w:val="0"/>
                      <w:bCs w:val="0"/>
                      <w:color w:val="000000"/>
                      <w:kern w:val="2"/>
                      <w:szCs w:val="21"/>
                      <w:lang w:eastAsia="zh-CN"/>
                    </w:rPr>
                  </w:pPr>
                  <w:r>
                    <w:rPr>
                      <w:b w:val="0"/>
                      <w:bCs w:val="0"/>
                      <w:color w:val="000000"/>
                      <w:kern w:val="2"/>
                      <w:szCs w:val="21"/>
                      <w:lang w:eastAsia="zh-CN"/>
                    </w:rPr>
                    <w:t>18</w:t>
                  </w:r>
                </w:p>
              </w:tc>
              <w:tc>
                <w:tcPr>
                  <w:tcW w:w="384" w:type="pct"/>
                  <w:vAlign w:val="center"/>
                </w:tcPr>
                <w:p>
                  <w:pPr>
                    <w:pStyle w:val="180"/>
                    <w:adjustRightInd w:val="0"/>
                    <w:snapToGrid w:val="0"/>
                    <w:spacing w:line="240" w:lineRule="auto"/>
                    <w:rPr>
                      <w:b w:val="0"/>
                      <w:bCs w:val="0"/>
                      <w:color w:val="000000"/>
                      <w:kern w:val="2"/>
                      <w:szCs w:val="21"/>
                      <w:lang w:eastAsia="zh-CN"/>
                    </w:rPr>
                  </w:pPr>
                  <w:r>
                    <w:rPr>
                      <w:b w:val="0"/>
                      <w:bCs w:val="0"/>
                      <w:color w:val="000000"/>
                      <w:kern w:val="2"/>
                      <w:szCs w:val="21"/>
                      <w:lang w:eastAsia="zh-CN"/>
                    </w:rPr>
                    <w:t>55</w:t>
                  </w:r>
                </w:p>
              </w:tc>
            </w:tr>
          </w:tbl>
          <w:p>
            <w:pPr>
              <w:pStyle w:val="155"/>
              <w:snapToGrid w:val="0"/>
              <w:spacing w:line="360" w:lineRule="auto"/>
              <w:ind w:left="0" w:right="0" w:firstLine="480" w:firstLineChars="200"/>
              <w:rPr>
                <w:rFonts w:hint="eastAsia" w:ascii="Times New Roman" w:hAnsi="宋体" w:cs="Times New Roman"/>
                <w:color w:val="000000"/>
                <w:sz w:val="24"/>
                <w:szCs w:val="24"/>
              </w:rPr>
            </w:pPr>
            <w:r>
              <w:rPr>
                <w:rFonts w:hint="eastAsia" w:ascii="Times New Roman" w:hAnsi="宋体" w:cs="Times New Roman"/>
                <w:color w:val="000000"/>
                <w:sz w:val="24"/>
                <w:szCs w:val="24"/>
              </w:rPr>
              <w:t>从上表数据可以看出，施工机械本身的作业噪声较高，随着距离的增加，噪声逐渐衰减。</w:t>
            </w:r>
          </w:p>
          <w:p>
            <w:pPr>
              <w:pStyle w:val="155"/>
              <w:snapToGrid w:val="0"/>
              <w:spacing w:line="360" w:lineRule="auto"/>
              <w:ind w:left="0" w:right="0" w:firstLine="480" w:firstLineChars="200"/>
              <w:rPr>
                <w:rFonts w:ascii="Times New Roman" w:hAnsi="Times New Roman" w:cs="Times New Roman"/>
                <w:color w:val="000000"/>
                <w:sz w:val="24"/>
                <w:szCs w:val="24"/>
              </w:rPr>
            </w:pPr>
            <w:r>
              <w:rPr>
                <w:rFonts w:hint="eastAsia" w:hAnsi="宋体"/>
                <w:color w:val="000000"/>
                <w:sz w:val="24"/>
                <w:szCs w:val="24"/>
              </w:rPr>
              <w:t>施工机械噪声对周围环境的影响范围可满足《建筑施工场界环境噪声排放标</w:t>
            </w:r>
            <w:r>
              <w:rPr>
                <w:rFonts w:hint="eastAsia" w:ascii="Times New Roman" w:hAnsi="Times New Roman" w:cs="Times New Roman"/>
                <w:color w:val="000000"/>
                <w:sz w:val="24"/>
                <w:szCs w:val="24"/>
              </w:rPr>
              <w:t>准》（</w:t>
            </w:r>
            <w:r>
              <w:rPr>
                <w:rFonts w:ascii="Times New Roman" w:hAnsi="Times New Roman" w:cs="Times New Roman"/>
                <w:color w:val="000000"/>
                <w:sz w:val="24"/>
                <w:szCs w:val="24"/>
              </w:rPr>
              <w:t>GB12523-2011</w:t>
            </w:r>
            <w:r>
              <w:rPr>
                <w:rFonts w:hint="eastAsia" w:ascii="Times New Roman" w:hAnsi="Times New Roman" w:cs="Times New Roman"/>
                <w:color w:val="000000"/>
                <w:sz w:val="24"/>
                <w:szCs w:val="24"/>
              </w:rPr>
              <w:t>）的要求</w:t>
            </w:r>
            <w:r>
              <w:rPr>
                <w:rFonts w:hint="eastAsia" w:ascii="Times New Roman" w:hAnsi="Times New Roman" w:cs="Times New Roman"/>
                <w:color w:val="000000"/>
                <w:sz w:val="24"/>
                <w:szCs w:val="24"/>
                <w:lang w:eastAsia="zh-CN"/>
              </w:rPr>
              <w:t>，</w:t>
            </w:r>
            <w:r>
              <w:rPr>
                <w:rFonts w:hint="eastAsia" w:ascii="Times New Roman" w:hAnsi="Times New Roman" w:cs="Times New Roman"/>
                <w:color w:val="000000"/>
                <w:sz w:val="24"/>
                <w:szCs w:val="24"/>
              </w:rPr>
              <w:t>施工期产生的噪声为临时性流动声源，其影响随着施工期的结束而结束。</w:t>
            </w:r>
          </w:p>
          <w:p>
            <w:pPr>
              <w:pStyle w:val="155"/>
              <w:snapToGrid w:val="0"/>
              <w:spacing w:line="360" w:lineRule="auto"/>
              <w:ind w:left="0" w:right="0" w:firstLine="480" w:firstLineChars="200"/>
              <w:rPr>
                <w:rFonts w:ascii="Times New Roman" w:hAnsi="Times New Roman" w:cs="Times New Roman"/>
                <w:color w:val="000000"/>
                <w:sz w:val="24"/>
                <w:szCs w:val="24"/>
              </w:rPr>
            </w:pPr>
            <w:r>
              <w:rPr>
                <w:rFonts w:hint="default" w:ascii="Times New Roman" w:hAnsi="Times New Roman" w:cs="Times New Roman"/>
                <w:color w:val="000000"/>
                <w:sz w:val="24"/>
                <w:szCs w:val="24"/>
              </w:rPr>
              <w:t>（</w:t>
            </w:r>
            <w:r>
              <w:rPr>
                <w:rFonts w:hint="eastAsia" w:ascii="Times New Roman" w:hAnsi="Times New Roman" w:cs="Times New Roman"/>
                <w:color w:val="000000"/>
                <w:sz w:val="24"/>
                <w:szCs w:val="24"/>
                <w:lang w:val="en-US" w:eastAsia="zh-CN"/>
              </w:rPr>
              <w:t>2</w:t>
            </w:r>
            <w:r>
              <w:rPr>
                <w:rFonts w:hint="default" w:ascii="Times New Roman" w:hAnsi="Times New Roman" w:cs="Times New Roman"/>
                <w:color w:val="000000"/>
                <w:sz w:val="24"/>
                <w:szCs w:val="24"/>
              </w:rPr>
              <w:t>）</w:t>
            </w:r>
            <w:r>
              <w:rPr>
                <w:rFonts w:hint="eastAsia" w:ascii="Times New Roman" w:hAnsi="Times New Roman" w:cs="Times New Roman"/>
                <w:color w:val="000000"/>
                <w:sz w:val="24"/>
                <w:szCs w:val="24"/>
              </w:rPr>
              <w:t>交通运输噪声</w:t>
            </w:r>
          </w:p>
          <w:p>
            <w:pPr>
              <w:adjustRightInd w:val="0"/>
              <w:snapToGrid w:val="0"/>
              <w:spacing w:line="360" w:lineRule="auto"/>
              <w:ind w:firstLine="31680"/>
              <w:rPr>
                <w:color w:val="000000"/>
              </w:rPr>
            </w:pPr>
            <w:r>
              <w:rPr>
                <w:rFonts w:hint="eastAsia" w:hAnsi="宋体"/>
                <w:color w:val="000000"/>
              </w:rPr>
              <w:t>本工程施工运输利用工程区域内的道路，施工道路均为原有道路</w:t>
            </w:r>
            <w:r>
              <w:rPr>
                <w:rFonts w:hint="eastAsia" w:hAnsi="宋体"/>
                <w:color w:val="000000"/>
                <w:lang w:eastAsia="zh-CN"/>
              </w:rPr>
              <w:t>，</w:t>
            </w:r>
            <w:r>
              <w:rPr>
                <w:rFonts w:hint="eastAsia" w:hAnsi="宋体"/>
                <w:color w:val="000000"/>
              </w:rPr>
              <w:t>工程运输主要为外来物资进场等，根据工程施工布局及施工强度分析，由于本工程规模较小，工程外来物资运输、运料交通噪声对村庄附近路段的影响较小，工程区施工运输昼间增加车流量约1~2辆/h，夜间增加车流量更少。</w:t>
            </w:r>
          </w:p>
          <w:p>
            <w:pPr>
              <w:adjustRightInd w:val="0"/>
              <w:snapToGrid w:val="0"/>
              <w:spacing w:line="360" w:lineRule="auto"/>
              <w:ind w:firstLine="0" w:firstLineChars="0"/>
              <w:rPr>
                <w:b/>
                <w:color w:val="000000"/>
              </w:rPr>
            </w:pPr>
            <w:r>
              <w:rPr>
                <w:rFonts w:hint="eastAsia"/>
                <w:b/>
                <w:color w:val="000000"/>
                <w:lang w:val="en-US" w:eastAsia="zh-CN"/>
              </w:rPr>
              <w:t>4</w:t>
            </w:r>
            <w:r>
              <w:rPr>
                <w:rFonts w:hint="eastAsia"/>
                <w:b/>
                <w:color w:val="000000"/>
              </w:rPr>
              <w:t>、固体废弃物影响分析</w:t>
            </w:r>
          </w:p>
          <w:p>
            <w:pPr>
              <w:keepNext/>
              <w:keepLines/>
              <w:snapToGrid w:val="0"/>
              <w:spacing w:line="360" w:lineRule="auto"/>
              <w:ind w:firstLine="31680"/>
              <w:outlineLvl w:val="1"/>
              <w:rPr>
                <w:rFonts w:hint="eastAsia"/>
                <w:color w:val="000000"/>
              </w:rPr>
            </w:pPr>
            <w:bookmarkStart w:id="9" w:name="_Toc25139"/>
            <w:r>
              <w:rPr>
                <w:rFonts w:hint="eastAsia"/>
                <w:color w:val="000000"/>
              </w:rPr>
              <w:t>施工期固体废弃物主要包括生活垃圾、建筑垃圾和工程弃渣等。</w:t>
            </w:r>
            <w:bookmarkEnd w:id="9"/>
          </w:p>
          <w:p>
            <w:pPr>
              <w:keepNext/>
              <w:keepLines/>
              <w:snapToGrid w:val="0"/>
              <w:spacing w:line="360" w:lineRule="auto"/>
              <w:ind w:firstLine="31680"/>
              <w:outlineLvl w:val="1"/>
              <w:rPr>
                <w:rFonts w:hint="eastAsia"/>
                <w:color w:val="000000"/>
              </w:rPr>
            </w:pPr>
            <w:bookmarkStart w:id="10" w:name="_Toc26488"/>
            <w:r>
              <w:rPr>
                <w:rFonts w:hint="eastAsia"/>
                <w:color w:val="000000"/>
              </w:rPr>
              <w:t>（1）生活垃圾</w:t>
            </w:r>
            <w:bookmarkEnd w:id="10"/>
          </w:p>
          <w:p>
            <w:pPr>
              <w:snapToGrid w:val="0"/>
              <w:spacing w:line="360" w:lineRule="auto"/>
              <w:ind w:firstLine="540" w:firstLineChars="225"/>
              <w:rPr>
                <w:rFonts w:hint="default" w:eastAsia="宋体"/>
                <w:sz w:val="24"/>
                <w:lang w:val="en-US" w:eastAsia="zh-CN"/>
              </w:rPr>
            </w:pPr>
            <w:r>
              <w:rPr>
                <w:rFonts w:hint="eastAsia" w:cs="Times New Roman"/>
                <w:color w:val="000000"/>
                <w:lang w:val="en-US" w:eastAsia="zh-CN"/>
              </w:rPr>
              <w:t>施工人员为20人，</w:t>
            </w:r>
            <w:r>
              <w:rPr>
                <w:sz w:val="24"/>
              </w:rPr>
              <w:t>按人均0.5kg/d计算，</w:t>
            </w:r>
            <w:r>
              <w:rPr>
                <w:rFonts w:hint="eastAsia"/>
                <w:sz w:val="24"/>
                <w:lang w:val="en-US" w:eastAsia="zh-CN"/>
              </w:rPr>
              <w:t>施工期为4个月，</w:t>
            </w:r>
            <w:r>
              <w:rPr>
                <w:rFonts w:hint="default" w:ascii="Times New Roman" w:hAnsi="Times New Roman" w:cs="Times New Roman"/>
                <w:color w:val="000000"/>
              </w:rPr>
              <w:t>生活垃圾产生</w:t>
            </w:r>
            <w:r>
              <w:rPr>
                <w:rFonts w:hint="default" w:ascii="Times New Roman" w:hAnsi="Times New Roman" w:eastAsia="宋体" w:cs="Times New Roman"/>
                <w:color w:val="000000"/>
                <w:kern w:val="2"/>
                <w:sz w:val="24"/>
                <w:szCs w:val="24"/>
                <w:lang w:val="en-US" w:eastAsia="zh-CN" w:bidi="ar-SA"/>
              </w:rPr>
              <w:t>量为</w:t>
            </w:r>
            <w:r>
              <w:rPr>
                <w:rFonts w:hint="eastAsia" w:cs="Times New Roman"/>
                <w:color w:val="000000"/>
                <w:kern w:val="2"/>
                <w:sz w:val="24"/>
                <w:szCs w:val="24"/>
                <w:lang w:val="en-US" w:eastAsia="zh-CN" w:bidi="ar-SA"/>
              </w:rPr>
              <w:t>1.2</w:t>
            </w:r>
            <w:r>
              <w:rPr>
                <w:rFonts w:hint="default" w:ascii="Times New Roman" w:hAnsi="Times New Roman" w:eastAsia="宋体" w:cs="Times New Roman"/>
                <w:color w:val="000000"/>
                <w:kern w:val="2"/>
                <w:sz w:val="24"/>
                <w:szCs w:val="24"/>
                <w:lang w:val="en-US" w:eastAsia="zh-CN" w:bidi="ar-SA"/>
              </w:rPr>
              <w:t>t</w:t>
            </w:r>
            <w:r>
              <w:rPr>
                <w:rFonts w:hint="eastAsia" w:ascii="Times New Roman" w:hAnsi="Times New Roman" w:eastAsia="宋体" w:cs="Times New Roman"/>
                <w:color w:val="000000"/>
                <w:kern w:val="2"/>
                <w:sz w:val="24"/>
                <w:szCs w:val="24"/>
                <w:lang w:val="en-US" w:eastAsia="zh-CN" w:bidi="ar-SA"/>
              </w:rPr>
              <w:t>，生活垃圾为一般固废，</w:t>
            </w:r>
            <w:r>
              <w:rPr>
                <w:rFonts w:hint="default" w:ascii="Times New Roman" w:hAnsi="Times New Roman" w:cs="Times New Roman"/>
                <w:sz w:val="24"/>
                <w:lang w:val="en-US" w:eastAsia="zh-CN"/>
              </w:rPr>
              <w:t>废物代码：</w:t>
            </w:r>
            <w:r>
              <w:rPr>
                <w:rFonts w:hint="default" w:ascii="Times New Roman" w:hAnsi="Times New Roman" w:eastAsia="宋体" w:cs="Times New Roman"/>
                <w:sz w:val="24"/>
                <w:szCs w:val="24"/>
              </w:rPr>
              <w:t>SW61</w:t>
            </w:r>
            <w:r>
              <w:rPr>
                <w:rFonts w:hint="default" w:ascii="Times New Roman" w:hAnsi="Times New Roman" w:cs="Times New Roman"/>
                <w:sz w:val="24"/>
              </w:rPr>
              <w:t>-</w:t>
            </w:r>
            <w:r>
              <w:rPr>
                <w:rFonts w:hint="default" w:ascii="Times New Roman" w:hAnsi="Times New Roman" w:eastAsia="宋体" w:cs="Times New Roman"/>
                <w:sz w:val="24"/>
                <w:szCs w:val="24"/>
              </w:rPr>
              <w:t>900-001-S61</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经</w:t>
            </w:r>
            <w:r>
              <w:rPr>
                <w:rFonts w:hint="eastAsia" w:cs="Times New Roman"/>
                <w:sz w:val="24"/>
                <w:szCs w:val="24"/>
                <w:lang w:val="en-US" w:eastAsia="zh-CN"/>
              </w:rPr>
              <w:t>垃圾箱集中收集后</w:t>
            </w:r>
            <w:r>
              <w:rPr>
                <w:rFonts w:hint="eastAsia" w:ascii="Times New Roman" w:hAnsi="Times New Roman" w:eastAsia="宋体" w:cs="Times New Roman"/>
                <w:sz w:val="24"/>
                <w:szCs w:val="24"/>
                <w:lang w:val="en-US" w:eastAsia="zh-CN"/>
              </w:rPr>
              <w:t>由</w:t>
            </w:r>
            <w:r>
              <w:rPr>
                <w:rFonts w:hint="eastAsia" w:ascii="Times New Roman" w:hAnsi="Times New Roman" w:eastAsia="宋体" w:cs="Times New Roman"/>
                <w:kern w:val="0"/>
                <w:sz w:val="24"/>
                <w:szCs w:val="24"/>
                <w:lang w:val="en-US" w:eastAsia="zh-CN" w:bidi="ar-SA"/>
              </w:rPr>
              <w:t>吉木萨尔县</w:t>
            </w:r>
            <w:r>
              <w:rPr>
                <w:rFonts w:hint="eastAsia" w:cs="Times New Roman"/>
                <w:kern w:val="0"/>
                <w:sz w:val="24"/>
                <w:szCs w:val="24"/>
                <w:lang w:val="en-US" w:eastAsia="zh-CN" w:bidi="ar-SA"/>
              </w:rPr>
              <w:t>环卫部门清运处置。</w:t>
            </w:r>
          </w:p>
          <w:p>
            <w:pPr>
              <w:keepNext/>
              <w:keepLines/>
              <w:snapToGrid w:val="0"/>
              <w:spacing w:line="360" w:lineRule="auto"/>
              <w:ind w:firstLine="31680"/>
              <w:outlineLvl w:val="1"/>
              <w:rPr>
                <w:rFonts w:hint="default" w:eastAsia="宋体"/>
                <w:color w:val="000000"/>
                <w:lang w:val="en-US" w:eastAsia="zh-CN"/>
              </w:rPr>
            </w:pPr>
            <w:bookmarkStart w:id="11" w:name="_Toc31628"/>
            <w:r>
              <w:rPr>
                <w:rFonts w:hint="eastAsia"/>
                <w:color w:val="000000"/>
              </w:rPr>
              <w:t>（2）建筑垃圾</w:t>
            </w:r>
            <w:r>
              <w:rPr>
                <w:rFonts w:hint="eastAsia"/>
                <w:color w:val="000000"/>
                <w:lang w:eastAsia="zh-CN"/>
              </w:rPr>
              <w:t>、</w:t>
            </w:r>
            <w:r>
              <w:rPr>
                <w:rFonts w:hint="eastAsia"/>
                <w:color w:val="000000"/>
                <w:lang w:val="en-US" w:eastAsia="zh-CN"/>
              </w:rPr>
              <w:t>工程弃渣</w:t>
            </w:r>
            <w:bookmarkEnd w:id="11"/>
          </w:p>
          <w:p>
            <w:pPr>
              <w:keepNext/>
              <w:keepLines/>
              <w:snapToGrid w:val="0"/>
              <w:spacing w:line="360" w:lineRule="auto"/>
              <w:ind w:firstLine="31680"/>
              <w:outlineLvl w:val="1"/>
              <w:rPr>
                <w:rFonts w:hint="default" w:eastAsia="宋体"/>
                <w:color w:val="000000"/>
                <w:lang w:val="en-US" w:eastAsia="zh-CN"/>
              </w:rPr>
            </w:pPr>
            <w:bookmarkStart w:id="12" w:name="_Toc18777"/>
            <w:r>
              <w:rPr>
                <w:rFonts w:hint="eastAsia"/>
                <w:color w:val="000000"/>
                <w:lang w:val="en-US" w:eastAsia="zh-CN"/>
              </w:rPr>
              <w:t>施工过程中会产生一定量的建筑垃圾和工程弃渣，产生量共计为500</w:t>
            </w:r>
            <w:r>
              <w:rPr>
                <w:rFonts w:hint="default" w:ascii="Times New Roman" w:hAnsi="Times New Roman" w:eastAsia="宋体" w:cs="Times New Roman"/>
                <w:color w:val="000000"/>
                <w:kern w:val="2"/>
                <w:sz w:val="24"/>
                <w:szCs w:val="24"/>
                <w:lang w:val="en-US" w:eastAsia="zh-CN" w:bidi="ar-SA"/>
              </w:rPr>
              <w:t>t</w:t>
            </w:r>
            <w:r>
              <w:rPr>
                <w:rFonts w:hint="eastAsia" w:ascii="Times New Roman" w:hAnsi="Times New Roman" w:eastAsia="宋体" w:cs="Times New Roman"/>
                <w:color w:val="000000"/>
                <w:kern w:val="2"/>
                <w:sz w:val="24"/>
                <w:szCs w:val="24"/>
                <w:lang w:val="en-US" w:eastAsia="zh-CN" w:bidi="ar-SA"/>
              </w:rPr>
              <w:t>，</w:t>
            </w:r>
            <w:r>
              <w:rPr>
                <w:rFonts w:hint="eastAsia" w:cs="Times New Roman"/>
                <w:color w:val="000000"/>
                <w:kern w:val="2"/>
                <w:sz w:val="24"/>
                <w:szCs w:val="24"/>
                <w:lang w:val="en-US" w:eastAsia="zh-CN" w:bidi="ar-SA"/>
              </w:rPr>
              <w:t>建筑垃圾和工程弃渣</w:t>
            </w:r>
            <w:r>
              <w:rPr>
                <w:rFonts w:hint="eastAsia"/>
                <w:color w:val="000000"/>
              </w:rPr>
              <w:t>禁止</w:t>
            </w:r>
            <w:r>
              <w:rPr>
                <w:rFonts w:hint="eastAsia"/>
                <w:color w:val="000000"/>
                <w:lang w:val="en-US" w:eastAsia="zh-CN"/>
              </w:rPr>
              <w:t>随意</w:t>
            </w:r>
            <w:r>
              <w:rPr>
                <w:rFonts w:hint="eastAsia"/>
                <w:color w:val="000000"/>
              </w:rPr>
              <w:t>堆存，</w:t>
            </w:r>
            <w:r>
              <w:rPr>
                <w:rFonts w:hint="eastAsia"/>
                <w:color w:val="000000"/>
                <w:lang w:val="en-US" w:eastAsia="zh-CN"/>
              </w:rPr>
              <w:t>集中收集后全部清运至吉木萨尔县城建部门指定的建筑垃圾填埋场。</w:t>
            </w:r>
            <w:bookmarkEnd w:id="12"/>
          </w:p>
          <w:p>
            <w:pPr>
              <w:pStyle w:val="4"/>
              <w:snapToGrid w:val="0"/>
              <w:spacing w:line="360" w:lineRule="auto"/>
              <w:ind w:firstLine="480" w:firstLineChars="200"/>
              <w:rPr>
                <w:rFonts w:hint="eastAsia" w:ascii="Times New Roman" w:hAnsi="Times New Roman" w:eastAsia="宋体" w:cs="Times New Roman"/>
                <w:b w:val="0"/>
                <w:bCs w:val="0"/>
                <w:color w:val="000000"/>
                <w:kern w:val="2"/>
                <w:sz w:val="24"/>
                <w:szCs w:val="24"/>
                <w:lang w:val="en-US" w:eastAsia="zh-CN" w:bidi="ar-SA"/>
              </w:rPr>
            </w:pPr>
            <w:r>
              <w:rPr>
                <w:rFonts w:hint="eastAsia" w:ascii="Times New Roman" w:hAnsi="Times New Roman" w:eastAsia="宋体" w:cs="Times New Roman"/>
                <w:b w:val="0"/>
                <w:bCs w:val="0"/>
                <w:color w:val="000000"/>
                <w:kern w:val="2"/>
                <w:sz w:val="24"/>
                <w:szCs w:val="24"/>
                <w:lang w:val="en-US" w:eastAsia="zh-CN" w:bidi="ar-SA"/>
              </w:rPr>
              <w:t>综上所述，由于施工期对环境的影响属于局部、短期、可恢复性的，经过上述相应防治措施后，施工期对环境的影响在可接受的影响范围内，随着施工期的结束，施工期对环境的影响逐渐消失。</w:t>
            </w:r>
          </w:p>
          <w:p>
            <w:pPr>
              <w:pStyle w:val="4"/>
              <w:snapToGrid w:val="0"/>
              <w:spacing w:line="360" w:lineRule="auto"/>
              <w:rPr>
                <w:color w:val="000000"/>
                <w:sz w:val="24"/>
                <w:szCs w:val="24"/>
              </w:rPr>
            </w:pPr>
            <w:r>
              <w:rPr>
                <w:rFonts w:hint="eastAsia"/>
                <w:color w:val="000000"/>
                <w:sz w:val="24"/>
                <w:szCs w:val="24"/>
                <w:lang w:val="en-US" w:eastAsia="zh-CN"/>
              </w:rPr>
              <w:t>5、</w:t>
            </w:r>
            <w:r>
              <w:rPr>
                <w:rFonts w:hint="eastAsia"/>
                <w:color w:val="000000"/>
                <w:sz w:val="24"/>
                <w:szCs w:val="24"/>
              </w:rPr>
              <w:t>生态环境影响分析</w:t>
            </w:r>
          </w:p>
          <w:p>
            <w:pPr>
              <w:pStyle w:val="4"/>
              <w:snapToGrid w:val="0"/>
              <w:spacing w:line="360" w:lineRule="auto"/>
              <w:ind w:firstLine="480" w:firstLineChars="200"/>
              <w:rPr>
                <w:rFonts w:hint="eastAsia" w:ascii="Times New Roman" w:hAnsi="Times New Roman" w:eastAsia="宋体" w:cs="Times New Roman"/>
                <w:b w:val="0"/>
                <w:bCs w:val="0"/>
                <w:color w:val="000000"/>
                <w:sz w:val="24"/>
                <w:szCs w:val="24"/>
                <w:highlight w:val="none"/>
              </w:rPr>
            </w:pPr>
            <w:r>
              <w:rPr>
                <w:rFonts w:hint="eastAsia" w:ascii="Times New Roman" w:hAnsi="Times New Roman" w:eastAsia="宋体" w:cs="Times New Roman"/>
                <w:b w:val="0"/>
                <w:bCs w:val="0"/>
                <w:color w:val="000000"/>
                <w:sz w:val="24"/>
                <w:szCs w:val="24"/>
                <w:highlight w:val="none"/>
              </w:rPr>
              <w:t>（1）生态环境影响分析</w:t>
            </w:r>
          </w:p>
          <w:p>
            <w:pPr>
              <w:pStyle w:val="4"/>
              <w:snapToGrid w:val="0"/>
              <w:spacing w:line="360" w:lineRule="auto"/>
              <w:ind w:firstLine="480" w:firstLineChars="200"/>
              <w:rPr>
                <w:rFonts w:hint="eastAsia" w:ascii="Times New Roman" w:hAnsi="Times New Roman" w:eastAsia="宋体" w:cs="Times New Roman"/>
                <w:b w:val="0"/>
                <w:bCs w:val="0"/>
                <w:color w:val="000000"/>
                <w:sz w:val="24"/>
                <w:szCs w:val="24"/>
                <w:highlight w:val="none"/>
              </w:rPr>
            </w:pPr>
            <w:r>
              <w:rPr>
                <w:rFonts w:hint="eastAsia" w:ascii="Times New Roman" w:hAnsi="Times New Roman" w:eastAsia="宋体" w:cs="Times New Roman"/>
                <w:b w:val="0"/>
                <w:bCs w:val="0"/>
                <w:color w:val="000000"/>
                <w:sz w:val="24"/>
                <w:szCs w:val="24"/>
                <w:highlight w:val="none"/>
              </w:rPr>
              <w:t>工程评价区内涉及的生态系统包括</w:t>
            </w:r>
            <w:r>
              <w:rPr>
                <w:rFonts w:hint="eastAsia" w:ascii="Times New Roman" w:hAnsi="Times New Roman" w:eastAsia="宋体" w:cs="Times New Roman"/>
                <w:b w:val="0"/>
                <w:bCs w:val="0"/>
                <w:color w:val="000000"/>
                <w:sz w:val="24"/>
                <w:szCs w:val="24"/>
                <w:highlight w:val="none"/>
                <w:lang w:val="en-US" w:eastAsia="zh-CN"/>
              </w:rPr>
              <w:t>草地</w:t>
            </w:r>
            <w:r>
              <w:rPr>
                <w:rFonts w:hint="eastAsia" w:ascii="Times New Roman" w:hAnsi="Times New Roman" w:eastAsia="宋体" w:cs="Times New Roman"/>
                <w:b w:val="0"/>
                <w:bCs w:val="0"/>
                <w:color w:val="000000"/>
                <w:sz w:val="24"/>
                <w:szCs w:val="24"/>
                <w:highlight w:val="none"/>
              </w:rPr>
              <w:t>生态系统、</w:t>
            </w:r>
            <w:r>
              <w:rPr>
                <w:rFonts w:hint="eastAsia" w:ascii="Times New Roman" w:hAnsi="Times New Roman" w:eastAsia="宋体" w:cs="Times New Roman"/>
                <w:b w:val="0"/>
                <w:bCs w:val="0"/>
                <w:color w:val="000000"/>
                <w:sz w:val="24"/>
                <w:szCs w:val="24"/>
                <w:highlight w:val="none"/>
                <w:lang w:val="en-US" w:eastAsia="zh-CN"/>
              </w:rPr>
              <w:t>农田</w:t>
            </w:r>
            <w:r>
              <w:rPr>
                <w:rFonts w:hint="eastAsia" w:ascii="Times New Roman" w:hAnsi="Times New Roman" w:eastAsia="宋体" w:cs="Times New Roman"/>
                <w:b w:val="0"/>
                <w:bCs w:val="0"/>
                <w:color w:val="000000"/>
                <w:sz w:val="24"/>
                <w:szCs w:val="24"/>
                <w:highlight w:val="none"/>
              </w:rPr>
              <w:t>生态系统、</w:t>
            </w:r>
            <w:r>
              <w:rPr>
                <w:rFonts w:hint="eastAsia" w:ascii="Times New Roman" w:hAnsi="Times New Roman" w:eastAsia="宋体" w:cs="Times New Roman"/>
                <w:b w:val="0"/>
                <w:bCs w:val="0"/>
                <w:color w:val="000000"/>
                <w:sz w:val="24"/>
                <w:szCs w:val="24"/>
                <w:highlight w:val="none"/>
                <w:lang w:val="en-US" w:eastAsia="zh-CN"/>
              </w:rPr>
              <w:t>河流</w:t>
            </w:r>
            <w:r>
              <w:rPr>
                <w:rFonts w:hint="eastAsia" w:ascii="Times New Roman" w:hAnsi="Times New Roman" w:eastAsia="宋体" w:cs="Times New Roman"/>
                <w:b w:val="0"/>
                <w:bCs w:val="0"/>
                <w:color w:val="000000"/>
                <w:sz w:val="24"/>
                <w:szCs w:val="24"/>
                <w:highlight w:val="none"/>
              </w:rPr>
              <w:t>生态系统。</w:t>
            </w:r>
          </w:p>
          <w:p>
            <w:pPr>
              <w:pStyle w:val="53"/>
              <w:widowControl w:val="0"/>
              <w:numPr>
                <w:ilvl w:val="0"/>
                <w:numId w:val="0"/>
              </w:numPr>
              <w:autoSpaceDE w:val="0"/>
              <w:autoSpaceDN w:val="0"/>
              <w:spacing w:line="360" w:lineRule="auto"/>
              <w:ind w:firstLine="480" w:firstLineChars="200"/>
              <w:jc w:val="both"/>
              <w:rPr>
                <w:rFonts w:hint="eastAsia" w:ascii="宋体" w:hAnsi="宋体" w:eastAsia="宋体" w:cs="宋体"/>
                <w:b w:val="0"/>
                <w:bCs w:val="0"/>
                <w:color w:val="000000"/>
                <w:kern w:val="0"/>
                <w:sz w:val="24"/>
                <w:szCs w:val="24"/>
                <w:highlight w:val="none"/>
                <w:lang w:val="en-US" w:eastAsia="zh-CN" w:bidi="ar"/>
              </w:rPr>
            </w:pPr>
            <w:r>
              <w:rPr>
                <w:rFonts w:hint="eastAsia" w:ascii="Times New Roman" w:hAnsi="Times New Roman" w:eastAsia="宋体" w:cs="Times New Roman"/>
                <w:b w:val="0"/>
                <w:bCs w:val="0"/>
                <w:color w:val="000000"/>
                <w:sz w:val="24"/>
                <w:szCs w:val="24"/>
                <w:highlight w:val="none"/>
              </w:rPr>
              <w:t>施工建筑材料、临时土石方的堆放，施工物料的运输、土方开挖回填等施工活动将会对周围景观产生不良影响，但所在区域受到较多人为活动影响，渠道周边多为农田</w:t>
            </w:r>
            <w:r>
              <w:rPr>
                <w:rFonts w:hint="eastAsia" w:ascii="Times New Roman" w:hAnsi="Times New Roman" w:eastAsia="宋体" w:cs="Times New Roman"/>
                <w:b w:val="0"/>
                <w:bCs w:val="0"/>
                <w:color w:val="000000"/>
                <w:sz w:val="24"/>
                <w:szCs w:val="24"/>
                <w:highlight w:val="none"/>
                <w:lang w:val="en-US" w:eastAsia="zh-CN"/>
              </w:rPr>
              <w:t>和</w:t>
            </w:r>
            <w:r>
              <w:rPr>
                <w:rFonts w:hint="eastAsia" w:ascii="Times New Roman" w:hAnsi="Times New Roman" w:eastAsia="宋体" w:cs="Times New Roman"/>
                <w:b w:val="0"/>
                <w:bCs w:val="0"/>
                <w:color w:val="000000"/>
                <w:sz w:val="24"/>
                <w:szCs w:val="24"/>
                <w:highlight w:val="none"/>
              </w:rPr>
              <w:t>草地，且上述施工行为为短期行为，施工结束后临时区域将进行清理恢复，因此项目实施对原生景观产生的影响不大。项目在施工活动中，应注重施工活动与各自周围景观的协调性与完整性。建筑材料、土石方等临时堆放时主要利用空地（草地、建设用地），堆放时应整齐，采用防尘布覆盖</w:t>
            </w:r>
            <w:r>
              <w:rPr>
                <w:rFonts w:hint="eastAsia" w:ascii="Times New Roman" w:hAnsi="Times New Roman" w:eastAsia="宋体" w:cs="Times New Roman"/>
                <w:b w:val="0"/>
                <w:bCs w:val="0"/>
                <w:color w:val="000000"/>
                <w:sz w:val="24"/>
                <w:szCs w:val="24"/>
                <w:highlight w:val="none"/>
                <w:lang w:eastAsia="zh-CN"/>
              </w:rPr>
              <w:t>，</w:t>
            </w:r>
            <w:r>
              <w:rPr>
                <w:rFonts w:hint="eastAsia" w:ascii="Times New Roman" w:hAnsi="Times New Roman" w:eastAsia="宋体" w:cs="Times New Roman"/>
                <w:b w:val="0"/>
                <w:bCs w:val="0"/>
                <w:color w:val="000000"/>
                <w:sz w:val="24"/>
                <w:szCs w:val="24"/>
                <w:highlight w:val="none"/>
              </w:rPr>
              <w:t>在采取上述措施后，施工期对生态系统/景观的不利影响将减到</w:t>
            </w:r>
            <w:r>
              <w:rPr>
                <w:rFonts w:hint="eastAsia" w:ascii="宋体" w:hAnsi="宋体" w:eastAsia="宋体" w:cs="宋体"/>
                <w:b w:val="0"/>
                <w:bCs w:val="0"/>
                <w:color w:val="000000"/>
                <w:kern w:val="0"/>
                <w:sz w:val="24"/>
                <w:szCs w:val="24"/>
                <w:highlight w:val="none"/>
                <w:lang w:val="en-US" w:eastAsia="zh-CN" w:bidi="ar"/>
              </w:rPr>
              <w:t>最低程度。</w:t>
            </w:r>
          </w:p>
          <w:p>
            <w:pPr>
              <w:pStyle w:val="53"/>
              <w:widowControl w:val="0"/>
              <w:numPr>
                <w:ilvl w:val="0"/>
                <w:numId w:val="0"/>
              </w:numPr>
              <w:autoSpaceDE w:val="0"/>
              <w:autoSpaceDN w:val="0"/>
              <w:spacing w:line="360" w:lineRule="auto"/>
              <w:ind w:firstLine="480" w:firstLineChars="200"/>
              <w:jc w:val="both"/>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（2）对生态系统功能的影响</w:t>
            </w:r>
          </w:p>
          <w:p>
            <w:pPr>
              <w:pStyle w:val="53"/>
              <w:widowControl w:val="0"/>
              <w:numPr>
                <w:ilvl w:val="0"/>
                <w:numId w:val="0"/>
              </w:numPr>
              <w:autoSpaceDE w:val="0"/>
              <w:autoSpaceDN w:val="0"/>
              <w:spacing w:line="360" w:lineRule="auto"/>
              <w:ind w:firstLine="480" w:firstLineChars="200"/>
              <w:jc w:val="both"/>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本项目建设涉及扰动</w:t>
            </w:r>
            <w:r>
              <w:rPr>
                <w:rFonts w:hint="default" w:ascii="宋体" w:hAnsi="宋体" w:eastAsia="宋体" w:cs="宋体"/>
                <w:b w:val="0"/>
                <w:bCs w:val="0"/>
                <w:color w:val="000000"/>
                <w:kern w:val="0"/>
                <w:sz w:val="24"/>
                <w:szCs w:val="24"/>
                <w:highlight w:val="none"/>
                <w:lang w:val="en-US" w:eastAsia="zh-CN" w:bidi="ar"/>
              </w:rPr>
              <w:t>地表、破坏地表植被及植物，会对评价区生物量产生一定影响，工程永久占地以现有沟渠和水工建筑用地为主，仅占用少量草地</w:t>
            </w:r>
            <w:r>
              <w:rPr>
                <w:rFonts w:hint="eastAsia" w:ascii="宋体" w:hAnsi="宋体" w:eastAsia="宋体" w:cs="宋体"/>
                <w:b w:val="0"/>
                <w:bCs w:val="0"/>
                <w:color w:val="000000"/>
                <w:kern w:val="0"/>
                <w:sz w:val="24"/>
                <w:szCs w:val="24"/>
                <w:highlight w:val="none"/>
                <w:lang w:val="en-US" w:eastAsia="zh-CN" w:bidi="ar"/>
              </w:rPr>
              <w:t>和农田</w:t>
            </w:r>
            <w:r>
              <w:rPr>
                <w:rFonts w:hint="default" w:ascii="宋体" w:hAnsi="宋体" w:eastAsia="宋体" w:cs="宋体"/>
                <w:b w:val="0"/>
                <w:bCs w:val="0"/>
                <w:color w:val="000000"/>
                <w:kern w:val="0"/>
                <w:sz w:val="24"/>
                <w:szCs w:val="24"/>
                <w:highlight w:val="none"/>
                <w:lang w:val="en-US" w:eastAsia="zh-CN" w:bidi="ar"/>
              </w:rPr>
              <w:t>，工程建设</w:t>
            </w:r>
            <w:r>
              <w:rPr>
                <w:rFonts w:hint="eastAsia" w:ascii="宋体" w:hAnsi="宋体" w:eastAsia="宋体" w:cs="宋体"/>
                <w:b w:val="0"/>
                <w:bCs w:val="0"/>
                <w:color w:val="000000"/>
                <w:kern w:val="0"/>
                <w:sz w:val="24"/>
                <w:szCs w:val="24"/>
                <w:highlight w:val="none"/>
                <w:lang w:val="en-US" w:eastAsia="zh-CN" w:bidi="ar"/>
              </w:rPr>
              <w:t>对评价区生物量的影响主要体现在临时用地占用了有植被覆盖的草地和农田，导致植被破坏和生产力下降。施工结束后，对临时占地开展平整土地，采取复垦或植被恢复措施，对区域生态系统服务功能不会造成明显影响。</w:t>
            </w:r>
          </w:p>
          <w:p>
            <w:pPr>
              <w:pStyle w:val="53"/>
              <w:widowControl w:val="0"/>
              <w:numPr>
                <w:ilvl w:val="0"/>
                <w:numId w:val="0"/>
              </w:numPr>
              <w:autoSpaceDE w:val="0"/>
              <w:autoSpaceDN w:val="0"/>
              <w:spacing w:line="360" w:lineRule="auto"/>
              <w:ind w:firstLine="480" w:firstLineChars="200"/>
              <w:jc w:val="both"/>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本项目临时用地会导致生物量损失，生物量损失按下式计算：</w:t>
            </w:r>
          </w:p>
          <w:p>
            <w:pPr>
              <w:pStyle w:val="53"/>
              <w:widowControl w:val="0"/>
              <w:numPr>
                <w:ilvl w:val="0"/>
                <w:numId w:val="0"/>
              </w:numPr>
              <w:autoSpaceDE w:val="0"/>
              <w:autoSpaceDN w:val="0"/>
              <w:spacing w:line="360" w:lineRule="auto"/>
              <w:ind w:firstLine="480" w:firstLineChars="200"/>
              <w:jc w:val="center"/>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Y＝Si•Wi</w:t>
            </w:r>
          </w:p>
          <w:p>
            <w:pPr>
              <w:keepNext w:val="0"/>
              <w:keepLines w:val="0"/>
              <w:widowControl/>
              <w:suppressLineNumbers w:val="0"/>
              <w:jc w:val="both"/>
              <w:rPr>
                <w:rFonts w:hint="default" w:ascii="Times New Roman" w:hAnsi="Times New Roman" w:eastAsia="宋体" w:cs="Times New Roman"/>
                <w:szCs w:val="28"/>
                <w:highlight w:val="none"/>
              </w:rPr>
            </w:pPr>
            <w:r>
              <w:rPr>
                <w:rFonts w:hint="default" w:ascii="Times New Roman" w:hAnsi="Times New Roman" w:eastAsia="宋体" w:cs="Times New Roman"/>
                <w:b w:val="0"/>
                <w:bCs w:val="0"/>
                <w:color w:val="000000"/>
                <w:kern w:val="0"/>
                <w:sz w:val="24"/>
                <w:szCs w:val="24"/>
                <w:highlight w:val="none"/>
                <w:lang w:val="en-US" w:eastAsia="zh-CN" w:bidi="ar"/>
              </w:rPr>
              <w:t>式中，Y—永久性生物量损失，t；Si—占地面积，hm</w:t>
            </w:r>
            <w:r>
              <w:rPr>
                <w:rFonts w:hint="default" w:ascii="Times New Roman" w:hAnsi="Times New Roman" w:eastAsia="宋体" w:cs="Times New Roman"/>
                <w:b w:val="0"/>
                <w:bCs w:val="0"/>
                <w:color w:val="000000"/>
                <w:kern w:val="0"/>
                <w:sz w:val="24"/>
                <w:szCs w:val="24"/>
                <w:highlight w:val="none"/>
                <w:vertAlign w:val="superscript"/>
                <w:lang w:val="en-US" w:eastAsia="zh-CN" w:bidi="ar"/>
              </w:rPr>
              <w:t>2</w:t>
            </w:r>
            <w:r>
              <w:rPr>
                <w:rFonts w:hint="default" w:ascii="Times New Roman" w:hAnsi="Times New Roman" w:eastAsia="宋体" w:cs="Times New Roman"/>
                <w:b w:val="0"/>
                <w:bCs w:val="0"/>
                <w:color w:val="000000"/>
                <w:kern w:val="0"/>
                <w:sz w:val="24"/>
                <w:szCs w:val="24"/>
                <w:highlight w:val="none"/>
                <w:lang w:val="en-US" w:eastAsia="zh-CN" w:bidi="ar"/>
              </w:rPr>
              <w:t>；Wi—单位面积生物量，t/hm</w:t>
            </w:r>
            <w:r>
              <w:rPr>
                <w:rFonts w:hint="default" w:ascii="Times New Roman" w:hAnsi="Times New Roman" w:eastAsia="宋体" w:cs="Times New Roman"/>
                <w:b w:val="0"/>
                <w:bCs w:val="0"/>
                <w:color w:val="000000"/>
                <w:kern w:val="0"/>
                <w:sz w:val="24"/>
                <w:szCs w:val="24"/>
                <w:highlight w:val="none"/>
                <w:vertAlign w:val="superscript"/>
                <w:lang w:val="en-US" w:eastAsia="zh-CN" w:bidi="ar"/>
              </w:rPr>
              <w:t>2</w:t>
            </w:r>
            <w:r>
              <w:rPr>
                <w:rFonts w:hint="default" w:ascii="Times New Roman" w:hAnsi="Times New Roman" w:eastAsia="宋体" w:cs="Times New Roman"/>
                <w:b w:val="0"/>
                <w:bCs w:val="0"/>
                <w:color w:val="000000"/>
                <w:kern w:val="0"/>
                <w:sz w:val="24"/>
                <w:szCs w:val="24"/>
                <w:highlight w:val="none"/>
                <w:lang w:val="en-US" w:eastAsia="zh-CN" w:bidi="ar"/>
              </w:rPr>
              <w:t>。根据《新疆吉木萨尔县白杨河五圣宫水文站至S303省道段中小河流治理工程》水土保持方案报告书批复可知，本项目区的植被覆盖度约为15%，本项目生物量损失见下表：</w:t>
            </w:r>
          </w:p>
          <w:p>
            <w:pPr>
              <w:pStyle w:val="89"/>
              <w:spacing w:line="240" w:lineRule="auto"/>
              <w:ind w:firstLine="1687" w:firstLineChars="800"/>
              <w:jc w:val="both"/>
              <w:rPr>
                <w:rFonts w:ascii="Times New Roman" w:hAnsi="Times New Roman" w:cs="Times New Roman"/>
                <w:b/>
                <w:bCs/>
                <w:sz w:val="21"/>
                <w:szCs w:val="21"/>
                <w:highlight w:val="none"/>
              </w:rPr>
            </w:pPr>
            <w:r>
              <w:rPr>
                <w:rFonts w:ascii="Times New Roman" w:hAnsi="Times New Roman" w:cs="Times New Roman"/>
                <w:b/>
                <w:bCs/>
                <w:sz w:val="21"/>
                <w:szCs w:val="21"/>
                <w:highlight w:val="none"/>
              </w:rPr>
              <w:t>表</w:t>
            </w:r>
            <w:r>
              <w:rPr>
                <w:rFonts w:hint="eastAsia" w:ascii="Times New Roman" w:hAnsi="Times New Roman" w:cs="Times New Roman"/>
                <w:b/>
                <w:bCs/>
                <w:sz w:val="21"/>
                <w:szCs w:val="21"/>
                <w:highlight w:val="none"/>
              </w:rPr>
              <w:t>4-</w:t>
            </w:r>
            <w:r>
              <w:rPr>
                <w:rFonts w:hint="eastAsia" w:cs="Times New Roman"/>
                <w:b/>
                <w:bCs/>
                <w:sz w:val="21"/>
                <w:szCs w:val="21"/>
                <w:highlight w:val="none"/>
                <w:lang w:val="en-US" w:eastAsia="zh-CN"/>
              </w:rPr>
              <w:t>6</w:t>
            </w:r>
            <w:r>
              <w:rPr>
                <w:rFonts w:ascii="Times New Roman" w:hAnsi="Times New Roman" w:cs="Times New Roman"/>
                <w:b/>
                <w:bCs/>
                <w:sz w:val="21"/>
                <w:szCs w:val="21"/>
                <w:highlight w:val="none"/>
              </w:rPr>
              <w:t xml:space="preserve">      </w:t>
            </w:r>
            <w:r>
              <w:rPr>
                <w:rFonts w:hint="eastAsia" w:ascii="Times New Roman" w:hAnsi="Times New Roman" w:cs="Times New Roman"/>
                <w:b/>
                <w:bCs/>
                <w:sz w:val="21"/>
                <w:szCs w:val="21"/>
                <w:highlight w:val="none"/>
                <w:lang w:val="en-US" w:eastAsia="zh-CN"/>
              </w:rPr>
              <w:t xml:space="preserve">       项目区占地生物损失估算表</w:t>
            </w:r>
          </w:p>
          <w:tbl>
            <w:tblPr>
              <w:tblStyle w:val="36"/>
              <w:tblW w:w="795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530"/>
              <w:gridCol w:w="1946"/>
              <w:gridCol w:w="1626"/>
              <w:gridCol w:w="185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627" w:hRule="exact"/>
                <w:jc w:val="center"/>
              </w:trPr>
              <w:tc>
                <w:tcPr>
                  <w:tcW w:w="1590" w:type="pct"/>
                  <w:tcBorders>
                    <w:top w:val="single" w:color="auto" w:sz="4" w:space="0"/>
                    <w:left w:val="single" w:color="auto" w:sz="0" w:space="0"/>
                  </w:tcBorders>
                  <w:noWrap w:val="0"/>
                  <w:vAlign w:val="center"/>
                </w:tcPr>
                <w:p>
                  <w:pPr>
                    <w:pStyle w:val="77"/>
                    <w:spacing w:line="240" w:lineRule="auto"/>
                    <w:jc w:val="center"/>
                    <w:rPr>
                      <w:rFonts w:hint="eastAsia" w:eastAsia="宋体"/>
                      <w:highlight w:val="none"/>
                      <w:lang w:eastAsia="zh-CN"/>
                    </w:rPr>
                  </w:pPr>
                  <w:r>
                    <w:rPr>
                      <w:rFonts w:hint="eastAsia"/>
                      <w:highlight w:val="none"/>
                      <w:lang w:eastAsia="zh-CN"/>
                    </w:rPr>
                    <w:t>用地类型</w:t>
                  </w:r>
                </w:p>
              </w:tc>
              <w:tc>
                <w:tcPr>
                  <w:tcW w:w="1223" w:type="pct"/>
                  <w:tcBorders>
                    <w:top w:val="single" w:color="auto" w:sz="4" w:space="0"/>
                  </w:tcBorders>
                  <w:noWrap w:val="0"/>
                  <w:vAlign w:val="center"/>
                </w:tcPr>
                <w:p>
                  <w:pPr>
                    <w:pStyle w:val="77"/>
                    <w:spacing w:line="240" w:lineRule="auto"/>
                    <w:jc w:val="center"/>
                    <w:rPr>
                      <w:rFonts w:hint="eastAsia" w:eastAsia="宋体"/>
                      <w:highlight w:val="none"/>
                      <w:lang w:eastAsia="zh-CN"/>
                    </w:rPr>
                  </w:pPr>
                  <w:r>
                    <w:rPr>
                      <w:rFonts w:hint="eastAsia"/>
                      <w:highlight w:val="none"/>
                      <w:lang w:eastAsia="zh-CN"/>
                    </w:rPr>
                    <w:t>占地</w:t>
                  </w:r>
                  <w:r>
                    <w:rPr>
                      <w:rFonts w:hint="eastAsia"/>
                      <w:highlight w:val="none"/>
                      <w:lang w:val="en-US" w:eastAsia="zh-CN"/>
                    </w:rPr>
                    <w:t>面积</w:t>
                  </w:r>
                  <w:r>
                    <w:rPr>
                      <w:rFonts w:hint="eastAsia"/>
                      <w:highlight w:val="none"/>
                      <w:lang w:eastAsia="zh-CN"/>
                    </w:rPr>
                    <w:t>（</w:t>
                  </w:r>
                  <w:r>
                    <w:rPr>
                      <w:rFonts w:hint="eastAsia" w:ascii="Times New Roman" w:hAnsi="Times New Roman" w:eastAsia="宋体" w:cs="Times New Roman"/>
                      <w:szCs w:val="28"/>
                      <w:highlight w:val="none"/>
                      <w:lang w:val="en-US" w:eastAsia="zh-CN"/>
                    </w:rPr>
                    <w:t>hm</w:t>
                  </w:r>
                  <w:r>
                    <w:rPr>
                      <w:rFonts w:hint="eastAsia" w:ascii="Times New Roman" w:hAnsi="Times New Roman" w:eastAsia="宋体" w:cs="Times New Roman"/>
                      <w:szCs w:val="28"/>
                      <w:highlight w:val="none"/>
                      <w:vertAlign w:val="superscript"/>
                      <w:lang w:val="en-US" w:eastAsia="zh-CN"/>
                    </w:rPr>
                    <w:t>2</w:t>
                  </w:r>
                  <w:r>
                    <w:rPr>
                      <w:rFonts w:hint="eastAsia"/>
                      <w:highlight w:val="none"/>
                      <w:lang w:eastAsia="zh-CN"/>
                    </w:rPr>
                    <w:t>）</w:t>
                  </w:r>
                </w:p>
              </w:tc>
              <w:tc>
                <w:tcPr>
                  <w:tcW w:w="1021" w:type="pct"/>
                  <w:tcBorders>
                    <w:top w:val="single" w:color="auto" w:sz="4" w:space="0"/>
                  </w:tcBorders>
                  <w:noWrap w:val="0"/>
                  <w:vAlign w:val="center"/>
                </w:tcPr>
                <w:p>
                  <w:pPr>
                    <w:pStyle w:val="77"/>
                    <w:spacing w:line="240" w:lineRule="auto"/>
                    <w:jc w:val="center"/>
                    <w:rPr>
                      <w:rFonts w:hint="eastAsia" w:eastAsia="宋体"/>
                      <w:highlight w:val="none"/>
                      <w:lang w:eastAsia="zh-CN"/>
                    </w:rPr>
                  </w:pPr>
                  <w:r>
                    <w:rPr>
                      <w:rFonts w:hint="eastAsia"/>
                      <w:highlight w:val="none"/>
                      <w:lang w:eastAsia="zh-CN"/>
                    </w:rPr>
                    <w:t>平均生物量（</w:t>
                  </w:r>
                  <w:r>
                    <w:rPr>
                      <w:rFonts w:hint="eastAsia" w:ascii="Times New Roman" w:hAnsi="Times New Roman" w:eastAsia="宋体" w:cs="Times New Roman"/>
                      <w:szCs w:val="28"/>
                      <w:highlight w:val="none"/>
                      <w:lang w:val="en-US" w:eastAsia="zh-CN"/>
                    </w:rPr>
                    <w:t>t/hm</w:t>
                  </w:r>
                  <w:r>
                    <w:rPr>
                      <w:rFonts w:hint="eastAsia" w:ascii="Times New Roman" w:hAnsi="Times New Roman" w:eastAsia="宋体" w:cs="Times New Roman"/>
                      <w:szCs w:val="28"/>
                      <w:highlight w:val="none"/>
                      <w:vertAlign w:val="superscript"/>
                      <w:lang w:val="en-US" w:eastAsia="zh-CN"/>
                    </w:rPr>
                    <w:t>2</w:t>
                  </w:r>
                  <w:r>
                    <w:rPr>
                      <w:rFonts w:hint="eastAsia"/>
                      <w:highlight w:val="none"/>
                      <w:lang w:eastAsia="zh-CN"/>
                    </w:rPr>
                    <w:t>）</w:t>
                  </w:r>
                </w:p>
              </w:tc>
              <w:tc>
                <w:tcPr>
                  <w:tcW w:w="1164" w:type="pct"/>
                  <w:tcBorders>
                    <w:top w:val="single" w:color="auto" w:sz="4" w:space="0"/>
                    <w:right w:val="single" w:color="auto" w:sz="4" w:space="0"/>
                  </w:tcBorders>
                  <w:noWrap w:val="0"/>
                  <w:vAlign w:val="center"/>
                </w:tcPr>
                <w:p>
                  <w:pPr>
                    <w:pStyle w:val="77"/>
                    <w:spacing w:line="240" w:lineRule="auto"/>
                    <w:jc w:val="center"/>
                    <w:rPr>
                      <w:rFonts w:hint="eastAsia"/>
                      <w:highlight w:val="none"/>
                      <w:lang w:eastAsia="zh-CN"/>
                    </w:rPr>
                  </w:pPr>
                  <w:r>
                    <w:rPr>
                      <w:rFonts w:hint="eastAsia"/>
                      <w:highlight w:val="none"/>
                      <w:lang w:eastAsia="zh-CN"/>
                    </w:rPr>
                    <w:t>生物量损失</w:t>
                  </w:r>
                </w:p>
                <w:p>
                  <w:pPr>
                    <w:pStyle w:val="77"/>
                    <w:spacing w:line="240" w:lineRule="auto"/>
                    <w:jc w:val="center"/>
                    <w:rPr>
                      <w:rFonts w:hint="eastAsia" w:eastAsia="宋体"/>
                      <w:highlight w:val="none"/>
                      <w:lang w:eastAsia="zh-CN"/>
                    </w:rPr>
                  </w:pPr>
                  <w:r>
                    <w:rPr>
                      <w:rFonts w:hint="eastAsia"/>
                      <w:highlight w:val="none"/>
                      <w:lang w:eastAsia="zh-CN"/>
                    </w:rPr>
                    <w:t>（</w:t>
                  </w:r>
                  <w:r>
                    <w:rPr>
                      <w:rFonts w:hint="eastAsia" w:ascii="Times New Roman" w:hAnsi="Times New Roman" w:eastAsia="宋体" w:cs="Times New Roman"/>
                      <w:szCs w:val="28"/>
                      <w:highlight w:val="none"/>
                      <w:lang w:val="en-US" w:eastAsia="zh-CN"/>
                    </w:rPr>
                    <w:t>t</w:t>
                  </w:r>
                  <w:r>
                    <w:rPr>
                      <w:rFonts w:hint="eastAsia"/>
                      <w:highlight w:val="no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1590" w:type="pct"/>
                  <w:tcBorders>
                    <w:left w:val="single" w:color="auto" w:sz="4" w:space="0"/>
                  </w:tcBorders>
                  <w:noWrap w:val="0"/>
                  <w:vAlign w:val="center"/>
                </w:tcPr>
                <w:p>
                  <w:pPr>
                    <w:pStyle w:val="77"/>
                    <w:spacing w:line="240" w:lineRule="auto"/>
                    <w:jc w:val="center"/>
                    <w:rPr>
                      <w:rFonts w:hint="eastAsia" w:eastAsia="宋体"/>
                      <w:highlight w:val="none"/>
                      <w:lang w:val="en-US" w:eastAsia="zh-CN"/>
                    </w:rPr>
                  </w:pPr>
                  <w:r>
                    <w:rPr>
                      <w:rFonts w:hint="eastAsia"/>
                      <w:highlight w:val="none"/>
                      <w:lang w:val="en-US" w:eastAsia="zh-CN"/>
                    </w:rPr>
                    <w:t>农田</w:t>
                  </w:r>
                </w:p>
              </w:tc>
              <w:tc>
                <w:tcPr>
                  <w:tcW w:w="1223" w:type="pct"/>
                  <w:noWrap w:val="0"/>
                  <w:vAlign w:val="center"/>
                </w:tcPr>
                <w:p>
                  <w:pPr>
                    <w:pStyle w:val="77"/>
                    <w:spacing w:line="240" w:lineRule="auto"/>
                    <w:jc w:val="center"/>
                    <w:rPr>
                      <w:rFonts w:hint="eastAsia" w:eastAsia="宋体"/>
                      <w:highlight w:val="none"/>
                      <w:lang w:val="en-US" w:eastAsia="zh-CN"/>
                    </w:rPr>
                  </w:pPr>
                  <w:r>
                    <w:rPr>
                      <w:rFonts w:hint="eastAsia" w:cs="Times New Roman"/>
                      <w:color w:val="000000"/>
                      <w:highlight w:val="none"/>
                      <w:lang w:val="en-US" w:eastAsia="zh-CN"/>
                    </w:rPr>
                    <w:t>0.449</w:t>
                  </w:r>
                </w:p>
              </w:tc>
              <w:tc>
                <w:tcPr>
                  <w:tcW w:w="1021" w:type="pct"/>
                  <w:noWrap w:val="0"/>
                  <w:vAlign w:val="center"/>
                </w:tcPr>
                <w:p>
                  <w:pPr>
                    <w:pStyle w:val="77"/>
                    <w:spacing w:line="240" w:lineRule="auto"/>
                    <w:ind w:firstLine="0" w:firstLineChars="0"/>
                    <w:jc w:val="center"/>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1.2</w:t>
                  </w:r>
                </w:p>
              </w:tc>
              <w:tc>
                <w:tcPr>
                  <w:tcW w:w="1164" w:type="pct"/>
                  <w:tcBorders>
                    <w:right w:val="single" w:color="auto" w:sz="4" w:space="0"/>
                  </w:tcBorders>
                  <w:noWrap w:val="0"/>
                  <w:vAlign w:val="center"/>
                </w:tcPr>
                <w:p>
                  <w:pPr>
                    <w:pStyle w:val="77"/>
                    <w:spacing w:line="240" w:lineRule="auto"/>
                    <w:ind w:firstLine="0" w:firstLineChars="0"/>
                    <w:jc w:val="center"/>
                    <w:rPr>
                      <w:rFonts w:hint="default" w:ascii="Times New Roman" w:hAnsi="Times New Roman" w:eastAsia="宋体" w:cs="Times New Roman"/>
                      <w:kern w:val="0"/>
                      <w:sz w:val="21"/>
                      <w:szCs w:val="21"/>
                      <w:highlight w:val="none"/>
                      <w:lang w:val="en-US" w:eastAsia="zh-CN" w:bidi="ar-SA"/>
                    </w:rPr>
                  </w:pPr>
                  <w:r>
                    <w:rPr>
                      <w:rFonts w:hint="eastAsia" w:cs="Times New Roman"/>
                      <w:kern w:val="0"/>
                      <w:sz w:val="21"/>
                      <w:szCs w:val="21"/>
                      <w:highlight w:val="none"/>
                      <w:lang w:val="en-US" w:eastAsia="zh-CN" w:bidi="ar-SA"/>
                    </w:rPr>
                    <w:t>0.5388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1590" w:type="pct"/>
                  <w:tcBorders>
                    <w:left w:val="single" w:color="auto" w:sz="4" w:space="0"/>
                  </w:tcBorders>
                  <w:noWrap w:val="0"/>
                  <w:vAlign w:val="center"/>
                </w:tcPr>
                <w:p>
                  <w:pPr>
                    <w:pStyle w:val="77"/>
                    <w:spacing w:line="240" w:lineRule="auto"/>
                    <w:jc w:val="center"/>
                    <w:rPr>
                      <w:rFonts w:hint="eastAsia" w:ascii="Times New Roman" w:hAnsi="Times New Roman" w:eastAsia="宋体" w:cs="Times New Roman"/>
                      <w:szCs w:val="28"/>
                      <w:highlight w:val="none"/>
                      <w:lang w:val="en-US" w:eastAsia="zh-CN"/>
                    </w:rPr>
                  </w:pPr>
                  <w:r>
                    <w:rPr>
                      <w:rFonts w:hint="eastAsia" w:ascii="Times New Roman" w:hAnsi="Times New Roman" w:eastAsia="宋体" w:cs="Times New Roman"/>
                      <w:szCs w:val="28"/>
                      <w:highlight w:val="none"/>
                      <w:lang w:val="en-US" w:eastAsia="zh-CN"/>
                    </w:rPr>
                    <w:t>草地</w:t>
                  </w:r>
                </w:p>
              </w:tc>
              <w:tc>
                <w:tcPr>
                  <w:tcW w:w="1223" w:type="pct"/>
                  <w:noWrap w:val="0"/>
                  <w:vAlign w:val="center"/>
                </w:tcPr>
                <w:p>
                  <w:pPr>
                    <w:pStyle w:val="77"/>
                    <w:spacing w:line="240" w:lineRule="auto"/>
                    <w:jc w:val="center"/>
                    <w:rPr>
                      <w:rFonts w:hint="eastAsia" w:eastAsia="宋体"/>
                      <w:highlight w:val="none"/>
                      <w:lang w:val="en-US" w:eastAsia="zh-CN"/>
                    </w:rPr>
                  </w:pPr>
                  <w:r>
                    <w:rPr>
                      <w:rFonts w:hint="eastAsia" w:cs="Times New Roman"/>
                      <w:color w:val="000000"/>
                      <w:highlight w:val="none"/>
                      <w:lang w:val="en-US" w:eastAsia="zh-CN"/>
                    </w:rPr>
                    <w:t>15.996</w:t>
                  </w:r>
                </w:p>
              </w:tc>
              <w:tc>
                <w:tcPr>
                  <w:tcW w:w="1021" w:type="pct"/>
                  <w:noWrap w:val="0"/>
                  <w:vAlign w:val="center"/>
                </w:tcPr>
                <w:p>
                  <w:pPr>
                    <w:pStyle w:val="77"/>
                    <w:spacing w:line="240" w:lineRule="auto"/>
                    <w:ind w:firstLine="0" w:firstLineChars="0"/>
                    <w:jc w:val="center"/>
                    <w:rPr>
                      <w:rFonts w:hint="default" w:ascii="Times New Roman" w:hAnsi="Times New Roman" w:eastAsia="宋体" w:cs="Times New Roman"/>
                      <w:kern w:val="0"/>
                      <w:sz w:val="21"/>
                      <w:szCs w:val="21"/>
                      <w:highlight w:val="none"/>
                      <w:lang w:val="en-US" w:eastAsia="zh-CN" w:bidi="ar-SA"/>
                    </w:rPr>
                  </w:pPr>
                  <w:r>
                    <w:rPr>
                      <w:rFonts w:hint="eastAsia" w:cs="Times New Roman"/>
                      <w:kern w:val="0"/>
                      <w:sz w:val="21"/>
                      <w:szCs w:val="21"/>
                      <w:highlight w:val="none"/>
                      <w:lang w:val="en-US" w:eastAsia="zh-CN" w:bidi="ar-SA"/>
                    </w:rPr>
                    <w:t>1</w:t>
                  </w:r>
                </w:p>
              </w:tc>
              <w:tc>
                <w:tcPr>
                  <w:tcW w:w="1164" w:type="pct"/>
                  <w:tcBorders>
                    <w:right w:val="single" w:color="auto" w:sz="4" w:space="0"/>
                  </w:tcBorders>
                  <w:noWrap w:val="0"/>
                  <w:vAlign w:val="center"/>
                </w:tcPr>
                <w:p>
                  <w:pPr>
                    <w:pStyle w:val="77"/>
                    <w:spacing w:line="240" w:lineRule="auto"/>
                    <w:ind w:firstLine="0" w:firstLineChars="0"/>
                    <w:jc w:val="center"/>
                    <w:rPr>
                      <w:rFonts w:hint="default" w:ascii="Times New Roman" w:hAnsi="Times New Roman" w:eastAsia="宋体" w:cs="Times New Roman"/>
                      <w:kern w:val="0"/>
                      <w:sz w:val="21"/>
                      <w:szCs w:val="21"/>
                      <w:highlight w:val="none"/>
                      <w:lang w:val="en-US" w:eastAsia="zh-CN" w:bidi="ar-SA"/>
                    </w:rPr>
                  </w:pPr>
                  <w:r>
                    <w:rPr>
                      <w:rFonts w:hint="eastAsia" w:cs="Times New Roman"/>
                      <w:color w:val="000000"/>
                      <w:highlight w:val="none"/>
                      <w:lang w:val="en-US" w:eastAsia="zh-CN"/>
                    </w:rPr>
                    <w:t>15.996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1590" w:type="pct"/>
                  <w:tcBorders>
                    <w:left w:val="single" w:color="auto" w:sz="4" w:space="0"/>
                  </w:tcBorders>
                  <w:noWrap w:val="0"/>
                  <w:vAlign w:val="center"/>
                </w:tcPr>
                <w:p>
                  <w:pPr>
                    <w:pStyle w:val="77"/>
                    <w:spacing w:line="240" w:lineRule="auto"/>
                    <w:jc w:val="center"/>
                    <w:rPr>
                      <w:rFonts w:hint="eastAsia" w:ascii="Times New Roman" w:hAnsi="Times New Roman" w:eastAsia="宋体" w:cs="Times New Roman"/>
                      <w:szCs w:val="28"/>
                      <w:highlight w:val="none"/>
                      <w:lang w:val="en-US" w:eastAsia="zh-CN"/>
                    </w:rPr>
                  </w:pPr>
                  <w:r>
                    <w:rPr>
                      <w:rFonts w:hint="eastAsia" w:ascii="Times New Roman" w:hAnsi="Times New Roman" w:eastAsia="宋体" w:cs="Times New Roman"/>
                      <w:szCs w:val="28"/>
                      <w:highlight w:val="none"/>
                      <w:lang w:val="en-US" w:eastAsia="zh-CN"/>
                    </w:rPr>
                    <w:t>未利用地</w:t>
                  </w:r>
                </w:p>
              </w:tc>
              <w:tc>
                <w:tcPr>
                  <w:tcW w:w="1223" w:type="pct"/>
                  <w:noWrap w:val="0"/>
                  <w:vAlign w:val="center"/>
                </w:tcPr>
                <w:p>
                  <w:pPr>
                    <w:pStyle w:val="77"/>
                    <w:spacing w:line="240" w:lineRule="auto"/>
                    <w:jc w:val="center"/>
                    <w:rPr>
                      <w:rFonts w:hint="default" w:eastAsia="宋体"/>
                      <w:highlight w:val="none"/>
                      <w:lang w:val="en-US" w:eastAsia="zh-CN"/>
                    </w:rPr>
                  </w:pPr>
                  <w:r>
                    <w:rPr>
                      <w:rFonts w:hint="eastAsia" w:cs="Times New Roman"/>
                      <w:color w:val="000000"/>
                      <w:highlight w:val="none"/>
                      <w:lang w:val="en-US" w:eastAsia="zh-CN"/>
                    </w:rPr>
                    <w:t>0.352</w:t>
                  </w:r>
                </w:p>
              </w:tc>
              <w:tc>
                <w:tcPr>
                  <w:tcW w:w="1021" w:type="pct"/>
                  <w:noWrap w:val="0"/>
                  <w:vAlign w:val="center"/>
                </w:tcPr>
                <w:p>
                  <w:pPr>
                    <w:pStyle w:val="77"/>
                    <w:spacing w:line="240" w:lineRule="auto"/>
                    <w:ind w:firstLine="0" w:firstLineChars="0"/>
                    <w:jc w:val="center"/>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0.</w:t>
                  </w:r>
                  <w:r>
                    <w:rPr>
                      <w:rFonts w:hint="eastAsia" w:cs="Times New Roman"/>
                      <w:kern w:val="0"/>
                      <w:sz w:val="21"/>
                      <w:szCs w:val="21"/>
                      <w:highlight w:val="none"/>
                      <w:lang w:val="en-US" w:eastAsia="zh-CN" w:bidi="ar-SA"/>
                    </w:rPr>
                    <w:t>5</w:t>
                  </w:r>
                </w:p>
              </w:tc>
              <w:tc>
                <w:tcPr>
                  <w:tcW w:w="1164" w:type="pct"/>
                  <w:tcBorders>
                    <w:right w:val="single" w:color="auto" w:sz="4" w:space="0"/>
                  </w:tcBorders>
                  <w:noWrap w:val="0"/>
                  <w:vAlign w:val="center"/>
                </w:tcPr>
                <w:p>
                  <w:pPr>
                    <w:pStyle w:val="77"/>
                    <w:spacing w:line="240" w:lineRule="auto"/>
                    <w:ind w:firstLine="0" w:firstLineChars="0"/>
                    <w:jc w:val="center"/>
                    <w:rPr>
                      <w:rFonts w:hint="default" w:ascii="Times New Roman" w:hAnsi="Times New Roman" w:eastAsia="宋体" w:cs="Times New Roman"/>
                      <w:kern w:val="0"/>
                      <w:sz w:val="21"/>
                      <w:szCs w:val="21"/>
                      <w:highlight w:val="none"/>
                      <w:lang w:val="en-US" w:eastAsia="zh-CN" w:bidi="ar-SA"/>
                    </w:rPr>
                  </w:pPr>
                  <w:r>
                    <w:rPr>
                      <w:rFonts w:hint="eastAsia" w:cs="Times New Roman"/>
                      <w:kern w:val="0"/>
                      <w:sz w:val="21"/>
                      <w:szCs w:val="21"/>
                      <w:highlight w:val="none"/>
                      <w:lang w:val="en-US" w:eastAsia="zh-CN" w:bidi="ar-SA"/>
                    </w:rPr>
                    <w:t>0.176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1590" w:type="pct"/>
                  <w:tcBorders>
                    <w:left w:val="single" w:color="auto" w:sz="4" w:space="0"/>
                  </w:tcBorders>
                  <w:noWrap w:val="0"/>
                  <w:vAlign w:val="center"/>
                </w:tcPr>
                <w:p>
                  <w:pPr>
                    <w:pStyle w:val="77"/>
                    <w:spacing w:line="240" w:lineRule="auto"/>
                    <w:ind w:firstLine="0" w:firstLineChars="0"/>
                    <w:jc w:val="center"/>
                    <w:rPr>
                      <w:rFonts w:hint="eastAsia"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color w:val="000000"/>
                      <w:highlight w:val="none"/>
                      <w:lang w:val="en-US" w:eastAsia="zh-CN"/>
                    </w:rPr>
                    <w:t>水域及水利设施用地</w:t>
                  </w:r>
                </w:p>
              </w:tc>
              <w:tc>
                <w:tcPr>
                  <w:tcW w:w="1223" w:type="pct"/>
                  <w:tcBorders>
                    <w:left w:val="single" w:color="auto" w:sz="4" w:space="0"/>
                  </w:tcBorders>
                  <w:noWrap w:val="0"/>
                  <w:vAlign w:val="center"/>
                </w:tcPr>
                <w:p>
                  <w:pPr>
                    <w:pStyle w:val="77"/>
                    <w:spacing w:line="240" w:lineRule="auto"/>
                    <w:ind w:firstLine="0" w:firstLineChars="0"/>
                    <w:jc w:val="center"/>
                    <w:rPr>
                      <w:rFonts w:hint="eastAsia" w:ascii="Times New Roman" w:hAnsi="Times New Roman" w:eastAsia="宋体" w:cs="Times New Roman"/>
                      <w:kern w:val="0"/>
                      <w:sz w:val="21"/>
                      <w:szCs w:val="21"/>
                      <w:highlight w:val="none"/>
                      <w:lang w:val="en-US" w:eastAsia="zh-CN" w:bidi="ar-SA"/>
                    </w:rPr>
                  </w:pPr>
                  <w:r>
                    <w:rPr>
                      <w:rFonts w:hint="eastAsia" w:cs="Times New Roman"/>
                      <w:color w:val="000000"/>
                      <w:highlight w:val="none"/>
                      <w:lang w:val="en-US" w:eastAsia="zh-CN"/>
                    </w:rPr>
                    <w:t>24.3565</w:t>
                  </w:r>
                </w:p>
              </w:tc>
              <w:tc>
                <w:tcPr>
                  <w:tcW w:w="1021" w:type="pct"/>
                  <w:tcBorders>
                    <w:left w:val="single" w:color="auto" w:sz="4" w:space="0"/>
                  </w:tcBorders>
                  <w:noWrap w:val="0"/>
                  <w:vAlign w:val="center"/>
                </w:tcPr>
                <w:p>
                  <w:pPr>
                    <w:pStyle w:val="77"/>
                    <w:spacing w:line="240" w:lineRule="auto"/>
                    <w:ind w:firstLine="0" w:firstLineChars="0"/>
                    <w:jc w:val="center"/>
                    <w:rPr>
                      <w:rFonts w:hint="default" w:ascii="Times New Roman" w:hAnsi="Times New Roman" w:eastAsia="宋体" w:cs="Times New Roman"/>
                      <w:kern w:val="0"/>
                      <w:sz w:val="21"/>
                      <w:szCs w:val="21"/>
                      <w:highlight w:val="none"/>
                      <w:lang w:val="en-US" w:eastAsia="zh-CN" w:bidi="ar-SA"/>
                    </w:rPr>
                  </w:pPr>
                  <w:r>
                    <w:rPr>
                      <w:rFonts w:hint="eastAsia" w:cs="Times New Roman"/>
                      <w:kern w:val="0"/>
                      <w:sz w:val="21"/>
                      <w:szCs w:val="21"/>
                      <w:highlight w:val="none"/>
                      <w:lang w:val="en-US" w:eastAsia="zh-CN" w:bidi="ar-SA"/>
                    </w:rPr>
                    <w:t>0.3</w:t>
                  </w:r>
                </w:p>
              </w:tc>
              <w:tc>
                <w:tcPr>
                  <w:tcW w:w="1164" w:type="pct"/>
                  <w:tcBorders>
                    <w:right w:val="single" w:color="auto" w:sz="4" w:space="0"/>
                  </w:tcBorders>
                  <w:noWrap w:val="0"/>
                  <w:vAlign w:val="center"/>
                </w:tcPr>
                <w:p>
                  <w:pPr>
                    <w:pStyle w:val="77"/>
                    <w:spacing w:line="240" w:lineRule="auto"/>
                    <w:ind w:firstLine="0" w:firstLineChars="0"/>
                    <w:jc w:val="center"/>
                    <w:rPr>
                      <w:rFonts w:hint="default" w:ascii="Times New Roman" w:hAnsi="Times New Roman" w:eastAsia="宋体" w:cs="Times New Roman"/>
                      <w:kern w:val="0"/>
                      <w:sz w:val="21"/>
                      <w:szCs w:val="21"/>
                      <w:highlight w:val="none"/>
                      <w:lang w:val="en-US" w:eastAsia="zh-CN" w:bidi="ar-SA"/>
                    </w:rPr>
                  </w:pPr>
                  <w:r>
                    <w:rPr>
                      <w:rFonts w:hint="eastAsia" w:cs="Times New Roman"/>
                      <w:kern w:val="0"/>
                      <w:sz w:val="21"/>
                      <w:szCs w:val="21"/>
                      <w:highlight w:val="none"/>
                      <w:lang w:val="en-US" w:eastAsia="zh-CN" w:bidi="ar-SA"/>
                    </w:rPr>
                    <w:t>7.307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3835" w:type="pct"/>
                  <w:gridSpan w:val="3"/>
                  <w:tcBorders>
                    <w:left w:val="single" w:color="auto" w:sz="4" w:space="0"/>
                    <w:bottom w:val="single" w:color="auto" w:sz="4" w:space="0"/>
                  </w:tcBorders>
                  <w:noWrap w:val="0"/>
                  <w:vAlign w:val="center"/>
                </w:tcPr>
                <w:p>
                  <w:pPr>
                    <w:pStyle w:val="77"/>
                    <w:spacing w:line="240" w:lineRule="auto"/>
                    <w:ind w:firstLine="0" w:firstLineChars="0"/>
                    <w:jc w:val="center"/>
                    <w:rPr>
                      <w:rFonts w:hint="eastAsia"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合计</w:t>
                  </w:r>
                </w:p>
              </w:tc>
              <w:tc>
                <w:tcPr>
                  <w:tcW w:w="1164" w:type="pct"/>
                  <w:tcBorders>
                    <w:bottom w:val="single" w:color="auto" w:sz="4" w:space="0"/>
                    <w:right w:val="single" w:color="auto" w:sz="4" w:space="0"/>
                  </w:tcBorders>
                  <w:noWrap w:val="0"/>
                  <w:vAlign w:val="center"/>
                </w:tcPr>
                <w:p>
                  <w:pPr>
                    <w:pStyle w:val="77"/>
                    <w:spacing w:line="240" w:lineRule="auto"/>
                    <w:ind w:firstLine="0" w:firstLineChars="0"/>
                    <w:jc w:val="center"/>
                    <w:rPr>
                      <w:rFonts w:hint="default" w:ascii="Times New Roman" w:hAnsi="Times New Roman" w:eastAsia="宋体" w:cs="Times New Roman"/>
                      <w:kern w:val="0"/>
                      <w:sz w:val="21"/>
                      <w:szCs w:val="21"/>
                      <w:highlight w:val="none"/>
                      <w:lang w:val="en-US" w:eastAsia="zh-CN" w:bidi="ar-SA"/>
                    </w:rPr>
                  </w:pPr>
                  <w:r>
                    <w:rPr>
                      <w:rFonts w:hint="eastAsia" w:cs="Times New Roman"/>
                      <w:kern w:val="0"/>
                      <w:sz w:val="21"/>
                      <w:szCs w:val="21"/>
                      <w:highlight w:val="none"/>
                      <w:lang w:val="en-US" w:eastAsia="zh-CN" w:bidi="ar-SA"/>
                    </w:rPr>
                    <w:t>24.0178</w:t>
                  </w:r>
                </w:p>
              </w:tc>
            </w:tr>
          </w:tbl>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ascii="宋体" w:hAnsi="宋体" w:eastAsia="宋体" w:cs="宋体"/>
                <w:color w:val="auto"/>
                <w:spacing w:val="0"/>
                <w:position w:val="0"/>
                <w:sz w:val="24"/>
                <w:szCs w:val="24"/>
                <w:highlight w:val="none"/>
              </w:rPr>
            </w:pPr>
            <w:r>
              <w:rPr>
                <w:rFonts w:hint="eastAsia" w:ascii="Times New Roman" w:hAnsi="Times New Roman" w:eastAsia="宋体" w:cs="Times New Roman"/>
                <w:b w:val="0"/>
                <w:bCs w:val="0"/>
                <w:color w:val="auto"/>
                <w:kern w:val="0"/>
                <w:sz w:val="24"/>
                <w:szCs w:val="24"/>
                <w:highlight w:val="none"/>
                <w:lang w:val="en-US" w:eastAsia="zh-CN" w:bidi="ar-SA"/>
              </w:rPr>
              <w:t>（3）</w:t>
            </w:r>
            <w:r>
              <w:rPr>
                <w:rFonts w:ascii="宋体" w:hAnsi="宋体" w:eastAsia="宋体" w:cs="宋体"/>
                <w:color w:val="auto"/>
                <w:spacing w:val="0"/>
                <w:position w:val="0"/>
                <w:sz w:val="24"/>
                <w:szCs w:val="24"/>
                <w:highlight w:val="none"/>
              </w:rPr>
              <w:t>对生态系统稳定性的影响分析</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ascii="宋体" w:hAnsi="宋体" w:eastAsia="宋体" w:cs="宋体"/>
                <w:color w:val="1D41D5"/>
                <w:spacing w:val="0"/>
                <w:position w:val="0"/>
                <w:sz w:val="24"/>
                <w:szCs w:val="24"/>
                <w:highlight w:val="none"/>
              </w:rPr>
            </w:pPr>
            <w:r>
              <w:rPr>
                <w:rFonts w:ascii="宋体" w:hAnsi="宋体" w:eastAsia="宋体" w:cs="宋体"/>
                <w:color w:val="auto"/>
                <w:spacing w:val="0"/>
                <w:position w:val="0"/>
                <w:sz w:val="24"/>
                <w:szCs w:val="24"/>
                <w:highlight w:val="none"/>
              </w:rPr>
              <w:t>项目工程沿线多为草地和农田，生态结构简单，但人工干预大</w:t>
            </w:r>
            <w:r>
              <w:rPr>
                <w:rFonts w:hint="eastAsia" w:ascii="宋体" w:hAnsi="宋体" w:eastAsia="宋体" w:cs="宋体"/>
                <w:color w:val="auto"/>
                <w:spacing w:val="0"/>
                <w:position w:val="0"/>
                <w:sz w:val="24"/>
                <w:szCs w:val="24"/>
                <w:highlight w:val="none"/>
                <w:lang w:eastAsia="zh-CN"/>
              </w:rPr>
              <w:t>，</w:t>
            </w:r>
            <w:r>
              <w:rPr>
                <w:rFonts w:ascii="宋体" w:hAnsi="宋体" w:eastAsia="宋体" w:cs="宋体"/>
                <w:color w:val="auto"/>
                <w:spacing w:val="0"/>
                <w:position w:val="0"/>
                <w:sz w:val="24"/>
                <w:szCs w:val="24"/>
                <w:highlight w:val="none"/>
              </w:rPr>
              <w:t>项目现状已有渠道</w:t>
            </w:r>
            <w:r>
              <w:rPr>
                <w:rFonts w:hint="eastAsia" w:ascii="宋体" w:hAnsi="宋体" w:eastAsia="宋体" w:cs="宋体"/>
                <w:color w:val="auto"/>
                <w:spacing w:val="0"/>
                <w:position w:val="0"/>
                <w:sz w:val="24"/>
                <w:szCs w:val="24"/>
                <w:highlight w:val="none"/>
                <w:lang w:eastAsia="zh-CN"/>
              </w:rPr>
              <w:t>，</w:t>
            </w:r>
            <w:r>
              <w:rPr>
                <w:rFonts w:ascii="宋体" w:hAnsi="宋体" w:eastAsia="宋体" w:cs="宋体"/>
                <w:color w:val="auto"/>
                <w:spacing w:val="0"/>
                <w:position w:val="0"/>
                <w:sz w:val="24"/>
                <w:szCs w:val="24"/>
                <w:highlight w:val="none"/>
              </w:rPr>
              <w:t>项目实施对自然体系稳定状况的度量可从恢复稳定性和阻抗稳定性两个角度来度量</w:t>
            </w:r>
            <w:r>
              <w:rPr>
                <w:rFonts w:hint="eastAsia" w:ascii="宋体" w:hAnsi="宋体" w:eastAsia="宋体" w:cs="宋体"/>
                <w:color w:val="auto"/>
                <w:spacing w:val="0"/>
                <w:position w:val="0"/>
                <w:sz w:val="24"/>
                <w:szCs w:val="24"/>
                <w:highlight w:val="none"/>
                <w:lang w:eastAsia="zh-CN"/>
              </w:rPr>
              <w:t>，</w:t>
            </w:r>
            <w:r>
              <w:rPr>
                <w:rFonts w:ascii="宋体" w:hAnsi="宋体" w:eastAsia="宋体" w:cs="宋体"/>
                <w:color w:val="auto"/>
                <w:spacing w:val="0"/>
                <w:position w:val="0"/>
                <w:sz w:val="24"/>
                <w:szCs w:val="24"/>
                <w:highlight w:val="none"/>
              </w:rPr>
              <w:t>对自然体系阻抗稳定性的度量，是通过对植被异质性程度的改变程度来度量的</w:t>
            </w:r>
            <w:r>
              <w:rPr>
                <w:rFonts w:hint="eastAsia" w:ascii="宋体" w:hAnsi="宋体" w:eastAsia="宋体" w:cs="宋体"/>
                <w:color w:val="auto"/>
                <w:spacing w:val="0"/>
                <w:position w:val="0"/>
                <w:sz w:val="24"/>
                <w:szCs w:val="24"/>
                <w:highlight w:val="none"/>
                <w:lang w:eastAsia="zh-CN"/>
              </w:rPr>
              <w:t>，</w:t>
            </w:r>
            <w:r>
              <w:rPr>
                <w:rFonts w:ascii="宋体" w:hAnsi="宋体" w:eastAsia="宋体" w:cs="宋体"/>
                <w:color w:val="auto"/>
                <w:spacing w:val="0"/>
                <w:position w:val="0"/>
                <w:sz w:val="24"/>
                <w:szCs w:val="24"/>
                <w:highlight w:val="none"/>
              </w:rPr>
              <w:t>评价范围内的土地利用类型主要为草地</w:t>
            </w:r>
            <w:r>
              <w:rPr>
                <w:rFonts w:hint="eastAsia" w:ascii="宋体" w:hAnsi="宋体" w:eastAsia="宋体" w:cs="宋体"/>
                <w:color w:val="auto"/>
                <w:spacing w:val="0"/>
                <w:position w:val="0"/>
                <w:sz w:val="24"/>
                <w:szCs w:val="24"/>
                <w:highlight w:val="none"/>
                <w:lang w:val="en-US" w:eastAsia="zh-CN"/>
              </w:rPr>
              <w:t>和农田</w:t>
            </w:r>
            <w:r>
              <w:rPr>
                <w:rFonts w:hint="eastAsia" w:ascii="宋体" w:hAnsi="宋体" w:eastAsia="宋体" w:cs="宋体"/>
                <w:color w:val="auto"/>
                <w:spacing w:val="0"/>
                <w:position w:val="0"/>
                <w:sz w:val="24"/>
                <w:szCs w:val="24"/>
                <w:highlight w:val="none"/>
                <w:lang w:eastAsia="zh-CN"/>
              </w:rPr>
              <w:t>，</w:t>
            </w:r>
            <w:r>
              <w:rPr>
                <w:rFonts w:ascii="宋体" w:hAnsi="宋体" w:eastAsia="宋体" w:cs="宋体"/>
                <w:color w:val="auto"/>
                <w:spacing w:val="0"/>
                <w:position w:val="0"/>
                <w:sz w:val="24"/>
                <w:szCs w:val="24"/>
                <w:highlight w:val="none"/>
              </w:rPr>
              <w:t>从景观生态学角度看，评价区内生态系统稳定性调控能力不是很强，工程建设对其影响容易受人为调控，施工期采取对应的生态减缓和保护措施后，项目实施对区域自然体系稳定性产生影响较小</w:t>
            </w:r>
            <w:r>
              <w:rPr>
                <w:rFonts w:hint="eastAsia" w:ascii="宋体" w:hAnsi="宋体" w:eastAsia="宋体" w:cs="宋体"/>
                <w:color w:val="auto"/>
                <w:spacing w:val="0"/>
                <w:position w:val="0"/>
                <w:sz w:val="24"/>
                <w:szCs w:val="24"/>
                <w:highlight w:val="none"/>
                <w:lang w:eastAsia="zh-CN"/>
              </w:rPr>
              <w:t>；</w:t>
            </w:r>
            <w:r>
              <w:rPr>
                <w:rFonts w:ascii="宋体" w:hAnsi="宋体" w:eastAsia="宋体" w:cs="宋体"/>
                <w:color w:val="auto"/>
                <w:spacing w:val="0"/>
                <w:position w:val="0"/>
                <w:sz w:val="24"/>
                <w:szCs w:val="24"/>
                <w:highlight w:val="none"/>
              </w:rPr>
              <w:t>另外从该区域整体来看，生物量并没有发生锐减，生产力水平没有发生大的降低，生态系统也没有发生大的改变，总体能够保持稳定</w:t>
            </w:r>
            <w:r>
              <w:rPr>
                <w:rFonts w:ascii="宋体" w:hAnsi="宋体" w:eastAsia="宋体" w:cs="宋体"/>
                <w:color w:val="1D41D5"/>
                <w:spacing w:val="0"/>
                <w:position w:val="0"/>
                <w:sz w:val="24"/>
                <w:szCs w:val="24"/>
                <w:highlight w:val="none"/>
              </w:rPr>
              <w:t>。</w:t>
            </w:r>
          </w:p>
          <w:p>
            <w:pPr>
              <w:pStyle w:val="4"/>
              <w:snapToGrid w:val="0"/>
              <w:spacing w:line="360" w:lineRule="auto"/>
              <w:ind w:firstLine="480" w:firstLineChars="200"/>
              <w:rPr>
                <w:rFonts w:hint="eastAsia" w:ascii="Times New Roman" w:hAnsi="Times New Roman" w:eastAsia="宋体" w:cs="Times New Roman"/>
                <w:b w:val="0"/>
                <w:bCs w:val="0"/>
                <w:color w:val="000000"/>
                <w:kern w:val="0"/>
                <w:sz w:val="24"/>
                <w:szCs w:val="24"/>
                <w:highlight w:val="none"/>
                <w:lang w:val="en-US" w:eastAsia="zh-CN" w:bidi="ar-SA"/>
              </w:rPr>
            </w:pPr>
            <w:r>
              <w:rPr>
                <w:rFonts w:hint="eastAsia" w:ascii="Times New Roman" w:hAnsi="Times New Roman" w:eastAsia="宋体" w:cs="Times New Roman"/>
                <w:b w:val="0"/>
                <w:bCs w:val="0"/>
                <w:color w:val="000000"/>
                <w:kern w:val="0"/>
                <w:sz w:val="24"/>
                <w:szCs w:val="24"/>
                <w:highlight w:val="none"/>
                <w:lang w:val="en-US" w:eastAsia="zh-CN" w:bidi="ar-SA"/>
              </w:rPr>
              <w:t>（</w:t>
            </w:r>
            <w:r>
              <w:rPr>
                <w:rFonts w:hint="eastAsia" w:cs="Times New Roman"/>
                <w:b w:val="0"/>
                <w:bCs w:val="0"/>
                <w:color w:val="000000"/>
                <w:kern w:val="0"/>
                <w:sz w:val="24"/>
                <w:szCs w:val="24"/>
                <w:highlight w:val="none"/>
                <w:lang w:val="en-US" w:eastAsia="zh-CN" w:bidi="ar-SA"/>
              </w:rPr>
              <w:t>4</w:t>
            </w:r>
            <w:r>
              <w:rPr>
                <w:rFonts w:hint="eastAsia" w:ascii="Times New Roman" w:hAnsi="Times New Roman" w:eastAsia="宋体" w:cs="Times New Roman"/>
                <w:b w:val="0"/>
                <w:bCs w:val="0"/>
                <w:color w:val="000000"/>
                <w:kern w:val="0"/>
                <w:sz w:val="24"/>
                <w:szCs w:val="24"/>
                <w:highlight w:val="none"/>
                <w:lang w:val="en-US" w:eastAsia="zh-CN" w:bidi="ar-SA"/>
              </w:rPr>
              <w:t>）对农田的影响</w:t>
            </w:r>
          </w:p>
          <w:p>
            <w:pPr>
              <w:pStyle w:val="4"/>
              <w:snapToGrid w:val="0"/>
              <w:spacing w:line="360" w:lineRule="auto"/>
              <w:ind w:firstLine="480" w:firstLineChars="200"/>
              <w:rPr>
                <w:rFonts w:hint="eastAsia" w:ascii="Times New Roman" w:hAnsi="Times New Roman" w:eastAsia="宋体" w:cs="Times New Roman"/>
                <w:b w:val="0"/>
                <w:bCs w:val="0"/>
                <w:color w:val="000000"/>
                <w:kern w:val="0"/>
                <w:sz w:val="24"/>
                <w:szCs w:val="24"/>
                <w:highlight w:val="none"/>
                <w:lang w:val="en-US" w:eastAsia="zh-CN" w:bidi="ar-SA"/>
              </w:rPr>
            </w:pPr>
            <w:r>
              <w:rPr>
                <w:rFonts w:hint="eastAsia" w:ascii="Times New Roman" w:hAnsi="Times New Roman" w:eastAsia="宋体" w:cs="Times New Roman"/>
                <w:b w:val="0"/>
                <w:bCs w:val="0"/>
                <w:color w:val="000000"/>
                <w:kern w:val="0"/>
                <w:sz w:val="24"/>
                <w:szCs w:val="24"/>
                <w:highlight w:val="none"/>
                <w:lang w:val="en-US" w:eastAsia="zh-CN" w:bidi="ar-SA"/>
              </w:rPr>
              <w:t>项目区农田种植的农作物主要为</w:t>
            </w:r>
            <w:r>
              <w:rPr>
                <w:rFonts w:hint="default" w:ascii="Times New Roman" w:hAnsi="Times New Roman" w:eastAsia="宋体" w:cs="Times New Roman"/>
                <w:b w:val="0"/>
                <w:bCs w:val="0"/>
                <w:color w:val="000000"/>
                <w:kern w:val="0"/>
                <w:sz w:val="24"/>
                <w:szCs w:val="24"/>
                <w:highlight w:val="none"/>
                <w:lang w:val="en-US" w:eastAsia="zh-CN" w:bidi="ar-SA"/>
              </w:rPr>
              <w:t>小麦、玉米</w:t>
            </w:r>
            <w:r>
              <w:rPr>
                <w:rFonts w:hint="eastAsia" w:ascii="Times New Roman" w:hAnsi="Times New Roman" w:eastAsia="宋体" w:cs="Times New Roman"/>
                <w:b w:val="0"/>
                <w:bCs w:val="0"/>
                <w:color w:val="000000"/>
                <w:kern w:val="0"/>
                <w:sz w:val="24"/>
                <w:szCs w:val="24"/>
                <w:highlight w:val="none"/>
                <w:lang w:val="en-US" w:eastAsia="zh-CN" w:bidi="ar-SA"/>
              </w:rPr>
              <w:t>等，本项目土地平整均在原有的耕地上进行平整；本项目在原有老旧河道上的基础上进行改造，且本项目施工期间为非灌溉期，在施工时，施工区域均布设在项目区红线范围内，严格控制和管理施工人员、运输车辆及重型机械的运行线路和范围，采取措施后，项目施工人员、机械不会越界施工，项目施工期间对施工沿线农作物影响较小。施工应尽量选择农闲时节施工，工程施工结束后，对项目区进行植被恢复，对农业生产造成的影响较小。</w:t>
            </w:r>
          </w:p>
          <w:p>
            <w:pPr>
              <w:pStyle w:val="4"/>
              <w:snapToGrid w:val="0"/>
              <w:spacing w:line="360" w:lineRule="auto"/>
              <w:ind w:firstLine="480" w:firstLineChars="200"/>
              <w:rPr>
                <w:rFonts w:hint="default" w:ascii="Times New Roman" w:hAnsi="Times New Roman" w:eastAsia="宋体" w:cs="Times New Roman"/>
                <w:b w:val="0"/>
                <w:bCs w:val="0"/>
                <w:color w:val="000000"/>
                <w:kern w:val="0"/>
                <w:sz w:val="24"/>
                <w:szCs w:val="24"/>
                <w:highlight w:val="none"/>
                <w:lang w:val="en-US" w:eastAsia="zh-CN" w:bidi="ar-SA"/>
              </w:rPr>
            </w:pPr>
            <w:r>
              <w:rPr>
                <w:rFonts w:hint="default" w:ascii="Times New Roman" w:hAnsi="Times New Roman" w:eastAsia="宋体" w:cs="Times New Roman"/>
                <w:b w:val="0"/>
                <w:bCs w:val="0"/>
                <w:color w:val="000000"/>
                <w:kern w:val="0"/>
                <w:sz w:val="24"/>
                <w:szCs w:val="24"/>
                <w:highlight w:val="none"/>
                <w:lang w:val="en-US" w:eastAsia="zh-CN" w:bidi="ar-SA"/>
              </w:rPr>
              <w:t>（</w:t>
            </w:r>
            <w:r>
              <w:rPr>
                <w:rFonts w:hint="eastAsia" w:cs="Times New Roman"/>
                <w:b w:val="0"/>
                <w:bCs w:val="0"/>
                <w:color w:val="000000"/>
                <w:kern w:val="0"/>
                <w:sz w:val="24"/>
                <w:szCs w:val="24"/>
                <w:highlight w:val="none"/>
                <w:lang w:val="en-US" w:eastAsia="zh-CN" w:bidi="ar-SA"/>
              </w:rPr>
              <w:t>5</w:t>
            </w:r>
            <w:r>
              <w:rPr>
                <w:rFonts w:hint="default" w:ascii="Times New Roman" w:hAnsi="Times New Roman" w:eastAsia="宋体" w:cs="Times New Roman"/>
                <w:b w:val="0"/>
                <w:bCs w:val="0"/>
                <w:color w:val="000000"/>
                <w:kern w:val="0"/>
                <w:sz w:val="24"/>
                <w:szCs w:val="24"/>
                <w:highlight w:val="none"/>
                <w:lang w:val="en-US" w:eastAsia="zh-CN" w:bidi="ar-SA"/>
              </w:rPr>
              <w:t>）对</w:t>
            </w:r>
            <w:r>
              <w:rPr>
                <w:rFonts w:hint="default" w:ascii="Times New Roman" w:hAnsi="Times New Roman" w:cs="Times New Roman"/>
                <w:b w:val="0"/>
                <w:bCs w:val="0"/>
                <w:color w:val="000000"/>
                <w:kern w:val="0"/>
                <w:sz w:val="24"/>
                <w:szCs w:val="24"/>
                <w:highlight w:val="none"/>
                <w:lang w:val="en-US" w:eastAsia="zh-CN" w:bidi="ar-SA"/>
              </w:rPr>
              <w:t>草地</w:t>
            </w:r>
            <w:r>
              <w:rPr>
                <w:rFonts w:hint="default" w:ascii="Times New Roman" w:hAnsi="Times New Roman" w:eastAsia="宋体" w:cs="Times New Roman"/>
                <w:b w:val="0"/>
                <w:bCs w:val="0"/>
                <w:color w:val="000000"/>
                <w:kern w:val="0"/>
                <w:sz w:val="24"/>
                <w:szCs w:val="24"/>
                <w:highlight w:val="none"/>
                <w:lang w:val="en-US" w:eastAsia="zh-CN" w:bidi="ar-SA"/>
              </w:rPr>
              <w:t>的影响</w:t>
            </w:r>
          </w:p>
          <w:p>
            <w:pPr>
              <w:pStyle w:val="4"/>
              <w:snapToGrid w:val="0"/>
              <w:spacing w:line="360" w:lineRule="auto"/>
              <w:ind w:firstLine="480" w:firstLineChars="200"/>
              <w:rPr>
                <w:rFonts w:hint="eastAsia" w:ascii="Times New Roman" w:hAnsi="Times New Roman" w:eastAsia="宋体" w:cs="Times New Roman"/>
                <w:b w:val="0"/>
                <w:bCs w:val="0"/>
                <w:color w:val="000000"/>
                <w:kern w:val="0"/>
                <w:sz w:val="24"/>
                <w:szCs w:val="24"/>
                <w:highlight w:val="none"/>
                <w:lang w:val="en-US" w:eastAsia="zh-CN" w:bidi="ar-SA"/>
              </w:rPr>
            </w:pPr>
            <w:r>
              <w:rPr>
                <w:rFonts w:hint="default" w:ascii="Times New Roman" w:hAnsi="Times New Roman" w:eastAsia="宋体" w:cs="Times New Roman"/>
                <w:b w:val="0"/>
                <w:bCs w:val="0"/>
                <w:sz w:val="24"/>
                <w:szCs w:val="24"/>
                <w:highlight w:val="none"/>
              </w:rPr>
              <w:t>五圣</w:t>
            </w:r>
            <w:r>
              <w:rPr>
                <w:rFonts w:hint="default" w:ascii="Times New Roman" w:hAnsi="Times New Roman" w:eastAsia="宋体" w:cs="Times New Roman"/>
                <w:b w:val="0"/>
                <w:bCs w:val="0"/>
                <w:sz w:val="24"/>
                <w:szCs w:val="24"/>
                <w:highlight w:val="none"/>
                <w:lang w:eastAsia="zh-CN"/>
              </w:rPr>
              <w:t>宫水文站段</w:t>
            </w:r>
            <w:r>
              <w:rPr>
                <w:rFonts w:hint="default" w:ascii="Times New Roman" w:hAnsi="Times New Roman" w:eastAsia="宋体" w:cs="Times New Roman"/>
                <w:b w:val="0"/>
                <w:bCs w:val="0"/>
                <w:sz w:val="24"/>
                <w:szCs w:val="24"/>
                <w:highlight w:val="none"/>
                <w:lang w:val="en-US" w:eastAsia="zh-CN"/>
              </w:rPr>
              <w:t>植被</w:t>
            </w:r>
            <w:r>
              <w:rPr>
                <w:rFonts w:hint="default" w:ascii="Times New Roman" w:hAnsi="Times New Roman" w:cs="Times New Roman"/>
                <w:b w:val="0"/>
                <w:bCs w:val="0"/>
                <w:sz w:val="24"/>
                <w:szCs w:val="24"/>
                <w:highlight w:val="none"/>
                <w:lang w:val="en-US" w:eastAsia="zh-CN"/>
              </w:rPr>
              <w:t>主要为</w:t>
            </w:r>
            <w:r>
              <w:rPr>
                <w:rFonts w:hint="default" w:ascii="Times New Roman" w:hAnsi="Times New Roman" w:eastAsia="宋体" w:cs="Times New Roman"/>
                <w:b w:val="0"/>
                <w:bCs w:val="0"/>
                <w:sz w:val="24"/>
                <w:szCs w:val="24"/>
                <w:highlight w:val="none"/>
                <w:lang w:val="en-US" w:eastAsia="zh-CN"/>
              </w:rPr>
              <w:t>宽刺蔷薇、羊茅、草原苔草；白杨河水库至林区公路段</w:t>
            </w:r>
            <w:r>
              <w:rPr>
                <w:rFonts w:hint="default" w:ascii="Times New Roman" w:hAnsi="Times New Roman" w:cs="Times New Roman"/>
                <w:b w:val="0"/>
                <w:bCs w:val="0"/>
                <w:sz w:val="24"/>
                <w:szCs w:val="24"/>
                <w:highlight w:val="none"/>
                <w:lang w:val="en-US" w:eastAsia="zh-CN"/>
              </w:rPr>
              <w:t>植被主要为</w:t>
            </w:r>
            <w:r>
              <w:rPr>
                <w:rFonts w:hint="default" w:ascii="Times New Roman" w:hAnsi="Times New Roman" w:eastAsia="宋体" w:cs="Times New Roman"/>
                <w:b w:val="0"/>
                <w:bCs w:val="0"/>
                <w:sz w:val="24"/>
                <w:szCs w:val="24"/>
                <w:highlight w:val="none"/>
                <w:lang w:val="en-US" w:eastAsia="zh-CN"/>
              </w:rPr>
              <w:t>短叶假木贼、伊犁绢蒿</w:t>
            </w:r>
            <w:r>
              <w:rPr>
                <w:rFonts w:hint="default" w:ascii="Times New Roman" w:hAnsi="Times New Roman" w:cs="Times New Roman"/>
                <w:b w:val="0"/>
                <w:bCs w:val="0"/>
                <w:sz w:val="24"/>
                <w:szCs w:val="24"/>
                <w:highlight w:val="none"/>
                <w:lang w:val="en-US" w:eastAsia="zh-CN"/>
              </w:rPr>
              <w:t>、刺叶锦鸡儿、博烙塔娟蒿、</w:t>
            </w:r>
            <w:r>
              <w:rPr>
                <w:rFonts w:hint="default" w:ascii="Times New Roman" w:hAnsi="Times New Roman" w:eastAsia="宋体" w:cs="Times New Roman"/>
                <w:b w:val="0"/>
                <w:bCs w:val="0"/>
                <w:sz w:val="24"/>
                <w:szCs w:val="24"/>
                <w:highlight w:val="none"/>
                <w:lang w:val="en-US" w:eastAsia="zh-CN"/>
              </w:rPr>
              <w:t>草原苔草</w:t>
            </w:r>
            <w:r>
              <w:rPr>
                <w:rFonts w:hint="default" w:ascii="Times New Roman" w:hAnsi="Times New Roman" w:cs="Times New Roman"/>
                <w:b w:val="0"/>
                <w:bCs w:val="0"/>
                <w:sz w:val="24"/>
                <w:szCs w:val="24"/>
                <w:highlight w:val="none"/>
                <w:lang w:val="en-US" w:eastAsia="zh-CN"/>
              </w:rPr>
              <w:t>、草原锦鸡儿、驼绒藜</w:t>
            </w:r>
            <w:r>
              <w:rPr>
                <w:rFonts w:hint="default" w:ascii="Times New Roman" w:hAnsi="Times New Roman" w:eastAsia="宋体" w:cs="Times New Roman"/>
                <w:b w:val="0"/>
                <w:bCs w:val="0"/>
                <w:sz w:val="24"/>
                <w:szCs w:val="24"/>
                <w:highlight w:val="none"/>
                <w:lang w:val="en-US" w:eastAsia="zh-CN"/>
              </w:rPr>
              <w:t>；魏家村至S303段</w:t>
            </w:r>
            <w:r>
              <w:rPr>
                <w:rFonts w:hint="default" w:ascii="Times New Roman" w:hAnsi="Times New Roman" w:cs="Times New Roman"/>
                <w:b w:val="0"/>
                <w:bCs w:val="0"/>
                <w:sz w:val="24"/>
                <w:szCs w:val="24"/>
                <w:highlight w:val="none"/>
                <w:lang w:val="en-US" w:eastAsia="zh-CN"/>
              </w:rPr>
              <w:t>植被主要为</w:t>
            </w:r>
            <w:r>
              <w:rPr>
                <w:rFonts w:hint="default" w:ascii="Times New Roman" w:hAnsi="Times New Roman" w:eastAsia="宋体" w:cs="Times New Roman"/>
                <w:b w:val="0"/>
                <w:bCs w:val="0"/>
                <w:sz w:val="24"/>
                <w:szCs w:val="24"/>
                <w:highlight w:val="none"/>
                <w:lang w:val="en-US" w:eastAsia="zh-CN"/>
              </w:rPr>
              <w:t>农田</w:t>
            </w:r>
            <w:r>
              <w:rPr>
                <w:rFonts w:hint="eastAsia" w:ascii="Times New Roman" w:hAnsi="Times New Roman" w:cs="Times New Roman"/>
                <w:b w:val="0"/>
                <w:bCs w:val="0"/>
                <w:sz w:val="24"/>
                <w:szCs w:val="24"/>
                <w:highlight w:val="none"/>
                <w:lang w:val="en-US" w:eastAsia="zh-CN"/>
              </w:rPr>
              <w:t>，施工活动会对草地产生一定的扰动，噪声植被的损失，</w:t>
            </w:r>
            <w:r>
              <w:rPr>
                <w:rFonts w:hint="eastAsia" w:ascii="Times New Roman" w:hAnsi="Times New Roman" w:cs="Times New Roman"/>
                <w:b w:val="0"/>
                <w:bCs w:val="0"/>
                <w:color w:val="000000"/>
                <w:kern w:val="0"/>
                <w:sz w:val="24"/>
                <w:szCs w:val="24"/>
                <w:highlight w:val="none"/>
                <w:lang w:val="en-US" w:eastAsia="zh-CN" w:bidi="ar-SA"/>
              </w:rPr>
              <w:t>施工过程中</w:t>
            </w:r>
            <w:r>
              <w:rPr>
                <w:rFonts w:hint="eastAsia" w:cs="Times New Roman"/>
                <w:b w:val="0"/>
                <w:bCs w:val="0"/>
                <w:color w:val="000000"/>
                <w:kern w:val="0"/>
                <w:sz w:val="24"/>
                <w:szCs w:val="24"/>
                <w:highlight w:val="none"/>
                <w:lang w:val="en-US" w:eastAsia="zh-CN" w:bidi="ar-SA"/>
              </w:rPr>
              <w:t>严格控制施工占地范围，</w:t>
            </w:r>
            <w:r>
              <w:rPr>
                <w:rFonts w:hint="eastAsia" w:ascii="Times New Roman" w:hAnsi="Times New Roman" w:eastAsia="宋体" w:cs="Times New Roman"/>
                <w:b w:val="0"/>
                <w:bCs w:val="0"/>
                <w:color w:val="000000"/>
                <w:sz w:val="24"/>
                <w:szCs w:val="24"/>
                <w:highlight w:val="none"/>
              </w:rPr>
              <w:t>建筑材料、土石方等临时堆放时主要利用空地</w:t>
            </w:r>
            <w:r>
              <w:rPr>
                <w:rFonts w:hint="eastAsia" w:cs="Times New Roman"/>
                <w:b w:val="0"/>
                <w:bCs w:val="0"/>
                <w:color w:val="000000"/>
                <w:sz w:val="24"/>
                <w:szCs w:val="24"/>
                <w:highlight w:val="none"/>
                <w:lang w:eastAsia="zh-CN"/>
              </w:rPr>
              <w:t>，</w:t>
            </w:r>
            <w:r>
              <w:rPr>
                <w:rFonts w:hint="eastAsia" w:ascii="Times New Roman" w:hAnsi="Times New Roman" w:eastAsia="宋体" w:cs="Times New Roman"/>
                <w:b w:val="0"/>
                <w:bCs w:val="0"/>
                <w:color w:val="000000"/>
                <w:kern w:val="0"/>
                <w:sz w:val="24"/>
                <w:szCs w:val="24"/>
                <w:highlight w:val="none"/>
                <w:lang w:val="en-US" w:eastAsia="zh-CN" w:bidi="ar-SA"/>
              </w:rPr>
              <w:t>严格控制和管理施工人员、运输车辆及重型机械的运行线路和范围，采取措施后，项目施工人员、机械不会越界施工，项目施工期间对</w:t>
            </w:r>
            <w:r>
              <w:rPr>
                <w:rFonts w:hint="eastAsia" w:cs="Times New Roman"/>
                <w:b w:val="0"/>
                <w:bCs w:val="0"/>
                <w:color w:val="000000"/>
                <w:kern w:val="0"/>
                <w:sz w:val="24"/>
                <w:szCs w:val="24"/>
                <w:highlight w:val="none"/>
                <w:lang w:val="en-US" w:eastAsia="zh-CN" w:bidi="ar-SA"/>
              </w:rPr>
              <w:t>草地</w:t>
            </w:r>
            <w:r>
              <w:rPr>
                <w:rFonts w:hint="eastAsia" w:ascii="Times New Roman" w:hAnsi="Times New Roman" w:eastAsia="宋体" w:cs="Times New Roman"/>
                <w:b w:val="0"/>
                <w:bCs w:val="0"/>
                <w:color w:val="000000"/>
                <w:kern w:val="0"/>
                <w:sz w:val="24"/>
                <w:szCs w:val="24"/>
                <w:highlight w:val="none"/>
                <w:lang w:val="en-US" w:eastAsia="zh-CN" w:bidi="ar-SA"/>
              </w:rPr>
              <w:t>影响较小。</w:t>
            </w:r>
          </w:p>
          <w:p>
            <w:pPr>
              <w:pStyle w:val="4"/>
              <w:snapToGrid w:val="0"/>
              <w:spacing w:line="360" w:lineRule="auto"/>
              <w:ind w:firstLine="480" w:firstLineChars="200"/>
              <w:rPr>
                <w:rFonts w:hint="eastAsia" w:ascii="Times New Roman" w:hAnsi="Times New Roman" w:eastAsia="宋体" w:cs="Times New Roman"/>
                <w:b w:val="0"/>
                <w:bCs w:val="0"/>
                <w:color w:val="000000"/>
                <w:kern w:val="0"/>
                <w:sz w:val="24"/>
                <w:szCs w:val="24"/>
                <w:highlight w:val="none"/>
                <w:lang w:val="en-US" w:eastAsia="zh-CN" w:bidi="ar-SA"/>
              </w:rPr>
            </w:pPr>
            <w:bookmarkStart w:id="17" w:name="_GoBack"/>
            <w:r>
              <w:rPr>
                <w:rFonts w:hint="eastAsia" w:ascii="Times New Roman" w:hAnsi="Times New Roman" w:eastAsia="宋体" w:cs="Times New Roman"/>
                <w:b w:val="0"/>
                <w:bCs w:val="0"/>
                <w:color w:val="000000"/>
                <w:kern w:val="0"/>
                <w:sz w:val="24"/>
                <w:szCs w:val="24"/>
                <w:highlight w:val="none"/>
                <w:lang w:val="en-US" w:eastAsia="zh-CN" w:bidi="ar-SA"/>
              </w:rPr>
              <w:t>（</w:t>
            </w:r>
            <w:r>
              <w:rPr>
                <w:rFonts w:hint="eastAsia" w:cs="Times New Roman"/>
                <w:b w:val="0"/>
                <w:bCs w:val="0"/>
                <w:color w:val="000000"/>
                <w:kern w:val="0"/>
                <w:sz w:val="24"/>
                <w:szCs w:val="24"/>
                <w:highlight w:val="none"/>
                <w:lang w:val="en-US" w:eastAsia="zh-CN" w:bidi="ar-SA"/>
              </w:rPr>
              <w:t>6</w:t>
            </w:r>
            <w:r>
              <w:rPr>
                <w:rFonts w:hint="eastAsia" w:ascii="Times New Roman" w:hAnsi="Times New Roman" w:eastAsia="宋体" w:cs="Times New Roman"/>
                <w:b w:val="0"/>
                <w:bCs w:val="0"/>
                <w:color w:val="000000"/>
                <w:kern w:val="0"/>
                <w:sz w:val="24"/>
                <w:szCs w:val="24"/>
                <w:highlight w:val="none"/>
                <w:lang w:val="en-US" w:eastAsia="zh-CN" w:bidi="ar-SA"/>
              </w:rPr>
              <w:t>）对</w:t>
            </w:r>
            <w:r>
              <w:rPr>
                <w:rFonts w:hint="eastAsia" w:cs="Times New Roman"/>
                <w:b w:val="0"/>
                <w:bCs w:val="0"/>
                <w:color w:val="000000"/>
                <w:kern w:val="0"/>
                <w:sz w:val="24"/>
                <w:szCs w:val="24"/>
                <w:highlight w:val="none"/>
                <w:lang w:val="en-US" w:eastAsia="zh-CN" w:bidi="ar-SA"/>
              </w:rPr>
              <w:t>江布拉克国家森林公园、生态红线</w:t>
            </w:r>
            <w:r>
              <w:rPr>
                <w:rFonts w:hint="eastAsia" w:ascii="Times New Roman" w:hAnsi="Times New Roman" w:eastAsia="宋体" w:cs="Times New Roman"/>
                <w:b w:val="0"/>
                <w:bCs w:val="0"/>
                <w:color w:val="000000"/>
                <w:kern w:val="0"/>
                <w:sz w:val="24"/>
                <w:szCs w:val="24"/>
                <w:highlight w:val="none"/>
                <w:lang w:val="en-US" w:eastAsia="zh-CN" w:bidi="ar-SA"/>
              </w:rPr>
              <w:t>的影响</w:t>
            </w:r>
          </w:p>
          <w:p>
            <w:pPr>
              <w:pStyle w:val="53"/>
              <w:widowControl w:val="0"/>
              <w:numPr>
                <w:ilvl w:val="0"/>
                <w:numId w:val="0"/>
              </w:numPr>
              <w:autoSpaceDE w:val="0"/>
              <w:autoSpaceDN w:val="0"/>
              <w:spacing w:line="360" w:lineRule="auto"/>
              <w:ind w:firstLine="480" w:firstLineChars="200"/>
              <w:jc w:val="both"/>
              <w:rPr>
                <w:rFonts w:hint="default" w:ascii="Times New Roman" w:hAnsi="Times New Roman" w:cs="Times New Roman"/>
                <w:bCs/>
                <w:highlight w:val="none"/>
                <w:lang w:val="en-US" w:eastAsia="zh-CN"/>
              </w:rPr>
            </w:pPr>
            <w:r>
              <w:rPr>
                <w:rFonts w:hint="eastAsia"/>
                <w:color w:val="000000"/>
                <w:highlight w:val="none"/>
                <w:lang w:val="en-US" w:eastAsia="zh-CN"/>
              </w:rPr>
              <w:t>本项目区中的</w:t>
            </w:r>
            <w:r>
              <w:rPr>
                <w:rFonts w:hint="eastAsia" w:ascii="Times New Roman" w:hAnsi="Times New Roman" w:eastAsia="宋体" w:cs="Times New Roman"/>
                <w:sz w:val="24"/>
                <w:szCs w:val="24"/>
                <w:highlight w:val="none"/>
                <w:lang w:val="en-US" w:eastAsia="zh-CN"/>
              </w:rPr>
              <w:t>白杨河水库至林区公路段</w:t>
            </w:r>
            <w:r>
              <w:rPr>
                <w:rFonts w:hint="eastAsia" w:cs="Times New Roman"/>
                <w:sz w:val="24"/>
                <w:szCs w:val="24"/>
                <w:highlight w:val="none"/>
                <w:lang w:val="en-US" w:eastAsia="zh-CN"/>
              </w:rPr>
              <w:t>起点</w:t>
            </w:r>
            <w:r>
              <w:rPr>
                <w:rFonts w:hint="default" w:ascii="Times New Roman" w:hAnsi="Times New Roman" w:cs="Times New Roman"/>
                <w:b w:val="0"/>
                <w:bCs/>
                <w:color w:val="000000"/>
                <w:highlight w:val="none"/>
              </w:rPr>
              <w:t>（</w:t>
            </w:r>
            <w:r>
              <w:rPr>
                <w:rFonts w:hint="eastAsia" w:cs="Times New Roman"/>
                <w:b w:val="0"/>
                <w:bCs w:val="0"/>
                <w:color w:val="000000"/>
                <w:kern w:val="0"/>
                <w:sz w:val="24"/>
                <w:szCs w:val="24"/>
                <w:highlight w:val="none"/>
                <w:lang w:val="en-US" w:eastAsia="zh-CN" w:bidi="ar-SA"/>
              </w:rPr>
              <w:t>桩号：</w:t>
            </w:r>
            <w:r>
              <w:rPr>
                <w:rFonts w:hint="default" w:ascii="Times New Roman" w:hAnsi="Times New Roman" w:eastAsia="宋体" w:cs="Times New Roman"/>
                <w:b w:val="0"/>
                <w:bCs w:val="0"/>
                <w:color w:val="000000"/>
                <w:kern w:val="0"/>
                <w:sz w:val="24"/>
                <w:szCs w:val="24"/>
                <w:highlight w:val="none"/>
                <w:lang w:val="en-US" w:eastAsia="zh-CN" w:bidi="ar-SA"/>
              </w:rPr>
              <w:t>4+100</w:t>
            </w:r>
            <w:r>
              <w:rPr>
                <w:rFonts w:hint="default" w:ascii="Times New Roman" w:hAnsi="Times New Roman" w:cs="Times New Roman"/>
                <w:b w:val="0"/>
                <w:bCs/>
                <w:color w:val="000000"/>
                <w:highlight w:val="none"/>
              </w:rPr>
              <w:t>）</w:t>
            </w:r>
            <w:r>
              <w:rPr>
                <w:rFonts w:hint="eastAsia"/>
                <w:color w:val="000000"/>
                <w:highlight w:val="none"/>
                <w:lang w:val="en-US" w:eastAsia="zh-CN"/>
              </w:rPr>
              <w:t>距离吉木萨尔县生态红线最近距离为20</w:t>
            </w:r>
            <w:r>
              <w:rPr>
                <w:rFonts w:hint="default" w:ascii="Times New Roman" w:hAnsi="Times New Roman" w:eastAsia="宋体" w:cs="Times New Roman"/>
                <w:color w:val="000000"/>
                <w:kern w:val="0"/>
                <w:sz w:val="24"/>
                <w:szCs w:val="24"/>
                <w:highlight w:val="none"/>
                <w:lang w:val="en-US" w:eastAsia="zh-CN" w:bidi="ar"/>
              </w:rPr>
              <w:t>m</w:t>
            </w:r>
            <w:r>
              <w:rPr>
                <w:rFonts w:hint="eastAsia"/>
                <w:color w:val="000000"/>
                <w:highlight w:val="none"/>
                <w:lang w:val="en-US" w:eastAsia="zh-CN"/>
              </w:rPr>
              <w:t>；</w:t>
            </w:r>
            <w:r>
              <w:rPr>
                <w:rFonts w:hint="eastAsia"/>
                <w:color w:val="000000"/>
                <w:highlight w:val="none"/>
              </w:rPr>
              <w:t>项目</w:t>
            </w:r>
            <w:r>
              <w:rPr>
                <w:rFonts w:hint="eastAsia"/>
                <w:color w:val="000000"/>
                <w:highlight w:val="none"/>
                <w:lang w:val="en-US" w:eastAsia="zh-CN"/>
              </w:rPr>
              <w:t>区</w:t>
            </w:r>
            <w:r>
              <w:rPr>
                <w:rFonts w:hint="eastAsia"/>
                <w:color w:val="000000"/>
                <w:highlight w:val="none"/>
              </w:rPr>
              <w:t>不在吉木萨尔县生态保护红线范围内</w:t>
            </w:r>
            <w:r>
              <w:rPr>
                <w:rFonts w:hint="eastAsia"/>
                <w:color w:val="000000"/>
                <w:highlight w:val="none"/>
                <w:lang w:eastAsia="zh-CN"/>
              </w:rPr>
              <w:t>；</w:t>
            </w:r>
            <w:r>
              <w:rPr>
                <w:rFonts w:hint="eastAsia"/>
                <w:snapToGrid w:val="0"/>
                <w:color w:val="000000"/>
                <w:kern w:val="0"/>
                <w:szCs w:val="20"/>
                <w:highlight w:val="none"/>
              </w:rPr>
              <w:t>五圣</w:t>
            </w:r>
            <w:r>
              <w:rPr>
                <w:rFonts w:hint="eastAsia" w:ascii="Times New Roman" w:hAnsi="Times New Roman" w:eastAsia="宋体" w:cs="Times New Roman"/>
                <w:sz w:val="24"/>
                <w:szCs w:val="24"/>
                <w:highlight w:val="none"/>
                <w:lang w:eastAsia="zh-CN"/>
              </w:rPr>
              <w:t>宫水文站段</w:t>
            </w:r>
            <w:r>
              <w:rPr>
                <w:rFonts w:hint="default" w:ascii="Times New Roman" w:hAnsi="Times New Roman" w:cs="Times New Roman"/>
                <w:b w:val="0"/>
                <w:bCs/>
                <w:color w:val="000000"/>
                <w:highlight w:val="none"/>
              </w:rPr>
              <w:t>（</w:t>
            </w:r>
            <w:r>
              <w:rPr>
                <w:rFonts w:hint="default" w:ascii="Times New Roman" w:hAnsi="Times New Roman" w:eastAsia="宋体" w:cs="Times New Roman"/>
                <w:b w:val="0"/>
                <w:bCs w:val="0"/>
                <w:color w:val="000000"/>
                <w:kern w:val="0"/>
                <w:sz w:val="24"/>
                <w:szCs w:val="24"/>
                <w:highlight w:val="none"/>
                <w:lang w:val="en-US" w:eastAsia="zh-CN" w:bidi="ar-SA"/>
              </w:rPr>
              <w:t>0+000～1+880</w:t>
            </w:r>
            <w:r>
              <w:rPr>
                <w:rFonts w:hint="default" w:ascii="Times New Roman" w:hAnsi="Times New Roman" w:cs="Times New Roman"/>
                <w:b w:val="0"/>
                <w:bCs/>
                <w:color w:val="000000"/>
                <w:highlight w:val="none"/>
              </w:rPr>
              <w:t>）</w:t>
            </w:r>
            <w:r>
              <w:rPr>
                <w:rFonts w:hint="eastAsia"/>
                <w:color w:val="000000"/>
                <w:highlight w:val="none"/>
                <w:lang w:val="en-US" w:eastAsia="zh-CN"/>
              </w:rPr>
              <w:t>距离新疆江布拉克国家森林公园最近距离为0</w:t>
            </w:r>
            <w:r>
              <w:rPr>
                <w:rFonts w:hint="default" w:ascii="Times New Roman" w:hAnsi="Times New Roman" w:eastAsia="宋体" w:cs="Times New Roman"/>
                <w:color w:val="000000"/>
                <w:kern w:val="0"/>
                <w:sz w:val="24"/>
                <w:szCs w:val="24"/>
                <w:highlight w:val="none"/>
                <w:lang w:val="en-US" w:eastAsia="zh-CN" w:bidi="ar"/>
              </w:rPr>
              <w:t>m</w:t>
            </w:r>
            <w:r>
              <w:rPr>
                <w:rFonts w:hint="eastAsia"/>
                <w:color w:val="000000"/>
                <w:highlight w:val="none"/>
                <w:lang w:val="en-US" w:eastAsia="zh-CN"/>
              </w:rPr>
              <w:t>，</w:t>
            </w:r>
            <w:r>
              <w:rPr>
                <w:rFonts w:hint="eastAsia" w:ascii="Times New Roman" w:hAnsi="Times New Roman" w:eastAsia="宋体" w:cs="Times New Roman"/>
                <w:b w:val="0"/>
                <w:bCs w:val="0"/>
                <w:color w:val="000000"/>
                <w:kern w:val="0"/>
                <w:sz w:val="24"/>
                <w:szCs w:val="24"/>
                <w:highlight w:val="none"/>
                <w:lang w:val="en-US" w:eastAsia="zh-CN" w:bidi="ar-SA"/>
              </w:rPr>
              <w:t>此段为单侧护砌，</w:t>
            </w:r>
            <w:r>
              <w:rPr>
                <w:rFonts w:hint="eastAsia" w:cs="Times New Roman"/>
                <w:b w:val="0"/>
                <w:bCs w:val="0"/>
                <w:color w:val="000000"/>
                <w:kern w:val="0"/>
                <w:sz w:val="24"/>
                <w:szCs w:val="24"/>
                <w:highlight w:val="none"/>
                <w:lang w:val="en-US" w:eastAsia="zh-CN" w:bidi="ar-SA"/>
              </w:rPr>
              <w:t>白杨河宽为9.3014m，</w:t>
            </w:r>
            <w:r>
              <w:rPr>
                <w:rFonts w:hint="eastAsia" w:ascii="Times New Roman" w:hAnsi="Times New Roman" w:eastAsia="宋体" w:cs="Times New Roman"/>
                <w:b w:val="0"/>
                <w:bCs w:val="0"/>
                <w:color w:val="000000"/>
                <w:kern w:val="0"/>
                <w:sz w:val="24"/>
                <w:szCs w:val="24"/>
                <w:highlight w:val="none"/>
                <w:lang w:val="en-US" w:eastAsia="zh-CN" w:bidi="ar-SA"/>
              </w:rPr>
              <w:t>对远离森林公园侧进行护砌</w:t>
            </w:r>
            <w:r>
              <w:rPr>
                <w:rFonts w:hint="eastAsia"/>
                <w:color w:val="000000"/>
                <w:highlight w:val="none"/>
                <w:lang w:val="en-US" w:eastAsia="zh-CN"/>
              </w:rPr>
              <w:t>，本项目实际施工距离江布拉克国家森林公园为</w:t>
            </w:r>
            <w:r>
              <w:rPr>
                <w:rFonts w:hint="eastAsia" w:cs="Times New Roman"/>
                <w:b w:val="0"/>
                <w:bCs w:val="0"/>
                <w:color w:val="000000"/>
                <w:kern w:val="0"/>
                <w:sz w:val="24"/>
                <w:szCs w:val="24"/>
                <w:highlight w:val="none"/>
                <w:lang w:val="en-US" w:eastAsia="zh-CN" w:bidi="ar-SA"/>
              </w:rPr>
              <w:t>9.3014m，</w:t>
            </w:r>
            <w:r>
              <w:rPr>
                <w:rFonts w:hint="eastAsia"/>
                <w:color w:val="000000"/>
                <w:highlight w:val="none"/>
                <w:lang w:val="en-US" w:eastAsia="zh-CN"/>
              </w:rPr>
              <w:t>江布拉克国家森林公园不属于自然保护区，项目区未涉及、占用及穿越江布拉克国家森林公园，</w:t>
            </w:r>
            <w:r>
              <w:rPr>
                <w:rFonts w:hint="eastAsia" w:ascii="Times New Roman" w:hAnsi="Times New Roman" w:eastAsia="宋体" w:cs="Times New Roman"/>
                <w:b w:val="0"/>
                <w:bCs w:val="0"/>
                <w:color w:val="000000"/>
                <w:kern w:val="0"/>
                <w:sz w:val="24"/>
                <w:szCs w:val="24"/>
                <w:highlight w:val="none"/>
                <w:lang w:val="en-US" w:eastAsia="zh-CN" w:bidi="ar-SA"/>
              </w:rPr>
              <w:t>五圣宫水文站段</w:t>
            </w:r>
            <w:r>
              <w:rPr>
                <w:rFonts w:hint="eastAsia" w:cs="Times New Roman"/>
                <w:b w:val="0"/>
                <w:bCs w:val="0"/>
                <w:color w:val="000000"/>
                <w:kern w:val="0"/>
                <w:sz w:val="24"/>
                <w:szCs w:val="24"/>
                <w:highlight w:val="none"/>
                <w:lang w:val="en-US" w:eastAsia="zh-CN" w:bidi="ar-SA"/>
              </w:rPr>
              <w:t>全长1.5公里；</w:t>
            </w:r>
            <w:r>
              <w:rPr>
                <w:rFonts w:hint="eastAsia"/>
                <w:color w:val="000000"/>
                <w:highlight w:val="none"/>
                <w:lang w:val="en-US" w:eastAsia="zh-CN"/>
              </w:rPr>
              <w:t>本项目区中的</w:t>
            </w:r>
            <w:r>
              <w:rPr>
                <w:rFonts w:hint="eastAsia" w:ascii="Times New Roman" w:hAnsi="Times New Roman" w:eastAsia="宋体" w:cs="Times New Roman"/>
                <w:sz w:val="24"/>
                <w:szCs w:val="24"/>
                <w:highlight w:val="none"/>
                <w:lang w:val="en-US" w:eastAsia="zh-CN"/>
              </w:rPr>
              <w:t>白杨河水库至林区公路段</w:t>
            </w:r>
            <w:r>
              <w:rPr>
                <w:rFonts w:hint="eastAsia" w:cs="Times New Roman"/>
                <w:sz w:val="24"/>
                <w:szCs w:val="24"/>
                <w:highlight w:val="none"/>
                <w:lang w:val="en-US" w:eastAsia="zh-CN"/>
              </w:rPr>
              <w:t>起点</w:t>
            </w:r>
            <w:r>
              <w:rPr>
                <w:rFonts w:hint="eastAsia"/>
                <w:color w:val="000000"/>
                <w:highlight w:val="none"/>
                <w:lang w:val="en-US" w:eastAsia="zh-CN"/>
              </w:rPr>
              <w:t>距离吉木萨尔县生态红线最近距离为20米，</w:t>
            </w:r>
            <w:r>
              <w:rPr>
                <w:rFonts w:hint="eastAsia"/>
                <w:color w:val="000000"/>
                <w:highlight w:val="none"/>
              </w:rPr>
              <w:t>项目</w:t>
            </w:r>
            <w:r>
              <w:rPr>
                <w:rFonts w:hint="eastAsia"/>
                <w:color w:val="000000"/>
                <w:highlight w:val="none"/>
                <w:lang w:val="en-US" w:eastAsia="zh-CN"/>
              </w:rPr>
              <w:t>区</w:t>
            </w:r>
            <w:r>
              <w:rPr>
                <w:rFonts w:hint="eastAsia"/>
                <w:color w:val="000000"/>
                <w:highlight w:val="none"/>
              </w:rPr>
              <w:t>不在吉木萨尔县生态保护红线范围内</w:t>
            </w:r>
            <w:r>
              <w:rPr>
                <w:rFonts w:hint="eastAsia"/>
                <w:color w:val="000000"/>
                <w:highlight w:val="none"/>
                <w:lang w:eastAsia="zh-CN"/>
              </w:rPr>
              <w:t>，</w:t>
            </w:r>
            <w:r>
              <w:rPr>
                <w:rFonts w:hint="eastAsia"/>
                <w:color w:val="000000"/>
                <w:highlight w:val="none"/>
                <w:lang w:val="en-US" w:eastAsia="zh-CN"/>
              </w:rPr>
              <w:t>项目施工过程活动会对</w:t>
            </w:r>
            <w:r>
              <w:rPr>
                <w:rFonts w:hint="eastAsia" w:cs="Times New Roman"/>
                <w:b w:val="0"/>
                <w:bCs w:val="0"/>
                <w:color w:val="000000"/>
                <w:kern w:val="0"/>
                <w:sz w:val="24"/>
                <w:szCs w:val="24"/>
                <w:highlight w:val="none"/>
                <w:lang w:val="en-US" w:eastAsia="zh-CN" w:bidi="ar-SA"/>
              </w:rPr>
              <w:t>江布拉克国家森林公园和生态红线产生一定的影响。</w:t>
            </w:r>
          </w:p>
          <w:bookmarkEnd w:id="17"/>
          <w:p>
            <w:pPr>
              <w:pStyle w:val="53"/>
              <w:widowControl w:val="0"/>
              <w:numPr>
                <w:ilvl w:val="0"/>
                <w:numId w:val="0"/>
              </w:numPr>
              <w:autoSpaceDE w:val="0"/>
              <w:autoSpaceDN w:val="0"/>
              <w:spacing w:line="360" w:lineRule="auto"/>
              <w:ind w:firstLine="480" w:firstLineChars="200"/>
              <w:jc w:val="both"/>
              <w:rPr>
                <w:rFonts w:hint="eastAsia" w:ascii="Times New Roman" w:hAnsi="Times New Roman" w:cs="Times New Roman"/>
                <w:bCs/>
                <w:highlight w:val="none"/>
                <w:lang w:val="en-US" w:eastAsia="zh-CN"/>
              </w:rPr>
            </w:pPr>
            <w:r>
              <w:rPr>
                <w:rFonts w:hint="eastAsia" w:ascii="Times New Roman" w:hAnsi="Times New Roman" w:cs="Times New Roman"/>
                <w:bCs/>
                <w:highlight w:val="none"/>
                <w:lang w:val="en-US" w:eastAsia="zh-CN"/>
              </w:rPr>
              <w:t>（</w:t>
            </w:r>
            <w:r>
              <w:rPr>
                <w:rFonts w:hint="eastAsia" w:ascii="Times New Roman" w:cs="Times New Roman"/>
                <w:bCs/>
                <w:highlight w:val="none"/>
                <w:lang w:val="en-US" w:eastAsia="zh-CN"/>
              </w:rPr>
              <w:t>7</w:t>
            </w:r>
            <w:r>
              <w:rPr>
                <w:rFonts w:hint="eastAsia" w:ascii="Times New Roman" w:hAnsi="Times New Roman" w:cs="Times New Roman"/>
                <w:bCs/>
                <w:highlight w:val="none"/>
                <w:lang w:val="en-US" w:eastAsia="zh-CN"/>
              </w:rPr>
              <w:t>）</w:t>
            </w:r>
            <w:r>
              <w:rPr>
                <w:rFonts w:hint="eastAsia" w:ascii="Times New Roman" w:hAnsi="Times New Roman" w:cs="Times New Roman"/>
                <w:bCs/>
                <w:highlight w:val="none"/>
              </w:rPr>
              <w:t>对陆生</w:t>
            </w:r>
            <w:r>
              <w:rPr>
                <w:rFonts w:hint="eastAsia" w:ascii="Times New Roman" w:cs="Times New Roman"/>
                <w:bCs/>
                <w:highlight w:val="none"/>
                <w:lang w:val="en-US" w:eastAsia="zh-CN"/>
              </w:rPr>
              <w:t>动物</w:t>
            </w:r>
            <w:r>
              <w:rPr>
                <w:rFonts w:hint="eastAsia" w:ascii="Times New Roman" w:hAnsi="Times New Roman" w:cs="Times New Roman"/>
                <w:bCs/>
                <w:highlight w:val="none"/>
              </w:rPr>
              <w:t>的影响</w:t>
            </w:r>
          </w:p>
          <w:p>
            <w:pPr>
              <w:pStyle w:val="53"/>
              <w:widowControl w:val="0"/>
              <w:numPr>
                <w:ilvl w:val="0"/>
                <w:numId w:val="0"/>
              </w:numPr>
              <w:autoSpaceDE w:val="0"/>
              <w:autoSpaceDN w:val="0"/>
              <w:spacing w:line="360" w:lineRule="auto"/>
              <w:ind w:firstLine="480" w:firstLineChars="200"/>
              <w:jc w:val="both"/>
              <w:rPr>
                <w:rFonts w:hint="default" w:ascii="Times New Roman" w:hAnsi="Times New Roman" w:cs="Times New Roman"/>
                <w:bCs/>
                <w:highlight w:val="none"/>
              </w:rPr>
            </w:pPr>
            <w:r>
              <w:rPr>
                <w:rFonts w:hint="eastAsia" w:ascii="Times New Roman" w:hAnsi="Times New Roman" w:cs="Times New Roman"/>
                <w:bCs/>
                <w:highlight w:val="none"/>
              </w:rPr>
              <w:t>工程施工期间，由于人类的频繁活动，而且大面积的土地被扰动，所以有可能干扰甚至破坏野生动物的栖息环境。</w:t>
            </w:r>
          </w:p>
          <w:p>
            <w:pPr>
              <w:pStyle w:val="53"/>
              <w:widowControl w:val="0"/>
              <w:numPr>
                <w:ilvl w:val="0"/>
                <w:numId w:val="0"/>
              </w:numPr>
              <w:autoSpaceDE w:val="0"/>
              <w:autoSpaceDN w:val="0"/>
              <w:spacing w:line="360" w:lineRule="auto"/>
              <w:ind w:firstLine="480" w:firstLineChars="200"/>
              <w:jc w:val="both"/>
              <w:rPr>
                <w:rFonts w:hint="default" w:ascii="Times New Roman" w:hAnsi="Times New Roman" w:cs="Times New Roman"/>
                <w:bCs/>
                <w:highlight w:val="none"/>
              </w:rPr>
            </w:pPr>
            <w:r>
              <w:rPr>
                <w:rFonts w:hint="eastAsia" w:ascii="Times New Roman" w:hAnsi="Times New Roman" w:cs="Times New Roman"/>
                <w:bCs/>
                <w:highlight w:val="none"/>
              </w:rPr>
              <w:t>根据现场踏勘及有关资料的调查，项目区区域内没有珍稀动物及大型哺乳动物，仅有一些常见鸟类和啮齿类动物少量存在，施工过程中开挖土方的嘈杂声及机器轰鸣声等各种声响形成的噪声，会使生活在较为安静环境中的鸟类、啮齿类动物的正常生活受到暂时的轻微干扰，但由于这些鸟类、啮齿类动物是广布种，对于人类活动适应性强，因此，在施工及运营过程中对其的影响甚微。但是野生动物始终处于一种运动的状态，它会根据周围环境的变化而改变自己的栖息环境。所以工程在施工期间，有可能导致项目区内陆生野生动物的种群向其周边地区进行迁徙。</w:t>
            </w:r>
          </w:p>
          <w:p>
            <w:pPr>
              <w:pStyle w:val="53"/>
              <w:widowControl w:val="0"/>
              <w:numPr>
                <w:ilvl w:val="0"/>
                <w:numId w:val="0"/>
              </w:numPr>
              <w:autoSpaceDE w:val="0"/>
              <w:autoSpaceDN w:val="0"/>
              <w:spacing w:line="360" w:lineRule="auto"/>
              <w:ind w:firstLine="480" w:firstLineChars="200"/>
              <w:jc w:val="both"/>
              <w:rPr>
                <w:rFonts w:hint="default" w:ascii="Times New Roman" w:hAnsi="Times New Roman" w:eastAsia="宋体" w:cs="Times New Roman"/>
                <w:bCs/>
                <w:highlight w:val="none"/>
                <w:lang w:eastAsia="zh-TW"/>
              </w:rPr>
            </w:pPr>
            <w:r>
              <w:rPr>
                <w:rFonts w:hint="eastAsia" w:ascii="Times New Roman" w:hAnsi="Times New Roman" w:cs="Times New Roman"/>
                <w:bCs/>
                <w:highlight w:val="none"/>
              </w:rPr>
              <w:t>在施工期间，为了保护陆生野生动物的生存不受大的威胁，应当在工程施工区和一些醒目地段设置一些带有</w:t>
            </w:r>
            <w:r>
              <w:rPr>
                <w:rFonts w:hint="eastAsia" w:ascii="Times New Roman" w:hAnsi="Times New Roman" w:cs="Times New Roman"/>
                <w:bCs/>
                <w:highlight w:val="none"/>
                <w:lang w:eastAsia="zh-CN"/>
              </w:rPr>
              <w:t>"</w:t>
            </w:r>
            <w:r>
              <w:rPr>
                <w:rFonts w:hint="eastAsia" w:ascii="Times New Roman" w:hAnsi="Times New Roman" w:cs="Times New Roman"/>
                <w:bCs/>
                <w:highlight w:val="none"/>
              </w:rPr>
              <w:t>保护野生动物</w:t>
            </w:r>
            <w:r>
              <w:rPr>
                <w:rFonts w:hint="eastAsia" w:ascii="Times New Roman" w:hAnsi="Times New Roman" w:cs="Times New Roman"/>
                <w:bCs/>
                <w:highlight w:val="none"/>
                <w:lang w:eastAsia="zh-CN"/>
              </w:rPr>
              <w:t>"</w:t>
            </w:r>
            <w:r>
              <w:rPr>
                <w:rFonts w:hint="eastAsia" w:ascii="Times New Roman" w:hAnsi="Times New Roman" w:cs="Times New Roman"/>
                <w:bCs/>
                <w:highlight w:val="none"/>
              </w:rPr>
              <w:t>、</w:t>
            </w:r>
            <w:r>
              <w:rPr>
                <w:rFonts w:hint="eastAsia" w:ascii="Times New Roman" w:hAnsi="Times New Roman" w:cs="Times New Roman"/>
                <w:bCs/>
                <w:highlight w:val="none"/>
                <w:lang w:eastAsia="zh-CN"/>
              </w:rPr>
              <w:t>"</w:t>
            </w:r>
            <w:r>
              <w:rPr>
                <w:rFonts w:hint="eastAsia" w:ascii="Times New Roman" w:hAnsi="Times New Roman" w:cs="Times New Roman"/>
                <w:bCs/>
                <w:highlight w:val="none"/>
              </w:rPr>
              <w:t>禁止捕杀野生动物</w:t>
            </w:r>
            <w:r>
              <w:rPr>
                <w:rFonts w:hint="eastAsia" w:ascii="Times New Roman" w:hAnsi="Times New Roman" w:cs="Times New Roman"/>
                <w:bCs/>
                <w:highlight w:val="none"/>
                <w:lang w:eastAsia="zh-CN"/>
              </w:rPr>
              <w:t>"</w:t>
            </w:r>
            <w:r>
              <w:rPr>
                <w:rFonts w:hint="eastAsia" w:ascii="Times New Roman" w:hAnsi="Times New Roman" w:cs="Times New Roman"/>
                <w:bCs/>
                <w:highlight w:val="none"/>
              </w:rPr>
              <w:t>等字样的标志；同时，建设和施工单位还应当制定相关的保护条例，对于狩猎者进行不同程度的处罚，以约束施工人员的行为，进行《中华人民共和国野生动物保护法》、《中华人民共和国草原法》和《中华人民共和国环境保护</w:t>
            </w:r>
            <w:r>
              <w:rPr>
                <w:rFonts w:hint="eastAsia" w:ascii="Times New Roman" w:hAnsi="Times New Roman" w:eastAsia="宋体" w:cs="Times New Roman"/>
                <w:bCs/>
                <w:highlight w:val="none"/>
              </w:rPr>
              <w:t>法》等有关的法制宣传教育。</w:t>
            </w:r>
          </w:p>
          <w:p>
            <w:pPr>
              <w:pStyle w:val="53"/>
              <w:widowControl w:val="0"/>
              <w:numPr>
                <w:ilvl w:val="0"/>
                <w:numId w:val="0"/>
              </w:numPr>
              <w:autoSpaceDE w:val="0"/>
              <w:autoSpaceDN w:val="0"/>
              <w:spacing w:line="360" w:lineRule="auto"/>
              <w:ind w:firstLine="480" w:firstLineChars="200"/>
              <w:jc w:val="both"/>
              <w:rPr>
                <w:rFonts w:hint="eastAsia" w:ascii="Times New Roman" w:hAnsi="Times New Roman" w:eastAsia="宋体" w:cs="Times New Roman"/>
                <w:bCs/>
                <w:highlight w:val="none"/>
                <w:lang w:val="en-US" w:eastAsia="zh-CN"/>
              </w:rPr>
            </w:pPr>
            <w:r>
              <w:rPr>
                <w:rFonts w:hint="eastAsia" w:ascii="Times New Roman" w:hAnsi="Times New Roman" w:eastAsia="宋体" w:cs="Times New Roman"/>
                <w:bCs/>
                <w:highlight w:val="none"/>
                <w:lang w:val="en-US" w:eastAsia="zh-CN"/>
              </w:rPr>
              <w:t>（</w:t>
            </w:r>
            <w:r>
              <w:rPr>
                <w:rFonts w:hint="eastAsia" w:ascii="Times New Roman" w:cs="Times New Roman"/>
                <w:bCs/>
                <w:highlight w:val="none"/>
                <w:lang w:val="en-US" w:eastAsia="zh-CN"/>
              </w:rPr>
              <w:t>8</w:t>
            </w:r>
            <w:r>
              <w:rPr>
                <w:rFonts w:hint="eastAsia" w:ascii="Times New Roman" w:hAnsi="Times New Roman" w:eastAsia="宋体" w:cs="Times New Roman"/>
                <w:bCs/>
                <w:highlight w:val="none"/>
                <w:lang w:val="en-US" w:eastAsia="zh-CN"/>
              </w:rPr>
              <w:t>）</w:t>
            </w:r>
            <w:r>
              <w:rPr>
                <w:rFonts w:hint="eastAsia" w:ascii="Times New Roman" w:hAnsi="Times New Roman" w:eastAsia="宋体" w:cs="Times New Roman"/>
                <w:bCs/>
                <w:highlight w:val="none"/>
              </w:rPr>
              <w:t>对</w:t>
            </w:r>
            <w:r>
              <w:rPr>
                <w:rFonts w:hint="eastAsia" w:ascii="Times New Roman" w:hAnsi="Times New Roman" w:eastAsia="宋体" w:cs="Times New Roman"/>
                <w:bCs/>
                <w:highlight w:val="none"/>
                <w:lang w:val="en-US" w:eastAsia="zh-CN"/>
              </w:rPr>
              <w:t>植物</w:t>
            </w:r>
            <w:r>
              <w:rPr>
                <w:rFonts w:hint="eastAsia" w:ascii="Times New Roman" w:hAnsi="Times New Roman" w:eastAsia="宋体" w:cs="Times New Roman"/>
                <w:bCs/>
                <w:highlight w:val="none"/>
              </w:rPr>
              <w:t>的影响</w:t>
            </w:r>
          </w:p>
          <w:p>
            <w:pPr>
              <w:pStyle w:val="53"/>
              <w:widowControl w:val="0"/>
              <w:numPr>
                <w:ilvl w:val="0"/>
                <w:numId w:val="0"/>
              </w:numPr>
              <w:autoSpaceDE w:val="0"/>
              <w:autoSpaceDN w:val="0"/>
              <w:spacing w:line="360" w:lineRule="auto"/>
              <w:ind w:firstLine="480" w:firstLineChars="200"/>
              <w:jc w:val="both"/>
              <w:rPr>
                <w:rFonts w:hint="default" w:ascii="宋体" w:hAnsi="Times New Roman" w:eastAsia="宋体" w:cs="Times New Roman"/>
                <w:bCs/>
                <w:highlight w:val="none"/>
                <w:lang w:val="en-US" w:eastAsia="zh-CN"/>
              </w:rPr>
            </w:pPr>
            <w:r>
              <w:rPr>
                <w:rFonts w:hint="default" w:ascii="Times New Roman" w:hAnsi="Times New Roman" w:eastAsia="宋体" w:cs="Times New Roman"/>
                <w:bCs/>
                <w:highlight w:val="none"/>
                <w:lang w:val="en-US" w:eastAsia="zh-CN"/>
              </w:rPr>
              <w:t>本项目对植被的直接影响表现在工程建设的过程中会永久占用部分土地，工程开挖扰动地表，破坏原有的地貌植被和土壤结构，使得土壤裸露，结构松散，容易导致水土流失，进而对周围植被产生影响。</w:t>
            </w:r>
            <w:r>
              <w:rPr>
                <w:rFonts w:hint="eastAsia" w:ascii="Times New Roman" w:hAnsi="Times New Roman" w:eastAsia="宋体" w:cs="Times New Roman"/>
                <w:bCs/>
                <w:highlight w:val="none"/>
                <w:lang w:val="en-US" w:eastAsia="zh-CN"/>
              </w:rPr>
              <w:t>生态红线范围内</w:t>
            </w:r>
            <w:r>
              <w:rPr>
                <w:rFonts w:hint="eastAsia" w:ascii="宋体" w:hAnsi="Times New Roman" w:eastAsia="宋体" w:cs="Times New Roman"/>
                <w:bCs/>
                <w:highlight w:val="none"/>
                <w:lang w:val="en-US" w:eastAsia="zh-CN"/>
              </w:rPr>
              <w:t>不存在占地，故</w:t>
            </w:r>
            <w:r>
              <w:rPr>
                <w:rFonts w:hint="default" w:ascii="宋体" w:hAnsi="Times New Roman" w:eastAsia="宋体" w:cs="Times New Roman"/>
                <w:bCs/>
                <w:highlight w:val="none"/>
                <w:lang w:val="en-US" w:eastAsia="zh-CN"/>
              </w:rPr>
              <w:t>不存在因局部植物物种损失而导致评价区内植物物种多样性减少或种群消失或灭绝。</w:t>
            </w:r>
          </w:p>
          <w:p>
            <w:pPr>
              <w:pStyle w:val="53"/>
              <w:widowControl w:val="0"/>
              <w:numPr>
                <w:ilvl w:val="0"/>
                <w:numId w:val="0"/>
              </w:numPr>
              <w:autoSpaceDE w:val="0"/>
              <w:autoSpaceDN w:val="0"/>
              <w:spacing w:line="360" w:lineRule="auto"/>
              <w:ind w:firstLine="480" w:firstLineChars="200"/>
              <w:jc w:val="both"/>
              <w:rPr>
                <w:rFonts w:hint="eastAsia" w:ascii="宋体" w:hAnsi="Times New Roman" w:eastAsia="宋体" w:cs="Times New Roman"/>
                <w:bCs/>
                <w:highlight w:val="none"/>
                <w:lang w:val="en-US" w:eastAsia="zh-CN"/>
              </w:rPr>
            </w:pPr>
            <w:r>
              <w:rPr>
                <w:rFonts w:hint="eastAsia" w:ascii="宋体" w:hAnsi="Times New Roman" w:eastAsia="宋体" w:cs="Times New Roman"/>
                <w:bCs/>
                <w:highlight w:val="none"/>
                <w:lang w:val="en-US" w:eastAsia="zh-CN"/>
              </w:rPr>
              <w:t>（</w:t>
            </w:r>
            <w:r>
              <w:rPr>
                <w:rFonts w:hint="eastAsia" w:cs="Times New Roman"/>
                <w:bCs/>
                <w:highlight w:val="none"/>
                <w:lang w:val="en-US" w:eastAsia="zh-CN"/>
              </w:rPr>
              <w:t>9</w:t>
            </w:r>
            <w:r>
              <w:rPr>
                <w:rFonts w:hint="eastAsia" w:ascii="宋体" w:hAnsi="Times New Roman" w:eastAsia="宋体" w:cs="Times New Roman"/>
                <w:bCs/>
                <w:highlight w:val="none"/>
                <w:lang w:val="en-US" w:eastAsia="zh-CN"/>
              </w:rPr>
              <w:t>）</w:t>
            </w:r>
            <w:r>
              <w:rPr>
                <w:rFonts w:hint="eastAsia" w:ascii="宋体" w:hAnsi="Times New Roman" w:eastAsia="宋体" w:cs="Times New Roman"/>
                <w:bCs/>
                <w:highlight w:val="none"/>
              </w:rPr>
              <w:t>对</w:t>
            </w:r>
            <w:r>
              <w:rPr>
                <w:rFonts w:hint="eastAsia" w:ascii="宋体" w:hAnsi="Times New Roman" w:eastAsia="宋体" w:cs="Times New Roman"/>
                <w:bCs/>
                <w:highlight w:val="none"/>
                <w:lang w:val="en-US" w:eastAsia="zh-CN"/>
              </w:rPr>
              <w:t>水生生物</w:t>
            </w:r>
            <w:r>
              <w:rPr>
                <w:rFonts w:hint="eastAsia" w:ascii="宋体" w:hAnsi="Times New Roman" w:eastAsia="宋体" w:cs="Times New Roman"/>
                <w:bCs/>
                <w:highlight w:val="none"/>
              </w:rPr>
              <w:t>的影响</w:t>
            </w:r>
          </w:p>
          <w:p>
            <w:pPr>
              <w:pStyle w:val="53"/>
              <w:widowControl w:val="0"/>
              <w:numPr>
                <w:ilvl w:val="0"/>
                <w:numId w:val="0"/>
              </w:numPr>
              <w:autoSpaceDE w:val="0"/>
              <w:autoSpaceDN w:val="0"/>
              <w:spacing w:line="360" w:lineRule="auto"/>
              <w:ind w:firstLine="480" w:firstLineChars="200"/>
              <w:jc w:val="both"/>
              <w:rPr>
                <w:rFonts w:hint="default" w:ascii="宋体" w:hAnsi="Times New Roman" w:eastAsia="宋体" w:cs="Times New Roman"/>
                <w:bCs/>
                <w:highlight w:val="none"/>
              </w:rPr>
            </w:pPr>
            <w:r>
              <w:rPr>
                <w:rFonts w:hint="eastAsia" w:ascii="宋体" w:hAnsi="Times New Roman" w:eastAsia="宋体" w:cs="Times New Roman"/>
                <w:bCs/>
                <w:highlight w:val="none"/>
                <w:lang w:val="en-US" w:eastAsia="zh-CN"/>
              </w:rPr>
              <w:t>项目施工过程中会对白杨河中的水生生物产生一定的影响，</w:t>
            </w:r>
            <w:r>
              <w:rPr>
                <w:rFonts w:hint="default" w:ascii="宋体" w:hAnsi="Times New Roman" w:eastAsia="宋体" w:cs="Times New Roman"/>
                <w:bCs/>
                <w:highlight w:val="none"/>
              </w:rPr>
              <w:t>项目施工过程中，施工排水及固体废物处置不当，会引起河道悬浮物增多，悬浮泥沙对鱼类的影响表现为降低其生长率及其对疾病的抵抗力，干扰其产卵、降低孵化率。施工噪声，会对保护鱼类等水生生物造成驱赶，短期内影响到水生生境。</w:t>
            </w:r>
          </w:p>
          <w:p>
            <w:pPr>
              <w:pStyle w:val="53"/>
              <w:widowControl w:val="0"/>
              <w:numPr>
                <w:ilvl w:val="0"/>
                <w:numId w:val="0"/>
              </w:numPr>
              <w:autoSpaceDE w:val="0"/>
              <w:autoSpaceDN w:val="0"/>
              <w:spacing w:line="360" w:lineRule="auto"/>
              <w:ind w:firstLine="480" w:firstLineChars="200"/>
              <w:jc w:val="both"/>
              <w:rPr>
                <w:rFonts w:hint="default" w:ascii="宋体" w:hAnsi="Times New Roman" w:eastAsia="宋体" w:cs="Times New Roman"/>
                <w:bCs/>
                <w:highlight w:val="none"/>
              </w:rPr>
            </w:pPr>
            <w:r>
              <w:rPr>
                <w:rFonts w:hint="default" w:ascii="宋体" w:hAnsi="Times New Roman" w:eastAsia="宋体" w:cs="Times New Roman"/>
                <w:bCs/>
                <w:highlight w:val="none"/>
              </w:rPr>
              <w:t>项目施工</w:t>
            </w:r>
            <w:r>
              <w:rPr>
                <w:rFonts w:hint="eastAsia" w:ascii="宋体" w:hAnsi="Times New Roman" w:eastAsia="宋体" w:cs="Times New Roman"/>
                <w:bCs/>
                <w:highlight w:val="none"/>
                <w:lang w:val="en-US" w:eastAsia="zh-CN"/>
              </w:rPr>
              <w:t>期间</w:t>
            </w:r>
            <w:r>
              <w:rPr>
                <w:rFonts w:hint="default" w:ascii="宋体" w:hAnsi="Times New Roman" w:eastAsia="宋体" w:cs="Times New Roman"/>
                <w:bCs/>
                <w:highlight w:val="none"/>
              </w:rPr>
              <w:t>废水、废渣不向天然河道排放，合理安排施工计划，</w:t>
            </w:r>
            <w:r>
              <w:rPr>
                <w:rFonts w:hint="eastAsia" w:ascii="宋体" w:hAnsi="Times New Roman" w:eastAsia="宋体" w:cs="Times New Roman"/>
                <w:bCs/>
                <w:highlight w:val="none"/>
                <w:lang w:val="en-US" w:eastAsia="zh-CN"/>
              </w:rPr>
              <w:t>施工期</w:t>
            </w:r>
            <w:r>
              <w:rPr>
                <w:rFonts w:hint="default" w:ascii="宋体" w:hAnsi="Times New Roman" w:eastAsia="宋体" w:cs="Times New Roman"/>
                <w:bCs/>
                <w:highlight w:val="none"/>
              </w:rPr>
              <w:t>安排在枯水期，避开各个鱼类的产卵期、洄游期及特别保护期，工程建设对鱼类动物的影响较小。</w:t>
            </w:r>
          </w:p>
          <w:p>
            <w:pPr>
              <w:pStyle w:val="53"/>
              <w:widowControl w:val="0"/>
              <w:numPr>
                <w:ilvl w:val="0"/>
                <w:numId w:val="0"/>
              </w:numPr>
              <w:autoSpaceDE w:val="0"/>
              <w:autoSpaceDN w:val="0"/>
              <w:spacing w:line="360" w:lineRule="auto"/>
              <w:ind w:firstLine="480" w:firstLineChars="200"/>
              <w:jc w:val="both"/>
              <w:rPr>
                <w:rFonts w:hint="default" w:ascii="Times New Roman" w:hAnsi="Times New Roman" w:cs="Times New Roman"/>
                <w:bCs/>
              </w:rPr>
            </w:pPr>
            <w:r>
              <w:rPr>
                <w:rFonts w:hint="eastAsia" w:ascii="宋体" w:hAnsi="Times New Roman" w:eastAsia="宋体" w:cs="Times New Roman"/>
                <w:bCs/>
                <w:highlight w:val="none"/>
                <w:lang w:val="en-US" w:eastAsia="zh-CN"/>
              </w:rPr>
              <w:t>（</w:t>
            </w:r>
            <w:r>
              <w:rPr>
                <w:rFonts w:hint="eastAsia" w:cs="Times New Roman"/>
                <w:bCs/>
                <w:highlight w:val="none"/>
                <w:lang w:val="en-US" w:eastAsia="zh-CN"/>
              </w:rPr>
              <w:t>10</w:t>
            </w:r>
            <w:r>
              <w:rPr>
                <w:rFonts w:hint="eastAsia" w:ascii="宋体" w:hAnsi="Times New Roman" w:eastAsia="宋体" w:cs="Times New Roman"/>
                <w:bCs/>
                <w:highlight w:val="none"/>
                <w:lang w:val="en-US" w:eastAsia="zh-CN"/>
              </w:rPr>
              <w:t>）对</w:t>
            </w:r>
            <w:r>
              <w:rPr>
                <w:rFonts w:hint="default" w:ascii="Times New Roman" w:hAnsi="Times New Roman" w:cs="Times New Roman"/>
                <w:bCs/>
              </w:rPr>
              <w:t>土壤环境</w:t>
            </w:r>
            <w:r>
              <w:rPr>
                <w:rFonts w:hint="eastAsia" w:ascii="Times New Roman" w:cs="Times New Roman"/>
                <w:bCs/>
                <w:lang w:val="en-US" w:eastAsia="zh-CN"/>
              </w:rPr>
              <w:t>的</w:t>
            </w:r>
            <w:r>
              <w:rPr>
                <w:rFonts w:hint="default" w:ascii="Times New Roman" w:hAnsi="Times New Roman" w:cs="Times New Roman"/>
                <w:bCs/>
              </w:rPr>
              <w:t>影响</w:t>
            </w:r>
          </w:p>
          <w:p>
            <w:pPr>
              <w:pStyle w:val="53"/>
              <w:widowControl w:val="0"/>
              <w:numPr>
                <w:ilvl w:val="0"/>
                <w:numId w:val="0"/>
              </w:numPr>
              <w:autoSpaceDE w:val="0"/>
              <w:autoSpaceDN w:val="0"/>
              <w:spacing w:line="360" w:lineRule="auto"/>
              <w:ind w:firstLine="480" w:firstLineChars="200"/>
              <w:jc w:val="both"/>
              <w:rPr>
                <w:rFonts w:hint="default" w:ascii="Times New Roman" w:hAnsi="Times New Roman" w:cs="Times New Roman"/>
                <w:bCs/>
              </w:rPr>
            </w:pPr>
            <w:r>
              <w:rPr>
                <w:rFonts w:hint="default" w:ascii="Times New Roman" w:hAnsi="Times New Roman" w:cs="Times New Roman"/>
                <w:bCs/>
              </w:rPr>
              <w:t>工程在施工期对土</w:t>
            </w:r>
            <w:r>
              <w:rPr>
                <w:rFonts w:hint="default"/>
                <w:bCs/>
              </w:rPr>
              <w:t>壤环境的影响主要为人为扰动、车辆行驶和机械施工、各种废弃物污染影响。</w:t>
            </w:r>
          </w:p>
          <w:p>
            <w:pPr>
              <w:snapToGrid w:val="0"/>
              <w:spacing w:line="360" w:lineRule="auto"/>
              <w:ind w:firstLine="31680"/>
              <w:rPr>
                <w:rFonts w:hint="default" w:ascii="Times New Roman" w:hAnsi="Times New Roman" w:cs="Times New Roman"/>
                <w:bCs/>
              </w:rPr>
            </w:pPr>
            <w:r>
              <w:rPr>
                <w:rFonts w:hint="default" w:ascii="Times New Roman" w:hAnsi="Times New Roman" w:cs="Times New Roman"/>
                <w:bCs/>
              </w:rPr>
              <w:t>工程建设过程中，不可避免地要对土壤进行人为扰动，大面积开挖和填埋土层，翻动土壤层次并破坏土壤结构</w:t>
            </w:r>
            <w:r>
              <w:rPr>
                <w:rFonts w:hint="eastAsia" w:cs="Times New Roman"/>
                <w:bCs/>
                <w:lang w:eastAsia="zh-CN"/>
              </w:rPr>
              <w:t>，</w:t>
            </w:r>
            <w:r>
              <w:rPr>
                <w:rFonts w:hint="default" w:ascii="Times New Roman" w:hAnsi="Times New Roman" w:cs="Times New Roman"/>
                <w:bCs/>
              </w:rPr>
              <w:t>在自然条件下，土壤形成了层状结构，土壤层次被翻动后，表层熟化土被破坏，改变土壤质地。</w:t>
            </w:r>
          </w:p>
          <w:p>
            <w:pPr>
              <w:snapToGrid w:val="0"/>
              <w:spacing w:line="360" w:lineRule="auto"/>
              <w:ind w:firstLine="31680"/>
              <w:rPr>
                <w:rFonts w:hint="default" w:ascii="Times New Roman" w:hAnsi="Times New Roman" w:cs="Times New Roman"/>
                <w:bCs/>
              </w:rPr>
            </w:pPr>
            <w:r>
              <w:rPr>
                <w:rFonts w:hint="default" w:ascii="Times New Roman" w:hAnsi="Times New Roman" w:cs="Times New Roman"/>
                <w:bCs/>
              </w:rPr>
              <w:t>在施工中，车辆行施和机械作业时机械设备的碾压、施工人员的践踏等都会对土壤的紧实度产生影响</w:t>
            </w:r>
            <w:r>
              <w:rPr>
                <w:rFonts w:hint="eastAsia" w:ascii="Times New Roman" w:hAnsi="Times New Roman" w:cs="Times New Roman"/>
                <w:bCs/>
                <w:lang w:eastAsia="zh-CN"/>
              </w:rPr>
              <w:t>，</w:t>
            </w:r>
            <w:r>
              <w:rPr>
                <w:rFonts w:hint="default" w:ascii="Times New Roman" w:hAnsi="Times New Roman" w:cs="Times New Roman"/>
                <w:bCs/>
              </w:rPr>
              <w:t>机械碾压的结果使土壤紧实度增高，地表水入渗减少，土壤团粒结构遭到破坏，土壤养分流失，不利于植物生长。各种车辆（尤其是重型卡车）的行驶将使经过的土壤变紧实，严重的经过多次碾压后植物很难再生长</w:t>
            </w:r>
            <w:r>
              <w:rPr>
                <w:rFonts w:hint="eastAsia" w:cs="Times New Roman"/>
                <w:bCs/>
                <w:lang w:eastAsia="zh-CN"/>
              </w:rPr>
              <w:t>，</w:t>
            </w:r>
            <w:r>
              <w:rPr>
                <w:rFonts w:hint="default" w:ascii="Times New Roman" w:hAnsi="Times New Roman" w:cs="Times New Roman"/>
                <w:bCs/>
              </w:rPr>
              <w:t>道路施工场地等都存在这种影响。</w:t>
            </w:r>
          </w:p>
          <w:p>
            <w:pPr>
              <w:snapToGrid w:val="0"/>
              <w:spacing w:line="360" w:lineRule="auto"/>
              <w:ind w:firstLine="31680"/>
              <w:rPr>
                <w:rFonts w:hint="eastAsia" w:ascii="Times New Roman" w:hAnsi="Times New Roman" w:cs="Times New Roman"/>
                <w:bCs/>
                <w:lang w:eastAsia="zh-CN"/>
              </w:rPr>
            </w:pPr>
            <w:r>
              <w:rPr>
                <w:rFonts w:hint="default" w:ascii="Times New Roman" w:hAnsi="Times New Roman" w:cs="Times New Roman"/>
                <w:bCs/>
              </w:rPr>
              <w:t>施工废物也会对土壤环境产生影响，包括施工时散落废水、塑料袋等生活垃圾</w:t>
            </w:r>
            <w:r>
              <w:rPr>
                <w:rFonts w:hint="eastAsia" w:ascii="Times New Roman" w:hAnsi="Times New Roman" w:cs="Times New Roman"/>
                <w:bCs/>
                <w:lang w:eastAsia="zh-CN"/>
              </w:rPr>
              <w:t>，</w:t>
            </w:r>
            <w:r>
              <w:rPr>
                <w:rFonts w:hint="default" w:ascii="Times New Roman" w:hAnsi="Times New Roman" w:cs="Times New Roman"/>
                <w:bCs/>
              </w:rPr>
              <w:t>这些残留于土壤的固体废物，难于分解，被埋入土壤中会长期残留，影响土壤和植物生长。</w:t>
            </w:r>
          </w:p>
          <w:p>
            <w:pPr>
              <w:snapToGrid w:val="0"/>
              <w:spacing w:line="360" w:lineRule="auto"/>
              <w:ind w:firstLine="31680"/>
              <w:rPr>
                <w:rFonts w:hint="default" w:ascii="Times New Roman" w:hAnsi="Times New Roman" w:cs="Times New Roman"/>
                <w:bCs/>
                <w:lang w:val="en-US" w:eastAsia="zh-CN"/>
              </w:rPr>
            </w:pPr>
            <w:r>
              <w:rPr>
                <w:rFonts w:hint="eastAsia" w:ascii="Times New Roman" w:hAnsi="Times New Roman" w:cs="Times New Roman"/>
                <w:bCs/>
                <w:lang w:val="en-US" w:eastAsia="zh-CN"/>
              </w:rPr>
              <w:t>（11）对</w:t>
            </w:r>
            <w:r>
              <w:rPr>
                <w:rFonts w:hint="default" w:ascii="Times New Roman" w:hAnsi="Times New Roman" w:cs="Times New Roman"/>
                <w:bCs/>
                <w:lang w:val="en-US" w:eastAsia="zh-CN"/>
              </w:rPr>
              <w:t>下游生态环境的影响</w:t>
            </w:r>
            <w:r>
              <w:rPr>
                <w:rFonts w:hint="eastAsia" w:ascii="Times New Roman" w:hAnsi="Times New Roman" w:cs="Times New Roman"/>
                <w:bCs/>
                <w:lang w:val="en-US" w:eastAsia="zh-CN"/>
              </w:rPr>
              <w:t>分析</w:t>
            </w:r>
          </w:p>
          <w:p>
            <w:pPr>
              <w:snapToGrid w:val="0"/>
              <w:spacing w:line="360" w:lineRule="auto"/>
              <w:ind w:firstLine="31680"/>
              <w:rPr>
                <w:rFonts w:hint="default" w:ascii="Times New Roman" w:hAnsi="Times New Roman" w:cs="Times New Roman"/>
                <w:bCs/>
              </w:rPr>
            </w:pPr>
            <w:r>
              <w:rPr>
                <w:rFonts w:hint="eastAsia" w:cs="Times New Roman"/>
                <w:bCs/>
                <w:lang w:val="en-US" w:eastAsia="zh-CN"/>
              </w:rPr>
              <w:t>白杨河</w:t>
            </w:r>
            <w:r>
              <w:rPr>
                <w:rFonts w:hint="default" w:ascii="Times New Roman" w:hAnsi="Times New Roman" w:cs="Times New Roman"/>
                <w:bCs/>
              </w:rPr>
              <w:t>河道治理对下游生态环境的影响是多方面的，包括对生物多样性、水生植物数量、土壤结构、水质等方面的影响。‌</w:t>
            </w:r>
          </w:p>
          <w:p>
            <w:pPr>
              <w:snapToGrid w:val="0"/>
              <w:spacing w:line="360" w:lineRule="auto"/>
              <w:ind w:firstLine="31680"/>
              <w:rPr>
                <w:rFonts w:hint="default" w:ascii="Times New Roman" w:hAnsi="Times New Roman" w:cs="Times New Roman"/>
                <w:bCs/>
              </w:rPr>
            </w:pPr>
            <w:r>
              <w:rPr>
                <w:rFonts w:hint="default" w:ascii="Times New Roman" w:hAnsi="Times New Roman" w:cs="Times New Roman"/>
                <w:bCs/>
              </w:rPr>
              <w:t>首先，河道治理工程对河流生态系统的影响主要体现在改变了河床和河岸的物理性状，部分阻断了河流水体与河床土体的联系，阻隔了河流与陆地的自然交换。这种变化破坏了原有的生境条件，影响了生态系统的能量流通作用，对周边动植物的生存环境造成破坏，甚至导致物种消失‌。</w:t>
            </w:r>
          </w:p>
          <w:p>
            <w:pPr>
              <w:snapToGrid w:val="0"/>
              <w:spacing w:line="360" w:lineRule="auto"/>
              <w:ind w:firstLine="31680"/>
              <w:rPr>
                <w:rFonts w:hint="default" w:ascii="Times New Roman" w:hAnsi="Times New Roman" w:cs="Times New Roman"/>
                <w:bCs/>
              </w:rPr>
            </w:pPr>
            <w:r>
              <w:rPr>
                <w:rFonts w:hint="default" w:ascii="Times New Roman" w:hAnsi="Times New Roman" w:cs="Times New Roman"/>
                <w:bCs/>
              </w:rPr>
              <w:t>其次，河道治理可能导致下游水位持续下降，影响鱼类的生存环境，导致鱼类几乎灭绝</w:t>
            </w:r>
            <w:r>
              <w:rPr>
                <w:rFonts w:hint="eastAsia" w:cs="Times New Roman"/>
                <w:bCs/>
                <w:lang w:eastAsia="zh-CN"/>
              </w:rPr>
              <w:t>，</w:t>
            </w:r>
            <w:r>
              <w:rPr>
                <w:rFonts w:hint="default" w:ascii="Times New Roman" w:hAnsi="Times New Roman" w:cs="Times New Roman"/>
                <w:bCs/>
              </w:rPr>
              <w:t>这是因为治理过程中忽视了下游的生态环境，加上水生植物数量下降，影响了生态系统的平衡‌。</w:t>
            </w:r>
          </w:p>
          <w:p>
            <w:pPr>
              <w:snapToGrid w:val="0"/>
              <w:spacing w:line="360" w:lineRule="auto"/>
              <w:ind w:firstLine="31680"/>
              <w:rPr>
                <w:rFonts w:hint="default" w:ascii="Times New Roman" w:hAnsi="Times New Roman" w:cs="Times New Roman"/>
                <w:bCs/>
              </w:rPr>
            </w:pPr>
            <w:r>
              <w:rPr>
                <w:rFonts w:hint="default" w:ascii="Times New Roman" w:hAnsi="Times New Roman" w:cs="Times New Roman"/>
                <w:bCs/>
              </w:rPr>
              <w:t>此外，河道治理还可能导致土壤结构改变，影响局部生境</w:t>
            </w:r>
            <w:r>
              <w:rPr>
                <w:rFonts w:hint="eastAsia" w:cs="Times New Roman"/>
                <w:bCs/>
                <w:lang w:eastAsia="zh-CN"/>
              </w:rPr>
              <w:t>，</w:t>
            </w:r>
            <w:r>
              <w:rPr>
                <w:rFonts w:hint="default" w:ascii="Times New Roman" w:hAnsi="Times New Roman" w:cs="Times New Roman"/>
                <w:bCs/>
              </w:rPr>
              <w:t>例如，过度开垦可能导致土壤贫瘠，不利于湿地生态系统的良性发展。同时，河道治理工程对区域土地使用类型、局部生境产生影响，如护岸工程的建设、河道清淤等，对保护堤防免受冲刷、防止水土流失、河道水质逐渐好转有重要作用‌。</w:t>
            </w:r>
          </w:p>
          <w:p>
            <w:pPr>
              <w:snapToGrid w:val="0"/>
              <w:spacing w:line="360" w:lineRule="auto"/>
              <w:ind w:firstLine="31680"/>
              <w:rPr>
                <w:rFonts w:hint="default" w:ascii="Times New Roman" w:hAnsi="Times New Roman" w:cs="Times New Roman"/>
                <w:bCs/>
              </w:rPr>
            </w:pPr>
            <w:r>
              <w:rPr>
                <w:rFonts w:hint="default" w:ascii="Times New Roman" w:hAnsi="Times New Roman" w:cs="Times New Roman"/>
                <w:bCs/>
              </w:rPr>
              <w:t>河道整治过程中，一般会扩大河流宽度，缩小深潭和浅滩的规模，导致断面结构与河床材料的单一性增加，减少了河流滞留区域，改变了河流泥沙的输送形态与数量，破坏了河流生物多样性‌。</w:t>
            </w:r>
          </w:p>
          <w:p>
            <w:pPr>
              <w:snapToGrid w:val="0"/>
              <w:spacing w:line="360" w:lineRule="auto"/>
              <w:ind w:firstLine="31680"/>
              <w:rPr>
                <w:rFonts w:hint="default" w:ascii="Times New Roman" w:hAnsi="Times New Roman" w:cs="Times New Roman"/>
                <w:bCs/>
                <w:lang w:val="en-US" w:eastAsia="zh-CN"/>
              </w:rPr>
            </w:pPr>
            <w:r>
              <w:rPr>
                <w:rFonts w:hint="eastAsia" w:ascii="Times New Roman" w:hAnsi="Times New Roman" w:cs="Times New Roman"/>
                <w:bCs/>
                <w:lang w:val="en-US" w:eastAsia="zh-CN"/>
              </w:rPr>
              <w:t>（12）对</w:t>
            </w:r>
            <w:r>
              <w:rPr>
                <w:rFonts w:hint="default" w:ascii="Times New Roman" w:hAnsi="Times New Roman" w:cs="Times New Roman"/>
                <w:bCs/>
                <w:lang w:val="en-US" w:eastAsia="zh-CN"/>
              </w:rPr>
              <w:t>现有与本项目关联的地下水补给的影响</w:t>
            </w:r>
            <w:r>
              <w:rPr>
                <w:rFonts w:hint="eastAsia" w:ascii="Times New Roman" w:hAnsi="Times New Roman" w:cs="Times New Roman"/>
                <w:bCs/>
                <w:lang w:val="en-US" w:eastAsia="zh-CN"/>
              </w:rPr>
              <w:t>分析</w:t>
            </w:r>
          </w:p>
          <w:p>
            <w:pPr>
              <w:snapToGrid w:val="0"/>
              <w:spacing w:line="360" w:lineRule="auto"/>
              <w:ind w:firstLine="31680"/>
              <w:rPr>
                <w:rFonts w:hint="default" w:ascii="Times New Roman" w:hAnsi="Times New Roman" w:cs="Times New Roman"/>
                <w:bCs/>
                <w:lang w:val="en-US" w:eastAsia="zh-CN"/>
              </w:rPr>
            </w:pPr>
            <w:r>
              <w:rPr>
                <w:rFonts w:hint="default" w:ascii="Times New Roman" w:hAnsi="Times New Roman" w:cs="Times New Roman"/>
                <w:bCs/>
                <w:lang w:val="en-US" w:eastAsia="zh-CN"/>
              </w:rPr>
              <w:t>本次河道治理河段总长度22.09km，其中2.41km河道为双侧护砌，其余19.68km河道为单侧护砌</w:t>
            </w:r>
            <w:r>
              <w:rPr>
                <w:rFonts w:hint="eastAsia" w:ascii="Times New Roman" w:hAnsi="Times New Roman" w:cs="Times New Roman"/>
                <w:bCs/>
                <w:lang w:val="en-US" w:eastAsia="zh-CN"/>
              </w:rPr>
              <w:t>，护砌过程中对堤坝进行防渗，对此段治理河道的</w:t>
            </w:r>
            <w:r>
              <w:rPr>
                <w:rFonts w:hint="default" w:ascii="Times New Roman" w:hAnsi="Times New Roman" w:cs="Times New Roman"/>
                <w:bCs/>
                <w:lang w:val="en-US" w:eastAsia="zh-CN"/>
              </w:rPr>
              <w:t>地下水补给产生一定的影响</w:t>
            </w:r>
            <w:r>
              <w:rPr>
                <w:rFonts w:hint="eastAsia" w:ascii="Times New Roman" w:hAnsi="Times New Roman" w:cs="Times New Roman"/>
                <w:bCs/>
                <w:lang w:val="en-US" w:eastAsia="zh-CN"/>
              </w:rPr>
              <w:t>。</w:t>
            </w:r>
          </w:p>
          <w:p>
            <w:pPr>
              <w:snapToGrid w:val="0"/>
              <w:spacing w:line="360" w:lineRule="auto"/>
              <w:ind w:firstLine="31680"/>
              <w:rPr>
                <w:rFonts w:hint="default" w:ascii="Times New Roman" w:hAnsi="Times New Roman" w:cs="Times New Roman"/>
                <w:bCs/>
                <w:lang w:val="en-US" w:eastAsia="zh-CN"/>
              </w:rPr>
            </w:pPr>
            <w:r>
              <w:rPr>
                <w:rFonts w:hint="default" w:ascii="Times New Roman" w:hAnsi="Times New Roman" w:cs="Times New Roman"/>
                <w:bCs/>
                <w:lang w:val="en-US" w:eastAsia="zh-CN"/>
              </w:rPr>
              <w:t>①‌减少地下水补给量‌：防渗堤坝通过减少地表水的渗透，可能会降低地下水自然补给的速度和量</w:t>
            </w:r>
            <w:r>
              <w:rPr>
                <w:rFonts w:hint="eastAsia" w:ascii="Times New Roman" w:hAnsi="Times New Roman" w:cs="Times New Roman"/>
                <w:bCs/>
                <w:lang w:val="en-US" w:eastAsia="zh-CN"/>
              </w:rPr>
              <w:t>，</w:t>
            </w:r>
            <w:r>
              <w:rPr>
                <w:rFonts w:hint="default" w:ascii="Times New Roman" w:hAnsi="Times New Roman" w:cs="Times New Roman"/>
                <w:bCs/>
                <w:lang w:val="en-US" w:eastAsia="zh-CN"/>
              </w:rPr>
              <w:t>这可能会导致地下水位的下降，尤其是在干旱或半干旱地区，这种影响可能更为明显。</w:t>
            </w:r>
          </w:p>
          <w:p>
            <w:pPr>
              <w:snapToGrid w:val="0"/>
              <w:spacing w:line="360" w:lineRule="auto"/>
              <w:ind w:firstLine="31680"/>
              <w:rPr>
                <w:rFonts w:hint="default" w:ascii="Times New Roman" w:hAnsi="Times New Roman" w:cs="Times New Roman"/>
                <w:bCs/>
                <w:lang w:val="en-US" w:eastAsia="zh-CN"/>
              </w:rPr>
            </w:pPr>
            <w:r>
              <w:rPr>
                <w:rFonts w:hint="default" w:ascii="Times New Roman" w:hAnsi="Times New Roman" w:cs="Times New Roman"/>
                <w:bCs/>
                <w:lang w:val="en-US" w:eastAsia="zh-CN"/>
              </w:rPr>
              <w:t>②‌改变地下水流动路径‌：防渗堤坝的建设可能会改变地下水的自然流动路径</w:t>
            </w:r>
            <w:r>
              <w:rPr>
                <w:rFonts w:hint="eastAsia" w:cs="Times New Roman"/>
                <w:bCs/>
                <w:lang w:val="en-US" w:eastAsia="zh-CN"/>
              </w:rPr>
              <w:t>，</w:t>
            </w:r>
            <w:r>
              <w:rPr>
                <w:rFonts w:hint="default" w:ascii="Times New Roman" w:hAnsi="Times New Roman" w:cs="Times New Roman"/>
                <w:bCs/>
                <w:lang w:val="en-US" w:eastAsia="zh-CN"/>
              </w:rPr>
              <w:t>原本通过土壤渗透补给的地下水可能会改变方向，流向堤坝附近，导致局部地区的地下水压力和流量发生变化。</w:t>
            </w:r>
          </w:p>
          <w:p>
            <w:pPr>
              <w:snapToGrid w:val="0"/>
              <w:spacing w:line="360" w:lineRule="auto"/>
              <w:ind w:firstLine="31680"/>
              <w:rPr>
                <w:rFonts w:hint="default" w:ascii="Times New Roman" w:hAnsi="Times New Roman" w:cs="Times New Roman"/>
                <w:bCs/>
                <w:lang w:val="en-US" w:eastAsia="zh-CN"/>
              </w:rPr>
            </w:pPr>
            <w:r>
              <w:rPr>
                <w:rFonts w:hint="default" w:ascii="Times New Roman" w:hAnsi="Times New Roman" w:cs="Times New Roman"/>
                <w:bCs/>
                <w:lang w:val="en-US" w:eastAsia="zh-CN"/>
              </w:rPr>
              <w:t>③‌影响地下水质量‌：如果防渗材料使用不当或施工质量不佳，可能会导致化学物质渗入地下水，从而影响地下水的质量</w:t>
            </w:r>
            <w:r>
              <w:rPr>
                <w:rFonts w:hint="eastAsia" w:cs="Times New Roman"/>
                <w:bCs/>
                <w:lang w:val="en-US" w:eastAsia="zh-CN"/>
              </w:rPr>
              <w:t>，</w:t>
            </w:r>
            <w:r>
              <w:rPr>
                <w:rFonts w:hint="default" w:ascii="Times New Roman" w:hAnsi="Times New Roman" w:cs="Times New Roman"/>
                <w:bCs/>
                <w:lang w:val="en-US" w:eastAsia="zh-CN"/>
              </w:rPr>
              <w:t>这可能会对周边生态环境和人类用水安全造成影响。</w:t>
            </w:r>
          </w:p>
          <w:p>
            <w:pPr>
              <w:snapToGrid w:val="0"/>
              <w:spacing w:line="360" w:lineRule="auto"/>
              <w:ind w:firstLine="31680"/>
              <w:rPr>
                <w:rFonts w:hint="default" w:ascii="Times New Roman" w:hAnsi="Times New Roman" w:cs="Times New Roman"/>
                <w:bCs/>
              </w:rPr>
            </w:pPr>
            <w:r>
              <w:rPr>
                <w:rFonts w:hint="eastAsia" w:ascii="Times New Roman" w:hAnsi="Times New Roman" w:cs="Times New Roman"/>
                <w:bCs/>
                <w:lang w:val="en-US" w:eastAsia="zh-CN"/>
              </w:rPr>
              <w:t>（1</w:t>
            </w:r>
            <w:r>
              <w:rPr>
                <w:rFonts w:hint="eastAsia" w:cs="Times New Roman"/>
                <w:bCs/>
                <w:lang w:val="en-US" w:eastAsia="zh-CN"/>
              </w:rPr>
              <w:t>4</w:t>
            </w:r>
            <w:r>
              <w:rPr>
                <w:rFonts w:hint="eastAsia" w:ascii="Times New Roman" w:hAnsi="Times New Roman" w:cs="Times New Roman"/>
                <w:bCs/>
                <w:lang w:val="en-US" w:eastAsia="zh-CN"/>
              </w:rPr>
              <w:t>）</w:t>
            </w:r>
            <w:r>
              <w:rPr>
                <w:rFonts w:hint="default" w:ascii="Times New Roman" w:hAnsi="Times New Roman" w:cs="Times New Roman"/>
                <w:bCs/>
              </w:rPr>
              <w:t>水土流失影响分析</w:t>
            </w:r>
          </w:p>
          <w:p>
            <w:pPr>
              <w:ind w:firstLine="480"/>
              <w:textAlignment w:val="baseline"/>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本项目建设过程中，由于施工人员践踏、机械作业等，将不可避免的破坏原来相对稳定的地表，使土壤变得疏松，产生一定面积的裸露地面，引起一定程度的水土流失</w:t>
            </w:r>
            <w:r>
              <w:rPr>
                <w:rFonts w:hint="default" w:ascii="Times New Roman" w:hAnsi="Times New Roman" w:cs="Times New Roman"/>
                <w:kern w:val="2"/>
                <w:sz w:val="24"/>
                <w:szCs w:val="24"/>
                <w:highlight w:val="none"/>
                <w:lang w:val="en-US" w:eastAsia="zh-CN" w:bidi="ar-SA"/>
              </w:rPr>
              <w:t>，</w:t>
            </w:r>
            <w:r>
              <w:rPr>
                <w:rFonts w:hint="default" w:ascii="Times New Roman" w:hAnsi="Times New Roman" w:eastAsia="宋体" w:cs="Times New Roman"/>
                <w:kern w:val="2"/>
                <w:sz w:val="24"/>
                <w:szCs w:val="24"/>
                <w:highlight w:val="none"/>
                <w:lang w:val="en-US" w:eastAsia="zh-CN" w:bidi="ar-SA"/>
              </w:rPr>
              <w:t>施工期造成的水土流失，待施工结束后基本消除。</w:t>
            </w:r>
          </w:p>
          <w:p>
            <w:pPr>
              <w:ind w:firstLine="480"/>
              <w:textAlignment w:val="baseline"/>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从本项目建设性质来看，项目及其配套设施建设将扰动原地貌，改变地形地貌，破坏</w:t>
            </w:r>
            <w:r>
              <w:rPr>
                <w:rFonts w:hint="default" w:ascii="Times New Roman" w:hAnsi="Times New Roman" w:cs="Times New Roman"/>
                <w:kern w:val="2"/>
                <w:sz w:val="24"/>
                <w:szCs w:val="24"/>
                <w:highlight w:val="none"/>
                <w:lang w:val="en-US" w:eastAsia="zh-CN" w:bidi="ar-SA"/>
              </w:rPr>
              <w:t>地表植被</w:t>
            </w:r>
            <w:r>
              <w:rPr>
                <w:rFonts w:hint="default" w:ascii="Times New Roman" w:hAnsi="Times New Roman" w:eastAsia="宋体" w:cs="Times New Roman"/>
                <w:kern w:val="2"/>
                <w:sz w:val="24"/>
                <w:szCs w:val="24"/>
                <w:highlight w:val="none"/>
                <w:lang w:val="en-US" w:eastAsia="zh-CN" w:bidi="ar-SA"/>
              </w:rPr>
              <w:t>，工程建设对拟建项目占地范围内的土地产生扰动，项目影响范围有限，对项目区周边水土流失的影响不大。</w:t>
            </w:r>
          </w:p>
          <w:p>
            <w:pPr>
              <w:pStyle w:val="143"/>
              <w:spacing w:line="360" w:lineRule="auto"/>
              <w:ind w:firstLineChars="0"/>
              <w:rPr>
                <w:rFonts w:hint="default" w:ascii="Times New Roman" w:hAnsi="Times New Roman" w:cs="Times New Roman"/>
                <w:highlight w:val="none"/>
              </w:rPr>
            </w:pPr>
            <w:r>
              <w:rPr>
                <w:rFonts w:hint="eastAsia" w:ascii="宋体" w:hAnsi="Times New Roman" w:eastAsia="宋体" w:cs="Times New Roman"/>
                <w:bCs/>
                <w:highlight w:val="none"/>
                <w:lang w:val="en-US" w:eastAsia="zh-CN"/>
              </w:rPr>
              <w:t>（</w:t>
            </w:r>
            <w:r>
              <w:rPr>
                <w:rFonts w:hint="eastAsia" w:cs="Times New Roman"/>
                <w:highlight w:val="none"/>
                <w:lang w:val="en-US" w:eastAsia="zh-CN"/>
              </w:rPr>
              <w:t>15</w:t>
            </w:r>
            <w:r>
              <w:rPr>
                <w:rFonts w:hint="default" w:ascii="Times New Roman" w:hAnsi="Times New Roman" w:cs="Times New Roman"/>
              </w:rPr>
              <w:t>）项目</w:t>
            </w:r>
            <w:r>
              <w:rPr>
                <w:rFonts w:hint="default" w:ascii="Times New Roman" w:hAnsi="Times New Roman" w:cs="Times New Roman"/>
                <w:highlight w:val="none"/>
              </w:rPr>
              <w:t>对沙化土地产生的影响分析</w:t>
            </w:r>
          </w:p>
          <w:p>
            <w:pPr>
              <w:pStyle w:val="143"/>
              <w:spacing w:line="360" w:lineRule="auto"/>
              <w:ind w:firstLineChars="0"/>
              <w:rPr>
                <w:color w:val="FF0000"/>
              </w:rPr>
            </w:pPr>
            <w:r>
              <w:rPr>
                <w:rFonts w:hint="default" w:ascii="Times New Roman" w:hAnsi="Times New Roman" w:cs="Times New Roman"/>
              </w:rPr>
              <w:t>项目施工期间开挖、土石方工程、车辆碾压等将破坏原有地表植被和土壤结构，导致项目永久占地区植被全部被破坏。施工便道、物料堆放、修筑围墙等将临时占用场外少量用地，施工区域及周边土壤受到扰动，地表植被覆盖</w:t>
            </w:r>
            <w:r>
              <w:rPr>
                <w:rFonts w:hint="eastAsia"/>
              </w:rPr>
              <w:t>降低，成为土地沙化的极敏感因子</w:t>
            </w:r>
            <w:r>
              <w:rPr>
                <w:rFonts w:hint="eastAsia"/>
                <w:lang w:eastAsia="zh-CN"/>
              </w:rPr>
              <w:t>，</w:t>
            </w:r>
            <w:r>
              <w:rPr>
                <w:rFonts w:hint="eastAsia"/>
              </w:rPr>
              <w:t>因此，如果在人为干扰而植被不能恢复的情况下，评价区的土地荒漠化敏感性将会上升</w:t>
            </w:r>
            <w:r>
              <w:rPr>
                <w:rFonts w:hint="eastAsia"/>
                <w:lang w:eastAsia="zh-CN"/>
              </w:rPr>
              <w:t>，</w:t>
            </w:r>
            <w:r>
              <w:rPr>
                <w:rFonts w:hint="eastAsia"/>
              </w:rPr>
              <w:t>因此，在区域开发过程中必须重视裸露地表的及时恢复，不然就</w:t>
            </w:r>
            <w:r>
              <w:rPr>
                <w:rFonts w:hint="eastAsia" w:ascii="Times New Roman" w:hAnsi="Times New Roman" w:cs="Times New Roman"/>
              </w:rPr>
              <w:t>有可能在局部地区发生土壤荒漠化的加剧。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jc w:val="center"/>
        </w:trPr>
        <w:tc>
          <w:tcPr>
            <w:tcW w:w="420" w:type="pct"/>
            <w:tcMar>
              <w:left w:w="28" w:type="dxa"/>
              <w:right w:w="28" w:type="dxa"/>
            </w:tcMar>
            <w:vAlign w:val="center"/>
          </w:tcPr>
          <w:p>
            <w:pPr>
              <w:pStyle w:val="31"/>
              <w:adjustRightInd w:val="0"/>
              <w:snapToGrid w:val="0"/>
              <w:spacing w:beforeAutospacing="0" w:afterAutospacing="0"/>
              <w:ind w:firstLine="0" w:firstLineChars="0"/>
              <w:jc w:val="center"/>
              <w:rPr>
                <w:rFonts w:cs="宋体"/>
                <w:b/>
                <w:bCs/>
                <w:color w:val="FF0000"/>
                <w:kern w:val="2"/>
                <w:szCs w:val="24"/>
              </w:rPr>
            </w:pPr>
          </w:p>
        </w:tc>
        <w:tc>
          <w:tcPr>
            <w:tcW w:w="4579" w:type="pct"/>
          </w:tcPr>
          <w:p>
            <w:pPr>
              <w:widowControl/>
              <w:jc w:val="left"/>
              <w:rPr>
                <w:color w:val="FF0000"/>
                <w:sz w:val="24"/>
                <w:szCs w:val="24"/>
              </w:rPr>
            </w:pPr>
            <w:r>
              <w:rPr>
                <w:rFonts w:hint="eastAsia"/>
                <w:sz w:val="24"/>
                <w:szCs w:val="24"/>
              </w:rPr>
              <w:t>本工程建成后，各施工点的施工人员、机械设备等均撤出现场，除永久占地外，其它区域均将进行植被恢复，工程区域内的植物能很快得到恢复，对自然生态系统不会造成不可逆的影响和破坏</w:t>
            </w:r>
            <w:r>
              <w:rPr>
                <w:rFonts w:hint="eastAsia"/>
                <w:sz w:val="24"/>
                <w:szCs w:val="24"/>
                <w:lang w:eastAsia="zh-CN"/>
              </w:rPr>
              <w:t>，</w:t>
            </w:r>
            <w:r>
              <w:rPr>
                <w:rFonts w:hint="eastAsia"/>
                <w:sz w:val="24"/>
                <w:szCs w:val="24"/>
              </w:rPr>
              <w:t>由于工程水土保持措施的实施，植物的恢复对项目区生态系统体系会带来良好的影响，另一方面在工程区对施工临时设施等占地进行复草措施，对系统生产力的恢复和提高是非常有利的</w:t>
            </w:r>
            <w:r>
              <w:rPr>
                <w:rFonts w:hint="eastAsia" w:ascii="Times New Roman" w:hAnsi="Times New Roman"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20" w:type="pct"/>
            <w:tcMar>
              <w:left w:w="28" w:type="dxa"/>
              <w:right w:w="28" w:type="dxa"/>
            </w:tcMar>
            <w:vAlign w:val="center"/>
          </w:tcPr>
          <w:p>
            <w:pPr>
              <w:pStyle w:val="31"/>
              <w:adjustRightInd w:val="0"/>
              <w:snapToGrid w:val="0"/>
              <w:spacing w:beforeAutospacing="0" w:afterAutospacing="0" w:line="240" w:lineRule="auto"/>
              <w:ind w:firstLine="0" w:firstLineChars="0"/>
              <w:jc w:val="center"/>
              <w:rPr>
                <w:rFonts w:hint="default" w:ascii="Times New Roman" w:hAnsi="Times New Roman" w:eastAsia="宋体" w:cs="Times New Roman"/>
                <w:b/>
                <w:bCs/>
                <w:color w:val="000000"/>
                <w:spacing w:val="10"/>
                <w:kern w:val="2"/>
                <w:szCs w:val="24"/>
              </w:rPr>
            </w:pPr>
            <w:r>
              <w:rPr>
                <w:rFonts w:hint="default" w:ascii="Times New Roman" w:hAnsi="Times New Roman" w:eastAsia="宋体" w:cs="Times New Roman"/>
                <w:b/>
                <w:bCs/>
                <w:color w:val="000000"/>
                <w:spacing w:val="10"/>
                <w:kern w:val="2"/>
                <w:szCs w:val="24"/>
              </w:rPr>
              <w:t>运营</w:t>
            </w:r>
          </w:p>
          <w:p>
            <w:pPr>
              <w:pStyle w:val="31"/>
              <w:adjustRightInd w:val="0"/>
              <w:snapToGrid w:val="0"/>
              <w:spacing w:beforeAutospacing="0" w:afterAutospacing="0" w:line="240" w:lineRule="auto"/>
              <w:ind w:firstLine="0" w:firstLineChars="0"/>
              <w:jc w:val="center"/>
              <w:rPr>
                <w:rFonts w:hint="default" w:ascii="Times New Roman" w:hAnsi="Times New Roman" w:eastAsia="宋体" w:cs="Times New Roman"/>
                <w:b/>
                <w:bCs/>
                <w:color w:val="000000"/>
                <w:spacing w:val="10"/>
                <w:kern w:val="2"/>
                <w:szCs w:val="24"/>
              </w:rPr>
            </w:pPr>
            <w:r>
              <w:rPr>
                <w:rFonts w:hint="default" w:ascii="Times New Roman" w:hAnsi="Times New Roman" w:eastAsia="宋体" w:cs="Times New Roman"/>
                <w:b/>
                <w:bCs/>
                <w:color w:val="000000"/>
                <w:spacing w:val="10"/>
                <w:kern w:val="2"/>
                <w:szCs w:val="24"/>
              </w:rPr>
              <w:t>期生</w:t>
            </w:r>
          </w:p>
          <w:p>
            <w:pPr>
              <w:pStyle w:val="31"/>
              <w:adjustRightInd w:val="0"/>
              <w:snapToGrid w:val="0"/>
              <w:spacing w:beforeAutospacing="0" w:afterAutospacing="0" w:line="240" w:lineRule="auto"/>
              <w:ind w:firstLine="0" w:firstLineChars="0"/>
              <w:jc w:val="center"/>
              <w:rPr>
                <w:rFonts w:hint="default" w:ascii="Times New Roman" w:hAnsi="Times New Roman" w:eastAsia="宋体" w:cs="Times New Roman"/>
                <w:b/>
                <w:bCs/>
                <w:color w:val="000000"/>
                <w:spacing w:val="10"/>
                <w:kern w:val="2"/>
                <w:szCs w:val="24"/>
              </w:rPr>
            </w:pPr>
            <w:r>
              <w:rPr>
                <w:rFonts w:hint="default" w:ascii="Times New Roman" w:hAnsi="Times New Roman" w:eastAsia="宋体" w:cs="Times New Roman"/>
                <w:b/>
                <w:bCs/>
                <w:color w:val="000000"/>
                <w:spacing w:val="10"/>
                <w:kern w:val="2"/>
                <w:szCs w:val="24"/>
              </w:rPr>
              <w:t>态环</w:t>
            </w:r>
          </w:p>
          <w:p>
            <w:pPr>
              <w:pStyle w:val="31"/>
              <w:adjustRightInd w:val="0"/>
              <w:snapToGrid w:val="0"/>
              <w:spacing w:beforeAutospacing="0" w:afterAutospacing="0" w:line="240" w:lineRule="auto"/>
              <w:ind w:firstLine="0" w:firstLineChars="0"/>
              <w:jc w:val="center"/>
              <w:rPr>
                <w:rFonts w:hint="default" w:ascii="Times New Roman" w:hAnsi="Times New Roman" w:eastAsia="宋体" w:cs="Times New Roman"/>
                <w:b/>
                <w:bCs/>
                <w:color w:val="000000"/>
                <w:spacing w:val="10"/>
                <w:kern w:val="2"/>
                <w:szCs w:val="24"/>
              </w:rPr>
            </w:pPr>
            <w:r>
              <w:rPr>
                <w:rFonts w:hint="default" w:ascii="Times New Roman" w:hAnsi="Times New Roman" w:eastAsia="宋体" w:cs="Times New Roman"/>
                <w:b/>
                <w:bCs/>
                <w:color w:val="000000"/>
                <w:spacing w:val="10"/>
                <w:kern w:val="2"/>
                <w:szCs w:val="24"/>
              </w:rPr>
              <w:t>境影</w:t>
            </w:r>
          </w:p>
          <w:p>
            <w:pPr>
              <w:pStyle w:val="31"/>
              <w:adjustRightInd w:val="0"/>
              <w:snapToGrid w:val="0"/>
              <w:spacing w:beforeAutospacing="0" w:afterAutospacing="0" w:line="240" w:lineRule="auto"/>
              <w:ind w:firstLine="0" w:firstLineChars="0"/>
              <w:jc w:val="center"/>
            </w:pPr>
            <w:r>
              <w:rPr>
                <w:rFonts w:hint="default" w:ascii="Times New Roman" w:hAnsi="Times New Roman" w:eastAsia="宋体" w:cs="Times New Roman"/>
                <w:b/>
                <w:bCs/>
                <w:color w:val="000000"/>
                <w:spacing w:val="10"/>
                <w:kern w:val="2"/>
                <w:szCs w:val="24"/>
              </w:rPr>
              <w:t>响分析</w:t>
            </w:r>
          </w:p>
        </w:tc>
        <w:tc>
          <w:tcPr>
            <w:tcW w:w="4579" w:type="pct"/>
          </w:tcPr>
          <w:p>
            <w:pPr>
              <w:widowControl/>
              <w:jc w:val="left"/>
              <w:rPr>
                <w:color w:val="FF0000"/>
                <w:sz w:val="24"/>
                <w:szCs w:val="24"/>
              </w:rPr>
            </w:pPr>
            <w:r>
              <w:rPr>
                <w:rFonts w:hint="eastAsia" w:ascii="Times New Roman" w:hAnsi="Times New Roman" w:cs="Times New Roman"/>
                <w:sz w:val="24"/>
                <w:szCs w:val="24"/>
              </w:rPr>
              <w:t>本工程为河道整治工程，属于非污染类建设工程，项目建成根据工程本身特点，无废气、废水、噪声和固废污染物产生，对环境的影响主要体现在正面、有利的生态方面，对周围</w:t>
            </w:r>
            <w:r>
              <w:rPr>
                <w:rFonts w:hint="eastAsia"/>
                <w:bCs/>
                <w:sz w:val="24"/>
                <w:szCs w:val="24"/>
              </w:rPr>
              <w:t>环境影响很小。</w:t>
            </w:r>
          </w:p>
          <w:p>
            <w:pPr>
              <w:widowControl/>
              <w:ind w:left="0" w:leftChars="0" w:firstLine="0" w:firstLineChars="0"/>
              <w:jc w:val="left"/>
              <w:rPr>
                <w:rFonts w:hAnsi="宋体"/>
                <w:b/>
                <w:color w:val="000000"/>
                <w:sz w:val="24"/>
                <w:szCs w:val="24"/>
              </w:rPr>
            </w:pPr>
            <w:r>
              <w:rPr>
                <w:rFonts w:hAnsi="宋体"/>
                <w:b/>
                <w:color w:val="000000"/>
                <w:sz w:val="24"/>
                <w:szCs w:val="24"/>
              </w:rPr>
              <w:t>1</w:t>
            </w:r>
            <w:r>
              <w:rPr>
                <w:rFonts w:hint="eastAsia" w:hAnsi="宋体"/>
                <w:b/>
                <w:color w:val="000000"/>
                <w:sz w:val="24"/>
                <w:szCs w:val="24"/>
              </w:rPr>
              <w:t>、生态环境影响</w:t>
            </w:r>
          </w:p>
          <w:p>
            <w:pPr>
              <w:widowControl/>
              <w:rPr>
                <w:rFonts w:hint="eastAsia" w:ascii="Times New Roman" w:hAnsi="Times New Roman" w:eastAsia="宋体" w:cs="Times New Roman"/>
                <w:color w:val="000000"/>
                <w:sz w:val="24"/>
                <w:szCs w:val="24"/>
              </w:rPr>
            </w:pPr>
            <w:r>
              <w:rPr>
                <w:rFonts w:hint="eastAsia"/>
                <w:color w:val="000000"/>
                <w:sz w:val="24"/>
                <w:szCs w:val="24"/>
              </w:rPr>
              <w:t>（</w:t>
            </w:r>
            <w:r>
              <w:rPr>
                <w:rFonts w:hint="eastAsia" w:ascii="Times New Roman" w:hAnsi="Times New Roman" w:eastAsia="宋体" w:cs="Times New Roman"/>
                <w:color w:val="000000"/>
                <w:sz w:val="24"/>
                <w:szCs w:val="24"/>
              </w:rPr>
              <w:t>1）对陆生生态环境影响</w:t>
            </w:r>
          </w:p>
          <w:p>
            <w:pPr>
              <w:widowControl/>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lang w:val="en-US" w:eastAsia="zh-CN"/>
              </w:rPr>
              <w:t>本项目建成后，能够更为合理地利用水资源，改善区域气候，可促进有机物再循环，控制了污染，保护了环境和生物资源，对区域生态环境有显著的积极影响，</w:t>
            </w:r>
            <w:r>
              <w:rPr>
                <w:rFonts w:hint="eastAsia" w:ascii="Times New Roman" w:hAnsi="Times New Roman" w:eastAsia="宋体" w:cs="Times New Roman"/>
                <w:color w:val="000000"/>
                <w:sz w:val="24"/>
                <w:szCs w:val="24"/>
              </w:rPr>
              <w:t>减少</w:t>
            </w:r>
            <w:r>
              <w:rPr>
                <w:rFonts w:hint="eastAsia" w:ascii="Times New Roman" w:hAnsi="Times New Roman" w:eastAsia="宋体" w:cs="Times New Roman"/>
                <w:color w:val="000000"/>
                <w:sz w:val="24"/>
                <w:szCs w:val="24"/>
                <w:lang w:val="en-US" w:eastAsia="zh-CN"/>
              </w:rPr>
              <w:t>了</w:t>
            </w:r>
            <w:r>
              <w:rPr>
                <w:rFonts w:hint="eastAsia" w:ascii="Times New Roman" w:hAnsi="Times New Roman" w:eastAsia="宋体" w:cs="Times New Roman"/>
                <w:color w:val="000000"/>
                <w:sz w:val="24"/>
                <w:szCs w:val="24"/>
              </w:rPr>
              <w:t>项目区水资源无效损耗，对农业结构调整起到积极作用，灌区可基本利用地表水进行耕地灌溉，对区域生态植被恢复也将起到积极改善作用</w:t>
            </w:r>
            <w:r>
              <w:rPr>
                <w:rFonts w:hint="eastAsia" w:ascii="Times New Roman" w:hAnsi="Times New Roman" w:eastAsia="宋体" w:cs="Times New Roman"/>
                <w:color w:val="000000"/>
                <w:sz w:val="24"/>
                <w:szCs w:val="24"/>
                <w:lang w:eastAsia="zh-CN"/>
              </w:rPr>
              <w:t>，</w:t>
            </w:r>
            <w:r>
              <w:rPr>
                <w:rFonts w:hint="eastAsia" w:ascii="Times New Roman" w:hAnsi="Times New Roman" w:eastAsia="宋体" w:cs="Times New Roman"/>
                <w:color w:val="000000"/>
                <w:sz w:val="24"/>
                <w:szCs w:val="24"/>
              </w:rPr>
              <w:t>通过节水改造的实施，可以调整项目区内种植业结构，改善项目区及周边地区的生态环境。</w:t>
            </w:r>
          </w:p>
          <w:p>
            <w:pPr>
              <w:widowControl/>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本</w:t>
            </w:r>
            <w:r>
              <w:rPr>
                <w:rFonts w:hint="eastAsia" w:ascii="Times New Roman" w:hAnsi="Times New Roman" w:eastAsia="宋体" w:cs="Times New Roman"/>
                <w:color w:val="000000"/>
                <w:sz w:val="24"/>
                <w:szCs w:val="24"/>
                <w:lang w:val="en-US" w:eastAsia="zh-CN"/>
              </w:rPr>
              <w:t>项目</w:t>
            </w:r>
            <w:r>
              <w:rPr>
                <w:rFonts w:hint="eastAsia" w:ascii="Times New Roman" w:hAnsi="Times New Roman" w:eastAsia="宋体" w:cs="Times New Roman"/>
                <w:color w:val="000000"/>
                <w:sz w:val="24"/>
                <w:szCs w:val="24"/>
              </w:rPr>
              <w:t>周边区域没有大型野生动物，只有一些常见鸟类和啮齿类动物等，对其生活影响只在施工期产生，施工结束后影响自然消失，因此</w:t>
            </w:r>
            <w:r>
              <w:rPr>
                <w:rFonts w:hint="eastAsia" w:ascii="Times New Roman" w:hAnsi="Times New Roman" w:eastAsia="宋体" w:cs="Times New Roman"/>
                <w:color w:val="000000"/>
                <w:sz w:val="24"/>
                <w:szCs w:val="24"/>
                <w:lang w:val="en-US" w:eastAsia="zh-CN"/>
              </w:rPr>
              <w:t>本项目运营期</w:t>
            </w:r>
            <w:r>
              <w:rPr>
                <w:rFonts w:hint="eastAsia" w:ascii="Times New Roman" w:hAnsi="Times New Roman" w:eastAsia="宋体" w:cs="Times New Roman"/>
                <w:color w:val="000000"/>
                <w:sz w:val="24"/>
                <w:szCs w:val="24"/>
              </w:rPr>
              <w:t>对野生动物基本没有影响。</w:t>
            </w:r>
          </w:p>
          <w:p>
            <w:pPr>
              <w:widowControl/>
              <w:rPr>
                <w:rFonts w:hint="eastAsia" w:ascii="Times New Roman" w:hAnsi="Times New Roman" w:eastAsia="宋体" w:cs="Times New Roman"/>
                <w:color w:val="000000"/>
                <w:sz w:val="24"/>
                <w:szCs w:val="24"/>
                <w:highlight w:val="none"/>
              </w:rPr>
            </w:pPr>
            <w:r>
              <w:rPr>
                <w:rFonts w:hint="eastAsia"/>
                <w:color w:val="000000"/>
                <w:sz w:val="24"/>
                <w:szCs w:val="24"/>
                <w:highlight w:val="none"/>
              </w:rPr>
              <w:t>（</w:t>
            </w:r>
            <w:r>
              <w:rPr>
                <w:rFonts w:hint="eastAsia" w:ascii="Times New Roman" w:hAnsi="Times New Roman" w:eastAsia="宋体" w:cs="Times New Roman"/>
                <w:color w:val="000000"/>
                <w:sz w:val="24"/>
                <w:szCs w:val="24"/>
                <w:highlight w:val="none"/>
                <w:lang w:val="en-US" w:eastAsia="zh-CN"/>
              </w:rPr>
              <w:t>2</w:t>
            </w:r>
            <w:r>
              <w:rPr>
                <w:rFonts w:hint="eastAsia" w:ascii="Times New Roman" w:hAnsi="Times New Roman" w:eastAsia="宋体" w:cs="Times New Roman"/>
                <w:color w:val="000000"/>
                <w:sz w:val="24"/>
                <w:szCs w:val="24"/>
                <w:highlight w:val="none"/>
              </w:rPr>
              <w:t>）对</w:t>
            </w:r>
            <w:r>
              <w:rPr>
                <w:rFonts w:hint="eastAsia" w:ascii="Times New Roman" w:hAnsi="Times New Roman" w:eastAsia="宋体" w:cs="Times New Roman"/>
                <w:color w:val="000000"/>
                <w:sz w:val="24"/>
                <w:szCs w:val="24"/>
                <w:highlight w:val="none"/>
                <w:lang w:val="en-US" w:eastAsia="zh-CN"/>
              </w:rPr>
              <w:t>水</w:t>
            </w:r>
            <w:r>
              <w:rPr>
                <w:rFonts w:hint="eastAsia" w:ascii="Times New Roman" w:hAnsi="Times New Roman" w:eastAsia="宋体" w:cs="Times New Roman"/>
                <w:color w:val="000000"/>
                <w:sz w:val="24"/>
                <w:szCs w:val="24"/>
                <w:highlight w:val="none"/>
              </w:rPr>
              <w:t>生生态环境影响</w:t>
            </w:r>
          </w:p>
          <w:p>
            <w:pPr>
              <w:ind w:firstLine="480" w:firstLineChars="200"/>
              <w:rPr>
                <w:rFonts w:hint="eastAsia"/>
                <w:color w:val="000000"/>
                <w:sz w:val="24"/>
                <w:szCs w:val="24"/>
                <w:lang w:val="en-US" w:eastAsia="zh-CN"/>
              </w:rPr>
            </w:pPr>
            <w:r>
              <w:rPr>
                <w:rFonts w:hint="eastAsia" w:ascii="Times New Roman" w:hAnsi="Times New Roman" w:cs="Times New Roman"/>
                <w:color w:val="auto"/>
                <w:highlight w:val="none"/>
                <w:lang w:val="en-US" w:eastAsia="zh-CN"/>
              </w:rPr>
              <w:t>本项目沿白杨河原有河道进行河道治理，河道</w:t>
            </w:r>
            <w:r>
              <w:rPr>
                <w:rFonts w:hint="default" w:ascii="Times New Roman" w:hAnsi="Times New Roman" w:cs="Times New Roman"/>
                <w:color w:val="auto"/>
                <w:highlight w:val="none"/>
                <w:lang w:val="en-US" w:eastAsia="zh-CN"/>
              </w:rPr>
              <w:t>现有水生生物的生存环境较改造前未发生较大改变</w:t>
            </w:r>
            <w:r>
              <w:rPr>
                <w:rFonts w:hint="eastAsia" w:ascii="Times New Roman" w:hAnsi="Times New Roman" w:cs="Times New Roman"/>
                <w:color w:val="auto"/>
                <w:highlight w:val="none"/>
                <w:lang w:val="en-US" w:eastAsia="zh-CN"/>
              </w:rPr>
              <w:t>，为了避免防洪及灌溉引水造成土著等鱼类资源损失，在白杨河原有河道位置设置了拦鱼设施</w:t>
            </w:r>
            <w:r>
              <w:rPr>
                <w:rFonts w:hint="eastAsia"/>
                <w:highlight w:val="none"/>
                <w:lang w:eastAsia="zh-CN"/>
              </w:rPr>
              <w:t>，</w:t>
            </w:r>
            <w:r>
              <w:rPr>
                <w:rFonts w:hint="eastAsia" w:ascii="Times New Roman" w:hAnsi="Times New Roman" w:cs="Times New Roman"/>
                <w:color w:val="000000" w:themeColor="text1"/>
                <w:highlight w:val="none"/>
                <w:lang w:eastAsia="zh-CN"/>
                <w14:textFill>
                  <w14:solidFill>
                    <w14:schemeClr w14:val="tx1"/>
                  </w14:solidFill>
                </w14:textFill>
              </w:rPr>
              <w:t>因此本</w:t>
            </w:r>
            <w:r>
              <w:rPr>
                <w:rFonts w:hint="default" w:ascii="Times New Roman" w:hAnsi="Times New Roman" w:cs="Times New Roman"/>
                <w:color w:val="000000" w:themeColor="text1"/>
                <w:highlight w:val="none"/>
                <w14:textFill>
                  <w14:solidFill>
                    <w14:schemeClr w14:val="tx1"/>
                  </w14:solidFill>
                </w14:textFill>
              </w:rPr>
              <w:t>项目</w:t>
            </w:r>
            <w:r>
              <w:rPr>
                <w:rFonts w:hint="eastAsia" w:ascii="Times New Roman" w:hAnsi="Times New Roman" w:cs="Times New Roman"/>
                <w:color w:val="000000" w:themeColor="text1"/>
                <w:highlight w:val="none"/>
                <w:lang w:eastAsia="zh-CN"/>
                <w14:textFill>
                  <w14:solidFill>
                    <w14:schemeClr w14:val="tx1"/>
                  </w14:solidFill>
                </w14:textFill>
              </w:rPr>
              <w:t>建设</w:t>
            </w:r>
            <w:r>
              <w:rPr>
                <w:rFonts w:hint="default" w:ascii="Times New Roman" w:hAnsi="Times New Roman" w:cs="Times New Roman"/>
                <w:color w:val="000000" w:themeColor="text1"/>
                <w:highlight w:val="none"/>
                <w14:textFill>
                  <w14:solidFill>
                    <w14:schemeClr w14:val="tx1"/>
                  </w14:solidFill>
                </w14:textFill>
              </w:rPr>
              <w:t>不会对上</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下</w:t>
            </w:r>
            <w:r>
              <w:rPr>
                <w:rFonts w:hint="default" w:ascii="Times New Roman" w:hAnsi="Times New Roman" w:cs="Times New Roman"/>
                <w:color w:val="000000" w:themeColor="text1"/>
                <w:highlight w:val="none"/>
                <w14:textFill>
                  <w14:solidFill>
                    <w14:schemeClr w14:val="tx1"/>
                  </w14:solidFill>
                </w14:textFill>
              </w:rPr>
              <w:t>游流域</w:t>
            </w:r>
            <w:r>
              <w:rPr>
                <w:rFonts w:hint="default" w:ascii="Times New Roman" w:hAnsi="Times New Roman" w:eastAsia="宋体" w:cs="Times New Roman"/>
                <w:color w:val="000000" w:themeColor="text1"/>
                <w:highlight w:val="none"/>
                <w:lang w:bidi="zh-CN"/>
                <w14:textFill>
                  <w14:solidFill>
                    <w14:schemeClr w14:val="tx1"/>
                  </w14:solidFill>
                </w14:textFill>
              </w:rPr>
              <w:t>流域内水生生态产生负面影响</w:t>
            </w:r>
            <w:r>
              <w:rPr>
                <w:rFonts w:hint="eastAsia" w:ascii="Times New Roman" w:hAnsi="Times New Roman" w:eastAsia="宋体" w:cs="Times New Roman"/>
                <w:color w:val="000000" w:themeColor="text1"/>
                <w:highlight w:val="none"/>
                <w:lang w:bidi="zh-CN"/>
                <w14:textFill>
                  <w14:solidFill>
                    <w14:schemeClr w14:val="tx1"/>
                  </w14:solidFill>
                </w14:textFill>
              </w:rPr>
              <w:t>；</w:t>
            </w:r>
            <w:r>
              <w:rPr>
                <w:rFonts w:hint="default" w:ascii="Times New Roman" w:hAnsi="Times New Roman" w:eastAsia="宋体" w:cs="Times New Roman"/>
                <w:color w:val="000000" w:themeColor="text1"/>
                <w:highlight w:val="none"/>
                <w:lang w:bidi="zh-CN"/>
                <w14:textFill>
                  <w14:solidFill>
                    <w14:schemeClr w14:val="tx1"/>
                  </w14:solidFill>
                </w14:textFill>
              </w:rPr>
              <w:t>另外</w:t>
            </w:r>
            <w:r>
              <w:rPr>
                <w:rFonts w:hint="default" w:ascii="Times New Roman" w:hAnsi="Times New Roman" w:cs="Times New Roman"/>
                <w:color w:val="000000" w:themeColor="text1"/>
                <w:highlight w:val="none"/>
                <w14:textFill>
                  <w14:solidFill>
                    <w14:schemeClr w14:val="tx1"/>
                  </w14:solidFill>
                </w14:textFill>
              </w:rPr>
              <w:t>工程建成后，将大幅度提高</w:t>
            </w:r>
            <w:r>
              <w:rPr>
                <w:rFonts w:hint="eastAsia" w:ascii="Times New Roman" w:hAnsi="Times New Roman" w:cs="Times New Roman"/>
                <w:color w:val="auto"/>
                <w:highlight w:val="none"/>
                <w:lang w:val="en-US" w:eastAsia="zh-CN"/>
              </w:rPr>
              <w:t>白杨河</w:t>
            </w:r>
            <w:r>
              <w:rPr>
                <w:rFonts w:hint="eastAsia" w:ascii="Times New Roman" w:hAnsi="Times New Roman" w:cs="Times New Roman"/>
                <w:color w:val="000000" w:themeColor="text1"/>
                <w:highlight w:val="none"/>
                <w:lang w:val="en-US" w:eastAsia="zh-CN"/>
                <w14:textFill>
                  <w14:solidFill>
                    <w14:schemeClr w14:val="tx1"/>
                  </w14:solidFill>
                </w14:textFill>
              </w:rPr>
              <w:t>防洪</w:t>
            </w:r>
            <w:r>
              <w:rPr>
                <w:rFonts w:hint="default" w:ascii="Times New Roman" w:hAnsi="Times New Roman" w:cs="Times New Roman"/>
                <w:color w:val="000000" w:themeColor="text1"/>
                <w:highlight w:val="none"/>
                <w14:textFill>
                  <w14:solidFill>
                    <w14:schemeClr w14:val="tx1"/>
                  </w14:solidFill>
                </w14:textFill>
              </w:rPr>
              <w:t>配置水平，</w:t>
            </w:r>
            <w:r>
              <w:rPr>
                <w:rFonts w:hint="eastAsia" w:ascii="Times New Roman" w:hAnsi="Times New Roman" w:cs="Times New Roman"/>
                <w:color w:val="000000" w:themeColor="text1"/>
                <w:highlight w:val="none"/>
                <w:lang w:val="en-US" w:eastAsia="zh-CN"/>
                <w14:textFill>
                  <w14:solidFill>
                    <w14:schemeClr w14:val="tx1"/>
                  </w14:solidFill>
                </w14:textFill>
              </w:rPr>
              <w:t>节约了农灌用水</w:t>
            </w:r>
            <w:r>
              <w:rPr>
                <w:rFonts w:hint="default" w:ascii="Times New Roman" w:hAnsi="Times New Roman" w:cs="Times New Roman"/>
                <w:color w:val="000000" w:themeColor="text1"/>
                <w:highlight w:val="none"/>
                <w14:textFill>
                  <w14:solidFill>
                    <w14:schemeClr w14:val="tx1"/>
                  </w14:solidFill>
                </w14:textFill>
              </w:rPr>
              <w:t>，区域水面面积增加，这为区域水生生物提供了更广阔的生存空间</w:t>
            </w:r>
            <w:r>
              <w:rPr>
                <w:rFonts w:hint="eastAsia" w:cs="Times New Roman"/>
                <w:color w:val="000000" w:themeColor="text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2" w:hRule="atLeast"/>
          <w:jc w:val="center"/>
        </w:trPr>
        <w:tc>
          <w:tcPr>
            <w:tcW w:w="420" w:type="pct"/>
            <w:vAlign w:val="center"/>
          </w:tcPr>
          <w:p>
            <w:pPr>
              <w:pStyle w:val="31"/>
              <w:adjustRightInd w:val="0"/>
              <w:snapToGrid w:val="0"/>
              <w:spacing w:beforeAutospacing="0" w:afterAutospacing="0" w:line="240" w:lineRule="auto"/>
              <w:ind w:firstLine="0" w:firstLineChars="0"/>
              <w:jc w:val="center"/>
              <w:rPr>
                <w:rFonts w:cs="宋体"/>
                <w:b/>
                <w:bCs/>
                <w:color w:val="000000"/>
                <w:kern w:val="2"/>
                <w:szCs w:val="24"/>
              </w:rPr>
            </w:pPr>
            <w:r>
              <w:rPr>
                <w:rFonts w:hint="eastAsia" w:cs="宋体"/>
                <w:b/>
                <w:bCs/>
                <w:color w:val="000000"/>
                <w:kern w:val="2"/>
                <w:szCs w:val="24"/>
              </w:rPr>
              <w:t>选址选线环境合理性分析</w:t>
            </w:r>
          </w:p>
        </w:tc>
        <w:tc>
          <w:tcPr>
            <w:tcW w:w="4579" w:type="pct"/>
          </w:tcPr>
          <w:p>
            <w:pPr>
              <w:spacing w:line="360" w:lineRule="auto"/>
              <w:ind w:firstLine="31680"/>
              <w:rPr>
                <w:rFonts w:hint="eastAsia"/>
                <w:color w:val="000000"/>
                <w:kern w:val="0"/>
                <w:highlight w:val="none"/>
                <w:lang w:eastAsia="zh-CN"/>
              </w:rPr>
            </w:pPr>
            <w:r>
              <w:rPr>
                <w:rFonts w:hint="default" w:ascii="Times New Roman" w:hAnsi="Times New Roman" w:eastAsia="宋体" w:cs="Times New Roman"/>
                <w:sz w:val="24"/>
                <w:szCs w:val="24"/>
                <w:highlight w:val="none"/>
                <w:lang w:val="en-US" w:eastAsia="zh-CN"/>
              </w:rPr>
              <w:t>本</w:t>
            </w:r>
            <w:r>
              <w:rPr>
                <w:rFonts w:hint="default" w:ascii="Times New Roman" w:hAnsi="Times New Roman" w:cs="Times New Roman"/>
                <w:color w:val="000000"/>
                <w:highlight w:val="none"/>
                <w:lang w:val="en-US" w:eastAsia="zh-CN"/>
              </w:rPr>
              <w:t>工程</w:t>
            </w:r>
            <w:r>
              <w:rPr>
                <w:rFonts w:hint="eastAsia" w:ascii="Times New Roman" w:hAnsi="Times New Roman" w:cs="Times New Roman"/>
                <w:color w:val="000000"/>
                <w:highlight w:val="none"/>
                <w:lang w:val="en-US" w:eastAsia="zh-CN"/>
              </w:rPr>
              <w:t>位于</w:t>
            </w:r>
            <w:r>
              <w:rPr>
                <w:rFonts w:hint="default" w:ascii="Times New Roman" w:hAnsi="Times New Roman" w:cs="Times New Roman"/>
                <w:color w:val="000000"/>
                <w:highlight w:val="none"/>
                <w:lang w:val="en-US" w:eastAsia="zh-CN"/>
              </w:rPr>
              <w:t>白杨河五圣宫水文站至S303省道29.15km范围的河段，</w:t>
            </w:r>
            <w:r>
              <w:rPr>
                <w:rFonts w:hint="eastAsia" w:ascii="Times New Roman" w:hAnsi="Times New Roman" w:eastAsia="宋体" w:cs="Times New Roman"/>
                <w:b w:val="0"/>
                <w:bCs w:val="0"/>
                <w:color w:val="000000"/>
                <w:kern w:val="0"/>
                <w:sz w:val="24"/>
                <w:szCs w:val="24"/>
                <w:lang w:val="en-US" w:eastAsia="zh-CN" w:bidi="ar-SA"/>
              </w:rPr>
              <w:t>对桩号0+000～1+880</w:t>
            </w:r>
            <w:r>
              <w:rPr>
                <w:rFonts w:hint="eastAsia" w:ascii="宋体" w:hAnsi="宋体" w:cs="宋体"/>
                <w:b w:val="0"/>
                <w:bCs/>
                <w:color w:val="000000"/>
              </w:rPr>
              <w:t>（</w:t>
            </w:r>
            <w:r>
              <w:rPr>
                <w:rFonts w:hint="eastAsia" w:ascii="Times New Roman" w:hAnsi="Times New Roman" w:eastAsia="宋体" w:cs="Times New Roman"/>
                <w:b w:val="0"/>
                <w:bCs w:val="0"/>
                <w:color w:val="000000"/>
                <w:kern w:val="0"/>
                <w:sz w:val="24"/>
                <w:szCs w:val="24"/>
                <w:lang w:val="en-US" w:eastAsia="zh-CN" w:bidi="ar-SA"/>
              </w:rPr>
              <w:t>五圣宫水文站</w:t>
            </w:r>
            <w:r>
              <w:rPr>
                <w:rFonts w:hint="eastAsia" w:ascii="宋体" w:hAnsi="宋体" w:cs="宋体"/>
                <w:b w:val="0"/>
                <w:bCs/>
                <w:color w:val="000000"/>
              </w:rPr>
              <w:t>）</w:t>
            </w:r>
            <w:r>
              <w:rPr>
                <w:rFonts w:hint="eastAsia" w:ascii="Times New Roman" w:hAnsi="Times New Roman" w:eastAsia="宋体" w:cs="Times New Roman"/>
                <w:b w:val="0"/>
                <w:bCs w:val="0"/>
                <w:color w:val="000000"/>
                <w:kern w:val="0"/>
                <w:sz w:val="24"/>
                <w:szCs w:val="24"/>
                <w:lang w:val="en-US" w:eastAsia="zh-CN" w:bidi="ar-SA"/>
              </w:rPr>
              <w:t>段、4+100～21+900</w:t>
            </w:r>
            <w:r>
              <w:rPr>
                <w:rFonts w:hint="eastAsia" w:ascii="宋体" w:hAnsi="宋体" w:cs="宋体"/>
                <w:b w:val="0"/>
                <w:bCs/>
                <w:color w:val="000000"/>
              </w:rPr>
              <w:t>（</w:t>
            </w:r>
            <w:r>
              <w:rPr>
                <w:rFonts w:hint="eastAsia" w:ascii="Times New Roman" w:hAnsi="Times New Roman" w:eastAsia="宋体" w:cs="Times New Roman"/>
                <w:b w:val="0"/>
                <w:bCs w:val="0"/>
                <w:color w:val="000000"/>
                <w:kern w:val="0"/>
                <w:sz w:val="24"/>
                <w:szCs w:val="24"/>
                <w:lang w:val="en-US" w:eastAsia="zh-CN" w:bidi="ar-SA"/>
              </w:rPr>
              <w:t>白杨河水库至林区公路</w:t>
            </w:r>
            <w:r>
              <w:rPr>
                <w:rFonts w:hint="eastAsia" w:ascii="宋体" w:hAnsi="宋体" w:cs="宋体"/>
                <w:b w:val="0"/>
                <w:bCs/>
                <w:color w:val="000000"/>
              </w:rPr>
              <w:t>）</w:t>
            </w:r>
            <w:r>
              <w:rPr>
                <w:rFonts w:hint="eastAsia" w:ascii="Times New Roman" w:hAnsi="Times New Roman" w:eastAsia="宋体" w:cs="Times New Roman"/>
                <w:b w:val="0"/>
                <w:bCs w:val="0"/>
                <w:color w:val="000000"/>
                <w:kern w:val="0"/>
                <w:sz w:val="24"/>
                <w:szCs w:val="24"/>
                <w:lang w:val="en-US" w:eastAsia="zh-CN" w:bidi="ar-SA"/>
              </w:rPr>
              <w:t>段和26+750～29+160</w:t>
            </w:r>
            <w:r>
              <w:rPr>
                <w:rFonts w:hint="eastAsia" w:ascii="宋体" w:hAnsi="宋体" w:cs="宋体"/>
                <w:b w:val="0"/>
                <w:bCs/>
                <w:color w:val="000000"/>
              </w:rPr>
              <w:t>（</w:t>
            </w:r>
            <w:r>
              <w:rPr>
                <w:rFonts w:hint="eastAsia" w:ascii="Times New Roman" w:hAnsi="Times New Roman" w:eastAsia="宋体" w:cs="Times New Roman"/>
                <w:b w:val="0"/>
                <w:bCs w:val="0"/>
                <w:color w:val="000000"/>
                <w:kern w:val="0"/>
                <w:sz w:val="24"/>
                <w:szCs w:val="24"/>
                <w:lang w:val="en-US" w:eastAsia="zh-CN" w:bidi="ar-SA"/>
              </w:rPr>
              <w:t>魏家村至S303省道</w:t>
            </w:r>
            <w:r>
              <w:rPr>
                <w:rFonts w:hint="eastAsia" w:ascii="宋体" w:hAnsi="宋体" w:cs="宋体"/>
                <w:b w:val="0"/>
                <w:bCs/>
                <w:color w:val="000000"/>
              </w:rPr>
              <w:t>）</w:t>
            </w:r>
            <w:r>
              <w:rPr>
                <w:rFonts w:hint="eastAsia" w:ascii="Times New Roman" w:hAnsi="Times New Roman" w:eastAsia="宋体" w:cs="Times New Roman"/>
                <w:b w:val="0"/>
                <w:bCs w:val="0"/>
                <w:color w:val="000000"/>
                <w:kern w:val="0"/>
                <w:sz w:val="24"/>
                <w:szCs w:val="24"/>
                <w:lang w:val="en-US" w:eastAsia="zh-CN" w:bidi="ar-SA"/>
              </w:rPr>
              <w:t>段需保护村庄和农田的22.09km河道进行治理</w:t>
            </w:r>
            <w:r>
              <w:rPr>
                <w:rFonts w:hint="eastAsia" w:cs="Times New Roman"/>
                <w:b w:val="0"/>
                <w:bCs w:val="0"/>
                <w:color w:val="000000"/>
                <w:kern w:val="0"/>
                <w:sz w:val="24"/>
                <w:szCs w:val="24"/>
                <w:lang w:val="en-US" w:eastAsia="zh-CN" w:bidi="ar-SA"/>
              </w:rPr>
              <w:t>，</w:t>
            </w:r>
            <w:r>
              <w:rPr>
                <w:rFonts w:hint="eastAsia"/>
                <w:color w:val="000000"/>
                <w:highlight w:val="none"/>
                <w:lang w:val="en-US" w:eastAsia="zh-CN"/>
              </w:rPr>
              <w:t>本项目区中的</w:t>
            </w:r>
            <w:r>
              <w:rPr>
                <w:rFonts w:hint="eastAsia" w:ascii="Times New Roman" w:hAnsi="Times New Roman" w:eastAsia="宋体" w:cs="Times New Roman"/>
                <w:sz w:val="24"/>
                <w:szCs w:val="24"/>
                <w:highlight w:val="none"/>
                <w:lang w:val="en-US" w:eastAsia="zh-CN"/>
              </w:rPr>
              <w:t>白杨河水库至林区公路段</w:t>
            </w:r>
            <w:r>
              <w:rPr>
                <w:rFonts w:hint="eastAsia" w:cs="Times New Roman"/>
                <w:sz w:val="24"/>
                <w:szCs w:val="24"/>
                <w:highlight w:val="none"/>
                <w:lang w:val="en-US" w:eastAsia="zh-CN"/>
              </w:rPr>
              <w:t>起点</w:t>
            </w:r>
            <w:r>
              <w:rPr>
                <w:rFonts w:hint="default" w:ascii="Times New Roman" w:hAnsi="Times New Roman" w:cs="Times New Roman"/>
                <w:b w:val="0"/>
                <w:bCs/>
                <w:color w:val="000000"/>
                <w:highlight w:val="none"/>
              </w:rPr>
              <w:t>（</w:t>
            </w:r>
            <w:r>
              <w:rPr>
                <w:rFonts w:hint="eastAsia" w:cs="Times New Roman"/>
                <w:b w:val="0"/>
                <w:bCs w:val="0"/>
                <w:color w:val="000000"/>
                <w:kern w:val="0"/>
                <w:sz w:val="24"/>
                <w:szCs w:val="24"/>
                <w:highlight w:val="none"/>
                <w:lang w:val="en-US" w:eastAsia="zh-CN" w:bidi="ar-SA"/>
              </w:rPr>
              <w:t>桩号：</w:t>
            </w:r>
            <w:r>
              <w:rPr>
                <w:rFonts w:hint="default" w:ascii="Times New Roman" w:hAnsi="Times New Roman" w:eastAsia="宋体" w:cs="Times New Roman"/>
                <w:b w:val="0"/>
                <w:bCs w:val="0"/>
                <w:color w:val="000000"/>
                <w:kern w:val="0"/>
                <w:sz w:val="24"/>
                <w:szCs w:val="24"/>
                <w:highlight w:val="none"/>
                <w:lang w:val="en-US" w:eastAsia="zh-CN" w:bidi="ar-SA"/>
              </w:rPr>
              <w:t>4+100</w:t>
            </w:r>
            <w:r>
              <w:rPr>
                <w:rFonts w:hint="default" w:ascii="Times New Roman" w:hAnsi="Times New Roman" w:cs="Times New Roman"/>
                <w:b w:val="0"/>
                <w:bCs/>
                <w:color w:val="000000"/>
                <w:highlight w:val="none"/>
              </w:rPr>
              <w:t>）</w:t>
            </w:r>
            <w:r>
              <w:rPr>
                <w:rFonts w:hint="eastAsia"/>
                <w:color w:val="000000"/>
                <w:highlight w:val="none"/>
                <w:lang w:val="en-US" w:eastAsia="zh-CN"/>
              </w:rPr>
              <w:t>距离吉木萨尔县生态红线最近距离为20</w:t>
            </w:r>
            <w:r>
              <w:rPr>
                <w:rFonts w:hint="default" w:ascii="Times New Roman" w:hAnsi="Times New Roman" w:eastAsia="宋体" w:cs="Times New Roman"/>
                <w:color w:val="000000"/>
                <w:kern w:val="0"/>
                <w:sz w:val="24"/>
                <w:szCs w:val="24"/>
                <w:highlight w:val="none"/>
                <w:lang w:val="en-US" w:eastAsia="zh-CN" w:bidi="ar"/>
              </w:rPr>
              <w:t>m</w:t>
            </w:r>
            <w:r>
              <w:rPr>
                <w:rFonts w:hint="eastAsia"/>
                <w:color w:val="000000"/>
                <w:highlight w:val="none"/>
                <w:lang w:val="en-US" w:eastAsia="zh-CN"/>
              </w:rPr>
              <w:t>；</w:t>
            </w:r>
            <w:r>
              <w:rPr>
                <w:rFonts w:hint="eastAsia"/>
                <w:color w:val="000000"/>
                <w:highlight w:val="none"/>
              </w:rPr>
              <w:t>项目</w:t>
            </w:r>
            <w:r>
              <w:rPr>
                <w:rFonts w:hint="eastAsia"/>
                <w:color w:val="000000"/>
                <w:highlight w:val="none"/>
                <w:lang w:val="en-US" w:eastAsia="zh-CN"/>
              </w:rPr>
              <w:t>区</w:t>
            </w:r>
            <w:r>
              <w:rPr>
                <w:rFonts w:hint="eastAsia"/>
                <w:color w:val="000000"/>
                <w:highlight w:val="none"/>
              </w:rPr>
              <w:t>不在吉木萨尔县生态保护红线范围内</w:t>
            </w:r>
            <w:r>
              <w:rPr>
                <w:rFonts w:hint="eastAsia"/>
                <w:color w:val="000000"/>
                <w:highlight w:val="none"/>
                <w:lang w:eastAsia="zh-CN"/>
              </w:rPr>
              <w:t>；</w:t>
            </w:r>
            <w:r>
              <w:rPr>
                <w:rFonts w:hint="eastAsia"/>
                <w:snapToGrid w:val="0"/>
                <w:color w:val="000000"/>
                <w:kern w:val="0"/>
                <w:szCs w:val="20"/>
                <w:highlight w:val="none"/>
              </w:rPr>
              <w:t>五圣</w:t>
            </w:r>
            <w:r>
              <w:rPr>
                <w:rFonts w:hint="eastAsia" w:ascii="Times New Roman" w:hAnsi="Times New Roman" w:eastAsia="宋体" w:cs="Times New Roman"/>
                <w:sz w:val="24"/>
                <w:szCs w:val="24"/>
                <w:highlight w:val="none"/>
                <w:lang w:eastAsia="zh-CN"/>
              </w:rPr>
              <w:t>宫水文站段</w:t>
            </w:r>
            <w:r>
              <w:rPr>
                <w:rFonts w:hint="default" w:ascii="Times New Roman" w:hAnsi="Times New Roman" w:cs="Times New Roman"/>
                <w:b w:val="0"/>
                <w:bCs/>
                <w:color w:val="000000"/>
                <w:highlight w:val="none"/>
              </w:rPr>
              <w:t>（</w:t>
            </w:r>
            <w:r>
              <w:rPr>
                <w:rFonts w:hint="default" w:ascii="Times New Roman" w:hAnsi="Times New Roman" w:eastAsia="宋体" w:cs="Times New Roman"/>
                <w:b w:val="0"/>
                <w:bCs w:val="0"/>
                <w:color w:val="000000"/>
                <w:kern w:val="0"/>
                <w:sz w:val="24"/>
                <w:szCs w:val="24"/>
                <w:highlight w:val="none"/>
                <w:lang w:val="en-US" w:eastAsia="zh-CN" w:bidi="ar-SA"/>
              </w:rPr>
              <w:t>0+000～1+880</w:t>
            </w:r>
            <w:r>
              <w:rPr>
                <w:rFonts w:hint="default" w:ascii="Times New Roman" w:hAnsi="Times New Roman" w:cs="Times New Roman"/>
                <w:b w:val="0"/>
                <w:bCs/>
                <w:color w:val="000000"/>
                <w:highlight w:val="none"/>
              </w:rPr>
              <w:t>）</w:t>
            </w:r>
            <w:r>
              <w:rPr>
                <w:rFonts w:hint="eastAsia"/>
                <w:color w:val="000000"/>
                <w:highlight w:val="none"/>
                <w:lang w:val="en-US" w:eastAsia="zh-CN"/>
              </w:rPr>
              <w:t>距离新疆江布拉克国家森林公园最近距离为0</w:t>
            </w:r>
            <w:r>
              <w:rPr>
                <w:rFonts w:hint="default" w:ascii="Times New Roman" w:hAnsi="Times New Roman" w:eastAsia="宋体" w:cs="Times New Roman"/>
                <w:color w:val="000000"/>
                <w:kern w:val="0"/>
                <w:sz w:val="24"/>
                <w:szCs w:val="24"/>
                <w:highlight w:val="none"/>
                <w:lang w:val="en-US" w:eastAsia="zh-CN" w:bidi="ar"/>
              </w:rPr>
              <w:t>m</w:t>
            </w:r>
            <w:r>
              <w:rPr>
                <w:rFonts w:hint="eastAsia"/>
                <w:color w:val="000000"/>
                <w:highlight w:val="none"/>
                <w:lang w:val="en-US" w:eastAsia="zh-CN"/>
              </w:rPr>
              <w:t>，</w:t>
            </w:r>
            <w:r>
              <w:rPr>
                <w:rFonts w:hint="eastAsia" w:ascii="Times New Roman" w:hAnsi="Times New Roman" w:eastAsia="宋体" w:cs="Times New Roman"/>
                <w:b w:val="0"/>
                <w:bCs w:val="0"/>
                <w:color w:val="000000"/>
                <w:kern w:val="0"/>
                <w:sz w:val="24"/>
                <w:szCs w:val="24"/>
                <w:highlight w:val="none"/>
                <w:lang w:val="en-US" w:eastAsia="zh-CN" w:bidi="ar-SA"/>
              </w:rPr>
              <w:t>此段为单侧护砌，</w:t>
            </w:r>
            <w:r>
              <w:rPr>
                <w:rFonts w:hint="eastAsia" w:cs="Times New Roman"/>
                <w:b w:val="0"/>
                <w:bCs w:val="0"/>
                <w:color w:val="000000"/>
                <w:kern w:val="0"/>
                <w:sz w:val="24"/>
                <w:szCs w:val="24"/>
                <w:highlight w:val="none"/>
                <w:lang w:val="en-US" w:eastAsia="zh-CN" w:bidi="ar-SA"/>
              </w:rPr>
              <w:t>白杨河宽为9.3014m，</w:t>
            </w:r>
            <w:r>
              <w:rPr>
                <w:rFonts w:hint="eastAsia" w:ascii="Times New Roman" w:hAnsi="Times New Roman" w:eastAsia="宋体" w:cs="Times New Roman"/>
                <w:b w:val="0"/>
                <w:bCs w:val="0"/>
                <w:color w:val="000000"/>
                <w:kern w:val="0"/>
                <w:sz w:val="24"/>
                <w:szCs w:val="24"/>
                <w:highlight w:val="none"/>
                <w:lang w:val="en-US" w:eastAsia="zh-CN" w:bidi="ar-SA"/>
              </w:rPr>
              <w:t>对远离森林公园侧进行护砌</w:t>
            </w:r>
            <w:r>
              <w:rPr>
                <w:rFonts w:hint="eastAsia"/>
                <w:color w:val="000000"/>
                <w:highlight w:val="none"/>
                <w:lang w:val="en-US" w:eastAsia="zh-CN"/>
              </w:rPr>
              <w:t>，本项目实际施工距离江布拉克国家森林公园为</w:t>
            </w:r>
            <w:r>
              <w:rPr>
                <w:rFonts w:hint="eastAsia" w:cs="Times New Roman"/>
                <w:b w:val="0"/>
                <w:bCs w:val="0"/>
                <w:color w:val="000000"/>
                <w:kern w:val="0"/>
                <w:sz w:val="24"/>
                <w:szCs w:val="24"/>
                <w:highlight w:val="none"/>
                <w:lang w:val="en-US" w:eastAsia="zh-CN" w:bidi="ar-SA"/>
              </w:rPr>
              <w:t>9.3014m，</w:t>
            </w:r>
            <w:r>
              <w:rPr>
                <w:rFonts w:hint="eastAsia"/>
                <w:color w:val="000000"/>
                <w:highlight w:val="none"/>
                <w:lang w:val="en-US" w:eastAsia="zh-CN"/>
              </w:rPr>
              <w:t>江布拉克国家森林公园不属于自然保护区，项目区未涉及、占用及穿越江布拉克国家森林公园，不涉及</w:t>
            </w:r>
            <w:r>
              <w:rPr>
                <w:rFonts w:hint="eastAsia"/>
                <w:highlight w:val="none"/>
                <w:lang w:val="en-US" w:eastAsia="zh-CN"/>
              </w:rPr>
              <w:t>水</w:t>
            </w:r>
            <w:r>
              <w:rPr>
                <w:rFonts w:hint="eastAsia" w:ascii="Times New Roman" w:hAnsi="Times New Roman" w:cs="Times New Roman"/>
                <w:color w:val="000000"/>
                <w:highlight w:val="none"/>
                <w:lang w:val="en-US" w:eastAsia="zh-CN"/>
              </w:rPr>
              <w:t>源保护区等</w:t>
            </w:r>
            <w:r>
              <w:rPr>
                <w:rFonts w:hint="eastAsia" w:ascii="Times New Roman" w:hAnsi="Times New Roman" w:cs="Times New Roman"/>
                <w:color w:val="000000"/>
                <w:highlight w:val="none"/>
                <w:lang w:eastAsia="zh-CN"/>
              </w:rPr>
              <w:t>，</w:t>
            </w:r>
            <w:r>
              <w:rPr>
                <w:rFonts w:hint="default" w:ascii="Times New Roman" w:hAnsi="Times New Roman" w:cs="Times New Roman"/>
                <w:color w:val="000000"/>
                <w:highlight w:val="none"/>
              </w:rPr>
              <w:t>场地内</w:t>
            </w:r>
            <w:r>
              <w:rPr>
                <w:rFonts w:hint="eastAsia" w:ascii="Times New Roman" w:hAnsi="Times New Roman" w:cs="Times New Roman"/>
                <w:color w:val="000000"/>
                <w:highlight w:val="none"/>
                <w:lang w:val="en-US" w:eastAsia="zh-CN"/>
              </w:rPr>
              <w:t>无</w:t>
            </w:r>
            <w:r>
              <w:rPr>
                <w:rFonts w:hint="default" w:ascii="Times New Roman" w:hAnsi="Times New Roman" w:cs="Times New Roman"/>
                <w:color w:val="000000"/>
                <w:highlight w:val="none"/>
              </w:rPr>
              <w:t>珍稀动植物、名木古树等，无国家和地方保护性动植物和珍稀濒危动物分布</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lang w:val="en-US" w:eastAsia="zh-CN"/>
              </w:rPr>
              <w:t>无</w:t>
            </w:r>
            <w:r>
              <w:rPr>
                <w:rFonts w:hint="default" w:ascii="Times New Roman" w:hAnsi="Times New Roman" w:cs="Times New Roman"/>
                <w:color w:val="000000"/>
                <w:highlight w:val="none"/>
              </w:rPr>
              <w:t>重点保护野生动物栖息地，重点保护野生植物生长繁殖地，重要水生生物的自然产卵场、索饵场、越冬场和洄游通道</w:t>
            </w:r>
            <w:r>
              <w:rPr>
                <w:rFonts w:hint="eastAsia" w:cs="Times New Roman"/>
                <w:color w:val="000000"/>
                <w:highlight w:val="none"/>
                <w:lang w:eastAsia="zh-CN"/>
              </w:rPr>
              <w:t>，</w:t>
            </w:r>
            <w:r>
              <w:rPr>
                <w:rFonts w:hint="default" w:ascii="Times New Roman" w:hAnsi="Times New Roman" w:cs="Times New Roman"/>
                <w:color w:val="000000"/>
                <w:highlight w:val="none"/>
              </w:rPr>
              <w:t>由于受人工活动影响，生物多样性较单一，也没有特殊生境及特有物种</w:t>
            </w:r>
            <w:r>
              <w:rPr>
                <w:rFonts w:hint="eastAsia" w:cs="Times New Roman"/>
                <w:color w:val="000000"/>
                <w:highlight w:val="none"/>
                <w:lang w:val="en-US" w:eastAsia="zh-CN"/>
              </w:rPr>
              <w:t>；</w:t>
            </w:r>
            <w:r>
              <w:rPr>
                <w:rFonts w:hint="eastAsia" w:ascii="Times New Roman" w:hAnsi="Times New Roman" w:cs="Times New Roman"/>
                <w:color w:val="000000"/>
                <w:kern w:val="0"/>
                <w:highlight w:val="none"/>
                <w:lang w:val="en-US" w:eastAsia="zh-CN"/>
              </w:rPr>
              <w:t>施工期和运营期不对外排放废水，不会影响沿线的地表水体，施工完成后对临时施工占地区域进行植被恢复，对周边生态环境影响较小</w:t>
            </w:r>
            <w:r>
              <w:rPr>
                <w:rFonts w:hint="eastAsia" w:cs="Times New Roman"/>
                <w:color w:val="000000"/>
                <w:kern w:val="0"/>
                <w:highlight w:val="none"/>
                <w:lang w:val="en-US" w:eastAsia="zh-CN"/>
              </w:rPr>
              <w:t>，</w:t>
            </w:r>
            <w:r>
              <w:rPr>
                <w:rFonts w:hint="eastAsia"/>
                <w:color w:val="000000"/>
                <w:kern w:val="0"/>
                <w:highlight w:val="none"/>
              </w:rPr>
              <w:t>无环境制约因素</w:t>
            </w:r>
            <w:r>
              <w:rPr>
                <w:rFonts w:hint="eastAsia"/>
                <w:color w:val="000000"/>
                <w:kern w:val="0"/>
                <w:highlight w:val="none"/>
                <w:lang w:eastAsia="zh-CN"/>
              </w:rPr>
              <w:t>。</w:t>
            </w:r>
          </w:p>
          <w:p>
            <w:pPr>
              <w:widowControl/>
              <w:spacing w:line="360" w:lineRule="auto"/>
              <w:ind w:firstLine="480"/>
              <w:jc w:val="both"/>
              <w:rPr>
                <w:rFonts w:hint="eastAsia"/>
                <w:color w:val="000000"/>
                <w:kern w:val="0"/>
                <w:highlight w:val="none"/>
                <w:lang w:eastAsia="zh-CN"/>
              </w:rPr>
            </w:pPr>
            <w:r>
              <w:rPr>
                <w:rFonts w:hint="default" w:ascii="Times New Roman" w:hAnsi="Times New Roman" w:eastAsia="宋体" w:cs="Times New Roman"/>
                <w:sz w:val="24"/>
                <w:szCs w:val="24"/>
                <w:highlight w:val="none"/>
                <w:lang w:val="en-US" w:eastAsia="zh-CN"/>
              </w:rPr>
              <w:t>本</w:t>
            </w:r>
            <w:r>
              <w:rPr>
                <w:rFonts w:hint="eastAsia" w:ascii="Times New Roman" w:hAnsi="Times New Roman" w:eastAsia="宋体" w:cs="Times New Roman"/>
                <w:color w:val="000000"/>
                <w:lang w:val="en-US" w:eastAsia="zh-CN"/>
              </w:rPr>
              <w:t>项目区附近现有路网发达，可与项目内部相连；施工车辆可直达项目区，施工交通较为方便</w:t>
            </w:r>
            <w:r>
              <w:rPr>
                <w:rFonts w:hint="eastAsia" w:cs="Times New Roman"/>
                <w:color w:val="000000"/>
                <w:lang w:val="en-US" w:eastAsia="zh-CN"/>
              </w:rPr>
              <w:t>；</w:t>
            </w:r>
            <w:r>
              <w:rPr>
                <w:rFonts w:hint="eastAsia" w:cs="Times New Roman"/>
                <w:sz w:val="24"/>
                <w:szCs w:val="24"/>
                <w:lang w:val="en-US" w:eastAsia="zh-CN"/>
              </w:rPr>
              <w:t>施工所需的</w:t>
            </w:r>
            <w:r>
              <w:rPr>
                <w:rFonts w:hint="default" w:ascii="Times New Roman" w:hAnsi="Times New Roman" w:eastAsia="宋体" w:cs="Times New Roman"/>
                <w:sz w:val="24"/>
                <w:szCs w:val="24"/>
              </w:rPr>
              <w:t>水泥</w:t>
            </w:r>
            <w:r>
              <w:rPr>
                <w:rFonts w:hint="eastAsia" w:cs="Times New Roman"/>
                <w:sz w:val="24"/>
                <w:szCs w:val="24"/>
                <w:lang w:eastAsia="zh-CN"/>
              </w:rPr>
              <w:t>、</w:t>
            </w:r>
            <w:r>
              <w:rPr>
                <w:rFonts w:hint="default" w:ascii="Times New Roman" w:hAnsi="Times New Roman" w:eastAsia="宋体" w:cs="Times New Roman"/>
                <w:sz w:val="24"/>
                <w:szCs w:val="24"/>
              </w:rPr>
              <w:t>钢材</w:t>
            </w:r>
            <w:r>
              <w:rPr>
                <w:rFonts w:hint="eastAsia" w:cs="Times New Roman"/>
                <w:sz w:val="24"/>
                <w:szCs w:val="24"/>
                <w:lang w:val="en-US" w:eastAsia="zh-CN"/>
              </w:rPr>
              <w:t>等施工材料均可外购，且运输距离较短；</w:t>
            </w:r>
            <w:r>
              <w:rPr>
                <w:rFonts w:hint="default" w:ascii="Times New Roman" w:hAnsi="Times New Roman" w:eastAsia="宋体" w:cs="Times New Roman"/>
                <w:sz w:val="24"/>
                <w:szCs w:val="24"/>
              </w:rPr>
              <w:t>工程施工区距离吉木萨尔县较近，劳动力资源丰富，可以满足大型机械的维修和有关机械配件加工的要求。</w:t>
            </w:r>
          </w:p>
          <w:p>
            <w:pPr>
              <w:adjustRightInd w:val="0"/>
              <w:snapToGrid w:val="0"/>
              <w:spacing w:line="360" w:lineRule="auto"/>
              <w:ind w:firstLine="31680"/>
            </w:pPr>
            <w:r>
              <w:rPr>
                <w:rFonts w:hint="eastAsia"/>
                <w:color w:val="000000"/>
                <w:kern w:val="0"/>
                <w:highlight w:val="none"/>
              </w:rPr>
              <w:t>因此</w:t>
            </w:r>
            <w:r>
              <w:rPr>
                <w:rFonts w:hint="eastAsia"/>
                <w:color w:val="000000"/>
                <w:kern w:val="0"/>
                <w:highlight w:val="none"/>
                <w:lang w:eastAsia="zh-CN"/>
              </w:rPr>
              <w:t>，</w:t>
            </w:r>
            <w:r>
              <w:rPr>
                <w:rFonts w:hint="eastAsia"/>
                <w:color w:val="000000"/>
                <w:kern w:val="0"/>
                <w:highlight w:val="none"/>
              </w:rPr>
              <w:t>拟建项目选址基本合理</w:t>
            </w:r>
            <w:r>
              <w:rPr>
                <w:rFonts w:hint="eastAsia"/>
                <w:color w:val="000000"/>
                <w:kern w:val="0"/>
              </w:rPr>
              <w:t>。</w:t>
            </w:r>
          </w:p>
        </w:tc>
      </w:tr>
    </w:tbl>
    <w:p>
      <w:pPr>
        <w:pStyle w:val="17"/>
        <w:ind w:left="0" w:firstLine="0" w:firstLineChars="0"/>
        <w:rPr>
          <w:color w:val="000000"/>
        </w:rPr>
        <w:sectPr>
          <w:footerReference r:id="rId7" w:type="default"/>
          <w:pgSz w:w="11906" w:h="16838"/>
          <w:pgMar w:top="1588" w:right="1559" w:bottom="1588" w:left="1559" w:header="851" w:footer="851" w:gutter="0"/>
          <w:cols w:space="720" w:num="1"/>
          <w:docGrid w:linePitch="312" w:charSpace="0"/>
        </w:sectPr>
      </w:pPr>
    </w:p>
    <w:p>
      <w:pPr>
        <w:pStyle w:val="31"/>
        <w:tabs>
          <w:tab w:val="left" w:pos="6412"/>
        </w:tabs>
        <w:snapToGrid w:val="0"/>
        <w:spacing w:beforeAutospacing="0" w:afterLines="50" w:afterAutospacing="0" w:line="240" w:lineRule="auto"/>
        <w:ind w:firstLine="0" w:firstLineChars="0"/>
        <w:jc w:val="center"/>
        <w:outlineLvl w:val="0"/>
        <w:rPr>
          <w:rFonts w:hint="default" w:ascii="Times New Roman" w:hAnsi="Times New Roman" w:eastAsia="宋体" w:cs="Times New Roman"/>
          <w:b/>
          <w:bCs/>
          <w:snapToGrid w:val="0"/>
          <w:color w:val="000000"/>
          <w:sz w:val="30"/>
          <w:szCs w:val="30"/>
        </w:rPr>
      </w:pPr>
      <w:bookmarkStart w:id="13" w:name="_Toc108783489"/>
      <w:r>
        <w:rPr>
          <w:rFonts w:hint="default" w:ascii="Times New Roman" w:hAnsi="Times New Roman" w:eastAsia="宋体" w:cs="Times New Roman"/>
          <w:b/>
          <w:bCs/>
          <w:snapToGrid w:val="0"/>
          <w:color w:val="000000"/>
          <w:sz w:val="30"/>
          <w:szCs w:val="30"/>
        </w:rPr>
        <w:t>五、主要生态环境保护措施</w:t>
      </w:r>
      <w:bookmarkEnd w:id="13"/>
    </w:p>
    <w:tbl>
      <w:tblPr>
        <w:tblStyle w:val="3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7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8" w:hRule="atLeast"/>
          <w:jc w:val="center"/>
        </w:trPr>
        <w:tc>
          <w:tcPr>
            <w:tcW w:w="533" w:type="pct"/>
            <w:tcMar>
              <w:left w:w="28" w:type="dxa"/>
              <w:right w:w="28" w:type="dxa"/>
            </w:tcMar>
            <w:vAlign w:val="center"/>
          </w:tcPr>
          <w:p>
            <w:pPr>
              <w:adjustRightInd w:val="0"/>
              <w:snapToGrid w:val="0"/>
              <w:spacing w:line="240" w:lineRule="auto"/>
              <w:ind w:firstLine="0" w:firstLineChars="0"/>
              <w:jc w:val="center"/>
              <w:rPr>
                <w:rFonts w:hAnsi="宋体"/>
                <w:b/>
                <w:bCs/>
                <w:color w:val="000000"/>
                <w:spacing w:val="10"/>
              </w:rPr>
            </w:pPr>
            <w:r>
              <w:rPr>
                <w:rFonts w:hint="eastAsia" w:hAnsi="宋体"/>
                <w:b/>
                <w:bCs/>
                <w:color w:val="000000"/>
                <w:spacing w:val="10"/>
              </w:rPr>
              <w:t>施工</w:t>
            </w:r>
          </w:p>
          <w:p>
            <w:pPr>
              <w:adjustRightInd w:val="0"/>
              <w:snapToGrid w:val="0"/>
              <w:spacing w:line="240" w:lineRule="auto"/>
              <w:ind w:firstLine="0" w:firstLineChars="0"/>
              <w:jc w:val="center"/>
              <w:rPr>
                <w:rFonts w:hAnsi="宋体"/>
                <w:b/>
                <w:bCs/>
                <w:color w:val="000000"/>
                <w:spacing w:val="10"/>
              </w:rPr>
            </w:pPr>
            <w:r>
              <w:rPr>
                <w:rFonts w:hint="eastAsia" w:hAnsi="宋体"/>
                <w:b/>
                <w:bCs/>
                <w:color w:val="000000"/>
                <w:spacing w:val="10"/>
              </w:rPr>
              <w:t>期生</w:t>
            </w:r>
          </w:p>
          <w:p>
            <w:pPr>
              <w:adjustRightInd w:val="0"/>
              <w:snapToGrid w:val="0"/>
              <w:spacing w:line="240" w:lineRule="auto"/>
              <w:ind w:firstLine="0" w:firstLineChars="0"/>
              <w:jc w:val="center"/>
              <w:rPr>
                <w:rFonts w:hAnsi="宋体"/>
                <w:b/>
                <w:bCs/>
                <w:color w:val="000000"/>
                <w:spacing w:val="10"/>
              </w:rPr>
            </w:pPr>
            <w:r>
              <w:rPr>
                <w:rFonts w:hint="eastAsia" w:hAnsi="宋体"/>
                <w:b/>
                <w:bCs/>
                <w:color w:val="000000"/>
                <w:spacing w:val="10"/>
              </w:rPr>
              <w:t>态环</w:t>
            </w:r>
          </w:p>
          <w:p>
            <w:pPr>
              <w:adjustRightInd w:val="0"/>
              <w:snapToGrid w:val="0"/>
              <w:spacing w:line="240" w:lineRule="auto"/>
              <w:ind w:firstLine="0" w:firstLineChars="0"/>
              <w:jc w:val="center"/>
              <w:rPr>
                <w:rFonts w:hAnsi="宋体"/>
                <w:b/>
                <w:bCs/>
                <w:color w:val="000000"/>
                <w:spacing w:val="10"/>
              </w:rPr>
            </w:pPr>
            <w:r>
              <w:rPr>
                <w:rFonts w:hint="eastAsia" w:hAnsi="宋体"/>
                <w:b/>
                <w:bCs/>
                <w:color w:val="000000"/>
                <w:spacing w:val="10"/>
              </w:rPr>
              <w:t>境保</w:t>
            </w:r>
          </w:p>
          <w:p>
            <w:pPr>
              <w:adjustRightInd w:val="0"/>
              <w:snapToGrid w:val="0"/>
              <w:spacing w:line="240" w:lineRule="auto"/>
              <w:ind w:firstLine="0" w:firstLineChars="0"/>
              <w:jc w:val="center"/>
              <w:rPr>
                <w:rFonts w:hAnsi="宋体"/>
                <w:b/>
                <w:bCs/>
                <w:color w:val="000000"/>
                <w:spacing w:val="10"/>
              </w:rPr>
            </w:pPr>
            <w:r>
              <w:rPr>
                <w:rFonts w:hint="eastAsia" w:hAnsi="宋体"/>
                <w:b/>
                <w:bCs/>
                <w:color w:val="000000"/>
                <w:spacing w:val="10"/>
              </w:rPr>
              <w:t>护措</w:t>
            </w:r>
          </w:p>
          <w:p>
            <w:pPr>
              <w:adjustRightInd w:val="0"/>
              <w:snapToGrid w:val="0"/>
              <w:spacing w:line="240" w:lineRule="auto"/>
              <w:ind w:firstLine="0" w:firstLineChars="0"/>
              <w:jc w:val="center"/>
              <w:rPr>
                <w:b/>
                <w:bCs/>
                <w:color w:val="FF0000"/>
              </w:rPr>
            </w:pPr>
            <w:r>
              <w:rPr>
                <w:rFonts w:hint="eastAsia" w:hAnsi="宋体"/>
                <w:b/>
                <w:bCs/>
                <w:color w:val="000000"/>
                <w:spacing w:val="10"/>
              </w:rPr>
              <w:t>施</w:t>
            </w:r>
          </w:p>
        </w:tc>
        <w:tc>
          <w:tcPr>
            <w:tcW w:w="4466" w:type="pct"/>
          </w:tcPr>
          <w:p>
            <w:pPr>
              <w:pStyle w:val="155"/>
              <w:spacing w:line="360" w:lineRule="auto"/>
              <w:ind w:left="0" w:leftChars="0" w:firstLine="0" w:firstLineChars="0"/>
              <w:rPr>
                <w:rFonts w:hint="default" w:ascii="Times New Roman" w:hAnsi="Times New Roman" w:cs="Times New Roman"/>
                <w:b/>
                <w:color w:val="000000"/>
                <w:kern w:val="0"/>
                <w:sz w:val="24"/>
                <w:szCs w:val="24"/>
              </w:rPr>
            </w:pPr>
            <w:r>
              <w:rPr>
                <w:rFonts w:hint="default" w:ascii="Times New Roman" w:hAnsi="Times New Roman" w:cs="Times New Roman"/>
                <w:b/>
                <w:color w:val="000000"/>
                <w:sz w:val="24"/>
                <w:szCs w:val="24"/>
                <w:lang w:val="en-US" w:eastAsia="zh-CN"/>
              </w:rPr>
              <w:t>1、</w:t>
            </w:r>
            <w:r>
              <w:rPr>
                <w:rFonts w:hint="default" w:ascii="Times New Roman" w:hAnsi="Times New Roman" w:cs="Times New Roman"/>
                <w:b/>
                <w:color w:val="000000"/>
                <w:sz w:val="24"/>
                <w:szCs w:val="24"/>
              </w:rPr>
              <w:t>施工期</w:t>
            </w:r>
            <w:r>
              <w:rPr>
                <w:rFonts w:hint="default" w:ascii="Times New Roman" w:hAnsi="Times New Roman" w:cs="Times New Roman"/>
                <w:b/>
                <w:color w:val="000000"/>
                <w:kern w:val="0"/>
                <w:sz w:val="24"/>
                <w:szCs w:val="24"/>
              </w:rPr>
              <w:t>大气环境保护措施</w:t>
            </w:r>
          </w:p>
          <w:p>
            <w:pPr>
              <w:ind w:firstLine="480"/>
              <w:rPr>
                <w:rFonts w:cs="Times New Roman"/>
                <w:color w:val="000000"/>
                <w:kern w:val="0"/>
                <w:sz w:val="24"/>
                <w:szCs w:val="24"/>
                <w:lang w:val="zh-CN" w:bidi="ar"/>
              </w:rPr>
            </w:pPr>
            <w:r>
              <w:rPr>
                <w:rFonts w:cs="Times New Roman"/>
                <w:color w:val="000000"/>
                <w:kern w:val="0"/>
                <w:sz w:val="24"/>
                <w:szCs w:val="24"/>
                <w:lang w:val="zh-CN" w:bidi="ar"/>
              </w:rPr>
              <w:t>根据《建筑工程绿色施工规范》（GB/T50905-2014）、《建筑工程绿色环保施工管理规范》（DB65/T4060-2017）</w:t>
            </w:r>
            <w:r>
              <w:rPr>
                <w:rFonts w:hint="eastAsia" w:cs="Times New Roman"/>
                <w:color w:val="000000"/>
                <w:kern w:val="0"/>
                <w:sz w:val="24"/>
                <w:szCs w:val="24"/>
                <w:lang w:val="zh-CN" w:bidi="ar"/>
              </w:rPr>
              <w:t>、</w:t>
            </w:r>
            <w:r>
              <w:rPr>
                <w:rFonts w:hint="default" w:ascii="Times New Roman" w:hAnsi="Times New Roman" w:eastAsia="宋体" w:cs="Times New Roman"/>
                <w:sz w:val="24"/>
                <w:szCs w:val="24"/>
                <w:lang w:val="en-US" w:eastAsia="zh-CN"/>
              </w:rPr>
              <w:t>《十部门关于推进机制砂石行业高质量发展的若干意见》（工信部联原〔2019〕239号）</w:t>
            </w:r>
            <w:r>
              <w:rPr>
                <w:rFonts w:hint="eastAsia" w:ascii="Times New Roman" w:hAnsi="Times New Roman" w:cs="Times New Roman"/>
                <w:sz w:val="24"/>
                <w:szCs w:val="24"/>
                <w:lang w:val="en-US" w:eastAsia="zh-CN"/>
              </w:rPr>
              <w:t>中</w:t>
            </w:r>
            <w:r>
              <w:rPr>
                <w:rFonts w:hint="eastAsia" w:cs="Times New Roman"/>
                <w:sz w:val="24"/>
                <w:szCs w:val="24"/>
                <w:lang w:val="en-US" w:eastAsia="zh-CN"/>
              </w:rPr>
              <w:t>的相关要求，</w:t>
            </w:r>
            <w:r>
              <w:rPr>
                <w:rFonts w:cs="Times New Roman"/>
                <w:color w:val="000000"/>
                <w:kern w:val="0"/>
                <w:sz w:val="24"/>
                <w:szCs w:val="24"/>
                <w:lang w:val="zh-CN" w:bidi="ar"/>
              </w:rPr>
              <w:t>结合本项目施工特点和周围环境特征，对施工期产生的环境影响提出以下环保措施。</w:t>
            </w:r>
          </w:p>
          <w:p>
            <w:pPr>
              <w:ind w:firstLine="480"/>
              <w:rPr>
                <w:rFonts w:cs="Times New Roman"/>
                <w:color w:val="000000"/>
                <w:kern w:val="0"/>
                <w:sz w:val="24"/>
                <w:szCs w:val="24"/>
                <w:lang w:val="zh-CN" w:bidi="ar"/>
              </w:rPr>
            </w:pPr>
            <w:r>
              <w:rPr>
                <w:rFonts w:hint="eastAsia" w:ascii="Times New Roman" w:hAnsi="Times New Roman" w:eastAsia="宋体" w:cs="Times New Roman"/>
                <w:b w:val="0"/>
                <w:bCs w:val="0"/>
                <w:color w:val="000000"/>
                <w:kern w:val="0"/>
                <w:sz w:val="24"/>
                <w:szCs w:val="24"/>
                <w:lang w:val="en-US" w:eastAsia="zh-CN" w:bidi="ar-SA"/>
              </w:rPr>
              <w:t>（</w:t>
            </w:r>
            <w:r>
              <w:rPr>
                <w:rFonts w:cs="Times New Roman"/>
                <w:color w:val="000000"/>
                <w:kern w:val="0"/>
                <w:sz w:val="24"/>
                <w:szCs w:val="24"/>
                <w:lang w:bidi="ar"/>
              </w:rPr>
              <w:t>1</w:t>
            </w:r>
            <w:r>
              <w:rPr>
                <w:rFonts w:cs="Times New Roman"/>
                <w:color w:val="000000"/>
                <w:kern w:val="0"/>
                <w:sz w:val="24"/>
                <w:szCs w:val="24"/>
                <w:lang w:val="zh-CN" w:bidi="ar"/>
              </w:rPr>
              <w:t>）大气污染影响保护措施</w:t>
            </w:r>
          </w:p>
          <w:p>
            <w:pPr>
              <w:ind w:firstLine="480"/>
              <w:rPr>
                <w:rFonts w:cs="Times New Roman"/>
                <w:color w:val="000000"/>
                <w:kern w:val="0"/>
                <w:sz w:val="24"/>
                <w:szCs w:val="24"/>
                <w:lang w:val="zh-CN" w:bidi="ar"/>
              </w:rPr>
            </w:pPr>
            <w:r>
              <w:rPr>
                <w:rFonts w:cs="Times New Roman"/>
                <w:color w:val="000000"/>
                <w:kern w:val="0"/>
                <w:sz w:val="24"/>
                <w:szCs w:val="24"/>
                <w:lang w:bidi="ar"/>
              </w:rPr>
              <w:t>1</w:t>
            </w:r>
            <w:r>
              <w:rPr>
                <w:rFonts w:cs="Times New Roman"/>
                <w:color w:val="000000"/>
                <w:kern w:val="0"/>
                <w:sz w:val="24"/>
                <w:szCs w:val="24"/>
                <w:lang w:val="zh-CN" w:bidi="ar"/>
              </w:rPr>
              <w:t>）扬尘污染防治措施</w:t>
            </w:r>
          </w:p>
          <w:p>
            <w:pPr>
              <w:ind w:firstLine="480"/>
              <w:rPr>
                <w:rFonts w:cs="Times New Roman"/>
                <w:color w:val="000000"/>
                <w:kern w:val="0"/>
                <w:sz w:val="24"/>
                <w:szCs w:val="24"/>
                <w:lang w:val="zh-CN" w:bidi="ar"/>
              </w:rPr>
            </w:pPr>
            <w:r>
              <w:rPr>
                <w:rFonts w:cs="Times New Roman"/>
                <w:color w:val="000000"/>
                <w:kern w:val="0"/>
                <w:sz w:val="24"/>
                <w:szCs w:val="24"/>
                <w:lang w:val="zh-CN" w:bidi="ar"/>
              </w:rPr>
              <w:t>①施工期扬尘防治管理应符合《建筑工程绿色施工规范》（GB/T50905-2014）的规定</w:t>
            </w:r>
            <w:r>
              <w:rPr>
                <w:rFonts w:hint="eastAsia" w:cs="Times New Roman"/>
                <w:color w:val="000000"/>
                <w:kern w:val="0"/>
                <w:sz w:val="24"/>
                <w:szCs w:val="24"/>
                <w:lang w:val="zh-CN" w:bidi="ar"/>
              </w:rPr>
              <w:t>，</w:t>
            </w:r>
            <w:r>
              <w:rPr>
                <w:rFonts w:cs="Times New Roman"/>
                <w:color w:val="000000"/>
                <w:kern w:val="0"/>
                <w:sz w:val="24"/>
                <w:szCs w:val="24"/>
                <w:lang w:val="zh-CN" w:bidi="ar"/>
              </w:rPr>
              <w:t>施工现场主要道路</w:t>
            </w:r>
            <w:r>
              <w:rPr>
                <w:rFonts w:hint="eastAsia" w:cs="Times New Roman"/>
                <w:color w:val="000000"/>
                <w:kern w:val="0"/>
                <w:sz w:val="24"/>
                <w:szCs w:val="24"/>
                <w:lang w:val="zh-CN" w:bidi="ar"/>
              </w:rPr>
              <w:t>、</w:t>
            </w:r>
            <w:r>
              <w:rPr>
                <w:rFonts w:cs="Times New Roman"/>
                <w:color w:val="000000"/>
                <w:kern w:val="0"/>
                <w:sz w:val="24"/>
                <w:szCs w:val="24"/>
                <w:lang w:val="zh-CN" w:bidi="ar"/>
              </w:rPr>
              <w:t>裸露的场地</w:t>
            </w:r>
            <w:r>
              <w:rPr>
                <w:rFonts w:hint="eastAsia" w:cs="Times New Roman"/>
                <w:color w:val="000000"/>
                <w:kern w:val="0"/>
                <w:sz w:val="24"/>
                <w:szCs w:val="24"/>
                <w:lang w:val="en-US" w:eastAsia="zh-CN" w:bidi="ar"/>
              </w:rPr>
              <w:t>应</w:t>
            </w:r>
            <w:r>
              <w:rPr>
                <w:rFonts w:cs="Times New Roman"/>
                <w:color w:val="000000"/>
                <w:kern w:val="0"/>
                <w:sz w:val="24"/>
                <w:szCs w:val="24"/>
                <w:lang w:val="zh-CN" w:bidi="ar"/>
              </w:rPr>
              <w:t>及洒水</w:t>
            </w:r>
            <w:r>
              <w:rPr>
                <w:rFonts w:hint="eastAsia" w:cs="Times New Roman"/>
                <w:color w:val="000000"/>
                <w:kern w:val="0"/>
                <w:sz w:val="24"/>
                <w:szCs w:val="24"/>
                <w:lang w:val="zh-CN" w:bidi="ar"/>
              </w:rPr>
              <w:t>；</w:t>
            </w:r>
          </w:p>
          <w:p>
            <w:pPr>
              <w:ind w:firstLine="480"/>
              <w:rPr>
                <w:rFonts w:cs="Times New Roman"/>
                <w:color w:val="000000"/>
                <w:kern w:val="0"/>
                <w:sz w:val="24"/>
                <w:szCs w:val="24"/>
                <w:lang w:val="zh-CN" w:bidi="ar"/>
              </w:rPr>
            </w:pPr>
            <w:r>
              <w:rPr>
                <w:rFonts w:cs="Times New Roman"/>
                <w:color w:val="000000"/>
                <w:kern w:val="0"/>
                <w:sz w:val="24"/>
                <w:szCs w:val="24"/>
                <w:lang w:val="zh-CN" w:bidi="ar"/>
              </w:rPr>
              <w:t>②运送土方、垃圾、设备及建筑材料等不得污损场外道路，施工现场大门口必须设置冲洗车辆设施，运输车辆必须采取防护措施，保证物料不得散落、飞扬和遗漏</w:t>
            </w:r>
            <w:r>
              <w:rPr>
                <w:rFonts w:hint="eastAsia" w:cs="Times New Roman"/>
                <w:color w:val="000000"/>
                <w:kern w:val="0"/>
                <w:sz w:val="24"/>
                <w:szCs w:val="24"/>
                <w:lang w:val="zh-CN" w:bidi="ar"/>
              </w:rPr>
              <w:t>；</w:t>
            </w:r>
          </w:p>
          <w:p>
            <w:pPr>
              <w:ind w:firstLine="480"/>
              <w:rPr>
                <w:rFonts w:cs="Times New Roman"/>
                <w:color w:val="000000"/>
                <w:kern w:val="0"/>
                <w:sz w:val="24"/>
                <w:szCs w:val="24"/>
                <w:lang w:val="zh-CN" w:bidi="ar"/>
              </w:rPr>
            </w:pPr>
            <w:r>
              <w:rPr>
                <w:rFonts w:hint="eastAsia" w:cs="Times New Roman"/>
                <w:color w:val="000000"/>
                <w:kern w:val="0"/>
                <w:sz w:val="24"/>
                <w:szCs w:val="24"/>
                <w:lang w:val="zh-CN" w:bidi="ar"/>
              </w:rPr>
              <w:t>③</w:t>
            </w:r>
            <w:r>
              <w:rPr>
                <w:rFonts w:cs="Times New Roman"/>
                <w:color w:val="000000"/>
                <w:kern w:val="0"/>
                <w:sz w:val="24"/>
                <w:szCs w:val="24"/>
                <w:lang w:val="zh-CN" w:bidi="ar"/>
              </w:rPr>
              <w:t>施工现场对粉状材料必须封闭存放，对易产生扬尘的堆放材料应采取封闭、半封闭和覆盖措施；可能引起扬尘的材料及建筑垃圾搬运时必须有防尘措施</w:t>
            </w:r>
            <w:r>
              <w:rPr>
                <w:rFonts w:hint="eastAsia" w:cs="Times New Roman"/>
                <w:color w:val="000000"/>
                <w:kern w:val="0"/>
                <w:sz w:val="24"/>
                <w:szCs w:val="24"/>
                <w:lang w:val="zh-CN" w:bidi="ar"/>
              </w:rPr>
              <w:t>；</w:t>
            </w:r>
          </w:p>
          <w:p>
            <w:pPr>
              <w:ind w:firstLine="480"/>
              <w:rPr>
                <w:rFonts w:cs="Times New Roman"/>
                <w:color w:val="000000"/>
                <w:kern w:val="0"/>
                <w:sz w:val="24"/>
                <w:szCs w:val="24"/>
                <w:lang w:val="zh-CN" w:bidi="ar"/>
              </w:rPr>
            </w:pPr>
            <w:r>
              <w:rPr>
                <w:rFonts w:hint="eastAsia" w:cs="Times New Roman"/>
                <w:color w:val="000000"/>
                <w:kern w:val="0"/>
                <w:sz w:val="24"/>
                <w:szCs w:val="24"/>
                <w:lang w:val="zh-CN" w:bidi="ar"/>
              </w:rPr>
              <w:t>④</w:t>
            </w:r>
            <w:r>
              <w:rPr>
                <w:rFonts w:cs="Times New Roman"/>
                <w:color w:val="000000"/>
                <w:kern w:val="0"/>
                <w:sz w:val="24"/>
                <w:szCs w:val="24"/>
                <w:lang w:val="zh-CN" w:bidi="ar"/>
              </w:rPr>
              <w:t>土方作业阶段应符合《建筑工程绿色施工规范》（GB/T50905-2014）中第3.3.1的规定</w:t>
            </w:r>
            <w:r>
              <w:rPr>
                <w:rFonts w:hint="eastAsia" w:cs="Times New Roman"/>
                <w:color w:val="000000"/>
                <w:kern w:val="0"/>
                <w:sz w:val="24"/>
                <w:szCs w:val="24"/>
                <w:lang w:val="zh-CN" w:bidi="ar"/>
              </w:rPr>
              <w:t>，</w:t>
            </w:r>
            <w:r>
              <w:rPr>
                <w:rFonts w:cs="Times New Roman"/>
                <w:color w:val="000000"/>
                <w:kern w:val="0"/>
                <w:sz w:val="24"/>
                <w:szCs w:val="24"/>
                <w:lang w:val="zh-CN" w:bidi="ar"/>
              </w:rPr>
              <w:t>采取洒水、覆盖等措施，达到作业区目测扬尘高度小于1.5m，不得扩散到场区外</w:t>
            </w:r>
            <w:r>
              <w:rPr>
                <w:rFonts w:hint="eastAsia" w:cs="Times New Roman"/>
                <w:color w:val="000000"/>
                <w:kern w:val="0"/>
                <w:sz w:val="24"/>
                <w:szCs w:val="24"/>
                <w:lang w:val="zh-CN" w:bidi="ar"/>
              </w:rPr>
              <w:t>；</w:t>
            </w:r>
          </w:p>
          <w:p>
            <w:pPr>
              <w:ind w:firstLine="480"/>
              <w:rPr>
                <w:rFonts w:hint="default" w:ascii="Times New Roman" w:hAnsi="Times New Roman" w:cs="Times New Roman"/>
                <w:color w:val="000000"/>
                <w:kern w:val="0"/>
                <w:sz w:val="24"/>
                <w:szCs w:val="24"/>
                <w:lang w:val="zh-CN" w:bidi="ar"/>
              </w:rPr>
            </w:pPr>
            <w:r>
              <w:rPr>
                <w:rFonts w:hint="eastAsia" w:cs="Times New Roman"/>
                <w:color w:val="000000"/>
                <w:kern w:val="0"/>
                <w:sz w:val="24"/>
                <w:szCs w:val="24"/>
                <w:lang w:val="zh-CN" w:bidi="ar"/>
              </w:rPr>
              <w:t>⑤</w:t>
            </w:r>
            <w:r>
              <w:rPr>
                <w:rFonts w:cs="Times New Roman"/>
                <w:color w:val="000000"/>
                <w:kern w:val="0"/>
                <w:sz w:val="24"/>
                <w:szCs w:val="24"/>
                <w:lang w:val="zh-CN" w:bidi="ar"/>
              </w:rPr>
              <w:t>大风天气作业应符合《防治城市扬尘污染技术规范》（HJ/T393-2007）第5.2.3条规定</w:t>
            </w:r>
            <w:r>
              <w:rPr>
                <w:rFonts w:hint="eastAsia" w:cs="Times New Roman"/>
                <w:color w:val="000000"/>
                <w:kern w:val="0"/>
                <w:sz w:val="24"/>
                <w:szCs w:val="24"/>
                <w:lang w:val="zh-CN" w:bidi="ar"/>
              </w:rPr>
              <w:t>，</w:t>
            </w:r>
            <w:r>
              <w:rPr>
                <w:rFonts w:cs="Times New Roman"/>
                <w:color w:val="000000"/>
                <w:kern w:val="0"/>
                <w:sz w:val="24"/>
                <w:szCs w:val="24"/>
                <w:lang w:val="zh-CN" w:bidi="ar"/>
              </w:rPr>
              <w:t>遇到四级以上大风天气，不应进行土方回填、转运以及其它可能产生扬尘污染的施工</w:t>
            </w:r>
            <w:r>
              <w:rPr>
                <w:rFonts w:hint="eastAsia" w:cs="Times New Roman"/>
                <w:color w:val="000000"/>
                <w:kern w:val="0"/>
                <w:sz w:val="24"/>
                <w:szCs w:val="24"/>
                <w:lang w:val="zh-CN" w:bidi="ar"/>
              </w:rPr>
              <w:t>；</w:t>
            </w:r>
            <w:r>
              <w:rPr>
                <w:rFonts w:cs="Times New Roman"/>
                <w:color w:val="000000"/>
                <w:kern w:val="0"/>
                <w:sz w:val="24"/>
                <w:szCs w:val="24"/>
                <w:lang w:val="zh-CN" w:bidi="ar"/>
              </w:rPr>
              <w:t>五级及以上大风天气，施工现场应</w:t>
            </w:r>
            <w:r>
              <w:rPr>
                <w:rFonts w:hint="default" w:ascii="Times New Roman" w:hAnsi="Times New Roman" w:cs="Times New Roman"/>
                <w:color w:val="000000"/>
                <w:kern w:val="0"/>
                <w:sz w:val="24"/>
                <w:szCs w:val="24"/>
                <w:lang w:val="zh-CN" w:bidi="ar"/>
              </w:rPr>
              <w:t>停止工地室外作业，并对作业面进行覆盖；</w:t>
            </w:r>
          </w:p>
          <w:p>
            <w:pPr>
              <w:ind w:firstLine="480"/>
              <w:rPr>
                <w:rFonts w:hint="default" w:ascii="Times New Roman" w:hAnsi="Times New Roman" w:cs="Times New Roman"/>
                <w:color w:val="000000"/>
                <w:kern w:val="0"/>
                <w:sz w:val="24"/>
                <w:szCs w:val="24"/>
                <w:lang w:val="en-US" w:eastAsia="zh-CN" w:bidi="ar"/>
              </w:rPr>
            </w:pPr>
            <w:r>
              <w:rPr>
                <w:rFonts w:hint="default" w:ascii="Times New Roman" w:hAnsi="Times New Roman" w:cs="Times New Roman"/>
                <w:color w:val="000000"/>
                <w:kern w:val="0"/>
                <w:sz w:val="24"/>
                <w:szCs w:val="24"/>
                <w:lang w:val="zh-CN" w:bidi="ar"/>
              </w:rPr>
              <w:t>⑥</w:t>
            </w:r>
            <w:r>
              <w:rPr>
                <w:rFonts w:hint="default" w:ascii="Times New Roman" w:hAnsi="Times New Roman" w:cs="Times New Roman"/>
                <w:color w:val="000000"/>
                <w:kern w:val="0"/>
                <w:sz w:val="24"/>
                <w:szCs w:val="24"/>
                <w:lang w:val="en-US" w:eastAsia="zh-CN" w:bidi="ar"/>
              </w:rPr>
              <w:t>按照《十部门关于推进机制砂石行业高质量发展的若干意见》（工信部联原〔2019〕239号）</w:t>
            </w:r>
            <w:r>
              <w:rPr>
                <w:rFonts w:hint="eastAsia" w:ascii="Times New Roman" w:hAnsi="Times New Roman" w:cs="Times New Roman"/>
                <w:color w:val="000000"/>
                <w:kern w:val="0"/>
                <w:sz w:val="24"/>
                <w:szCs w:val="24"/>
                <w:lang w:val="en-US" w:eastAsia="zh-CN" w:bidi="ar"/>
              </w:rPr>
              <w:t>中的相关要求，生产过程中</w:t>
            </w:r>
            <w:r>
              <w:rPr>
                <w:rFonts w:hint="default" w:ascii="Times New Roman" w:hAnsi="Times New Roman" w:cs="Times New Roman"/>
                <w:color w:val="000000"/>
                <w:kern w:val="0"/>
                <w:sz w:val="24"/>
                <w:szCs w:val="24"/>
                <w:lang w:val="en-US" w:eastAsia="zh-CN" w:bidi="ar"/>
              </w:rPr>
              <w:t>设</w:t>
            </w:r>
            <w:r>
              <w:rPr>
                <w:rFonts w:hint="eastAsia" w:ascii="Times New Roman" w:hAnsi="Times New Roman" w:cs="Times New Roman"/>
                <w:color w:val="000000"/>
                <w:kern w:val="0"/>
                <w:sz w:val="24"/>
                <w:szCs w:val="24"/>
                <w:lang w:val="en-US" w:eastAsia="zh-CN" w:bidi="ar"/>
              </w:rPr>
              <w:t>置</w:t>
            </w:r>
            <w:r>
              <w:rPr>
                <w:rFonts w:hint="default" w:ascii="Times New Roman" w:hAnsi="Times New Roman" w:cs="Times New Roman"/>
                <w:color w:val="000000"/>
                <w:kern w:val="0"/>
                <w:sz w:val="24"/>
                <w:szCs w:val="24"/>
                <w:lang w:val="en-US" w:eastAsia="zh-CN" w:bidi="ar"/>
              </w:rPr>
              <w:t>洒水抑尘</w:t>
            </w:r>
            <w:r>
              <w:rPr>
                <w:rFonts w:hint="eastAsia" w:ascii="Times New Roman" w:hAnsi="Times New Roman" w:cs="Times New Roman"/>
                <w:color w:val="000000"/>
                <w:kern w:val="0"/>
                <w:sz w:val="24"/>
                <w:szCs w:val="24"/>
                <w:lang w:val="en-US" w:eastAsia="zh-CN" w:bidi="ar"/>
              </w:rPr>
              <w:t>、</w:t>
            </w:r>
            <w:r>
              <w:rPr>
                <w:rFonts w:hint="default" w:ascii="Times New Roman" w:hAnsi="Times New Roman" w:cs="Times New Roman"/>
                <w:color w:val="000000"/>
                <w:kern w:val="0"/>
                <w:sz w:val="24"/>
                <w:szCs w:val="24"/>
                <w:lang w:val="en-US" w:eastAsia="zh-CN" w:bidi="ar"/>
              </w:rPr>
              <w:t>个体防护措施</w:t>
            </w:r>
            <w:r>
              <w:rPr>
                <w:rFonts w:hint="eastAsia" w:ascii="Times New Roman" w:hAnsi="Times New Roman" w:cs="Times New Roman"/>
                <w:color w:val="000000"/>
                <w:kern w:val="0"/>
                <w:sz w:val="24"/>
                <w:szCs w:val="24"/>
                <w:lang w:val="en-US" w:eastAsia="zh-CN" w:bidi="ar"/>
              </w:rPr>
              <w:t>、采挖、破碎、筛分、</w:t>
            </w:r>
            <w:r>
              <w:rPr>
                <w:rFonts w:hint="default" w:ascii="Times New Roman" w:hAnsi="Times New Roman" w:cs="Times New Roman"/>
                <w:color w:val="000000"/>
                <w:kern w:val="0"/>
                <w:sz w:val="24"/>
                <w:szCs w:val="24"/>
                <w:lang w:val="en-US" w:eastAsia="zh-CN" w:bidi="ar"/>
              </w:rPr>
              <w:t>装卸物料</w:t>
            </w:r>
            <w:r>
              <w:rPr>
                <w:rFonts w:hint="eastAsia" w:ascii="Times New Roman" w:hAnsi="Times New Roman" w:cs="Times New Roman"/>
                <w:color w:val="000000"/>
                <w:kern w:val="0"/>
                <w:sz w:val="24"/>
                <w:szCs w:val="24"/>
                <w:lang w:val="en-US" w:eastAsia="zh-CN" w:bidi="ar"/>
              </w:rPr>
              <w:t>过程中</w:t>
            </w:r>
            <w:r>
              <w:rPr>
                <w:rFonts w:hint="default" w:ascii="Times New Roman" w:hAnsi="Times New Roman" w:cs="Times New Roman"/>
                <w:color w:val="000000"/>
                <w:kern w:val="0"/>
                <w:sz w:val="24"/>
                <w:szCs w:val="24"/>
                <w:lang w:val="en-US" w:eastAsia="zh-CN" w:bidi="ar"/>
              </w:rPr>
              <w:t>采取</w:t>
            </w:r>
            <w:r>
              <w:rPr>
                <w:rFonts w:hint="eastAsia" w:ascii="Times New Roman" w:hAnsi="Times New Roman" w:cs="Times New Roman"/>
                <w:color w:val="000000"/>
                <w:kern w:val="0"/>
                <w:sz w:val="24"/>
                <w:szCs w:val="24"/>
                <w:lang w:val="en-US" w:eastAsia="zh-CN" w:bidi="ar"/>
              </w:rPr>
              <w:t>雾炮喷淋装置、</w:t>
            </w:r>
            <w:r>
              <w:rPr>
                <w:rFonts w:hint="eastAsia" w:ascii="Times New Roman" w:hAnsi="Times New Roman" w:cs="Times New Roman"/>
                <w:color w:val="000000"/>
                <w:kern w:val="0"/>
                <w:sz w:val="24"/>
                <w:szCs w:val="24"/>
                <w:lang w:val="zh-CN" w:eastAsia="zh-CN" w:bidi="ar"/>
              </w:rPr>
              <w:t>篷布遮盖、</w:t>
            </w:r>
            <w:r>
              <w:rPr>
                <w:rFonts w:hint="default" w:ascii="Times New Roman" w:hAnsi="Times New Roman" w:cs="Times New Roman"/>
                <w:color w:val="000000"/>
                <w:kern w:val="0"/>
                <w:sz w:val="24"/>
                <w:szCs w:val="24"/>
                <w:lang w:val="en-US" w:eastAsia="zh-CN" w:bidi="ar"/>
              </w:rPr>
              <w:t>定期</w:t>
            </w:r>
            <w:r>
              <w:rPr>
                <w:rFonts w:hint="eastAsia" w:ascii="Times New Roman" w:hAnsi="Times New Roman" w:cs="Times New Roman"/>
                <w:color w:val="000000"/>
                <w:kern w:val="0"/>
                <w:sz w:val="24"/>
                <w:szCs w:val="24"/>
                <w:lang w:val="en-US" w:eastAsia="zh-CN" w:bidi="ar"/>
              </w:rPr>
              <w:t>洒水降尘、清洗车辆等措施</w:t>
            </w:r>
            <w:r>
              <w:rPr>
                <w:rFonts w:hint="eastAsia" w:cs="Times New Roman"/>
                <w:color w:val="000000"/>
                <w:kern w:val="0"/>
                <w:sz w:val="24"/>
                <w:szCs w:val="24"/>
                <w:lang w:val="en-US" w:eastAsia="zh-CN" w:bidi="ar"/>
              </w:rPr>
              <w:t>进行降尘；</w:t>
            </w:r>
          </w:p>
          <w:p>
            <w:pPr>
              <w:ind w:firstLine="480"/>
              <w:rPr>
                <w:rFonts w:cs="Times New Roman"/>
                <w:color w:val="000000"/>
                <w:kern w:val="0"/>
                <w:sz w:val="24"/>
                <w:szCs w:val="24"/>
                <w:lang w:val="zh-CN" w:bidi="ar"/>
              </w:rPr>
            </w:pPr>
            <w:r>
              <w:rPr>
                <w:rFonts w:hint="eastAsia" w:cs="Times New Roman"/>
                <w:color w:val="000000"/>
                <w:kern w:val="0"/>
                <w:sz w:val="24"/>
                <w:szCs w:val="24"/>
                <w:lang w:val="zh-CN" w:bidi="ar"/>
              </w:rPr>
              <w:t>⑦加强建筑施工现场颗粒物排放控制，施工现场应安装颗粒物在线监控设备，监测点颗粒物的15分钟浓度均值不得超过2.0mg/m</w:t>
            </w:r>
            <w:r>
              <w:rPr>
                <w:rFonts w:hint="eastAsia" w:cs="Times New Roman"/>
                <w:color w:val="000000"/>
                <w:kern w:val="0"/>
                <w:sz w:val="24"/>
                <w:szCs w:val="24"/>
                <w:vertAlign w:val="superscript"/>
                <w:lang w:val="zh-CN" w:bidi="ar"/>
              </w:rPr>
              <w:t>3</w:t>
            </w:r>
            <w:r>
              <w:rPr>
                <w:rFonts w:hint="eastAsia" w:cs="Times New Roman"/>
                <w:color w:val="000000"/>
                <w:kern w:val="0"/>
                <w:sz w:val="24"/>
                <w:szCs w:val="24"/>
                <w:lang w:val="zh-CN" w:bidi="ar"/>
              </w:rPr>
              <w:t>；</w:t>
            </w:r>
          </w:p>
          <w:p>
            <w:pPr>
              <w:ind w:firstLine="480"/>
              <w:rPr>
                <w:rFonts w:cs="Times New Roman"/>
                <w:color w:val="000000"/>
                <w:kern w:val="0"/>
                <w:sz w:val="24"/>
                <w:szCs w:val="24"/>
                <w:lang w:val="zh-CN" w:bidi="ar"/>
              </w:rPr>
            </w:pPr>
            <w:r>
              <w:rPr>
                <w:rFonts w:hint="eastAsia" w:ascii="Times New Roman" w:hAnsi="Times New Roman" w:eastAsia="宋体" w:cs="Times New Roman"/>
                <w:b w:val="0"/>
                <w:bCs w:val="0"/>
                <w:color w:val="000000"/>
                <w:kern w:val="0"/>
                <w:sz w:val="24"/>
                <w:szCs w:val="24"/>
                <w:lang w:val="en-US" w:eastAsia="zh-CN" w:bidi="ar-SA"/>
              </w:rPr>
              <w:t>（</w:t>
            </w:r>
            <w:r>
              <w:rPr>
                <w:rFonts w:hint="eastAsia" w:cs="Times New Roman"/>
                <w:color w:val="000000"/>
                <w:kern w:val="0"/>
                <w:sz w:val="24"/>
                <w:szCs w:val="24"/>
                <w:lang w:val="zh-CN" w:bidi="ar"/>
              </w:rPr>
              <w:t>2）有害气体污染防治措施</w:t>
            </w:r>
          </w:p>
          <w:p>
            <w:pPr>
              <w:ind w:firstLine="480"/>
              <w:rPr>
                <w:rFonts w:cs="Times New Roman"/>
                <w:color w:val="000000"/>
                <w:kern w:val="0"/>
                <w:sz w:val="24"/>
                <w:szCs w:val="24"/>
                <w:lang w:val="zh-CN" w:bidi="ar"/>
              </w:rPr>
            </w:pPr>
            <w:r>
              <w:rPr>
                <w:rFonts w:hint="eastAsia" w:cs="Times New Roman"/>
                <w:color w:val="000000"/>
                <w:kern w:val="0"/>
                <w:sz w:val="24"/>
                <w:szCs w:val="24"/>
                <w:lang w:val="zh-CN" w:bidi="ar"/>
              </w:rPr>
              <w:t>①施工场地禁止焚烧各类废弃物；</w:t>
            </w:r>
          </w:p>
          <w:p>
            <w:pPr>
              <w:ind w:firstLine="480"/>
              <w:rPr>
                <w:rFonts w:cs="Times New Roman"/>
                <w:color w:val="000000"/>
                <w:kern w:val="0"/>
                <w:sz w:val="24"/>
                <w:szCs w:val="24"/>
                <w:lang w:val="zh-CN" w:bidi="ar"/>
              </w:rPr>
            </w:pPr>
            <w:r>
              <w:rPr>
                <w:rFonts w:hint="eastAsia" w:cs="Times New Roman"/>
                <w:color w:val="000000"/>
                <w:kern w:val="0"/>
                <w:sz w:val="24"/>
                <w:szCs w:val="24"/>
                <w:lang w:val="zh-CN" w:bidi="ar"/>
              </w:rPr>
              <w:t>②建筑工程施工现场严禁使用木材、橡胶、废料等材料进行燃烧取暖、加热；</w:t>
            </w:r>
          </w:p>
          <w:p>
            <w:pPr>
              <w:ind w:firstLine="480"/>
              <w:rPr>
                <w:rFonts w:cs="Times New Roman"/>
                <w:color w:val="000000"/>
                <w:kern w:val="0"/>
                <w:sz w:val="24"/>
                <w:szCs w:val="24"/>
                <w:lang w:val="zh-CN" w:bidi="ar"/>
              </w:rPr>
            </w:pPr>
            <w:r>
              <w:rPr>
                <w:rFonts w:hint="eastAsia" w:cs="Times New Roman"/>
                <w:color w:val="000000"/>
                <w:kern w:val="0"/>
                <w:sz w:val="24"/>
                <w:szCs w:val="24"/>
                <w:lang w:val="zh-CN" w:bidi="ar"/>
              </w:rPr>
              <w:t>③施工车辆、机械设备尾气排放应符合GB18352.5和GB16297的规定；</w:t>
            </w:r>
          </w:p>
          <w:p>
            <w:pPr>
              <w:pStyle w:val="155"/>
              <w:spacing w:line="360" w:lineRule="auto"/>
              <w:ind w:left="0" w:leftChars="0" w:firstLine="0" w:firstLineChars="0"/>
              <w:rPr>
                <w:rFonts w:hint="eastAsia" w:cs="Times New Roman"/>
                <w:color w:val="000000"/>
                <w:kern w:val="0"/>
                <w:sz w:val="24"/>
                <w:szCs w:val="24"/>
                <w:lang w:val="zh-CN" w:bidi="ar"/>
              </w:rPr>
            </w:pPr>
            <w:r>
              <w:rPr>
                <w:rFonts w:hint="eastAsia" w:cs="Times New Roman"/>
                <w:color w:val="000000"/>
                <w:kern w:val="0"/>
                <w:sz w:val="24"/>
                <w:szCs w:val="24"/>
                <w:lang w:val="zh-CN" w:bidi="ar"/>
              </w:rPr>
              <w:t>④对含有害物质的材料必须进行复检，合格后方可使用。</w:t>
            </w:r>
          </w:p>
          <w:p>
            <w:pPr>
              <w:pStyle w:val="155"/>
              <w:spacing w:line="360" w:lineRule="auto"/>
              <w:ind w:left="0" w:leftChars="0" w:firstLine="0" w:firstLineChars="0"/>
              <w:rPr>
                <w:rFonts w:hint="default" w:ascii="Times New Roman" w:hAnsi="Times New Roman" w:cs="Times New Roman"/>
                <w:b/>
                <w:color w:val="000000"/>
                <w:kern w:val="0"/>
                <w:sz w:val="24"/>
                <w:szCs w:val="24"/>
              </w:rPr>
            </w:pPr>
            <w:r>
              <w:rPr>
                <w:rFonts w:hint="default" w:ascii="Times New Roman" w:hAnsi="Times New Roman" w:cs="Times New Roman"/>
                <w:b/>
                <w:color w:val="000000"/>
                <w:kern w:val="0"/>
                <w:sz w:val="24"/>
                <w:szCs w:val="24"/>
                <w:lang w:val="en-US" w:eastAsia="zh-CN"/>
              </w:rPr>
              <w:t>2</w:t>
            </w:r>
            <w:r>
              <w:rPr>
                <w:rFonts w:hint="default" w:ascii="Times New Roman" w:hAnsi="Times New Roman" w:cs="Times New Roman"/>
                <w:b/>
                <w:color w:val="000000"/>
                <w:kern w:val="0"/>
                <w:sz w:val="24"/>
                <w:szCs w:val="24"/>
              </w:rPr>
              <w:t>、水环境保护措施</w:t>
            </w:r>
          </w:p>
          <w:p>
            <w:pPr>
              <w:pStyle w:val="155"/>
              <w:snapToGrid w:val="0"/>
              <w:spacing w:line="360" w:lineRule="auto"/>
              <w:ind w:left="0" w:right="0" w:firstLine="480" w:firstLineChars="200"/>
              <w:jc w:val="both"/>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rPr>
              <w:t>（1）</w:t>
            </w:r>
            <w:r>
              <w:rPr>
                <w:rFonts w:hint="eastAsia" w:ascii="Times New Roman" w:hAnsi="Times New Roman" w:eastAsia="宋体" w:cs="Times New Roman"/>
                <w:color w:val="000000"/>
                <w:sz w:val="24"/>
                <w:szCs w:val="24"/>
                <w:lang w:val="en-US" w:eastAsia="zh-CN"/>
              </w:rPr>
              <w:t>施工废水</w:t>
            </w:r>
          </w:p>
          <w:p>
            <w:pPr>
              <w:pStyle w:val="155"/>
              <w:snapToGrid w:val="0"/>
              <w:spacing w:line="360" w:lineRule="auto"/>
              <w:ind w:left="0" w:right="0" w:firstLine="480" w:firstLineChars="200"/>
              <w:jc w:val="both"/>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rPr>
              <w:t>本项目混凝土采用商业混凝土，不在项目区现拌混凝土</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混凝土在养护过程中，会产生一定碱性废水</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要求建设单位控制养护用水量，减少养护水的排放</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同时采用草席对碱性废水进行吸收，禁止养护水过多产生径流，草席使用结束后自然晾干，用于下一工程混凝土养护，不外排</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由于养护水分散排放，不会对水环境产生不利影响</w:t>
            </w:r>
            <w:r>
              <w:rPr>
                <w:rFonts w:hint="default" w:ascii="Times New Roman" w:hAnsi="Times New Roman" w:eastAsia="宋体" w:cs="Times New Roman"/>
                <w:color w:val="000000"/>
                <w:sz w:val="24"/>
                <w:szCs w:val="24"/>
                <w:lang w:eastAsia="zh-CN"/>
              </w:rPr>
              <w:t>；</w:t>
            </w:r>
          </w:p>
          <w:p>
            <w:pPr>
              <w:pStyle w:val="155"/>
              <w:snapToGrid w:val="0"/>
              <w:spacing w:line="360" w:lineRule="auto"/>
              <w:ind w:left="0" w:right="0" w:firstLine="480" w:firstLineChars="200"/>
              <w:jc w:val="both"/>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（2）施工期加强环境管理，对施工人员进行环保宣传教育，严禁向地表水体排放任何废水，保护地表水体水质；</w:t>
            </w:r>
          </w:p>
          <w:p>
            <w:pPr>
              <w:pStyle w:val="155"/>
              <w:snapToGrid w:val="0"/>
              <w:spacing w:line="360" w:lineRule="auto"/>
              <w:ind w:left="0" w:right="0" w:firstLine="480" w:firstLineChars="200"/>
              <w:jc w:val="both"/>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（3）此外，应做好建筑材料和建筑废料的管理，防止成为水环境的二次污染源。</w:t>
            </w:r>
          </w:p>
          <w:p>
            <w:pPr>
              <w:pStyle w:val="155"/>
              <w:snapToGrid w:val="0"/>
              <w:spacing w:line="360" w:lineRule="auto"/>
              <w:ind w:left="0" w:right="0" w:firstLine="480" w:firstLineChars="200"/>
              <w:jc w:val="both"/>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eastAsia="zh-CN"/>
              </w:rPr>
              <w:t>（</w:t>
            </w:r>
            <w:r>
              <w:rPr>
                <w:rFonts w:hint="eastAsia" w:ascii="Times New Roman" w:hAnsi="Times New Roman" w:eastAsia="宋体" w:cs="Times New Roman"/>
                <w:color w:val="000000"/>
                <w:sz w:val="24"/>
                <w:szCs w:val="24"/>
                <w:lang w:val="en-US" w:eastAsia="zh-CN"/>
              </w:rPr>
              <w:t>4</w:t>
            </w:r>
            <w:r>
              <w:rPr>
                <w:rFonts w:hint="default" w:ascii="Times New Roman" w:hAnsi="Times New Roman" w:eastAsia="宋体" w:cs="Times New Roman"/>
                <w:color w:val="000000"/>
                <w:sz w:val="24"/>
                <w:szCs w:val="24"/>
              </w:rPr>
              <w:t>）禁止</w:t>
            </w:r>
            <w:r>
              <w:rPr>
                <w:rFonts w:hint="default" w:ascii="Times New Roman" w:hAnsi="Times New Roman" w:eastAsia="宋体" w:cs="Times New Roman"/>
                <w:color w:val="000000"/>
                <w:sz w:val="24"/>
                <w:szCs w:val="24"/>
                <w:lang w:val="en-US" w:eastAsia="zh-CN"/>
              </w:rPr>
              <w:t>在</w:t>
            </w:r>
            <w:r>
              <w:rPr>
                <w:rFonts w:hint="eastAsia" w:ascii="Times New Roman" w:hAnsi="Times New Roman" w:eastAsia="宋体" w:cs="Times New Roman"/>
                <w:color w:val="000000"/>
                <w:sz w:val="24"/>
                <w:szCs w:val="24"/>
                <w:lang w:val="en-US" w:eastAsia="zh-CN"/>
              </w:rPr>
              <w:t>白杨河河</w:t>
            </w:r>
            <w:r>
              <w:rPr>
                <w:rFonts w:hint="default" w:ascii="Times New Roman" w:hAnsi="Times New Roman" w:eastAsia="宋体" w:cs="Times New Roman"/>
                <w:color w:val="000000"/>
                <w:sz w:val="24"/>
                <w:szCs w:val="24"/>
                <w:lang w:eastAsia="zh-CN"/>
              </w:rPr>
              <w:t>边</w:t>
            </w:r>
            <w:r>
              <w:rPr>
                <w:rFonts w:hint="default" w:ascii="Times New Roman" w:hAnsi="Times New Roman" w:eastAsia="宋体" w:cs="Times New Roman"/>
                <w:color w:val="000000"/>
                <w:sz w:val="24"/>
                <w:szCs w:val="24"/>
              </w:rPr>
              <w:t>设置取、弃土</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渣</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场、施工场地和物料堆放场等临时工程。</w:t>
            </w:r>
          </w:p>
          <w:p>
            <w:pPr>
              <w:pStyle w:val="155"/>
              <w:snapToGrid w:val="0"/>
              <w:spacing w:line="360" w:lineRule="auto"/>
              <w:ind w:left="0" w:right="0" w:firstLine="480" w:firstLineChars="200"/>
              <w:jc w:val="both"/>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eastAsia="zh-CN"/>
              </w:rPr>
              <w:t>（</w:t>
            </w:r>
            <w:r>
              <w:rPr>
                <w:rFonts w:hint="eastAsia" w:ascii="Times New Roman" w:hAnsi="Times New Roman" w:eastAsia="宋体" w:cs="Times New Roman"/>
                <w:color w:val="000000"/>
                <w:sz w:val="24"/>
                <w:szCs w:val="24"/>
                <w:lang w:val="en-US" w:eastAsia="zh-CN"/>
              </w:rPr>
              <w:t>5</w:t>
            </w:r>
            <w:r>
              <w:rPr>
                <w:rFonts w:hint="default" w:ascii="Times New Roman" w:hAnsi="Times New Roman" w:eastAsia="宋体" w:cs="Times New Roman"/>
                <w:color w:val="000000"/>
                <w:sz w:val="24"/>
                <w:szCs w:val="24"/>
              </w:rPr>
              <w:t>）施工材料堆放场应尽可能远离河道，场地做防渗处理并设围挡措施，加盖篷布覆盖，减少雨水冲刷造成污染。</w:t>
            </w:r>
          </w:p>
          <w:p>
            <w:pPr>
              <w:pStyle w:val="155"/>
              <w:snapToGrid w:val="0"/>
              <w:spacing w:line="360" w:lineRule="auto"/>
              <w:ind w:left="0" w:right="0" w:firstLine="480" w:firstLineChars="200"/>
              <w:jc w:val="both"/>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val="en-US" w:eastAsia="zh-CN"/>
              </w:rPr>
              <w:t>（</w:t>
            </w:r>
            <w:r>
              <w:rPr>
                <w:rFonts w:hint="eastAsia" w:ascii="Times New Roman" w:hAnsi="Times New Roman" w:eastAsia="宋体" w:cs="Times New Roman"/>
                <w:color w:val="000000"/>
                <w:sz w:val="24"/>
                <w:szCs w:val="24"/>
                <w:lang w:val="en-US" w:eastAsia="zh-CN"/>
              </w:rPr>
              <w:t>6</w:t>
            </w:r>
            <w:r>
              <w:rPr>
                <w:rFonts w:hint="default" w:ascii="Times New Roman" w:hAnsi="Times New Roman" w:eastAsia="宋体" w:cs="Times New Roman"/>
                <w:color w:val="000000"/>
                <w:sz w:val="24"/>
                <w:szCs w:val="24"/>
              </w:rPr>
              <w:t>）禁止往</w:t>
            </w:r>
            <w:r>
              <w:rPr>
                <w:rFonts w:hint="eastAsia" w:ascii="Times New Roman" w:hAnsi="Times New Roman" w:eastAsia="宋体" w:cs="Times New Roman"/>
                <w:color w:val="000000"/>
                <w:sz w:val="24"/>
                <w:szCs w:val="24"/>
                <w:lang w:val="en-US" w:eastAsia="zh-CN"/>
              </w:rPr>
              <w:t>白杨河</w:t>
            </w:r>
            <w:r>
              <w:rPr>
                <w:rFonts w:hint="default" w:ascii="Times New Roman" w:hAnsi="Times New Roman" w:eastAsia="宋体" w:cs="Times New Roman"/>
                <w:color w:val="000000"/>
                <w:sz w:val="24"/>
                <w:szCs w:val="24"/>
                <w:lang w:eastAsia="zh-CN"/>
              </w:rPr>
              <w:t>河道内</w:t>
            </w:r>
            <w:r>
              <w:rPr>
                <w:rFonts w:hint="default" w:ascii="Times New Roman" w:hAnsi="Times New Roman" w:eastAsia="宋体" w:cs="Times New Roman"/>
                <w:color w:val="000000"/>
                <w:sz w:val="24"/>
                <w:szCs w:val="24"/>
              </w:rPr>
              <w:t>倾倒砂石料等物料，施工人员生活垃圾禁止弃入河道。</w:t>
            </w:r>
          </w:p>
          <w:p>
            <w:pPr>
              <w:pStyle w:val="155"/>
              <w:snapToGrid w:val="0"/>
              <w:spacing w:line="360" w:lineRule="auto"/>
              <w:ind w:left="0" w:right="0" w:firstLine="480" w:firstLineChars="200"/>
              <w:jc w:val="both"/>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eastAsia="zh-CN"/>
              </w:rPr>
              <w:t>（</w:t>
            </w:r>
            <w:r>
              <w:rPr>
                <w:rFonts w:hint="eastAsia" w:ascii="Times New Roman" w:hAnsi="Times New Roman" w:eastAsia="宋体" w:cs="Times New Roman"/>
                <w:color w:val="000000"/>
                <w:sz w:val="24"/>
                <w:szCs w:val="24"/>
                <w:lang w:val="en-US" w:eastAsia="zh-CN"/>
              </w:rPr>
              <w:t>7</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lang w:val="en-US" w:eastAsia="zh-CN"/>
              </w:rPr>
              <w:t>施工时靠近</w:t>
            </w:r>
            <w:r>
              <w:rPr>
                <w:rFonts w:hint="eastAsia" w:ascii="Times New Roman" w:hAnsi="Times New Roman" w:eastAsia="宋体" w:cs="Times New Roman"/>
                <w:color w:val="000000"/>
                <w:sz w:val="24"/>
                <w:szCs w:val="24"/>
                <w:lang w:val="en-US" w:eastAsia="zh-CN"/>
              </w:rPr>
              <w:t>白杨河</w:t>
            </w:r>
            <w:r>
              <w:rPr>
                <w:rFonts w:hint="default" w:ascii="Times New Roman" w:hAnsi="Times New Roman" w:eastAsia="宋体" w:cs="Times New Roman"/>
                <w:color w:val="000000"/>
                <w:sz w:val="24"/>
                <w:szCs w:val="24"/>
                <w:lang w:val="en-US" w:eastAsia="zh-CN"/>
              </w:rPr>
              <w:t>一侧设置临时硬质围挡，防止车辆翻入</w:t>
            </w:r>
            <w:r>
              <w:rPr>
                <w:rFonts w:hint="eastAsia" w:ascii="Times New Roman" w:hAnsi="Times New Roman" w:eastAsia="宋体" w:cs="Times New Roman"/>
                <w:color w:val="000000"/>
                <w:sz w:val="24"/>
                <w:szCs w:val="24"/>
                <w:lang w:val="en-US" w:eastAsia="zh-CN"/>
              </w:rPr>
              <w:t>白杨河</w:t>
            </w:r>
            <w:r>
              <w:rPr>
                <w:rFonts w:hint="default" w:ascii="Times New Roman" w:hAnsi="Times New Roman" w:eastAsia="宋体" w:cs="Times New Roman"/>
                <w:color w:val="000000"/>
                <w:sz w:val="24"/>
                <w:szCs w:val="24"/>
                <w:lang w:val="en-US" w:eastAsia="zh-CN"/>
              </w:rPr>
              <w:t>中。</w:t>
            </w:r>
          </w:p>
          <w:p>
            <w:pPr>
              <w:pStyle w:val="155"/>
              <w:snapToGrid w:val="0"/>
              <w:spacing w:line="360" w:lineRule="auto"/>
              <w:ind w:left="0" w:right="0" w:firstLine="480" w:firstLineChars="200"/>
              <w:jc w:val="both"/>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rPr>
              <w:t>（</w:t>
            </w:r>
            <w:r>
              <w:rPr>
                <w:rFonts w:hint="eastAsia" w:ascii="Times New Roman" w:hAnsi="Times New Roman" w:eastAsia="宋体" w:cs="Times New Roman"/>
                <w:color w:val="000000"/>
                <w:sz w:val="24"/>
                <w:szCs w:val="24"/>
                <w:lang w:val="en-US" w:eastAsia="zh-CN"/>
              </w:rPr>
              <w:t>8</w:t>
            </w:r>
            <w:r>
              <w:rPr>
                <w:rFonts w:hint="default" w:ascii="Times New Roman" w:hAnsi="Times New Roman" w:eastAsia="宋体" w:cs="Times New Roman"/>
                <w:color w:val="000000"/>
                <w:sz w:val="24"/>
                <w:szCs w:val="24"/>
              </w:rPr>
              <w:t>）文明安全施工，加强环境管理，避免对河道堤坝等防护设施产生破坏影响；施工过程中应注意施工现场的清理，避免废物料遗留河道内，并做好苫盖措施，防止施工产生的</w:t>
            </w:r>
            <w:r>
              <w:rPr>
                <w:rFonts w:hint="default" w:ascii="Times New Roman" w:hAnsi="Times New Roman" w:eastAsia="宋体" w:cs="Times New Roman"/>
                <w:color w:val="000000"/>
                <w:sz w:val="24"/>
                <w:szCs w:val="24"/>
                <w:lang w:val="en-US" w:eastAsia="zh-CN"/>
              </w:rPr>
              <w:t>弃</w:t>
            </w:r>
            <w:r>
              <w:rPr>
                <w:rFonts w:hint="default" w:ascii="Times New Roman" w:hAnsi="Times New Roman" w:eastAsia="宋体" w:cs="Times New Roman"/>
                <w:color w:val="000000"/>
                <w:sz w:val="24"/>
                <w:szCs w:val="24"/>
              </w:rPr>
              <w:t>渣、泥沙进入</w:t>
            </w:r>
            <w:r>
              <w:rPr>
                <w:rFonts w:hint="default" w:ascii="Times New Roman" w:hAnsi="Times New Roman" w:eastAsia="宋体" w:cs="Times New Roman"/>
                <w:color w:val="000000"/>
                <w:sz w:val="24"/>
                <w:szCs w:val="24"/>
                <w:lang w:val="en-US" w:eastAsia="zh-CN"/>
              </w:rPr>
              <w:t>水体</w:t>
            </w:r>
            <w:r>
              <w:rPr>
                <w:rFonts w:hint="default" w:ascii="Times New Roman" w:hAnsi="Times New Roman" w:eastAsia="宋体" w:cs="Times New Roman"/>
                <w:color w:val="000000"/>
                <w:sz w:val="24"/>
                <w:szCs w:val="24"/>
              </w:rPr>
              <w:t>内。</w:t>
            </w:r>
          </w:p>
          <w:p>
            <w:pPr>
              <w:pStyle w:val="155"/>
              <w:snapToGrid w:val="0"/>
              <w:spacing w:line="360" w:lineRule="auto"/>
              <w:ind w:left="0" w:right="0" w:firstLine="480" w:firstLineChars="200"/>
              <w:jc w:val="both"/>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在严格执行上述措施后，本项目对周边水影响很小。</w:t>
            </w:r>
          </w:p>
          <w:p>
            <w:pPr>
              <w:pStyle w:val="155"/>
              <w:snapToGrid w:val="0"/>
              <w:spacing w:line="360" w:lineRule="auto"/>
              <w:ind w:left="0" w:right="0" w:firstLine="480" w:firstLineChars="200"/>
              <w:jc w:val="both"/>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（2）生活污水</w:t>
            </w:r>
          </w:p>
          <w:p>
            <w:pPr>
              <w:pStyle w:val="155"/>
              <w:snapToGrid w:val="0"/>
              <w:spacing w:line="360" w:lineRule="auto"/>
              <w:ind w:left="0" w:right="0" w:firstLine="480" w:firstLineChars="200"/>
              <w:jc w:val="both"/>
              <w:rPr>
                <w:rFonts w:hint="eastAsia" w:ascii="Times New Roman" w:hAnsi="Times New Roman" w:eastAsia="宋体" w:cs="Times New Roman"/>
              </w:rPr>
            </w:pPr>
            <w:r>
              <w:rPr>
                <w:rFonts w:hint="eastAsia" w:ascii="Times New Roman" w:hAnsi="Times New Roman" w:eastAsia="宋体" w:cs="Times New Roman"/>
                <w:color w:val="000000"/>
                <w:sz w:val="24"/>
                <w:szCs w:val="24"/>
              </w:rPr>
              <w:t>施工</w:t>
            </w:r>
            <w:r>
              <w:rPr>
                <w:rFonts w:hint="eastAsia" w:ascii="Times New Roman" w:hAnsi="Times New Roman" w:eastAsia="宋体" w:cs="Times New Roman"/>
                <w:color w:val="000000"/>
                <w:sz w:val="24"/>
                <w:szCs w:val="24"/>
                <w:lang w:val="en-US" w:eastAsia="zh-CN"/>
              </w:rPr>
              <w:t>人数约20人，产生的生活废水经化粪池处理后由吉木萨尔县环卫部门定期清运处置，对周围水环境产生影响较小</w:t>
            </w:r>
            <w:r>
              <w:rPr>
                <w:rFonts w:hint="eastAsia" w:ascii="Times New Roman" w:hAnsi="Times New Roman" w:eastAsia="宋体" w:cs="Times New Roman"/>
              </w:rPr>
              <w:t>。</w:t>
            </w:r>
          </w:p>
          <w:p>
            <w:pPr>
              <w:pStyle w:val="155"/>
              <w:spacing w:line="360" w:lineRule="auto"/>
              <w:ind w:left="0" w:leftChars="0" w:firstLine="0" w:firstLineChars="0"/>
              <w:rPr>
                <w:rFonts w:hint="default" w:ascii="Times New Roman" w:hAnsi="Times New Roman" w:cs="Times New Roman"/>
                <w:b/>
                <w:bCs/>
                <w:color w:val="000000"/>
                <w:kern w:val="0"/>
                <w:sz w:val="24"/>
                <w:szCs w:val="24"/>
              </w:rPr>
            </w:pPr>
            <w:r>
              <w:rPr>
                <w:rFonts w:hint="eastAsia" w:ascii="Times New Roman" w:hAnsi="Times New Roman" w:cs="Times New Roman"/>
                <w:b/>
                <w:bCs/>
                <w:color w:val="000000"/>
                <w:kern w:val="0"/>
                <w:sz w:val="24"/>
                <w:szCs w:val="24"/>
                <w:lang w:val="en-US" w:eastAsia="zh-CN"/>
              </w:rPr>
              <w:t>3</w:t>
            </w:r>
            <w:r>
              <w:rPr>
                <w:rFonts w:hint="default" w:ascii="Times New Roman" w:hAnsi="Times New Roman" w:cs="Times New Roman"/>
                <w:b/>
                <w:bCs/>
                <w:color w:val="000000"/>
                <w:kern w:val="0"/>
                <w:sz w:val="24"/>
                <w:szCs w:val="24"/>
              </w:rPr>
              <w:t>、噪声防治措施</w:t>
            </w:r>
          </w:p>
          <w:p>
            <w:pPr>
              <w:ind w:firstLine="560"/>
              <w:rPr>
                <w:rFonts w:hint="eastAsia"/>
                <w:highlight w:val="none"/>
              </w:rPr>
            </w:pPr>
            <w:r>
              <w:rPr>
                <w:rFonts w:hint="eastAsia"/>
                <w:highlight w:val="none"/>
              </w:rPr>
              <w:t>施工期环境噪声主要来源于施工过程中施工机械运转、车辆运输等，主要影响对象是沿线居民及施工人员。根据预测可知，本项目施工噪声在衰减至临近项目区的居民敏感点时不达标，对项目区周边居民区产生影响，为防治施工噪声影响，提出以下措施：</w:t>
            </w:r>
          </w:p>
          <w:p>
            <w:pPr>
              <w:ind w:firstLine="560"/>
              <w:rPr>
                <w:rFonts w:hint="eastAsia" w:eastAsia="宋体"/>
                <w:highlight w:val="none"/>
                <w:lang w:eastAsia="zh-CN"/>
              </w:rPr>
            </w:pPr>
            <w:r>
              <w:rPr>
                <w:rFonts w:hint="eastAsia"/>
                <w:highlight w:val="none"/>
              </w:rPr>
              <w:t>（1）</w:t>
            </w:r>
            <w:r>
              <w:rPr>
                <w:highlight w:val="none"/>
              </w:rPr>
              <w:t>选择低噪声机械设备，</w:t>
            </w:r>
            <w:r>
              <w:rPr>
                <w:rFonts w:hint="eastAsia"/>
                <w:highlight w:val="none"/>
              </w:rPr>
              <w:t>及时关闭</w:t>
            </w:r>
            <w:r>
              <w:rPr>
                <w:highlight w:val="none"/>
              </w:rPr>
              <w:t>闲置设备。对于噪声较大的施工机械，可采取封闭作业</w:t>
            </w:r>
            <w:r>
              <w:rPr>
                <w:rFonts w:hint="eastAsia"/>
                <w:highlight w:val="none"/>
              </w:rPr>
              <w:t>，工人可佩带耳塞耳套</w:t>
            </w:r>
            <w:r>
              <w:rPr>
                <w:rFonts w:hint="eastAsia"/>
                <w:highlight w:val="none"/>
                <w:lang w:eastAsia="zh-CN"/>
              </w:rPr>
              <w:t>；</w:t>
            </w:r>
          </w:p>
          <w:p>
            <w:pPr>
              <w:ind w:firstLine="560"/>
              <w:rPr>
                <w:rFonts w:hint="eastAsia" w:eastAsia="宋体"/>
                <w:highlight w:val="none"/>
                <w:lang w:eastAsia="zh-CN"/>
              </w:rPr>
            </w:pPr>
            <w:r>
              <w:rPr>
                <w:rFonts w:hint="eastAsia"/>
                <w:highlight w:val="none"/>
              </w:rPr>
              <w:t>（2）</w:t>
            </w:r>
            <w:r>
              <w:rPr>
                <w:highlight w:val="none"/>
              </w:rPr>
              <w:t>合理规划施工组织设计，尽量避免同时使用多个大噪声设备，施工场地布置上也应尽量将噪声源分散开</w:t>
            </w:r>
            <w:r>
              <w:rPr>
                <w:rFonts w:hint="eastAsia"/>
                <w:highlight w:val="none"/>
              </w:rPr>
              <w:t>，同时避免在临近居民区作业区布置高噪声设备，尽量选择小型设备快速作业</w:t>
            </w:r>
            <w:r>
              <w:rPr>
                <w:rFonts w:hint="eastAsia"/>
                <w:highlight w:val="none"/>
                <w:lang w:eastAsia="zh-CN"/>
              </w:rPr>
              <w:t>；</w:t>
            </w:r>
          </w:p>
          <w:p>
            <w:pPr>
              <w:ind w:firstLine="560"/>
              <w:rPr>
                <w:rFonts w:hint="eastAsia"/>
                <w:highlight w:val="none"/>
                <w:lang w:val="zh-CN"/>
              </w:rPr>
            </w:pPr>
            <w:r>
              <w:rPr>
                <w:rFonts w:hint="eastAsia"/>
                <w:highlight w:val="none"/>
              </w:rPr>
              <w:t>（3）</w:t>
            </w:r>
            <w:r>
              <w:rPr>
                <w:highlight w:val="none"/>
                <w:lang w:val="zh-CN"/>
              </w:rPr>
              <w:t>作好施工组织优化工作，使强噪声源远离施工人员</w:t>
            </w:r>
            <w:r>
              <w:rPr>
                <w:rFonts w:hint="eastAsia"/>
                <w:highlight w:val="none"/>
                <w:lang w:val="zh-CN"/>
              </w:rPr>
              <w:t>施工生产区；</w:t>
            </w:r>
          </w:p>
          <w:p>
            <w:pPr>
              <w:ind w:firstLine="560"/>
              <w:rPr>
                <w:rFonts w:hint="eastAsia" w:eastAsia="宋体"/>
                <w:highlight w:val="none"/>
                <w:lang w:val="zh-CN" w:eastAsia="zh-CN"/>
              </w:rPr>
            </w:pPr>
            <w:r>
              <w:rPr>
                <w:rFonts w:hint="eastAsia"/>
                <w:highlight w:val="none"/>
                <w:lang w:val="zh-CN"/>
              </w:rPr>
              <w:t>（</w:t>
            </w:r>
            <w:r>
              <w:rPr>
                <w:rFonts w:hint="eastAsia"/>
                <w:highlight w:val="none"/>
              </w:rPr>
              <w:t>4</w:t>
            </w:r>
            <w:r>
              <w:rPr>
                <w:rFonts w:hint="eastAsia"/>
                <w:highlight w:val="none"/>
                <w:lang w:val="zh-CN"/>
              </w:rPr>
              <w:t>）</w:t>
            </w:r>
            <w:r>
              <w:rPr>
                <w:rFonts w:hint="eastAsia"/>
                <w:highlight w:val="none"/>
              </w:rPr>
              <w:t>优化项目沿线途径居民区处施工布置方案，调整居民区附近施工布置，使项目沿线施工机械远离居民区，减缓施工噪声对居民区的影响。沿线施工必须在居民区附近进行时，应</w:t>
            </w:r>
            <w:r>
              <w:rPr>
                <w:szCs w:val="28"/>
                <w:highlight w:val="none"/>
              </w:rPr>
              <w:t>避免在同一地点安排大量动力机械设备，以免局部声级过高。对设备可采用固定式或活动式隔声罩进行局部遮挡，</w:t>
            </w:r>
            <w:r>
              <w:rPr>
                <w:rFonts w:hint="eastAsia"/>
                <w:szCs w:val="28"/>
                <w:highlight w:val="none"/>
              </w:rPr>
              <w:t>或</w:t>
            </w:r>
            <w:r>
              <w:rPr>
                <w:szCs w:val="28"/>
                <w:highlight w:val="none"/>
              </w:rPr>
              <w:t>可</w:t>
            </w:r>
            <w:r>
              <w:rPr>
                <w:rFonts w:hint="eastAsia"/>
                <w:szCs w:val="28"/>
                <w:highlight w:val="none"/>
              </w:rPr>
              <w:t>在靠近居民一侧</w:t>
            </w:r>
            <w:r>
              <w:rPr>
                <w:szCs w:val="28"/>
                <w:highlight w:val="none"/>
              </w:rPr>
              <w:t>建立临时单面声屏障</w:t>
            </w:r>
            <w:r>
              <w:rPr>
                <w:rFonts w:hint="eastAsia"/>
                <w:szCs w:val="28"/>
                <w:highlight w:val="none"/>
                <w:lang w:eastAsia="zh-CN"/>
              </w:rPr>
              <w:t>；</w:t>
            </w:r>
          </w:p>
          <w:p>
            <w:pPr>
              <w:ind w:firstLine="560"/>
              <w:rPr>
                <w:rFonts w:hint="eastAsia" w:eastAsia="宋体"/>
                <w:highlight w:val="none"/>
                <w:lang w:eastAsia="zh-CN"/>
              </w:rPr>
            </w:pPr>
            <w:r>
              <w:rPr>
                <w:rFonts w:hint="eastAsia"/>
                <w:highlight w:val="none"/>
                <w:lang w:val="zh-CN"/>
              </w:rPr>
              <w:t>（</w:t>
            </w:r>
            <w:r>
              <w:rPr>
                <w:rFonts w:hint="eastAsia"/>
                <w:highlight w:val="none"/>
              </w:rPr>
              <w:t>5</w:t>
            </w:r>
            <w:r>
              <w:rPr>
                <w:rFonts w:hint="eastAsia"/>
                <w:highlight w:val="none"/>
                <w:lang w:val="zh-CN"/>
              </w:rPr>
              <w:t>）</w:t>
            </w:r>
            <w:r>
              <w:rPr>
                <w:rFonts w:hint="eastAsia"/>
                <w:highlight w:val="none"/>
              </w:rPr>
              <w:t>施工过程中应合理安排施工作业时间，制定合理施工计划，禁止大风天气、夜间施工</w:t>
            </w:r>
            <w:r>
              <w:rPr>
                <w:rFonts w:hint="eastAsia"/>
                <w:highlight w:val="none"/>
                <w:lang w:eastAsia="zh-CN"/>
              </w:rPr>
              <w:t>，</w:t>
            </w:r>
            <w:r>
              <w:rPr>
                <w:rFonts w:hint="eastAsia"/>
                <w:highlight w:val="none"/>
              </w:rPr>
              <w:t>加大宣传力度，并张贴告示栏通知周边可能受到影响的居民，同时加强施工管理，提倡文明施工，建立健全控制人为噪声的管理制度，尽量避免人为的大声喧哗</w:t>
            </w:r>
            <w:r>
              <w:rPr>
                <w:rFonts w:hint="eastAsia"/>
                <w:highlight w:val="none"/>
                <w:lang w:eastAsia="zh-CN"/>
              </w:rPr>
              <w:t>；</w:t>
            </w:r>
          </w:p>
          <w:p>
            <w:pPr>
              <w:ind w:firstLine="560"/>
              <w:rPr>
                <w:rFonts w:hint="eastAsia" w:ascii="Times New Roman" w:hAnsi="Times New Roman" w:eastAsia="宋体" w:cs="Times New Roman"/>
                <w:highlight w:val="none"/>
              </w:rPr>
            </w:pPr>
            <w:r>
              <w:rPr>
                <w:rFonts w:hint="eastAsia" w:ascii="Times New Roman" w:hAnsi="Times New Roman" w:eastAsia="宋体" w:cs="Times New Roman"/>
                <w:highlight w:val="none"/>
              </w:rPr>
              <w:t>（6）场外运输作业尽量安排在白天进行，施工车辆进入施工场区或途径居民区等敏感点时内应采取减速、禁鸣等措施。</w:t>
            </w:r>
          </w:p>
          <w:p>
            <w:pPr>
              <w:ind w:firstLine="560"/>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（7）施工单位在施工现场应张贴通告和投诉电话，并在接到投诉电话后及时与当地环保部门联系，以便处理各种环境纠纷。</w:t>
            </w:r>
          </w:p>
          <w:p>
            <w:pPr>
              <w:ind w:firstLine="560"/>
              <w:rPr>
                <w:rFonts w:hint="eastAsia" w:ascii="Times New Roman" w:hAnsi="Times New Roman" w:eastAsia="宋体" w:cs="Times New Roman"/>
                <w:highlight w:val="none"/>
              </w:rPr>
            </w:pPr>
            <w:r>
              <w:rPr>
                <w:rFonts w:hint="eastAsia" w:ascii="Times New Roman" w:hAnsi="Times New Roman" w:eastAsia="宋体" w:cs="Times New Roman"/>
                <w:highlight w:val="none"/>
              </w:rPr>
              <w:t>由于</w:t>
            </w:r>
            <w:r>
              <w:rPr>
                <w:rFonts w:hint="eastAsia" w:ascii="Times New Roman" w:hAnsi="Times New Roman" w:eastAsia="宋体" w:cs="Times New Roman"/>
                <w:highlight w:val="none"/>
                <w:lang w:val="en-US" w:eastAsia="zh-CN"/>
              </w:rPr>
              <w:t>本项目建设区域距离居民区较近，</w:t>
            </w:r>
            <w:r>
              <w:rPr>
                <w:rFonts w:hint="eastAsia" w:ascii="Times New Roman" w:hAnsi="Times New Roman" w:eastAsia="宋体" w:cs="Times New Roman"/>
                <w:highlight w:val="none"/>
              </w:rPr>
              <w:t>施工噪声在衰减至临近项目区的居民敏感点时</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会</w:t>
            </w:r>
            <w:r>
              <w:rPr>
                <w:rFonts w:hint="eastAsia" w:ascii="Times New Roman" w:hAnsi="Times New Roman" w:eastAsia="宋体" w:cs="Times New Roman"/>
                <w:highlight w:val="none"/>
              </w:rPr>
              <w:t>对项目区周边居民区产生</w:t>
            </w:r>
            <w:r>
              <w:rPr>
                <w:rFonts w:hint="eastAsia" w:ascii="Times New Roman" w:hAnsi="Times New Roman" w:eastAsia="宋体" w:cs="Times New Roman"/>
                <w:highlight w:val="none"/>
                <w:lang w:val="en-US" w:eastAsia="zh-CN"/>
              </w:rPr>
              <w:t>不利</w:t>
            </w:r>
            <w:r>
              <w:rPr>
                <w:rFonts w:hint="eastAsia" w:ascii="Times New Roman" w:hAnsi="Times New Roman" w:eastAsia="宋体" w:cs="Times New Roman"/>
                <w:highlight w:val="none"/>
              </w:rPr>
              <w:t>影响</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噪声的控制措施一般采用</w:t>
            </w:r>
            <w:r>
              <w:rPr>
                <w:rFonts w:ascii="Times New Roman" w:hAnsi="Times New Roman" w:eastAsia="宋体" w:cs="Times New Roman"/>
                <w:highlight w:val="none"/>
              </w:rPr>
              <w:t>在声源处控制</w:t>
            </w:r>
            <w:r>
              <w:rPr>
                <w:rFonts w:hint="eastAsia" w:ascii="Times New Roman" w:hAnsi="Times New Roman" w:eastAsia="宋体" w:cs="Times New Roman"/>
                <w:highlight w:val="none"/>
                <w:lang w:eastAsia="zh-CN"/>
              </w:rPr>
              <w:t>，</w:t>
            </w:r>
            <w:r>
              <w:rPr>
                <w:rFonts w:ascii="Times New Roman" w:hAnsi="Times New Roman" w:eastAsia="宋体" w:cs="Times New Roman"/>
                <w:highlight w:val="none"/>
              </w:rPr>
              <w:t>降低声源噪音</w:t>
            </w:r>
            <w:r>
              <w:rPr>
                <w:rFonts w:hint="eastAsia" w:ascii="Times New Roman" w:hAnsi="Times New Roman" w:eastAsia="宋体" w:cs="Times New Roman"/>
                <w:highlight w:val="none"/>
                <w:lang w:eastAsia="zh-CN"/>
              </w:rPr>
              <w:t>，</w:t>
            </w:r>
            <w:r>
              <w:rPr>
                <w:rFonts w:ascii="Times New Roman" w:hAnsi="Times New Roman" w:eastAsia="宋体" w:cs="Times New Roman"/>
                <w:highlight w:val="none"/>
              </w:rPr>
              <w:t>选用低噪音的生产设备和改进生产工艺</w:t>
            </w:r>
            <w:r>
              <w:rPr>
                <w:rFonts w:hint="eastAsia" w:ascii="Times New Roman" w:hAnsi="Times New Roman" w:eastAsia="宋体" w:cs="Times New Roman"/>
                <w:highlight w:val="none"/>
                <w:lang w:eastAsia="zh-CN"/>
              </w:rPr>
              <w:t>，</w:t>
            </w:r>
            <w:r>
              <w:rPr>
                <w:rFonts w:ascii="Times New Roman" w:hAnsi="Times New Roman" w:eastAsia="宋体" w:cs="Times New Roman"/>
                <w:highlight w:val="none"/>
              </w:rPr>
              <w:t>或者改变噪音源的运动方式</w:t>
            </w:r>
            <w:r>
              <w:rPr>
                <w:rFonts w:hint="eastAsia" w:ascii="Times New Roman" w:hAnsi="Times New Roman" w:eastAsia="宋体" w:cs="Times New Roman"/>
                <w:highlight w:val="none"/>
                <w:lang w:eastAsia="zh-CN"/>
              </w:rPr>
              <w:t>，</w:t>
            </w:r>
            <w:r>
              <w:rPr>
                <w:rFonts w:ascii="Times New Roman" w:hAnsi="Times New Roman" w:eastAsia="宋体" w:cs="Times New Roman"/>
                <w:highlight w:val="none"/>
              </w:rPr>
              <w:t>如用阻尼、隔振等措施降低固体发声体的振动。在噪声传播途中控制。在传音途径上降低噪音（在传播过程中）控制噪音的传播</w:t>
            </w:r>
            <w:r>
              <w:rPr>
                <w:rFonts w:hint="eastAsia" w:ascii="Times New Roman" w:hAnsi="Times New Roman" w:eastAsia="宋体" w:cs="Times New Roman"/>
                <w:highlight w:val="none"/>
                <w:lang w:eastAsia="zh-CN"/>
              </w:rPr>
              <w:t>，</w:t>
            </w:r>
            <w:r>
              <w:rPr>
                <w:rFonts w:ascii="Times New Roman" w:hAnsi="Times New Roman" w:eastAsia="宋体" w:cs="Times New Roman"/>
                <w:highlight w:val="none"/>
              </w:rPr>
              <w:t>改变声源已经发出的噪音传播途径</w:t>
            </w:r>
            <w:r>
              <w:rPr>
                <w:rFonts w:hint="eastAsia" w:ascii="Times New Roman" w:hAnsi="Times New Roman" w:eastAsia="宋体" w:cs="Times New Roman"/>
                <w:highlight w:val="none"/>
                <w:lang w:eastAsia="zh-CN"/>
              </w:rPr>
              <w:t>，</w:t>
            </w:r>
            <w:r>
              <w:rPr>
                <w:rFonts w:ascii="Times New Roman" w:hAnsi="Times New Roman" w:eastAsia="宋体" w:cs="Times New Roman"/>
                <w:highlight w:val="none"/>
              </w:rPr>
              <w:t>如采用吸音、隔音、音屏障、隔振、多栽树等措施</w:t>
            </w:r>
            <w:r>
              <w:rPr>
                <w:rFonts w:hint="eastAsia" w:ascii="Times New Roman" w:hAnsi="Times New Roman" w:eastAsia="宋体" w:cs="Times New Roman"/>
                <w:highlight w:val="none"/>
                <w:lang w:eastAsia="zh-CN"/>
              </w:rPr>
              <w:t>，</w:t>
            </w:r>
            <w:r>
              <w:rPr>
                <w:rFonts w:ascii="Times New Roman" w:hAnsi="Times New Roman" w:eastAsia="宋体" w:cs="Times New Roman"/>
                <w:highlight w:val="none"/>
              </w:rPr>
              <w:t>以及合理规划。在人耳处减弱噪声</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本项目所采用的措施均为可行性措施。因此，本项目采用上述措施后，可有效的缓解施工期噪声对项目周边居民区的影响，施工期噪声可满足</w:t>
            </w:r>
            <w:r>
              <w:rPr>
                <w:rFonts w:ascii="Times New Roman" w:hAnsi="Times New Roman" w:eastAsia="宋体" w:cs="Times New Roman"/>
                <w:highlight w:val="none"/>
              </w:rPr>
              <w:t>《</w:t>
            </w:r>
            <w:r>
              <w:rPr>
                <w:rFonts w:hint="eastAsia" w:ascii="Times New Roman" w:hAnsi="Times New Roman" w:eastAsia="宋体" w:cs="Times New Roman"/>
                <w:highlight w:val="none"/>
              </w:rPr>
              <w:t>建筑施工场界环境噪声排放标准</w:t>
            </w:r>
            <w:r>
              <w:rPr>
                <w:rFonts w:ascii="Times New Roman" w:hAnsi="Times New Roman" w:eastAsia="宋体" w:cs="Times New Roman"/>
                <w:highlight w:val="none"/>
              </w:rPr>
              <w:t>》（GB12523—</w:t>
            </w:r>
            <w:r>
              <w:rPr>
                <w:rFonts w:hint="eastAsia" w:ascii="Times New Roman" w:hAnsi="Times New Roman" w:eastAsia="宋体" w:cs="Times New Roman"/>
                <w:highlight w:val="none"/>
              </w:rPr>
              <w:t>2011</w:t>
            </w:r>
            <w:r>
              <w:rPr>
                <w:rFonts w:ascii="Times New Roman" w:hAnsi="Times New Roman" w:eastAsia="宋体" w:cs="Times New Roman"/>
                <w:highlight w:val="none"/>
              </w:rPr>
              <w:t>）</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且</w:t>
            </w:r>
            <w:r>
              <w:rPr>
                <w:rFonts w:hint="eastAsia" w:ascii="Times New Roman" w:hAnsi="Times New Roman" w:eastAsia="宋体" w:cs="Times New Roman"/>
                <w:highlight w:val="none"/>
              </w:rPr>
              <w:t>本项目施工期较短，在做好上述措施且提前告知周边受影响居民的情况下，本项目施工期声环境影响在可接受的范围内。</w:t>
            </w:r>
          </w:p>
          <w:p>
            <w:pPr>
              <w:pStyle w:val="155"/>
              <w:spacing w:line="360" w:lineRule="auto"/>
              <w:ind w:left="0" w:leftChars="0" w:firstLine="0" w:firstLineChars="0"/>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lang w:val="en-US" w:eastAsia="zh-CN"/>
              </w:rPr>
              <w:t>4</w:t>
            </w:r>
            <w:r>
              <w:rPr>
                <w:rFonts w:hint="default" w:ascii="Times New Roman" w:hAnsi="Times New Roman" w:cs="Times New Roman"/>
                <w:b/>
                <w:color w:val="000000"/>
                <w:sz w:val="24"/>
                <w:szCs w:val="24"/>
              </w:rPr>
              <w:t>、固废防治措施</w:t>
            </w:r>
          </w:p>
          <w:p>
            <w:pPr>
              <w:pStyle w:val="155"/>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施工期固体废弃物主要包括生活垃圾、建筑垃圾</w:t>
            </w:r>
            <w:r>
              <w:rPr>
                <w:rFonts w:hint="default" w:ascii="Times New Roman" w:hAnsi="Times New Roman" w:eastAsia="宋体" w:cs="Times New Roman"/>
                <w:color w:val="000000"/>
                <w:sz w:val="24"/>
                <w:szCs w:val="24"/>
                <w:lang w:val="en-US" w:eastAsia="zh-CN"/>
              </w:rPr>
              <w:t>和</w:t>
            </w:r>
            <w:r>
              <w:rPr>
                <w:rFonts w:hint="default" w:ascii="Times New Roman" w:hAnsi="Times New Roman" w:eastAsia="宋体" w:cs="Times New Roman"/>
                <w:color w:val="000000"/>
                <w:sz w:val="24"/>
                <w:szCs w:val="24"/>
              </w:rPr>
              <w:t>工程弃渣等。</w:t>
            </w:r>
          </w:p>
          <w:p>
            <w:pPr>
              <w:pStyle w:val="155"/>
              <w:spacing w:line="360" w:lineRule="auto"/>
              <w:ind w:firstLine="480" w:firstLineChars="200"/>
              <w:rPr>
                <w:rFonts w:hint="default"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lang w:val="en-US" w:eastAsia="zh-CN"/>
              </w:rPr>
              <w:t>（</w:t>
            </w:r>
            <w:r>
              <w:rPr>
                <w:rFonts w:hint="default" w:ascii="Times New Roman" w:hAnsi="Times New Roman" w:eastAsia="宋体" w:cs="Times New Roman"/>
                <w:color w:val="000000"/>
                <w:sz w:val="24"/>
                <w:szCs w:val="24"/>
              </w:rPr>
              <w:t>1）生活垃圾</w:t>
            </w:r>
          </w:p>
          <w:p>
            <w:pPr>
              <w:pStyle w:val="155"/>
              <w:spacing w:line="360" w:lineRule="auto"/>
              <w:ind w:firstLine="480" w:firstLineChars="200"/>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施工人员为20人，</w:t>
            </w:r>
            <w:r>
              <w:rPr>
                <w:rFonts w:hint="default" w:ascii="Times New Roman" w:hAnsi="Times New Roman" w:eastAsia="宋体" w:cs="Times New Roman"/>
                <w:color w:val="000000"/>
                <w:sz w:val="24"/>
                <w:szCs w:val="24"/>
              </w:rPr>
              <w:t>按人均0.5kg/d计算，</w:t>
            </w:r>
            <w:r>
              <w:rPr>
                <w:rFonts w:hint="eastAsia" w:ascii="Times New Roman" w:hAnsi="Times New Roman" w:eastAsia="宋体" w:cs="Times New Roman"/>
                <w:color w:val="000000"/>
                <w:sz w:val="24"/>
                <w:szCs w:val="24"/>
                <w:lang w:val="en-US" w:eastAsia="zh-CN"/>
              </w:rPr>
              <w:t>施工期为4个月，</w:t>
            </w:r>
            <w:r>
              <w:rPr>
                <w:rFonts w:hint="default" w:ascii="Times New Roman" w:hAnsi="Times New Roman" w:eastAsia="宋体" w:cs="Times New Roman"/>
                <w:color w:val="000000"/>
                <w:sz w:val="24"/>
                <w:szCs w:val="24"/>
              </w:rPr>
              <w:t>生活垃圾产生</w:t>
            </w:r>
            <w:r>
              <w:rPr>
                <w:rFonts w:hint="default" w:ascii="Times New Roman" w:hAnsi="Times New Roman" w:eastAsia="宋体" w:cs="Times New Roman"/>
                <w:color w:val="000000"/>
                <w:sz w:val="24"/>
                <w:szCs w:val="24"/>
                <w:lang w:val="en-US" w:eastAsia="zh-CN"/>
              </w:rPr>
              <w:t>量为</w:t>
            </w:r>
            <w:r>
              <w:rPr>
                <w:rFonts w:hint="eastAsia" w:ascii="Times New Roman" w:hAnsi="Times New Roman" w:eastAsia="宋体" w:cs="Times New Roman"/>
                <w:color w:val="000000"/>
                <w:sz w:val="24"/>
                <w:szCs w:val="24"/>
                <w:lang w:val="en-US" w:eastAsia="zh-CN"/>
              </w:rPr>
              <w:t>1.2</w:t>
            </w:r>
            <w:r>
              <w:rPr>
                <w:rFonts w:hint="default" w:ascii="Times New Roman" w:hAnsi="Times New Roman" w:eastAsia="宋体" w:cs="Times New Roman"/>
                <w:color w:val="000000"/>
                <w:sz w:val="24"/>
                <w:szCs w:val="24"/>
                <w:lang w:val="en-US" w:eastAsia="zh-CN"/>
              </w:rPr>
              <w:t>t</w:t>
            </w:r>
            <w:r>
              <w:rPr>
                <w:rFonts w:hint="eastAsia" w:ascii="Times New Roman" w:hAnsi="Times New Roman" w:eastAsia="宋体" w:cs="Times New Roman"/>
                <w:color w:val="000000"/>
                <w:sz w:val="24"/>
                <w:szCs w:val="24"/>
                <w:lang w:val="en-US" w:eastAsia="zh-CN"/>
              </w:rPr>
              <w:t>，生活垃圾为一般固废，</w:t>
            </w:r>
            <w:r>
              <w:rPr>
                <w:rFonts w:hint="default" w:ascii="Times New Roman" w:hAnsi="Times New Roman" w:eastAsia="宋体" w:cs="Times New Roman"/>
                <w:color w:val="000000"/>
                <w:sz w:val="24"/>
                <w:szCs w:val="24"/>
                <w:lang w:val="en-US" w:eastAsia="zh-CN"/>
              </w:rPr>
              <w:t>废物代码：</w:t>
            </w:r>
            <w:r>
              <w:rPr>
                <w:rFonts w:hint="default" w:ascii="Times New Roman" w:hAnsi="Times New Roman" w:eastAsia="宋体" w:cs="Times New Roman"/>
                <w:color w:val="000000"/>
                <w:sz w:val="24"/>
                <w:szCs w:val="24"/>
              </w:rPr>
              <w:t>SW61-900-001-S61</w:t>
            </w:r>
            <w:r>
              <w:rPr>
                <w:rFonts w:hint="eastAsia" w:ascii="Times New Roman" w:hAnsi="Times New Roman" w:eastAsia="宋体" w:cs="Times New Roman"/>
                <w:color w:val="000000"/>
                <w:sz w:val="24"/>
                <w:szCs w:val="24"/>
                <w:lang w:eastAsia="zh-CN"/>
              </w:rPr>
              <w:t>，</w:t>
            </w:r>
            <w:r>
              <w:rPr>
                <w:rFonts w:hint="eastAsia" w:ascii="Times New Roman" w:hAnsi="Times New Roman" w:eastAsia="宋体" w:cs="Times New Roman"/>
                <w:color w:val="000000"/>
                <w:sz w:val="24"/>
                <w:szCs w:val="24"/>
                <w:lang w:val="en-US" w:eastAsia="zh-CN"/>
              </w:rPr>
              <w:t>经垃圾箱集中收集后由吉木萨尔县环卫部门清运处置</w:t>
            </w:r>
            <w:r>
              <w:rPr>
                <w:rFonts w:hint="default" w:ascii="Times New Roman" w:hAnsi="Times New Roman" w:eastAsia="宋体" w:cs="Times New Roman"/>
                <w:color w:val="000000"/>
                <w:sz w:val="24"/>
                <w:szCs w:val="24"/>
                <w:lang w:val="en-US" w:eastAsia="zh-CN"/>
              </w:rPr>
              <w:t>，对周围大气环境影响不大。</w:t>
            </w:r>
          </w:p>
          <w:p>
            <w:pPr>
              <w:pStyle w:val="155"/>
              <w:spacing w:line="360" w:lineRule="auto"/>
              <w:ind w:firstLine="480" w:firstLineChars="200"/>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w:t>
            </w:r>
            <w:r>
              <w:rPr>
                <w:rFonts w:hint="default" w:ascii="Times New Roman" w:hAnsi="Times New Roman" w:eastAsia="宋体" w:cs="Times New Roman"/>
                <w:color w:val="000000"/>
                <w:sz w:val="24"/>
                <w:szCs w:val="24"/>
                <w:lang w:val="en-US" w:eastAsia="zh-CN"/>
              </w:rPr>
              <w:t>2）</w:t>
            </w:r>
            <w:r>
              <w:rPr>
                <w:rFonts w:hint="eastAsia" w:ascii="Times New Roman" w:hAnsi="Times New Roman" w:eastAsia="宋体" w:cs="Times New Roman"/>
                <w:color w:val="000000"/>
                <w:sz w:val="24"/>
                <w:szCs w:val="24"/>
                <w:lang w:val="en-US" w:eastAsia="zh-CN"/>
              </w:rPr>
              <w:t>建筑垃圾、工程弃渣</w:t>
            </w:r>
          </w:p>
          <w:p>
            <w:pPr>
              <w:pStyle w:val="155"/>
              <w:spacing w:line="360" w:lineRule="auto"/>
              <w:ind w:firstLine="480" w:firstLineChars="200"/>
              <w:rPr>
                <w:rFonts w:hint="eastAsia"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①</w:t>
            </w:r>
            <w:r>
              <w:rPr>
                <w:rFonts w:hint="eastAsia" w:ascii="Times New Roman" w:hAnsi="Times New Roman" w:eastAsia="宋体" w:cs="Times New Roman"/>
                <w:color w:val="000000"/>
                <w:sz w:val="24"/>
                <w:szCs w:val="24"/>
                <w:lang w:val="en-US" w:eastAsia="zh-CN"/>
              </w:rPr>
              <w:t>产生的建筑垃圾及施工时产生的建筑垃圾收集后堆放于指定</w:t>
            </w:r>
            <w:r>
              <w:rPr>
                <w:rFonts w:hint="eastAsia" w:cs="Times New Roman"/>
                <w:color w:val="000000"/>
                <w:sz w:val="24"/>
                <w:szCs w:val="24"/>
                <w:lang w:val="en-US" w:eastAsia="zh-CN"/>
              </w:rPr>
              <w:t>地</w:t>
            </w:r>
            <w:r>
              <w:rPr>
                <w:rFonts w:hint="eastAsia" w:ascii="Times New Roman" w:hAnsi="Times New Roman" w:eastAsia="宋体" w:cs="Times New Roman"/>
                <w:color w:val="000000"/>
                <w:sz w:val="24"/>
                <w:szCs w:val="24"/>
                <w:lang w:val="en-US" w:eastAsia="zh-CN"/>
              </w:rPr>
              <w:t>点，并及时清运至环卫部门指定的建筑垃圾填埋场处理；</w:t>
            </w:r>
          </w:p>
          <w:p>
            <w:pPr>
              <w:pStyle w:val="155"/>
              <w:spacing w:line="360" w:lineRule="auto"/>
              <w:ind w:firstLine="480" w:firstLineChars="200"/>
              <w:rPr>
                <w:rFonts w:hint="eastAsia"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lang w:val="en-US" w:eastAsia="zh-CN"/>
              </w:rPr>
              <w:t>②</w:t>
            </w:r>
            <w:r>
              <w:rPr>
                <w:rFonts w:hint="eastAsia" w:ascii="Times New Roman" w:hAnsi="Times New Roman" w:eastAsia="宋体" w:cs="Times New Roman"/>
                <w:color w:val="000000"/>
                <w:sz w:val="24"/>
                <w:szCs w:val="24"/>
                <w:lang w:val="en-US" w:eastAsia="zh-CN"/>
              </w:rPr>
              <w:t>处置建筑垃圾的单位在运输建筑垃圾时，随车携带建筑垃圾处置核准文件</w:t>
            </w:r>
            <w:r>
              <w:rPr>
                <w:rFonts w:hint="eastAsia" w:ascii="Times New Roman" w:hAnsi="Times New Roman" w:eastAsia="宋体" w:cs="Times New Roman"/>
                <w:color w:val="000000"/>
                <w:sz w:val="24"/>
                <w:szCs w:val="24"/>
              </w:rPr>
              <w:t>，按照有关部门规定的运输路线、时间运行，不得丢弃、遗洒建筑垃圾，不得超出核准范围承运建筑垃圾</w:t>
            </w:r>
            <w:r>
              <w:rPr>
                <w:rFonts w:hint="eastAsia" w:ascii="Times New Roman" w:hAnsi="Times New Roman" w:eastAsia="宋体" w:cs="Times New Roman"/>
                <w:color w:val="000000"/>
                <w:sz w:val="24"/>
                <w:szCs w:val="24"/>
                <w:lang w:eastAsia="zh-CN"/>
              </w:rPr>
              <w:t>；</w:t>
            </w:r>
          </w:p>
          <w:p>
            <w:pPr>
              <w:pStyle w:val="155"/>
              <w:spacing w:line="360" w:lineRule="auto"/>
              <w:ind w:firstLine="480" w:firstLineChars="200"/>
              <w:rPr>
                <w:rFonts w:hint="eastAsia" w:ascii="Times New Roman" w:hAnsi="Times New Roman" w:eastAsia="宋体" w:cs="Times New Roman"/>
                <w:color w:val="000000"/>
                <w:sz w:val="24"/>
                <w:szCs w:val="24"/>
                <w:lang w:eastAsia="zh-CN"/>
              </w:rPr>
            </w:pPr>
            <w:r>
              <w:rPr>
                <w:rFonts w:hint="eastAsia" w:ascii="Times New Roman" w:hAnsi="Times New Roman" w:eastAsia="宋体" w:cs="Times New Roman"/>
                <w:color w:val="000000"/>
                <w:sz w:val="24"/>
                <w:szCs w:val="24"/>
              </w:rPr>
              <w:t>③建筑垃圾外运</w:t>
            </w:r>
            <w:r>
              <w:rPr>
                <w:rFonts w:hint="eastAsia" w:ascii="Times New Roman" w:hAnsi="Times New Roman" w:eastAsia="宋体" w:cs="Times New Roman"/>
                <w:color w:val="000000"/>
                <w:sz w:val="24"/>
                <w:szCs w:val="24"/>
                <w:lang w:val="en-US" w:eastAsia="zh-CN"/>
              </w:rPr>
              <w:t>时</w:t>
            </w:r>
            <w:r>
              <w:rPr>
                <w:rFonts w:hint="eastAsia" w:ascii="Times New Roman" w:hAnsi="Times New Roman" w:eastAsia="宋体" w:cs="Times New Roman"/>
                <w:color w:val="000000"/>
                <w:sz w:val="24"/>
                <w:szCs w:val="24"/>
              </w:rPr>
              <w:t>采取篷布遮盖措施，避免建筑垃圾沿途掉落</w:t>
            </w:r>
            <w:r>
              <w:rPr>
                <w:rFonts w:hint="eastAsia" w:ascii="Times New Roman" w:hAnsi="Times New Roman" w:eastAsia="宋体" w:cs="Times New Roman"/>
                <w:color w:val="000000"/>
                <w:sz w:val="24"/>
                <w:szCs w:val="24"/>
                <w:lang w:eastAsia="zh-CN"/>
              </w:rPr>
              <w:t>；</w:t>
            </w:r>
          </w:p>
          <w:p>
            <w:pPr>
              <w:pStyle w:val="155"/>
              <w:spacing w:line="360" w:lineRule="auto"/>
              <w:ind w:firstLine="480" w:firstLineChars="200"/>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rPr>
              <w:t>④</w:t>
            </w:r>
            <w:r>
              <w:rPr>
                <w:rFonts w:hint="default" w:ascii="Times New Roman" w:hAnsi="Times New Roman" w:eastAsia="宋体" w:cs="Times New Roman"/>
                <w:color w:val="000000"/>
                <w:sz w:val="24"/>
                <w:szCs w:val="24"/>
              </w:rPr>
              <w:t>在工程竣工以后，施工单位</w:t>
            </w:r>
            <w:r>
              <w:rPr>
                <w:rFonts w:hint="eastAsia" w:ascii="Times New Roman" w:hAnsi="Times New Roman" w:eastAsia="宋体" w:cs="Times New Roman"/>
                <w:color w:val="000000"/>
                <w:sz w:val="24"/>
                <w:szCs w:val="24"/>
                <w:lang w:val="en-US" w:eastAsia="zh-CN"/>
              </w:rPr>
              <w:t>及时</w:t>
            </w:r>
            <w:r>
              <w:rPr>
                <w:rFonts w:hint="default" w:ascii="Times New Roman" w:hAnsi="Times New Roman" w:eastAsia="宋体" w:cs="Times New Roman"/>
                <w:color w:val="000000"/>
                <w:sz w:val="24"/>
                <w:szCs w:val="24"/>
              </w:rPr>
              <w:t>拆除各种临时施工设施，</w:t>
            </w:r>
            <w:r>
              <w:rPr>
                <w:rFonts w:hint="eastAsia" w:ascii="Times New Roman" w:hAnsi="Times New Roman" w:eastAsia="宋体" w:cs="Times New Roman"/>
                <w:color w:val="000000"/>
                <w:sz w:val="24"/>
                <w:szCs w:val="24"/>
                <w:lang w:val="en-US" w:eastAsia="zh-CN"/>
              </w:rPr>
              <w:t>如：施工生产区、临时防渗沉淀池，施工围挡等，对施工迹地进行平整，地貌恢复，加强绿化。</w:t>
            </w:r>
            <w:r>
              <w:rPr>
                <w:rFonts w:hint="default" w:ascii="Times New Roman" w:hAnsi="Times New Roman" w:eastAsia="宋体" w:cs="Times New Roman"/>
                <w:color w:val="000000"/>
                <w:sz w:val="24"/>
                <w:szCs w:val="24"/>
              </w:rPr>
              <w:t>并负责将工地的剩余建筑垃圾、工程渣土处理干净</w:t>
            </w:r>
            <w:r>
              <w:rPr>
                <w:rFonts w:hint="eastAsia"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做到</w:t>
            </w:r>
            <w:r>
              <w:rPr>
                <w:rFonts w:hint="eastAsia"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工完、料尽、场地清</w:t>
            </w:r>
            <w:r>
              <w:rPr>
                <w:rFonts w:hint="eastAsia"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建设单位</w:t>
            </w:r>
            <w:r>
              <w:rPr>
                <w:rFonts w:hint="eastAsia" w:ascii="Times New Roman" w:hAnsi="Times New Roman" w:eastAsia="宋体" w:cs="Times New Roman"/>
                <w:color w:val="000000"/>
                <w:sz w:val="24"/>
                <w:szCs w:val="24"/>
                <w:lang w:val="en-US" w:eastAsia="zh-CN"/>
              </w:rPr>
              <w:t>已</w:t>
            </w:r>
            <w:r>
              <w:rPr>
                <w:rFonts w:hint="default" w:ascii="Times New Roman" w:hAnsi="Times New Roman" w:eastAsia="宋体" w:cs="Times New Roman"/>
                <w:color w:val="000000"/>
                <w:sz w:val="24"/>
                <w:szCs w:val="24"/>
              </w:rPr>
              <w:t>督促施工单位的固体废物处置清理工作</w:t>
            </w:r>
            <w:r>
              <w:rPr>
                <w:rFonts w:hint="eastAsia" w:ascii="Times New Roman" w:hAnsi="Times New Roman" w:eastAsia="宋体" w:cs="Times New Roman"/>
                <w:color w:val="000000"/>
                <w:sz w:val="24"/>
                <w:szCs w:val="24"/>
                <w:lang w:eastAsia="zh-CN"/>
              </w:rPr>
              <w:t>，</w:t>
            </w:r>
            <w:r>
              <w:rPr>
                <w:rFonts w:hint="eastAsia" w:ascii="Times New Roman" w:hAnsi="Times New Roman" w:eastAsia="宋体" w:cs="Times New Roman"/>
                <w:color w:val="000000"/>
                <w:sz w:val="24"/>
                <w:szCs w:val="24"/>
                <w:lang w:val="en-US" w:eastAsia="zh-CN"/>
              </w:rPr>
              <w:t>施工现场已恢复平整，无施工迹地遗留。</w:t>
            </w:r>
          </w:p>
          <w:p>
            <w:pPr>
              <w:pStyle w:val="155"/>
              <w:spacing w:line="360" w:lineRule="auto"/>
              <w:ind w:firstLine="480" w:firstLineChars="200"/>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sz w:val="24"/>
                <w:szCs w:val="24"/>
              </w:rPr>
              <w:t>由于本项目施工时间短，只要加强管理，及时清运，随着施工期的结束，施工固体废物对环境的影响将随之消失，</w:t>
            </w:r>
            <w:r>
              <w:rPr>
                <w:rFonts w:hint="eastAsia" w:ascii="Times New Roman" w:hAnsi="Times New Roman" w:eastAsia="宋体" w:cs="Times New Roman"/>
                <w:color w:val="000000"/>
                <w:sz w:val="24"/>
                <w:szCs w:val="24"/>
                <w:lang w:val="en-US" w:eastAsia="zh-CN"/>
              </w:rPr>
              <w:t>未</w:t>
            </w:r>
            <w:r>
              <w:rPr>
                <w:rFonts w:hint="eastAsia" w:ascii="Times New Roman" w:hAnsi="Times New Roman" w:eastAsia="宋体" w:cs="Times New Roman"/>
                <w:color w:val="000000"/>
                <w:sz w:val="24"/>
                <w:szCs w:val="24"/>
              </w:rPr>
              <w:t>对环境产生长期影响</w:t>
            </w:r>
            <w:r>
              <w:rPr>
                <w:rFonts w:hint="eastAsia"/>
                <w:color w:val="000000"/>
                <w:szCs w:val="28"/>
                <w:highlight w:val="none"/>
              </w:rPr>
              <w:t>。</w:t>
            </w:r>
          </w:p>
          <w:p>
            <w:pPr>
              <w:pStyle w:val="155"/>
              <w:spacing w:line="360" w:lineRule="auto"/>
              <w:ind w:left="0" w:leftChars="0" w:firstLine="0" w:firstLineChars="0"/>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lang w:val="en-US" w:eastAsia="zh-CN"/>
              </w:rPr>
              <w:t>5、</w:t>
            </w:r>
            <w:r>
              <w:rPr>
                <w:rFonts w:hint="default" w:ascii="Times New Roman" w:hAnsi="Times New Roman" w:cs="Times New Roman"/>
                <w:b/>
                <w:color w:val="000000"/>
                <w:sz w:val="24"/>
                <w:szCs w:val="24"/>
              </w:rPr>
              <w:t>生态环境保护措施</w:t>
            </w:r>
          </w:p>
          <w:p>
            <w:pPr>
              <w:keepNext w:val="0"/>
              <w:keepLines w:val="0"/>
              <w:widowControl/>
              <w:suppressLineNumbers w:val="0"/>
              <w:jc w:val="left"/>
              <w:rPr>
                <w:kern w:val="0"/>
                <w:szCs w:val="20"/>
                <w:highlight w:val="none"/>
              </w:rPr>
            </w:pPr>
            <w:r>
              <w:rPr>
                <w:rFonts w:hint="eastAsia"/>
                <w:kern w:val="0"/>
                <w:szCs w:val="20"/>
                <w:highlight w:val="none"/>
                <w:lang w:val="en-US" w:eastAsia="zh-CN"/>
              </w:rPr>
              <w:t>本项目</w:t>
            </w:r>
            <w:r>
              <w:rPr>
                <w:rFonts w:hint="eastAsia"/>
                <w:kern w:val="0"/>
                <w:szCs w:val="20"/>
                <w:highlight w:val="none"/>
              </w:rPr>
              <w:t>主要生态破坏在施工期，施工期结束后，污染随之消失，</w:t>
            </w:r>
            <w:r>
              <w:rPr>
                <w:rFonts w:hint="eastAsia" w:ascii="Times New Roman" w:hAnsi="Times New Roman" w:eastAsia="宋体" w:cs="Times New Roman"/>
                <w:szCs w:val="28"/>
                <w:highlight w:val="none"/>
                <w:lang w:val="en-US" w:eastAsia="zh-CN"/>
              </w:rPr>
              <w:t>项目施工时尽量减少开挖量和生态破</w:t>
            </w:r>
            <w:r>
              <w:rPr>
                <w:rFonts w:hint="eastAsia" w:cs="Times New Roman"/>
                <w:szCs w:val="28"/>
                <w:highlight w:val="none"/>
                <w:lang w:val="en-US" w:eastAsia="zh-CN"/>
              </w:rPr>
              <w:t>坏</w:t>
            </w:r>
            <w:r>
              <w:rPr>
                <w:rFonts w:hint="eastAsia" w:ascii="Times New Roman" w:hAnsi="Times New Roman" w:eastAsia="宋体" w:cs="Times New Roman"/>
                <w:szCs w:val="28"/>
                <w:highlight w:val="none"/>
                <w:lang w:val="en-US" w:eastAsia="zh-CN"/>
              </w:rPr>
              <w:t>面积，从而减少项目区开挖和恢复面积；优化土石方平衡，减少水土流失</w:t>
            </w:r>
            <w:r>
              <w:rPr>
                <w:rFonts w:hint="eastAsia" w:cs="Times New Roman"/>
                <w:szCs w:val="28"/>
                <w:highlight w:val="none"/>
                <w:lang w:val="en-US" w:eastAsia="zh-CN"/>
              </w:rPr>
              <w:t>；</w:t>
            </w:r>
            <w:r>
              <w:rPr>
                <w:rFonts w:hint="eastAsia" w:ascii="Times New Roman" w:hAnsi="Times New Roman" w:eastAsia="宋体" w:cs="Times New Roman"/>
                <w:szCs w:val="28"/>
                <w:highlight w:val="none"/>
                <w:lang w:val="en-US" w:eastAsia="zh-CN"/>
              </w:rPr>
              <w:t>加强施工期机械、车辆行驶路线的管理，划定明确的施工作业范围和行驶路线，严禁越界施工和偏离施工便道进行无监管活动</w:t>
            </w:r>
            <w:r>
              <w:rPr>
                <w:rFonts w:hint="eastAsia" w:cs="Times New Roman"/>
                <w:szCs w:val="28"/>
                <w:highlight w:val="none"/>
                <w:lang w:val="en-US" w:eastAsia="zh-CN"/>
              </w:rPr>
              <w:t>，对</w:t>
            </w:r>
            <w:r>
              <w:rPr>
                <w:rFonts w:hint="eastAsia" w:ascii="Times New Roman" w:cs="Times New Roman"/>
                <w:sz w:val="24"/>
                <w:szCs w:val="24"/>
                <w:highlight w:val="none"/>
                <w:lang w:val="en-US" w:eastAsia="zh-CN"/>
              </w:rPr>
              <w:t>五</w:t>
            </w:r>
            <w:r>
              <w:rPr>
                <w:rFonts w:hint="eastAsia"/>
                <w:snapToGrid w:val="0"/>
                <w:color w:val="000000"/>
                <w:kern w:val="0"/>
                <w:szCs w:val="20"/>
                <w:highlight w:val="none"/>
              </w:rPr>
              <w:t>圣</w:t>
            </w:r>
            <w:r>
              <w:rPr>
                <w:rFonts w:hint="eastAsia" w:ascii="Times New Roman" w:hAnsi="Times New Roman" w:eastAsia="宋体" w:cs="Times New Roman"/>
                <w:sz w:val="24"/>
                <w:szCs w:val="24"/>
                <w:highlight w:val="none"/>
                <w:lang w:eastAsia="zh-CN"/>
              </w:rPr>
              <w:t>宫水文站段</w:t>
            </w:r>
            <w:r>
              <w:rPr>
                <w:rFonts w:hint="default" w:ascii="Times New Roman" w:hAnsi="Times New Roman" w:cs="Times New Roman"/>
                <w:b w:val="0"/>
                <w:bCs/>
                <w:color w:val="000000"/>
              </w:rPr>
              <w:t>（</w:t>
            </w:r>
            <w:r>
              <w:rPr>
                <w:rFonts w:hint="default" w:ascii="Times New Roman" w:hAnsi="Times New Roman" w:eastAsia="宋体" w:cs="Times New Roman"/>
                <w:b w:val="0"/>
                <w:bCs w:val="0"/>
                <w:color w:val="000000"/>
                <w:kern w:val="0"/>
                <w:sz w:val="24"/>
                <w:szCs w:val="24"/>
                <w:lang w:val="en-US" w:eastAsia="zh-CN" w:bidi="ar-SA"/>
              </w:rPr>
              <w:t>0+000～1+880</w:t>
            </w:r>
            <w:r>
              <w:rPr>
                <w:rFonts w:hint="default" w:ascii="Times New Roman" w:hAnsi="Times New Roman" w:cs="Times New Roman"/>
                <w:b w:val="0"/>
                <w:bCs/>
                <w:color w:val="000000"/>
              </w:rPr>
              <w:t>）</w:t>
            </w:r>
            <w:r>
              <w:rPr>
                <w:rFonts w:hint="eastAsia" w:ascii="Times New Roman" w:hAnsi="Times New Roman" w:eastAsia="宋体" w:cs="Times New Roman"/>
                <w:sz w:val="24"/>
                <w:szCs w:val="24"/>
                <w:highlight w:val="none"/>
                <w:lang w:eastAsia="zh-CN"/>
              </w:rPr>
              <w:t>：起点坐标：</w:t>
            </w:r>
            <w:r>
              <w:rPr>
                <w:rFonts w:hint="default" w:ascii="Times New Roman" w:hAnsi="Times New Roman" w:eastAsia="宋体" w:cs="Times New Roman"/>
                <w:sz w:val="24"/>
                <w:szCs w:val="24"/>
                <w:highlight w:val="none"/>
                <w:lang w:eastAsia="zh-CN"/>
              </w:rPr>
              <w:t>东经：</w:t>
            </w:r>
            <w:r>
              <w:rPr>
                <w:rFonts w:hint="eastAsia" w:ascii="Times New Roman" w:hAnsi="Times New Roman" w:eastAsia="宋体" w:cs="Times New Roman"/>
                <w:sz w:val="24"/>
                <w:szCs w:val="24"/>
                <w:highlight w:val="none"/>
                <w:lang w:val="en-US" w:eastAsia="zh-CN"/>
              </w:rPr>
              <w:t>89</w:t>
            </w:r>
            <w:r>
              <w:rPr>
                <w:rFonts w:hint="default" w:ascii="Times New Roman" w:hAnsi="Times New Roman" w:eastAsia="宋体" w:cs="Times New Roman"/>
                <w:sz w:val="24"/>
                <w:szCs w:val="24"/>
                <w:highlight w:val="none"/>
                <w:lang w:val="en-US" w:eastAsia="zh-CN"/>
              </w:rPr>
              <w:t>°</w:t>
            </w:r>
            <w:r>
              <w:rPr>
                <w:rFonts w:hint="eastAsia" w:ascii="Times New Roman" w:hAnsi="Times New Roman" w:eastAsia="宋体" w:cs="Times New Roman"/>
                <w:sz w:val="24"/>
                <w:szCs w:val="24"/>
                <w:highlight w:val="none"/>
                <w:lang w:val="en-US" w:eastAsia="zh-CN"/>
              </w:rPr>
              <w:t>14</w:t>
            </w:r>
            <w:r>
              <w:rPr>
                <w:rFonts w:hint="default" w:ascii="Times New Roman" w:hAnsi="Times New Roman" w:eastAsia="宋体" w:cs="Times New Roman"/>
                <w:sz w:val="24"/>
                <w:szCs w:val="24"/>
                <w:highlight w:val="none"/>
                <w:lang w:val="en-US" w:eastAsia="zh-CN"/>
              </w:rPr>
              <w:t>′</w:t>
            </w:r>
            <w:r>
              <w:rPr>
                <w:rFonts w:hint="eastAsia" w:ascii="Times New Roman" w:hAnsi="Times New Roman" w:eastAsia="宋体" w:cs="Times New Roman"/>
                <w:sz w:val="24"/>
                <w:szCs w:val="24"/>
                <w:highlight w:val="none"/>
                <w:lang w:val="en-US" w:eastAsia="zh-CN"/>
              </w:rPr>
              <w:t>23.348</w:t>
            </w:r>
            <w:r>
              <w:rPr>
                <w:rFonts w:hint="default" w:ascii="Times New Roman" w:hAnsi="Times New Roman" w:eastAsia="宋体" w:cs="Times New Roman"/>
                <w:sz w:val="24"/>
                <w:szCs w:val="24"/>
                <w:highlight w:val="none"/>
                <w:lang w:val="en-US" w:eastAsia="zh-CN"/>
              </w:rPr>
              <w:t>″，北纬</w:t>
            </w:r>
            <w:r>
              <w:rPr>
                <w:rFonts w:hint="eastAsia" w:ascii="Times New Roman" w:hAnsi="Times New Roman" w:eastAsia="宋体" w:cs="Times New Roman"/>
                <w:sz w:val="24"/>
                <w:szCs w:val="24"/>
                <w:highlight w:val="none"/>
                <w:lang w:val="en-US" w:eastAsia="zh-CN"/>
              </w:rPr>
              <w:t>：43</w:t>
            </w:r>
            <w:r>
              <w:rPr>
                <w:rFonts w:hint="default" w:ascii="Times New Roman" w:hAnsi="Times New Roman" w:eastAsia="宋体" w:cs="Times New Roman"/>
                <w:sz w:val="24"/>
                <w:szCs w:val="24"/>
                <w:highlight w:val="none"/>
                <w:lang w:val="en-US" w:eastAsia="zh-CN"/>
              </w:rPr>
              <w:t>°</w:t>
            </w:r>
            <w:r>
              <w:rPr>
                <w:rFonts w:hint="eastAsia" w:ascii="Times New Roman" w:hAnsi="Times New Roman" w:eastAsia="宋体" w:cs="Times New Roman"/>
                <w:sz w:val="24"/>
                <w:szCs w:val="24"/>
                <w:highlight w:val="none"/>
                <w:lang w:val="en-US" w:eastAsia="zh-CN"/>
              </w:rPr>
              <w:t>44</w:t>
            </w:r>
            <w:r>
              <w:rPr>
                <w:rFonts w:hint="default" w:ascii="Times New Roman" w:hAnsi="Times New Roman" w:eastAsia="宋体" w:cs="Times New Roman"/>
                <w:sz w:val="24"/>
                <w:szCs w:val="24"/>
                <w:highlight w:val="none"/>
                <w:lang w:val="en-US" w:eastAsia="zh-CN"/>
              </w:rPr>
              <w:t>′</w:t>
            </w:r>
            <w:r>
              <w:rPr>
                <w:rFonts w:hint="eastAsia" w:ascii="Times New Roman" w:hAnsi="Times New Roman" w:eastAsia="宋体" w:cs="Times New Roman"/>
                <w:sz w:val="24"/>
                <w:szCs w:val="24"/>
                <w:highlight w:val="none"/>
                <w:lang w:val="en-US" w:eastAsia="zh-CN"/>
              </w:rPr>
              <w:t>01.811</w:t>
            </w:r>
            <w:r>
              <w:rPr>
                <w:rFonts w:hint="default" w:ascii="Times New Roman" w:hAnsi="Times New Roman" w:eastAsia="宋体" w:cs="Times New Roman"/>
                <w:sz w:val="24"/>
                <w:szCs w:val="24"/>
                <w:highlight w:val="none"/>
                <w:lang w:val="en-US" w:eastAsia="zh-CN"/>
              </w:rPr>
              <w:t>″</w:t>
            </w:r>
            <w:r>
              <w:rPr>
                <w:rFonts w:hint="eastAsia" w:cs="Times New Roman"/>
                <w:sz w:val="24"/>
                <w:szCs w:val="24"/>
                <w:highlight w:val="none"/>
                <w:lang w:val="en-US" w:eastAsia="zh-CN"/>
              </w:rPr>
              <w:t>，</w:t>
            </w:r>
            <w:r>
              <w:rPr>
                <w:rFonts w:hint="eastAsia" w:ascii="Times New Roman" w:hAnsi="Times New Roman" w:eastAsia="宋体" w:cs="Times New Roman"/>
                <w:sz w:val="24"/>
                <w:szCs w:val="24"/>
                <w:highlight w:val="none"/>
                <w:lang w:val="en-US" w:eastAsia="zh-CN"/>
              </w:rPr>
              <w:t>终点坐标：</w:t>
            </w:r>
            <w:r>
              <w:rPr>
                <w:rFonts w:hint="default" w:ascii="Times New Roman" w:hAnsi="Times New Roman" w:eastAsia="宋体" w:cs="Times New Roman"/>
                <w:sz w:val="24"/>
                <w:szCs w:val="24"/>
                <w:highlight w:val="none"/>
                <w:lang w:eastAsia="zh-CN"/>
              </w:rPr>
              <w:t>东经：</w:t>
            </w:r>
            <w:r>
              <w:rPr>
                <w:rFonts w:hint="eastAsia" w:ascii="Times New Roman" w:hAnsi="Times New Roman" w:eastAsia="宋体" w:cs="Times New Roman"/>
                <w:sz w:val="24"/>
                <w:szCs w:val="24"/>
                <w:highlight w:val="none"/>
                <w:lang w:val="en-US" w:eastAsia="zh-CN"/>
              </w:rPr>
              <w:t>89</w:t>
            </w:r>
            <w:r>
              <w:rPr>
                <w:rFonts w:hint="default" w:ascii="Times New Roman" w:hAnsi="Times New Roman" w:eastAsia="宋体" w:cs="Times New Roman"/>
                <w:sz w:val="24"/>
                <w:szCs w:val="24"/>
                <w:highlight w:val="none"/>
                <w:lang w:val="en-US" w:eastAsia="zh-CN"/>
              </w:rPr>
              <w:t>°</w:t>
            </w:r>
            <w:r>
              <w:rPr>
                <w:rFonts w:hint="eastAsia" w:ascii="Times New Roman" w:hAnsi="Times New Roman" w:eastAsia="宋体" w:cs="Times New Roman"/>
                <w:sz w:val="24"/>
                <w:szCs w:val="24"/>
                <w:highlight w:val="none"/>
                <w:lang w:val="en-US" w:eastAsia="zh-CN"/>
              </w:rPr>
              <w:t>14</w:t>
            </w:r>
            <w:r>
              <w:rPr>
                <w:rFonts w:hint="default" w:ascii="Times New Roman" w:hAnsi="Times New Roman" w:eastAsia="宋体" w:cs="Times New Roman"/>
                <w:sz w:val="24"/>
                <w:szCs w:val="24"/>
                <w:highlight w:val="none"/>
                <w:lang w:val="en-US" w:eastAsia="zh-CN"/>
              </w:rPr>
              <w:t>′</w:t>
            </w:r>
            <w:r>
              <w:rPr>
                <w:rFonts w:hint="eastAsia" w:ascii="Times New Roman" w:hAnsi="Times New Roman" w:eastAsia="宋体" w:cs="Times New Roman"/>
                <w:sz w:val="24"/>
                <w:szCs w:val="24"/>
                <w:highlight w:val="none"/>
                <w:lang w:val="en-US" w:eastAsia="zh-CN"/>
              </w:rPr>
              <w:t>46.696</w:t>
            </w:r>
            <w:r>
              <w:rPr>
                <w:rFonts w:hint="default" w:ascii="Times New Roman" w:hAnsi="Times New Roman" w:eastAsia="宋体" w:cs="Times New Roman"/>
                <w:sz w:val="24"/>
                <w:szCs w:val="24"/>
                <w:highlight w:val="none"/>
                <w:lang w:val="en-US" w:eastAsia="zh-CN"/>
              </w:rPr>
              <w:t>″，北纬</w:t>
            </w:r>
            <w:r>
              <w:rPr>
                <w:rFonts w:hint="eastAsia" w:ascii="Times New Roman" w:hAnsi="Times New Roman" w:eastAsia="宋体" w:cs="Times New Roman"/>
                <w:sz w:val="24"/>
                <w:szCs w:val="24"/>
                <w:highlight w:val="none"/>
                <w:lang w:val="en-US" w:eastAsia="zh-CN"/>
              </w:rPr>
              <w:t>：43</w:t>
            </w:r>
            <w:r>
              <w:rPr>
                <w:rFonts w:hint="default" w:ascii="Times New Roman" w:hAnsi="Times New Roman" w:eastAsia="宋体" w:cs="Times New Roman"/>
                <w:sz w:val="24"/>
                <w:szCs w:val="24"/>
                <w:highlight w:val="none"/>
                <w:lang w:val="en-US" w:eastAsia="zh-CN"/>
              </w:rPr>
              <w:t>°</w:t>
            </w:r>
            <w:r>
              <w:rPr>
                <w:rFonts w:hint="eastAsia" w:ascii="Times New Roman" w:hAnsi="Times New Roman" w:eastAsia="宋体" w:cs="Times New Roman"/>
                <w:sz w:val="24"/>
                <w:szCs w:val="24"/>
                <w:highlight w:val="none"/>
                <w:lang w:val="en-US" w:eastAsia="zh-CN"/>
              </w:rPr>
              <w:t>44</w:t>
            </w:r>
            <w:r>
              <w:rPr>
                <w:rFonts w:hint="default" w:ascii="Times New Roman" w:hAnsi="Times New Roman" w:eastAsia="宋体" w:cs="Times New Roman"/>
                <w:sz w:val="24"/>
                <w:szCs w:val="24"/>
                <w:highlight w:val="none"/>
                <w:lang w:val="en-US" w:eastAsia="zh-CN"/>
              </w:rPr>
              <w:t>′</w:t>
            </w:r>
            <w:r>
              <w:rPr>
                <w:rFonts w:hint="eastAsia" w:ascii="Times New Roman" w:hAnsi="Times New Roman" w:eastAsia="宋体" w:cs="Times New Roman"/>
                <w:sz w:val="24"/>
                <w:szCs w:val="24"/>
                <w:highlight w:val="none"/>
                <w:lang w:val="en-US" w:eastAsia="zh-CN"/>
              </w:rPr>
              <w:t>48.120</w:t>
            </w:r>
            <w:r>
              <w:rPr>
                <w:rFonts w:hint="default" w:ascii="Times New Roman" w:hAnsi="Times New Roman" w:eastAsia="宋体" w:cs="Times New Roman"/>
                <w:sz w:val="24"/>
                <w:szCs w:val="24"/>
                <w:highlight w:val="none"/>
                <w:lang w:val="en-US" w:eastAsia="zh-CN"/>
              </w:rPr>
              <w:t>″</w:t>
            </w:r>
            <w:r>
              <w:rPr>
                <w:rFonts w:hint="eastAsia" w:ascii="Times New Roman" w:hAnsi="Times New Roman" w:eastAsia="宋体" w:cs="Times New Roman"/>
                <w:sz w:val="24"/>
                <w:szCs w:val="24"/>
                <w:highlight w:val="none"/>
                <w:lang w:val="en-US" w:eastAsia="zh-CN"/>
              </w:rPr>
              <w:t>；白杨河水库至林区公路段</w:t>
            </w:r>
            <w:r>
              <w:rPr>
                <w:rFonts w:hint="default" w:ascii="Times New Roman" w:hAnsi="Times New Roman" w:cs="Times New Roman"/>
                <w:b w:val="0"/>
                <w:bCs/>
                <w:color w:val="000000"/>
              </w:rPr>
              <w:t>（</w:t>
            </w:r>
            <w:r>
              <w:rPr>
                <w:rFonts w:hint="default" w:ascii="Times New Roman" w:hAnsi="Times New Roman" w:eastAsia="宋体" w:cs="Times New Roman"/>
                <w:b w:val="0"/>
                <w:bCs w:val="0"/>
                <w:color w:val="000000"/>
                <w:kern w:val="0"/>
                <w:sz w:val="24"/>
                <w:szCs w:val="24"/>
                <w:lang w:val="en-US" w:eastAsia="zh-CN" w:bidi="ar-SA"/>
              </w:rPr>
              <w:t>4+100～21+900</w:t>
            </w:r>
            <w:r>
              <w:rPr>
                <w:rFonts w:hint="default" w:ascii="Times New Roman" w:hAnsi="Times New Roman" w:cs="Times New Roman"/>
                <w:b w:val="0"/>
                <w:bCs/>
                <w:color w:val="000000"/>
              </w:rPr>
              <w:t>）</w:t>
            </w:r>
            <w:r>
              <w:rPr>
                <w:rFonts w:hint="eastAsia" w:ascii="Times New Roman" w:hAnsi="Times New Roman" w:eastAsia="宋体" w:cs="Times New Roman"/>
                <w:sz w:val="24"/>
                <w:szCs w:val="24"/>
                <w:highlight w:val="none"/>
                <w:lang w:val="en-US" w:eastAsia="zh-CN"/>
              </w:rPr>
              <w:t>：起点坐标：</w:t>
            </w:r>
            <w:r>
              <w:rPr>
                <w:rFonts w:hint="default" w:ascii="Times New Roman" w:hAnsi="Times New Roman" w:eastAsia="宋体" w:cs="Times New Roman"/>
                <w:sz w:val="24"/>
                <w:szCs w:val="24"/>
                <w:highlight w:val="none"/>
                <w:lang w:val="en-US" w:eastAsia="zh-CN"/>
              </w:rPr>
              <w:t>东经：</w:t>
            </w:r>
            <w:r>
              <w:rPr>
                <w:rFonts w:hint="eastAsia" w:ascii="Times New Roman" w:hAnsi="Times New Roman" w:eastAsia="宋体" w:cs="Times New Roman"/>
                <w:sz w:val="24"/>
                <w:szCs w:val="24"/>
                <w:highlight w:val="none"/>
                <w:lang w:val="en-US" w:eastAsia="zh-CN"/>
              </w:rPr>
              <w:t>89</w:t>
            </w:r>
            <w:r>
              <w:rPr>
                <w:rFonts w:hint="default" w:ascii="Times New Roman" w:hAnsi="Times New Roman" w:eastAsia="宋体" w:cs="Times New Roman"/>
                <w:sz w:val="24"/>
                <w:szCs w:val="24"/>
                <w:highlight w:val="none"/>
                <w:lang w:val="en-US" w:eastAsia="zh-CN"/>
              </w:rPr>
              <w:t>°</w:t>
            </w:r>
            <w:r>
              <w:rPr>
                <w:rFonts w:hint="eastAsia" w:ascii="Times New Roman" w:hAnsi="Times New Roman" w:eastAsia="宋体" w:cs="Times New Roman"/>
                <w:sz w:val="24"/>
                <w:szCs w:val="24"/>
                <w:highlight w:val="none"/>
                <w:lang w:val="en-US" w:eastAsia="zh-CN"/>
              </w:rPr>
              <w:t>15</w:t>
            </w:r>
            <w:r>
              <w:rPr>
                <w:rFonts w:hint="default" w:ascii="Times New Roman" w:hAnsi="Times New Roman" w:eastAsia="宋体" w:cs="Times New Roman"/>
                <w:sz w:val="24"/>
                <w:szCs w:val="24"/>
                <w:highlight w:val="none"/>
                <w:lang w:val="en-US" w:eastAsia="zh-CN"/>
              </w:rPr>
              <w:t>′</w:t>
            </w:r>
            <w:r>
              <w:rPr>
                <w:rFonts w:hint="eastAsia" w:ascii="Times New Roman" w:hAnsi="Times New Roman" w:eastAsia="宋体" w:cs="Times New Roman"/>
                <w:sz w:val="24"/>
                <w:szCs w:val="24"/>
                <w:highlight w:val="none"/>
                <w:lang w:val="en-US" w:eastAsia="zh-CN"/>
              </w:rPr>
              <w:t>46.604</w:t>
            </w:r>
            <w:r>
              <w:rPr>
                <w:rFonts w:hint="default" w:ascii="Times New Roman" w:hAnsi="Times New Roman" w:eastAsia="宋体" w:cs="Times New Roman"/>
                <w:sz w:val="24"/>
                <w:szCs w:val="24"/>
                <w:highlight w:val="none"/>
                <w:lang w:val="en-US" w:eastAsia="zh-CN"/>
              </w:rPr>
              <w:t>″，北纬</w:t>
            </w:r>
            <w:r>
              <w:rPr>
                <w:rFonts w:hint="eastAsia" w:ascii="Times New Roman" w:hAnsi="Times New Roman" w:eastAsia="宋体" w:cs="Times New Roman"/>
                <w:sz w:val="24"/>
                <w:szCs w:val="24"/>
                <w:highlight w:val="none"/>
                <w:lang w:val="en-US" w:eastAsia="zh-CN"/>
              </w:rPr>
              <w:t>：43</w:t>
            </w:r>
            <w:r>
              <w:rPr>
                <w:rFonts w:hint="default" w:ascii="Times New Roman" w:hAnsi="Times New Roman" w:eastAsia="宋体" w:cs="Times New Roman"/>
                <w:sz w:val="24"/>
                <w:szCs w:val="24"/>
                <w:highlight w:val="none"/>
                <w:lang w:val="en-US" w:eastAsia="zh-CN"/>
              </w:rPr>
              <w:t>°</w:t>
            </w:r>
            <w:r>
              <w:rPr>
                <w:rFonts w:hint="eastAsia" w:ascii="Times New Roman" w:hAnsi="Times New Roman" w:eastAsia="宋体" w:cs="Times New Roman"/>
                <w:sz w:val="24"/>
                <w:szCs w:val="24"/>
                <w:highlight w:val="none"/>
                <w:lang w:val="en-US" w:eastAsia="zh-CN"/>
              </w:rPr>
              <w:t>46</w:t>
            </w:r>
            <w:r>
              <w:rPr>
                <w:rFonts w:hint="default" w:ascii="Times New Roman" w:hAnsi="Times New Roman" w:eastAsia="宋体" w:cs="Times New Roman"/>
                <w:sz w:val="24"/>
                <w:szCs w:val="24"/>
                <w:highlight w:val="none"/>
                <w:lang w:val="en-US" w:eastAsia="zh-CN"/>
              </w:rPr>
              <w:t>′</w:t>
            </w:r>
            <w:r>
              <w:rPr>
                <w:rFonts w:hint="eastAsia" w:ascii="Times New Roman" w:hAnsi="Times New Roman" w:eastAsia="宋体" w:cs="Times New Roman"/>
                <w:sz w:val="24"/>
                <w:szCs w:val="24"/>
                <w:highlight w:val="none"/>
                <w:lang w:val="en-US" w:eastAsia="zh-CN"/>
              </w:rPr>
              <w:t>02.682</w:t>
            </w:r>
            <w:r>
              <w:rPr>
                <w:rFonts w:hint="default" w:ascii="Times New Roman" w:hAnsi="Times New Roman" w:eastAsia="宋体" w:cs="Times New Roman"/>
                <w:sz w:val="24"/>
                <w:szCs w:val="24"/>
                <w:highlight w:val="none"/>
                <w:lang w:val="en-US" w:eastAsia="zh-CN"/>
              </w:rPr>
              <w:t>″</w:t>
            </w:r>
            <w:r>
              <w:rPr>
                <w:rFonts w:hint="eastAsia" w:cs="Times New Roman"/>
                <w:sz w:val="24"/>
                <w:szCs w:val="24"/>
                <w:highlight w:val="none"/>
                <w:lang w:val="en-US" w:eastAsia="zh-CN"/>
              </w:rPr>
              <w:t>，</w:t>
            </w:r>
            <w:r>
              <w:rPr>
                <w:rFonts w:hint="eastAsia" w:ascii="Times New Roman" w:hAnsi="Times New Roman" w:eastAsia="宋体" w:cs="Times New Roman"/>
                <w:sz w:val="24"/>
                <w:szCs w:val="24"/>
                <w:highlight w:val="none"/>
                <w:lang w:val="en-US" w:eastAsia="zh-CN"/>
              </w:rPr>
              <w:t>终点坐标：</w:t>
            </w:r>
            <w:r>
              <w:rPr>
                <w:rFonts w:hint="default" w:ascii="Times New Roman" w:hAnsi="Times New Roman" w:eastAsia="宋体" w:cs="Times New Roman"/>
                <w:sz w:val="24"/>
                <w:szCs w:val="24"/>
                <w:highlight w:val="none"/>
                <w:lang w:val="en-US" w:eastAsia="zh-CN"/>
              </w:rPr>
              <w:t>东经：</w:t>
            </w:r>
            <w:r>
              <w:rPr>
                <w:rFonts w:hint="eastAsia" w:ascii="Times New Roman" w:hAnsi="Times New Roman" w:eastAsia="宋体" w:cs="Times New Roman"/>
                <w:sz w:val="24"/>
                <w:szCs w:val="24"/>
                <w:highlight w:val="none"/>
                <w:lang w:val="en-US" w:eastAsia="zh-CN"/>
              </w:rPr>
              <w:t>89</w:t>
            </w:r>
            <w:r>
              <w:rPr>
                <w:rFonts w:hint="default" w:ascii="Times New Roman" w:hAnsi="Times New Roman" w:eastAsia="宋体" w:cs="Times New Roman"/>
                <w:sz w:val="24"/>
                <w:szCs w:val="24"/>
                <w:highlight w:val="none"/>
                <w:lang w:val="en-US" w:eastAsia="zh-CN"/>
              </w:rPr>
              <w:t>°</w:t>
            </w:r>
            <w:r>
              <w:rPr>
                <w:rFonts w:hint="eastAsia" w:ascii="Times New Roman" w:hAnsi="Times New Roman" w:eastAsia="宋体" w:cs="Times New Roman"/>
                <w:sz w:val="24"/>
                <w:szCs w:val="24"/>
                <w:highlight w:val="none"/>
                <w:lang w:val="en-US" w:eastAsia="zh-CN"/>
              </w:rPr>
              <w:t>17</w:t>
            </w:r>
            <w:r>
              <w:rPr>
                <w:rFonts w:hint="default" w:ascii="Times New Roman" w:hAnsi="Times New Roman" w:eastAsia="宋体" w:cs="Times New Roman"/>
                <w:sz w:val="24"/>
                <w:szCs w:val="24"/>
                <w:highlight w:val="none"/>
                <w:lang w:val="en-US" w:eastAsia="zh-CN"/>
              </w:rPr>
              <w:t>′</w:t>
            </w:r>
            <w:r>
              <w:rPr>
                <w:rFonts w:hint="eastAsia" w:ascii="Times New Roman" w:hAnsi="Times New Roman" w:eastAsia="宋体" w:cs="Times New Roman"/>
                <w:sz w:val="24"/>
                <w:szCs w:val="24"/>
                <w:highlight w:val="none"/>
                <w:lang w:val="en-US" w:eastAsia="zh-CN"/>
              </w:rPr>
              <w:t>05.645</w:t>
            </w:r>
            <w:r>
              <w:rPr>
                <w:rFonts w:hint="default" w:ascii="Times New Roman" w:hAnsi="Times New Roman" w:eastAsia="宋体" w:cs="Times New Roman"/>
                <w:sz w:val="24"/>
                <w:szCs w:val="24"/>
                <w:highlight w:val="none"/>
                <w:lang w:val="en-US" w:eastAsia="zh-CN"/>
              </w:rPr>
              <w:t>″，北纬</w:t>
            </w:r>
            <w:r>
              <w:rPr>
                <w:rFonts w:hint="eastAsia" w:ascii="Times New Roman" w:hAnsi="Times New Roman" w:eastAsia="宋体" w:cs="Times New Roman"/>
                <w:sz w:val="24"/>
                <w:szCs w:val="24"/>
                <w:highlight w:val="none"/>
                <w:lang w:val="en-US" w:eastAsia="zh-CN"/>
              </w:rPr>
              <w:t>：43</w:t>
            </w:r>
            <w:r>
              <w:rPr>
                <w:rFonts w:hint="default" w:ascii="Times New Roman" w:hAnsi="Times New Roman" w:eastAsia="宋体" w:cs="Times New Roman"/>
                <w:sz w:val="24"/>
                <w:szCs w:val="24"/>
                <w:highlight w:val="none"/>
                <w:lang w:val="en-US" w:eastAsia="zh-CN"/>
              </w:rPr>
              <w:t>°</w:t>
            </w:r>
            <w:r>
              <w:rPr>
                <w:rFonts w:hint="eastAsia" w:ascii="Times New Roman" w:hAnsi="Times New Roman" w:eastAsia="宋体" w:cs="Times New Roman"/>
                <w:sz w:val="24"/>
                <w:szCs w:val="24"/>
                <w:highlight w:val="none"/>
                <w:lang w:val="en-US" w:eastAsia="zh-CN"/>
              </w:rPr>
              <w:t>53</w:t>
            </w:r>
            <w:r>
              <w:rPr>
                <w:rFonts w:hint="default" w:ascii="Times New Roman" w:hAnsi="Times New Roman" w:eastAsia="宋体" w:cs="Times New Roman"/>
                <w:sz w:val="24"/>
                <w:szCs w:val="24"/>
                <w:highlight w:val="none"/>
                <w:lang w:val="en-US" w:eastAsia="zh-CN"/>
              </w:rPr>
              <w:t>′</w:t>
            </w:r>
            <w:r>
              <w:rPr>
                <w:rFonts w:hint="eastAsia" w:ascii="Times New Roman" w:hAnsi="Times New Roman" w:eastAsia="宋体" w:cs="Times New Roman"/>
                <w:sz w:val="24"/>
                <w:szCs w:val="24"/>
                <w:highlight w:val="none"/>
                <w:lang w:val="en-US" w:eastAsia="zh-CN"/>
              </w:rPr>
              <w:t>17.439</w:t>
            </w:r>
            <w:r>
              <w:rPr>
                <w:rFonts w:hint="default" w:ascii="Times New Roman" w:hAnsi="Times New Roman" w:eastAsia="宋体" w:cs="Times New Roman"/>
                <w:sz w:val="24"/>
                <w:szCs w:val="24"/>
                <w:highlight w:val="none"/>
                <w:lang w:val="en-US" w:eastAsia="zh-CN"/>
              </w:rPr>
              <w:t>″</w:t>
            </w:r>
            <w:r>
              <w:rPr>
                <w:rFonts w:hint="eastAsia" w:ascii="Times New Roman" w:hAnsi="Times New Roman" w:eastAsia="宋体" w:cs="Times New Roman"/>
                <w:sz w:val="24"/>
                <w:szCs w:val="24"/>
                <w:highlight w:val="none"/>
                <w:lang w:val="en-US" w:eastAsia="zh-CN"/>
              </w:rPr>
              <w:t>；魏家村至S303段</w:t>
            </w:r>
            <w:r>
              <w:rPr>
                <w:rFonts w:hint="default" w:ascii="Times New Roman" w:hAnsi="Times New Roman" w:cs="Times New Roman"/>
                <w:b w:val="0"/>
                <w:bCs/>
                <w:color w:val="000000"/>
              </w:rPr>
              <w:t>（</w:t>
            </w:r>
            <w:r>
              <w:rPr>
                <w:rFonts w:hint="default" w:ascii="Times New Roman" w:hAnsi="Times New Roman" w:eastAsia="宋体" w:cs="Times New Roman"/>
                <w:b w:val="0"/>
                <w:bCs w:val="0"/>
                <w:color w:val="000000"/>
                <w:kern w:val="0"/>
                <w:sz w:val="24"/>
                <w:szCs w:val="24"/>
                <w:lang w:val="en-US" w:eastAsia="zh-CN" w:bidi="ar-SA"/>
              </w:rPr>
              <w:t>26+750～29+160</w:t>
            </w:r>
            <w:r>
              <w:rPr>
                <w:rFonts w:hint="default" w:ascii="Times New Roman" w:hAnsi="Times New Roman" w:cs="Times New Roman"/>
                <w:b w:val="0"/>
                <w:bCs/>
                <w:color w:val="000000"/>
              </w:rPr>
              <w:t>）</w:t>
            </w:r>
            <w:r>
              <w:rPr>
                <w:rFonts w:hint="eastAsia" w:ascii="Times New Roman" w:hAnsi="Times New Roman" w:eastAsia="宋体" w:cs="Times New Roman"/>
                <w:sz w:val="24"/>
                <w:szCs w:val="24"/>
                <w:highlight w:val="none"/>
                <w:lang w:val="en-US" w:eastAsia="zh-CN"/>
              </w:rPr>
              <w:t>：起点坐标：</w:t>
            </w:r>
            <w:r>
              <w:rPr>
                <w:rFonts w:hint="default" w:ascii="Times New Roman" w:hAnsi="Times New Roman" w:eastAsia="宋体" w:cs="Times New Roman"/>
                <w:sz w:val="24"/>
                <w:szCs w:val="24"/>
                <w:highlight w:val="none"/>
                <w:lang w:val="en-US" w:eastAsia="zh-CN"/>
              </w:rPr>
              <w:t>东经：</w:t>
            </w:r>
            <w:r>
              <w:rPr>
                <w:rFonts w:hint="eastAsia" w:ascii="Times New Roman" w:hAnsi="Times New Roman" w:eastAsia="宋体" w:cs="Times New Roman"/>
                <w:sz w:val="24"/>
                <w:szCs w:val="24"/>
                <w:highlight w:val="none"/>
                <w:lang w:val="en-US" w:eastAsia="zh-CN"/>
              </w:rPr>
              <w:t>89</w:t>
            </w:r>
            <w:r>
              <w:rPr>
                <w:rFonts w:hint="default" w:ascii="Times New Roman" w:hAnsi="Times New Roman" w:eastAsia="宋体" w:cs="Times New Roman"/>
                <w:sz w:val="24"/>
                <w:szCs w:val="24"/>
                <w:highlight w:val="none"/>
                <w:lang w:val="en-US" w:eastAsia="zh-CN"/>
              </w:rPr>
              <w:t>°</w:t>
            </w:r>
            <w:r>
              <w:rPr>
                <w:rFonts w:hint="eastAsia" w:ascii="Times New Roman" w:hAnsi="Times New Roman" w:eastAsia="宋体" w:cs="Times New Roman"/>
                <w:sz w:val="24"/>
                <w:szCs w:val="24"/>
                <w:highlight w:val="none"/>
                <w:lang w:val="en-US" w:eastAsia="zh-CN"/>
              </w:rPr>
              <w:t>1</w:t>
            </w:r>
            <w:r>
              <w:rPr>
                <w:rFonts w:hint="eastAsia" w:cs="Times New Roman"/>
                <w:sz w:val="24"/>
                <w:szCs w:val="24"/>
                <w:highlight w:val="none"/>
                <w:lang w:val="en-US" w:eastAsia="zh-CN"/>
              </w:rPr>
              <w:t>8</w:t>
            </w:r>
            <w:r>
              <w:rPr>
                <w:rFonts w:hint="default" w:ascii="Times New Roman" w:hAnsi="Times New Roman" w:eastAsia="宋体" w:cs="Times New Roman"/>
                <w:sz w:val="24"/>
                <w:szCs w:val="24"/>
                <w:highlight w:val="none"/>
                <w:lang w:val="en-US" w:eastAsia="zh-CN"/>
              </w:rPr>
              <w:t>′</w:t>
            </w:r>
            <w:r>
              <w:rPr>
                <w:rFonts w:hint="eastAsia" w:ascii="Times New Roman" w:hAnsi="Times New Roman" w:eastAsia="宋体" w:cs="Times New Roman"/>
                <w:sz w:val="24"/>
                <w:szCs w:val="24"/>
                <w:highlight w:val="none"/>
                <w:lang w:val="en-US" w:eastAsia="zh-CN"/>
              </w:rPr>
              <w:t>4</w:t>
            </w:r>
            <w:r>
              <w:rPr>
                <w:rFonts w:hint="eastAsia" w:cs="Times New Roman"/>
                <w:sz w:val="24"/>
                <w:szCs w:val="24"/>
                <w:highlight w:val="none"/>
                <w:lang w:val="en-US" w:eastAsia="zh-CN"/>
              </w:rPr>
              <w:t>0</w:t>
            </w:r>
            <w:r>
              <w:rPr>
                <w:rFonts w:hint="eastAsia" w:ascii="Times New Roman" w:hAnsi="Times New Roman" w:eastAsia="宋体" w:cs="Times New Roman"/>
                <w:sz w:val="24"/>
                <w:szCs w:val="24"/>
                <w:highlight w:val="none"/>
                <w:lang w:val="en-US" w:eastAsia="zh-CN"/>
              </w:rPr>
              <w:t>.</w:t>
            </w:r>
            <w:r>
              <w:rPr>
                <w:rFonts w:hint="eastAsia" w:cs="Times New Roman"/>
                <w:sz w:val="24"/>
                <w:szCs w:val="24"/>
                <w:highlight w:val="none"/>
                <w:lang w:val="en-US" w:eastAsia="zh-CN"/>
              </w:rPr>
              <w:t>486</w:t>
            </w:r>
            <w:r>
              <w:rPr>
                <w:rFonts w:hint="default" w:ascii="Times New Roman" w:hAnsi="Times New Roman" w:eastAsia="宋体" w:cs="Times New Roman"/>
                <w:sz w:val="24"/>
                <w:szCs w:val="24"/>
                <w:highlight w:val="none"/>
                <w:lang w:val="en-US" w:eastAsia="zh-CN"/>
              </w:rPr>
              <w:t>″，北纬</w:t>
            </w:r>
            <w:r>
              <w:rPr>
                <w:rFonts w:hint="eastAsia" w:ascii="Times New Roman" w:hAnsi="Times New Roman" w:eastAsia="宋体" w:cs="Times New Roman"/>
                <w:sz w:val="24"/>
                <w:szCs w:val="24"/>
                <w:highlight w:val="none"/>
                <w:lang w:val="en-US" w:eastAsia="zh-CN"/>
              </w:rPr>
              <w:t>：43</w:t>
            </w:r>
            <w:r>
              <w:rPr>
                <w:rFonts w:hint="default" w:ascii="Times New Roman" w:hAnsi="Times New Roman" w:eastAsia="宋体" w:cs="Times New Roman"/>
                <w:sz w:val="24"/>
                <w:szCs w:val="24"/>
                <w:highlight w:val="none"/>
                <w:lang w:val="en-US" w:eastAsia="zh-CN"/>
              </w:rPr>
              <w:t>°</w:t>
            </w:r>
            <w:r>
              <w:rPr>
                <w:rFonts w:hint="eastAsia" w:cs="Times New Roman"/>
                <w:sz w:val="24"/>
                <w:szCs w:val="24"/>
                <w:highlight w:val="none"/>
                <w:lang w:val="en-US" w:eastAsia="zh-CN"/>
              </w:rPr>
              <w:t>57</w:t>
            </w:r>
            <w:r>
              <w:rPr>
                <w:rFonts w:hint="default" w:ascii="Times New Roman" w:hAnsi="Times New Roman" w:eastAsia="宋体" w:cs="Times New Roman"/>
                <w:sz w:val="24"/>
                <w:szCs w:val="24"/>
                <w:highlight w:val="none"/>
                <w:lang w:val="en-US" w:eastAsia="zh-CN"/>
              </w:rPr>
              <w:t>′</w:t>
            </w:r>
            <w:r>
              <w:rPr>
                <w:rFonts w:hint="eastAsia" w:cs="Times New Roman"/>
                <w:sz w:val="24"/>
                <w:szCs w:val="24"/>
                <w:highlight w:val="none"/>
                <w:lang w:val="en-US" w:eastAsia="zh-CN"/>
              </w:rPr>
              <w:t>42</w:t>
            </w:r>
            <w:r>
              <w:rPr>
                <w:rFonts w:hint="eastAsia" w:ascii="Times New Roman" w:hAnsi="Times New Roman" w:eastAsia="宋体" w:cs="Times New Roman"/>
                <w:sz w:val="24"/>
                <w:szCs w:val="24"/>
                <w:highlight w:val="none"/>
                <w:lang w:val="en-US" w:eastAsia="zh-CN"/>
              </w:rPr>
              <w:t>.</w:t>
            </w:r>
            <w:r>
              <w:rPr>
                <w:rFonts w:hint="eastAsia" w:cs="Times New Roman"/>
                <w:sz w:val="24"/>
                <w:szCs w:val="24"/>
                <w:highlight w:val="none"/>
                <w:lang w:val="en-US" w:eastAsia="zh-CN"/>
              </w:rPr>
              <w:t>705</w:t>
            </w:r>
            <w:r>
              <w:rPr>
                <w:rFonts w:hint="default" w:ascii="Times New Roman" w:hAnsi="Times New Roman" w:eastAsia="宋体" w:cs="Times New Roman"/>
                <w:sz w:val="24"/>
                <w:szCs w:val="24"/>
                <w:highlight w:val="none"/>
                <w:lang w:val="en-US" w:eastAsia="zh-CN"/>
              </w:rPr>
              <w:t>″</w:t>
            </w:r>
            <w:r>
              <w:rPr>
                <w:rFonts w:hint="eastAsia" w:cs="Times New Roman"/>
                <w:sz w:val="24"/>
                <w:szCs w:val="24"/>
                <w:highlight w:val="none"/>
                <w:lang w:val="en-US" w:eastAsia="zh-CN"/>
              </w:rPr>
              <w:t>，</w:t>
            </w:r>
            <w:r>
              <w:rPr>
                <w:rFonts w:hint="eastAsia" w:ascii="Times New Roman" w:hAnsi="Times New Roman" w:eastAsia="宋体" w:cs="Times New Roman"/>
                <w:sz w:val="24"/>
                <w:szCs w:val="24"/>
                <w:highlight w:val="none"/>
                <w:lang w:val="en-US" w:eastAsia="zh-CN"/>
              </w:rPr>
              <w:t>终点坐标：</w:t>
            </w:r>
            <w:r>
              <w:rPr>
                <w:rFonts w:hint="default" w:ascii="Times New Roman" w:hAnsi="Times New Roman" w:eastAsia="宋体" w:cs="Times New Roman"/>
                <w:sz w:val="24"/>
                <w:szCs w:val="24"/>
                <w:highlight w:val="none"/>
                <w:lang w:val="en-US" w:eastAsia="zh-CN"/>
              </w:rPr>
              <w:t>东经：</w:t>
            </w:r>
            <w:r>
              <w:rPr>
                <w:rFonts w:hint="eastAsia" w:ascii="Times New Roman" w:hAnsi="Times New Roman" w:eastAsia="宋体" w:cs="Times New Roman"/>
                <w:sz w:val="24"/>
                <w:szCs w:val="24"/>
                <w:highlight w:val="none"/>
                <w:lang w:val="en-US" w:eastAsia="zh-CN"/>
              </w:rPr>
              <w:t>89</w:t>
            </w:r>
            <w:r>
              <w:rPr>
                <w:rFonts w:hint="default" w:ascii="Times New Roman" w:hAnsi="Times New Roman" w:eastAsia="宋体" w:cs="Times New Roman"/>
                <w:sz w:val="24"/>
                <w:szCs w:val="24"/>
                <w:highlight w:val="none"/>
                <w:lang w:val="en-US" w:eastAsia="zh-CN"/>
              </w:rPr>
              <w:t>°</w:t>
            </w:r>
            <w:r>
              <w:rPr>
                <w:rFonts w:hint="eastAsia" w:ascii="Times New Roman" w:hAnsi="Times New Roman" w:eastAsia="宋体" w:cs="Times New Roman"/>
                <w:sz w:val="24"/>
                <w:szCs w:val="24"/>
                <w:highlight w:val="none"/>
                <w:lang w:val="en-US" w:eastAsia="zh-CN"/>
              </w:rPr>
              <w:t>1</w:t>
            </w:r>
            <w:r>
              <w:rPr>
                <w:rFonts w:hint="eastAsia" w:cs="Times New Roman"/>
                <w:sz w:val="24"/>
                <w:szCs w:val="24"/>
                <w:highlight w:val="none"/>
                <w:lang w:val="en-US" w:eastAsia="zh-CN"/>
              </w:rPr>
              <w:t>8</w:t>
            </w:r>
            <w:r>
              <w:rPr>
                <w:rFonts w:hint="default" w:ascii="Times New Roman" w:hAnsi="Times New Roman" w:eastAsia="宋体" w:cs="Times New Roman"/>
                <w:sz w:val="24"/>
                <w:szCs w:val="24"/>
                <w:highlight w:val="none"/>
                <w:lang w:val="en-US" w:eastAsia="zh-CN"/>
              </w:rPr>
              <w:t>′</w:t>
            </w:r>
            <w:r>
              <w:rPr>
                <w:rFonts w:hint="eastAsia" w:cs="Times New Roman"/>
                <w:sz w:val="24"/>
                <w:szCs w:val="24"/>
                <w:highlight w:val="none"/>
                <w:lang w:val="en-US" w:eastAsia="zh-CN"/>
              </w:rPr>
              <w:t>3</w:t>
            </w:r>
            <w:r>
              <w:rPr>
                <w:rFonts w:hint="eastAsia" w:ascii="Times New Roman" w:hAnsi="Times New Roman" w:eastAsia="宋体" w:cs="Times New Roman"/>
                <w:sz w:val="24"/>
                <w:szCs w:val="24"/>
                <w:highlight w:val="none"/>
                <w:lang w:val="en-US" w:eastAsia="zh-CN"/>
              </w:rPr>
              <w:t>5.</w:t>
            </w:r>
            <w:r>
              <w:rPr>
                <w:rFonts w:hint="eastAsia" w:cs="Times New Roman"/>
                <w:sz w:val="24"/>
                <w:szCs w:val="24"/>
                <w:highlight w:val="none"/>
                <w:lang w:val="en-US" w:eastAsia="zh-CN"/>
              </w:rPr>
              <w:t>388</w:t>
            </w:r>
            <w:r>
              <w:rPr>
                <w:rFonts w:hint="default" w:ascii="Times New Roman" w:hAnsi="Times New Roman" w:eastAsia="宋体" w:cs="Times New Roman"/>
                <w:sz w:val="24"/>
                <w:szCs w:val="24"/>
                <w:highlight w:val="none"/>
                <w:lang w:val="en-US" w:eastAsia="zh-CN"/>
              </w:rPr>
              <w:t>″，北纬</w:t>
            </w:r>
            <w:r>
              <w:rPr>
                <w:rFonts w:hint="eastAsia" w:ascii="Times New Roman" w:hAnsi="Times New Roman" w:eastAsia="宋体" w:cs="Times New Roman"/>
                <w:sz w:val="24"/>
                <w:szCs w:val="24"/>
                <w:highlight w:val="none"/>
                <w:lang w:val="en-US" w:eastAsia="zh-CN"/>
              </w:rPr>
              <w:t>：43</w:t>
            </w:r>
            <w:r>
              <w:rPr>
                <w:rFonts w:hint="default" w:ascii="Times New Roman" w:hAnsi="Times New Roman" w:eastAsia="宋体" w:cs="Times New Roman"/>
                <w:sz w:val="24"/>
                <w:szCs w:val="24"/>
                <w:highlight w:val="none"/>
                <w:lang w:val="en-US" w:eastAsia="zh-CN"/>
              </w:rPr>
              <w:t>°</w:t>
            </w:r>
            <w:r>
              <w:rPr>
                <w:rFonts w:hint="eastAsia" w:ascii="Times New Roman" w:hAnsi="Times New Roman" w:eastAsia="宋体" w:cs="Times New Roman"/>
                <w:sz w:val="24"/>
                <w:szCs w:val="24"/>
                <w:highlight w:val="none"/>
                <w:lang w:val="en-US" w:eastAsia="zh-CN"/>
              </w:rPr>
              <w:t>5</w:t>
            </w:r>
            <w:r>
              <w:rPr>
                <w:rFonts w:hint="eastAsia" w:cs="Times New Roman"/>
                <w:sz w:val="24"/>
                <w:szCs w:val="24"/>
                <w:highlight w:val="none"/>
                <w:lang w:val="en-US" w:eastAsia="zh-CN"/>
              </w:rPr>
              <w:t>8</w:t>
            </w:r>
            <w:r>
              <w:rPr>
                <w:rFonts w:hint="default" w:ascii="Times New Roman" w:hAnsi="Times New Roman" w:eastAsia="宋体" w:cs="Times New Roman"/>
                <w:sz w:val="24"/>
                <w:szCs w:val="24"/>
                <w:highlight w:val="none"/>
                <w:lang w:val="en-US" w:eastAsia="zh-CN"/>
              </w:rPr>
              <w:t>′</w:t>
            </w:r>
            <w:r>
              <w:rPr>
                <w:rFonts w:hint="eastAsia" w:cs="Times New Roman"/>
                <w:sz w:val="24"/>
                <w:szCs w:val="24"/>
                <w:highlight w:val="none"/>
                <w:lang w:val="en-US" w:eastAsia="zh-CN"/>
              </w:rPr>
              <w:t>57</w:t>
            </w:r>
            <w:r>
              <w:rPr>
                <w:rFonts w:hint="eastAsia" w:ascii="Times New Roman" w:hAnsi="Times New Roman" w:eastAsia="宋体" w:cs="Times New Roman"/>
                <w:sz w:val="24"/>
                <w:szCs w:val="24"/>
                <w:highlight w:val="none"/>
                <w:lang w:val="en-US" w:eastAsia="zh-CN"/>
              </w:rPr>
              <w:t>.</w:t>
            </w:r>
            <w:r>
              <w:rPr>
                <w:rFonts w:hint="eastAsia" w:cs="Times New Roman"/>
                <w:sz w:val="24"/>
                <w:szCs w:val="24"/>
                <w:highlight w:val="none"/>
                <w:lang w:val="en-US" w:eastAsia="zh-CN"/>
              </w:rPr>
              <w:t>505</w:t>
            </w:r>
            <w:r>
              <w:rPr>
                <w:rFonts w:hint="default" w:ascii="Times New Roman" w:hAnsi="Times New Roman" w:eastAsia="宋体" w:cs="Times New Roman"/>
                <w:sz w:val="24"/>
                <w:szCs w:val="24"/>
                <w:highlight w:val="none"/>
                <w:lang w:val="en-US" w:eastAsia="zh-CN"/>
              </w:rPr>
              <w:t>″</w:t>
            </w:r>
            <w:r>
              <w:rPr>
                <w:rFonts w:hint="eastAsia" w:cs="Times New Roman"/>
                <w:sz w:val="24"/>
                <w:szCs w:val="24"/>
                <w:highlight w:val="none"/>
                <w:lang w:val="en-US" w:eastAsia="zh-CN"/>
              </w:rPr>
              <w:t>进行生态恢复，</w:t>
            </w:r>
            <w:r>
              <w:rPr>
                <w:rFonts w:hint="eastAsia"/>
                <w:kern w:val="0"/>
                <w:szCs w:val="20"/>
                <w:highlight w:val="none"/>
              </w:rPr>
              <w:t>生态</w:t>
            </w:r>
            <w:r>
              <w:rPr>
                <w:kern w:val="0"/>
                <w:szCs w:val="20"/>
                <w:highlight w:val="none"/>
              </w:rPr>
              <w:t>保护措施</w:t>
            </w:r>
            <w:r>
              <w:rPr>
                <w:rFonts w:hint="eastAsia"/>
                <w:kern w:val="0"/>
                <w:szCs w:val="20"/>
                <w:highlight w:val="none"/>
                <w:lang w:eastAsia="zh-CN"/>
              </w:rPr>
              <w:t>具体</w:t>
            </w:r>
            <w:r>
              <w:rPr>
                <w:kern w:val="0"/>
                <w:szCs w:val="20"/>
                <w:highlight w:val="none"/>
              </w:rPr>
              <w:t>如下</w:t>
            </w:r>
            <w:r>
              <w:rPr>
                <w:rFonts w:hint="eastAsia"/>
                <w:kern w:val="0"/>
                <w:szCs w:val="20"/>
                <w:highlight w:val="none"/>
              </w:rPr>
              <w:t>：</w:t>
            </w:r>
          </w:p>
          <w:p>
            <w:pPr>
              <w:ind w:firstLine="560"/>
              <w:rPr>
                <w:szCs w:val="28"/>
                <w:highlight w:val="none"/>
              </w:rPr>
            </w:pPr>
            <w:r>
              <w:rPr>
                <w:szCs w:val="28"/>
                <w:highlight w:val="none"/>
              </w:rPr>
              <w:t>（1）对</w:t>
            </w:r>
            <w:r>
              <w:rPr>
                <w:rFonts w:hint="eastAsia"/>
                <w:szCs w:val="28"/>
                <w:highlight w:val="none"/>
                <w:lang w:val="en-US" w:eastAsia="zh-CN"/>
              </w:rPr>
              <w:t>项目区</w:t>
            </w:r>
            <w:r>
              <w:rPr>
                <w:szCs w:val="28"/>
                <w:highlight w:val="none"/>
              </w:rPr>
              <w:t>土壤的保护措施</w:t>
            </w:r>
          </w:p>
          <w:p>
            <w:pPr>
              <w:keepNext w:val="0"/>
              <w:keepLines w:val="0"/>
              <w:widowControl/>
              <w:suppressLineNumbers w:val="0"/>
              <w:jc w:val="left"/>
              <w:rPr>
                <w:rFonts w:hint="eastAsia" w:ascii="Times New Roman" w:hAnsi="Times New Roman" w:eastAsia="宋体" w:cs="Times New Roman"/>
                <w:kern w:val="0"/>
                <w:szCs w:val="20"/>
                <w:highlight w:val="none"/>
                <w:lang w:eastAsia="zh-CN"/>
              </w:rPr>
            </w:pPr>
            <w:r>
              <w:rPr>
                <w:rFonts w:hint="eastAsia" w:ascii="Times New Roman" w:hAnsi="Times New Roman" w:eastAsia="宋体" w:cs="Times New Roman"/>
                <w:kern w:val="0"/>
                <w:szCs w:val="20"/>
                <w:highlight w:val="none"/>
                <w:lang w:eastAsia="zh-CN"/>
              </w:rPr>
              <w:t>工程施工过程严格遵循分区分段施工，尽量缩短工期，减少因施工造成的环境影响。土方开挖过程应分层进行开挖，对施工区域内涉及耕地区域进行表土剥离，并单独堆放，加盖苫布；堆土应分层有序堆放，并控制合理的堆放边坡，避免土壤散逸污染道路。开挖的土方临时集中堆放在</w:t>
            </w:r>
            <w:r>
              <w:rPr>
                <w:rFonts w:hint="eastAsia" w:ascii="Times New Roman" w:hAnsi="Times New Roman" w:eastAsia="宋体" w:cs="Times New Roman"/>
                <w:kern w:val="0"/>
                <w:szCs w:val="20"/>
                <w:highlight w:val="none"/>
                <w:lang w:val="en-US" w:eastAsia="zh-CN"/>
              </w:rPr>
              <w:t>项目区</w:t>
            </w:r>
            <w:r>
              <w:rPr>
                <w:rFonts w:hint="eastAsia" w:ascii="Times New Roman" w:hAnsi="Times New Roman" w:eastAsia="宋体" w:cs="Times New Roman"/>
                <w:kern w:val="0"/>
                <w:szCs w:val="20"/>
                <w:highlight w:val="none"/>
                <w:lang w:eastAsia="zh-CN"/>
              </w:rPr>
              <w:t>，设置临时围挡，防尘网苫盖</w:t>
            </w:r>
            <w:r>
              <w:rPr>
                <w:rFonts w:hint="eastAsia" w:cs="Times New Roman"/>
                <w:kern w:val="0"/>
                <w:szCs w:val="20"/>
                <w:highlight w:val="none"/>
                <w:lang w:eastAsia="zh-CN"/>
              </w:rPr>
              <w:t>，</w:t>
            </w:r>
            <w:r>
              <w:rPr>
                <w:rFonts w:hint="eastAsia" w:ascii="Times New Roman" w:hAnsi="Times New Roman" w:eastAsia="宋体" w:cs="Times New Roman"/>
                <w:kern w:val="0"/>
                <w:szCs w:val="20"/>
                <w:highlight w:val="none"/>
                <w:lang w:eastAsia="zh-CN"/>
              </w:rPr>
              <w:t>堆放土壤堆置表层还可采取人工洒水措施促进结皮，避免因起风造成扬尘</w:t>
            </w:r>
            <w:r>
              <w:rPr>
                <w:rFonts w:hint="eastAsia" w:cs="Times New Roman"/>
                <w:kern w:val="0"/>
                <w:szCs w:val="20"/>
                <w:highlight w:val="none"/>
                <w:lang w:eastAsia="zh-CN"/>
              </w:rPr>
              <w:t>，</w:t>
            </w:r>
            <w:r>
              <w:rPr>
                <w:rFonts w:hint="eastAsia" w:ascii="Times New Roman" w:hAnsi="Times New Roman" w:eastAsia="宋体" w:cs="Times New Roman"/>
                <w:kern w:val="0"/>
                <w:szCs w:val="20"/>
                <w:highlight w:val="none"/>
                <w:lang w:eastAsia="zh-CN"/>
              </w:rPr>
              <w:t>待施工结束后，分层回填，将先行剥离的表层腐殖质土壤回填至施工迹地表面，促进土壤有机质的形成，以利于后期植物措施的有效实施，减少对表层土壤的影响。施工期废水及固体废物严格按照各项措施处理处置，避免污染周边土壤环境</w:t>
            </w:r>
            <w:r>
              <w:rPr>
                <w:rFonts w:hint="eastAsia" w:cs="Times New Roman"/>
                <w:kern w:val="0"/>
                <w:szCs w:val="20"/>
                <w:highlight w:val="none"/>
                <w:lang w:eastAsia="zh-CN"/>
              </w:rPr>
              <w:t>，</w:t>
            </w:r>
            <w:r>
              <w:rPr>
                <w:rFonts w:hint="eastAsia" w:ascii="Times New Roman" w:hAnsi="Times New Roman" w:eastAsia="宋体" w:cs="Times New Roman"/>
                <w:kern w:val="0"/>
                <w:szCs w:val="20"/>
                <w:highlight w:val="none"/>
                <w:lang w:eastAsia="zh-CN"/>
              </w:rPr>
              <w:t>加强施工机械的维护保养，减少机械设备油类跑冒滴漏对土壤的影响。</w:t>
            </w:r>
          </w:p>
          <w:p>
            <w:pPr>
              <w:ind w:firstLine="560"/>
              <w:rPr>
                <w:szCs w:val="28"/>
                <w:highlight w:val="none"/>
              </w:rPr>
            </w:pPr>
            <w:r>
              <w:rPr>
                <w:szCs w:val="28"/>
                <w:highlight w:val="none"/>
              </w:rPr>
              <w:t>（2）对</w:t>
            </w:r>
            <w:r>
              <w:rPr>
                <w:rFonts w:hint="eastAsia" w:cs="Times New Roman"/>
                <w:szCs w:val="28"/>
                <w:highlight w:val="none"/>
                <w:lang w:val="en-US" w:eastAsia="zh-CN"/>
              </w:rPr>
              <w:t>草地和农田</w:t>
            </w:r>
            <w:r>
              <w:rPr>
                <w:szCs w:val="28"/>
                <w:highlight w:val="none"/>
              </w:rPr>
              <w:t>的保护措施</w:t>
            </w:r>
          </w:p>
          <w:p>
            <w:pPr>
              <w:keepNext w:val="0"/>
              <w:keepLines w:val="0"/>
              <w:widowControl/>
              <w:suppressLineNumbers w:val="0"/>
              <w:jc w:val="left"/>
              <w:rPr>
                <w:rFonts w:hint="eastAsia" w:ascii="Times New Roman" w:hAnsi="Times New Roman" w:eastAsia="宋体" w:cs="Times New Roman"/>
                <w:color w:val="000000"/>
                <w:kern w:val="0"/>
                <w:szCs w:val="20"/>
                <w:highlight w:val="none"/>
                <w:lang w:val="en-US" w:eastAsia="zh-CN"/>
              </w:rPr>
            </w:pPr>
            <w:r>
              <w:rPr>
                <w:rFonts w:hint="eastAsia"/>
                <w:szCs w:val="28"/>
                <w:highlight w:val="none"/>
                <w:lang w:eastAsia="zh-CN"/>
              </w:rPr>
              <w:t>布设</w:t>
            </w:r>
            <w:r>
              <w:rPr>
                <w:rFonts w:hint="eastAsia"/>
                <w:szCs w:val="28"/>
                <w:highlight w:val="none"/>
              </w:rPr>
              <w:t>施工生产</w:t>
            </w:r>
            <w:r>
              <w:rPr>
                <w:rFonts w:hint="eastAsia" w:ascii="Times New Roman" w:hAnsi="Times New Roman" w:eastAsia="宋体" w:cs="Times New Roman"/>
                <w:szCs w:val="28"/>
                <w:highlight w:val="none"/>
              </w:rPr>
              <w:t>区及</w:t>
            </w:r>
            <w:r>
              <w:rPr>
                <w:rFonts w:hint="eastAsia" w:ascii="Times New Roman" w:hAnsi="Times New Roman" w:eastAsia="宋体" w:cs="Times New Roman"/>
                <w:szCs w:val="28"/>
                <w:highlight w:val="none"/>
                <w:lang w:val="en-US" w:eastAsia="zh-CN"/>
              </w:rPr>
              <w:t>施工区域时</w:t>
            </w:r>
            <w:r>
              <w:rPr>
                <w:rFonts w:hint="eastAsia" w:ascii="Times New Roman" w:hAnsi="Times New Roman" w:eastAsia="宋体" w:cs="Times New Roman"/>
                <w:szCs w:val="28"/>
                <w:highlight w:val="none"/>
                <w:lang w:eastAsia="zh-CN"/>
              </w:rPr>
              <w:t>，</w:t>
            </w:r>
            <w:r>
              <w:rPr>
                <w:rFonts w:hint="eastAsia" w:ascii="Times New Roman" w:hAnsi="Times New Roman" w:eastAsia="宋体" w:cs="Times New Roman"/>
                <w:szCs w:val="28"/>
                <w:highlight w:val="none"/>
                <w:lang w:val="en-US" w:eastAsia="zh-CN"/>
              </w:rPr>
              <w:t>划定明显的施工范围，严禁跨越红线施工，尽量避让植被较好的</w:t>
            </w:r>
            <w:r>
              <w:rPr>
                <w:rFonts w:hint="eastAsia" w:cs="Times New Roman"/>
                <w:szCs w:val="28"/>
                <w:highlight w:val="none"/>
                <w:lang w:val="en-US" w:eastAsia="zh-CN"/>
              </w:rPr>
              <w:t>草地和农田</w:t>
            </w:r>
            <w:r>
              <w:rPr>
                <w:rFonts w:hint="eastAsia" w:ascii="Times New Roman" w:hAnsi="Times New Roman" w:eastAsia="宋体" w:cs="Times New Roman"/>
                <w:szCs w:val="28"/>
                <w:highlight w:val="none"/>
                <w:lang w:val="en-US" w:eastAsia="zh-CN"/>
              </w:rPr>
              <w:t>，严禁将施工期临时道路及施工生产区设施布设在植被覆盖度较高的地段</w:t>
            </w:r>
            <w:r>
              <w:rPr>
                <w:rFonts w:hint="eastAsia" w:cs="Times New Roman"/>
                <w:szCs w:val="28"/>
                <w:highlight w:val="none"/>
                <w:lang w:val="en-US" w:eastAsia="zh-CN"/>
              </w:rPr>
              <w:t>；</w:t>
            </w:r>
            <w:r>
              <w:rPr>
                <w:rFonts w:hint="eastAsia" w:ascii="Times New Roman" w:hAnsi="Times New Roman" w:eastAsia="宋体" w:cs="Times New Roman"/>
                <w:szCs w:val="28"/>
                <w:highlight w:val="none"/>
              </w:rPr>
              <w:t>施工过程中采取洒水降尘，</w:t>
            </w:r>
            <w:r>
              <w:rPr>
                <w:rFonts w:hint="eastAsia" w:ascii="Times New Roman" w:hAnsi="Times New Roman" w:eastAsia="宋体" w:cs="Times New Roman"/>
                <w:szCs w:val="28"/>
                <w:highlight w:val="none"/>
                <w:lang w:val="en-US" w:eastAsia="zh-CN"/>
              </w:rPr>
              <w:t>开挖的土方苫盖</w:t>
            </w:r>
            <w:r>
              <w:rPr>
                <w:rFonts w:hint="eastAsia" w:ascii="Times New Roman" w:hAnsi="Times New Roman" w:eastAsia="宋体" w:cs="Times New Roman"/>
                <w:szCs w:val="28"/>
                <w:highlight w:val="none"/>
              </w:rPr>
              <w:t>，</w:t>
            </w:r>
            <w:r>
              <w:rPr>
                <w:rFonts w:hint="eastAsia" w:ascii="Times New Roman" w:hAnsi="Times New Roman" w:eastAsia="宋体" w:cs="Times New Roman"/>
                <w:szCs w:val="28"/>
                <w:highlight w:val="none"/>
                <w:lang w:val="en-US" w:eastAsia="zh-CN"/>
              </w:rPr>
              <w:t>回填时</w:t>
            </w:r>
            <w:r>
              <w:rPr>
                <w:rFonts w:hint="eastAsia" w:ascii="Times New Roman" w:hAnsi="Times New Roman" w:eastAsia="宋体" w:cs="Times New Roman"/>
                <w:szCs w:val="28"/>
                <w:highlight w:val="none"/>
              </w:rPr>
              <w:t>进行分层回填</w:t>
            </w:r>
            <w:r>
              <w:rPr>
                <w:rFonts w:hint="eastAsia" w:ascii="Times New Roman" w:hAnsi="Times New Roman" w:eastAsia="宋体" w:cs="Times New Roman"/>
                <w:szCs w:val="28"/>
                <w:highlight w:val="none"/>
                <w:lang w:eastAsia="zh-CN"/>
              </w:rPr>
              <w:t>，</w:t>
            </w:r>
            <w:r>
              <w:rPr>
                <w:rFonts w:hint="eastAsia" w:ascii="Times New Roman" w:hAnsi="Times New Roman" w:eastAsia="宋体" w:cs="Times New Roman"/>
                <w:szCs w:val="28"/>
                <w:highlight w:val="none"/>
                <w:lang w:val="en-US" w:eastAsia="zh-CN"/>
              </w:rPr>
              <w:t>土地平整</w:t>
            </w:r>
            <w:r>
              <w:rPr>
                <w:rFonts w:hint="eastAsia" w:ascii="Times New Roman" w:hAnsi="Times New Roman" w:eastAsia="宋体" w:cs="Times New Roman"/>
                <w:szCs w:val="28"/>
                <w:highlight w:val="none"/>
              </w:rPr>
              <w:t>措施</w:t>
            </w:r>
            <w:r>
              <w:rPr>
                <w:rFonts w:hint="eastAsia" w:ascii="Times New Roman" w:hAnsi="Times New Roman" w:eastAsia="宋体" w:cs="Times New Roman"/>
                <w:szCs w:val="28"/>
                <w:highlight w:val="none"/>
                <w:lang w:eastAsia="zh-CN"/>
              </w:rPr>
              <w:t>，</w:t>
            </w:r>
            <w:r>
              <w:rPr>
                <w:rFonts w:hint="eastAsia" w:ascii="Times New Roman" w:hAnsi="Times New Roman" w:eastAsia="宋体" w:cs="Times New Roman"/>
                <w:szCs w:val="28"/>
                <w:highlight w:val="none"/>
                <w:lang w:val="en-US" w:eastAsia="zh-CN"/>
              </w:rPr>
              <w:t>减少扬</w:t>
            </w:r>
            <w:r>
              <w:rPr>
                <w:rFonts w:hint="eastAsia" w:ascii="Times New Roman" w:hAnsi="Times New Roman" w:eastAsia="宋体" w:cs="Times New Roman"/>
                <w:szCs w:val="28"/>
                <w:highlight w:val="none"/>
              </w:rPr>
              <w:t>尘随风飘落到施工场地周围农作物的嫩枝、新梢等组织上后，影响农作物的光合作用</w:t>
            </w:r>
            <w:r>
              <w:rPr>
                <w:rFonts w:hint="eastAsia" w:ascii="Times New Roman" w:hAnsi="Times New Roman" w:eastAsia="宋体" w:cs="Times New Roman"/>
                <w:szCs w:val="28"/>
                <w:highlight w:val="none"/>
                <w:lang w:eastAsia="zh-CN"/>
              </w:rPr>
              <w:t>。</w:t>
            </w:r>
            <w:r>
              <w:rPr>
                <w:rFonts w:hint="eastAsia"/>
                <w:color w:val="000000"/>
                <w:kern w:val="0"/>
                <w:szCs w:val="20"/>
                <w:highlight w:val="none"/>
              </w:rPr>
              <w:t>施工完成后，对临时占用的</w:t>
            </w:r>
            <w:r>
              <w:rPr>
                <w:rFonts w:hint="eastAsia" w:cs="Times New Roman"/>
                <w:szCs w:val="28"/>
                <w:highlight w:val="none"/>
                <w:lang w:val="en-US" w:eastAsia="zh-CN"/>
              </w:rPr>
              <w:t>草地和农田</w:t>
            </w:r>
            <w:r>
              <w:rPr>
                <w:rFonts w:hint="eastAsia"/>
                <w:color w:val="000000"/>
                <w:kern w:val="0"/>
                <w:szCs w:val="20"/>
                <w:highlight w:val="none"/>
              </w:rPr>
              <w:t>进行恢复，</w:t>
            </w:r>
            <w:r>
              <w:rPr>
                <w:rFonts w:hint="eastAsia" w:ascii="Times New Roman" w:hAnsi="Times New Roman" w:eastAsia="宋体" w:cs="Times New Roman"/>
                <w:color w:val="000000"/>
                <w:kern w:val="0"/>
                <w:szCs w:val="20"/>
                <w:highlight w:val="none"/>
                <w:lang w:val="en-US" w:eastAsia="zh-CN"/>
              </w:rPr>
              <w:t>有恢复条件的尽量恢复，可采取种植当地常见的植被方式</w:t>
            </w:r>
            <w:r>
              <w:rPr>
                <w:rFonts w:hint="eastAsia" w:cs="Times New Roman"/>
                <w:color w:val="000000"/>
                <w:kern w:val="0"/>
                <w:szCs w:val="20"/>
                <w:highlight w:val="none"/>
                <w:lang w:val="en-US" w:eastAsia="zh-CN"/>
              </w:rPr>
              <w:t>，</w:t>
            </w:r>
            <w:r>
              <w:rPr>
                <w:rFonts w:hint="eastAsia" w:ascii="Times New Roman" w:hAnsi="Times New Roman" w:eastAsia="宋体" w:cs="Times New Roman"/>
                <w:color w:val="000000"/>
                <w:kern w:val="0"/>
                <w:szCs w:val="20"/>
                <w:highlight w:val="none"/>
                <w:lang w:val="en-US" w:eastAsia="zh-CN"/>
              </w:rPr>
              <w:t>优化原有的自然环境和绿地占有水平，</w:t>
            </w:r>
            <w:r>
              <w:rPr>
                <w:rFonts w:hint="eastAsia"/>
                <w:color w:val="000000"/>
                <w:kern w:val="0"/>
                <w:szCs w:val="20"/>
                <w:highlight w:val="none"/>
              </w:rPr>
              <w:t>使植被及土壤结构受破坏程度减轻</w:t>
            </w:r>
            <w:r>
              <w:rPr>
                <w:rFonts w:hint="eastAsia"/>
                <w:color w:val="000000"/>
                <w:kern w:val="0"/>
                <w:szCs w:val="20"/>
                <w:highlight w:val="none"/>
                <w:lang w:eastAsia="zh-CN"/>
              </w:rPr>
              <w:t>，</w:t>
            </w:r>
            <w:r>
              <w:rPr>
                <w:rFonts w:hint="eastAsia"/>
                <w:kern w:val="0"/>
                <w:szCs w:val="20"/>
                <w:highlight w:val="none"/>
              </w:rPr>
              <w:t>并在施工结束后</w:t>
            </w:r>
            <w:r>
              <w:rPr>
                <w:rFonts w:hint="eastAsia"/>
                <w:kern w:val="0"/>
                <w:szCs w:val="20"/>
                <w:highlight w:val="none"/>
                <w:lang w:val="en-US" w:eastAsia="zh-CN"/>
              </w:rPr>
              <w:t>进行植被恢复</w:t>
            </w:r>
            <w:r>
              <w:rPr>
                <w:rFonts w:hint="eastAsia"/>
                <w:kern w:val="0"/>
                <w:szCs w:val="20"/>
                <w:highlight w:val="none"/>
                <w:lang w:eastAsia="zh-CN"/>
              </w:rPr>
              <w:t>，</w:t>
            </w:r>
            <w:r>
              <w:rPr>
                <w:rFonts w:hint="eastAsia" w:ascii="Times New Roman" w:hAnsi="Times New Roman" w:eastAsia="宋体" w:cs="Times New Roman"/>
                <w:color w:val="000000"/>
                <w:kern w:val="0"/>
                <w:szCs w:val="20"/>
                <w:highlight w:val="none"/>
                <w:lang w:val="en-US" w:eastAsia="zh-CN"/>
              </w:rPr>
              <w:t>无恢复条件应做好征地补偿工作。</w:t>
            </w:r>
          </w:p>
          <w:p>
            <w:pPr>
              <w:keepNext w:val="0"/>
              <w:keepLines w:val="0"/>
              <w:widowControl/>
              <w:suppressLineNumbers w:val="0"/>
              <w:jc w:val="left"/>
              <w:rPr>
                <w:color w:val="000000"/>
                <w:kern w:val="0"/>
                <w:szCs w:val="20"/>
                <w:highlight w:val="none"/>
              </w:rPr>
            </w:pPr>
            <w:r>
              <w:rPr>
                <w:rFonts w:hint="eastAsia" w:ascii="Times New Roman" w:hAnsi="Times New Roman" w:eastAsia="宋体" w:cs="Times New Roman"/>
                <w:color w:val="000000"/>
                <w:kern w:val="0"/>
                <w:szCs w:val="20"/>
                <w:highlight w:val="none"/>
                <w:lang w:val="en-US" w:eastAsia="zh-CN"/>
              </w:rPr>
              <w:t>在项目施工期应加强施工管理，科学合理施工，维护植物的生境条件，减少水土流失，杜绝对工程用地范围以外植被的不良影响；但</w:t>
            </w:r>
            <w:r>
              <w:rPr>
                <w:color w:val="000000"/>
                <w:kern w:val="0"/>
                <w:szCs w:val="20"/>
                <w:highlight w:val="none"/>
              </w:rPr>
              <w:t>为保证</w:t>
            </w:r>
            <w:r>
              <w:rPr>
                <w:rFonts w:hint="eastAsia"/>
                <w:color w:val="000000"/>
                <w:kern w:val="0"/>
                <w:szCs w:val="20"/>
                <w:highlight w:val="none"/>
                <w:lang w:val="en-US" w:eastAsia="zh-CN"/>
              </w:rPr>
              <w:t>项目</w:t>
            </w:r>
            <w:r>
              <w:rPr>
                <w:color w:val="000000"/>
                <w:kern w:val="0"/>
                <w:szCs w:val="20"/>
                <w:highlight w:val="none"/>
              </w:rPr>
              <w:t>能按设计正常</w:t>
            </w:r>
            <w:r>
              <w:rPr>
                <w:rFonts w:hint="eastAsia"/>
                <w:color w:val="000000"/>
                <w:kern w:val="0"/>
                <w:szCs w:val="20"/>
                <w:highlight w:val="none"/>
              </w:rPr>
              <w:t>建设</w:t>
            </w:r>
            <w:r>
              <w:rPr>
                <w:color w:val="000000"/>
                <w:kern w:val="0"/>
                <w:szCs w:val="20"/>
                <w:highlight w:val="none"/>
              </w:rPr>
              <w:t>，在施工过程中将不可避免对</w:t>
            </w:r>
            <w:r>
              <w:rPr>
                <w:rFonts w:hint="eastAsia"/>
                <w:color w:val="000000"/>
                <w:kern w:val="0"/>
                <w:szCs w:val="20"/>
                <w:highlight w:val="none"/>
                <w:lang w:val="en-US" w:eastAsia="zh-CN"/>
              </w:rPr>
              <w:t>项目区</w:t>
            </w:r>
            <w:r>
              <w:rPr>
                <w:color w:val="000000"/>
                <w:kern w:val="0"/>
                <w:szCs w:val="20"/>
                <w:highlight w:val="none"/>
              </w:rPr>
              <w:t>绿化植被造成破坏性的影响，但只要在施工时能严格控制作业范围、工程结束后及时</w:t>
            </w:r>
            <w:r>
              <w:rPr>
                <w:rFonts w:hint="eastAsia"/>
                <w:color w:val="000000"/>
                <w:kern w:val="0"/>
                <w:szCs w:val="20"/>
                <w:highlight w:val="none"/>
              </w:rPr>
              <w:t>对占用的</w:t>
            </w:r>
            <w:r>
              <w:rPr>
                <w:rFonts w:hint="eastAsia" w:cs="Times New Roman"/>
                <w:szCs w:val="28"/>
                <w:highlight w:val="none"/>
                <w:lang w:val="en-US" w:eastAsia="zh-CN"/>
              </w:rPr>
              <w:t>草地和农田</w:t>
            </w:r>
            <w:r>
              <w:rPr>
                <w:rFonts w:hint="eastAsia"/>
                <w:color w:val="000000"/>
                <w:highlight w:val="none"/>
              </w:rPr>
              <w:t>进行植被恢复</w:t>
            </w:r>
            <w:r>
              <w:rPr>
                <w:color w:val="000000"/>
                <w:kern w:val="0"/>
                <w:szCs w:val="20"/>
                <w:highlight w:val="none"/>
              </w:rPr>
              <w:t>，减小和避免工程造成的生态损失，施工期对</w:t>
            </w:r>
            <w:r>
              <w:rPr>
                <w:rFonts w:hint="eastAsia"/>
                <w:color w:val="000000"/>
                <w:kern w:val="0"/>
                <w:szCs w:val="20"/>
                <w:highlight w:val="none"/>
                <w:lang w:val="en-US" w:eastAsia="zh-CN"/>
              </w:rPr>
              <w:t>项目区植被</w:t>
            </w:r>
            <w:r>
              <w:rPr>
                <w:color w:val="000000"/>
                <w:kern w:val="0"/>
                <w:szCs w:val="20"/>
                <w:highlight w:val="none"/>
              </w:rPr>
              <w:t>的影响将是暂时性的，是可恢复的。</w:t>
            </w:r>
          </w:p>
          <w:p>
            <w:pPr>
              <w:ind w:firstLine="560"/>
              <w:rPr>
                <w:rFonts w:hint="eastAsia"/>
                <w:kern w:val="0"/>
                <w:szCs w:val="20"/>
                <w:highlight w:val="yellow"/>
              </w:rPr>
            </w:pPr>
            <w:r>
              <w:rPr>
                <w:rFonts w:hint="eastAsia"/>
                <w:kern w:val="0"/>
                <w:szCs w:val="20"/>
                <w:highlight w:val="none"/>
              </w:rPr>
              <w:t>施工结束后通过恢复植被的可行性措施，对被工程破坏的</w:t>
            </w:r>
            <w:r>
              <w:rPr>
                <w:rFonts w:hint="eastAsia" w:cs="Times New Roman"/>
                <w:szCs w:val="28"/>
                <w:highlight w:val="none"/>
                <w:lang w:val="en-US" w:eastAsia="zh-CN"/>
              </w:rPr>
              <w:t>草地和农田</w:t>
            </w:r>
            <w:r>
              <w:rPr>
                <w:rFonts w:hint="eastAsia"/>
                <w:kern w:val="0"/>
                <w:szCs w:val="20"/>
                <w:highlight w:val="none"/>
              </w:rPr>
              <w:t>进行恢复</w:t>
            </w:r>
            <w:r>
              <w:rPr>
                <w:rFonts w:hint="eastAsia"/>
                <w:kern w:val="0"/>
                <w:szCs w:val="20"/>
                <w:highlight w:val="none"/>
                <w:lang w:eastAsia="zh-CN"/>
              </w:rPr>
              <w:t>，</w:t>
            </w:r>
            <w:r>
              <w:rPr>
                <w:rFonts w:hint="eastAsia"/>
                <w:kern w:val="0"/>
                <w:szCs w:val="20"/>
                <w:highlight w:val="none"/>
              </w:rPr>
              <w:t>待施工完成后进行生态补偿，对施工</w:t>
            </w:r>
            <w:r>
              <w:rPr>
                <w:rFonts w:hint="eastAsia"/>
                <w:kern w:val="0"/>
                <w:szCs w:val="20"/>
                <w:highlight w:val="none"/>
                <w:lang w:val="en-US" w:eastAsia="zh-CN"/>
              </w:rPr>
              <w:t>区域</w:t>
            </w:r>
            <w:r>
              <w:rPr>
                <w:rFonts w:hint="eastAsia"/>
                <w:kern w:val="0"/>
                <w:szCs w:val="20"/>
                <w:highlight w:val="none"/>
              </w:rPr>
              <w:t>两侧实施播撒草籽，</w:t>
            </w:r>
            <w:r>
              <w:rPr>
                <w:rFonts w:hint="eastAsia"/>
                <w:kern w:val="0"/>
                <w:szCs w:val="20"/>
                <w:highlight w:val="none"/>
                <w:lang w:val="en-US" w:eastAsia="zh-CN"/>
              </w:rPr>
              <w:t>移栽</w:t>
            </w:r>
            <w:r>
              <w:rPr>
                <w:rFonts w:hint="eastAsia"/>
                <w:kern w:val="0"/>
                <w:szCs w:val="20"/>
                <w:highlight w:val="none"/>
              </w:rPr>
              <w:t>地常见</w:t>
            </w:r>
            <w:r>
              <w:rPr>
                <w:rFonts w:hint="eastAsia"/>
                <w:kern w:val="0"/>
                <w:szCs w:val="20"/>
                <w:highlight w:val="none"/>
                <w:lang w:val="en-US" w:eastAsia="zh-CN"/>
              </w:rPr>
              <w:t>植被</w:t>
            </w:r>
            <w:r>
              <w:rPr>
                <w:rFonts w:hint="eastAsia"/>
                <w:kern w:val="0"/>
                <w:szCs w:val="20"/>
                <w:highlight w:val="none"/>
              </w:rPr>
              <w:t>为主，可使植被及土壤结构受破坏程度减轻，并在施工结束后得以恢复。</w:t>
            </w:r>
          </w:p>
          <w:p>
            <w:pPr>
              <w:ind w:firstLine="560"/>
              <w:rPr>
                <w:szCs w:val="28"/>
                <w:highlight w:val="none"/>
              </w:rPr>
            </w:pPr>
            <w:r>
              <w:rPr>
                <w:szCs w:val="28"/>
                <w:highlight w:val="none"/>
              </w:rPr>
              <w:t>（3）对</w:t>
            </w:r>
            <w:r>
              <w:rPr>
                <w:rFonts w:hint="eastAsia"/>
                <w:szCs w:val="28"/>
                <w:highlight w:val="none"/>
                <w:lang w:val="en-US" w:eastAsia="zh-CN"/>
              </w:rPr>
              <w:t>项目区</w:t>
            </w:r>
            <w:r>
              <w:rPr>
                <w:szCs w:val="28"/>
                <w:highlight w:val="none"/>
              </w:rPr>
              <w:t>动物的保护措施</w:t>
            </w:r>
          </w:p>
          <w:p>
            <w:pPr>
              <w:ind w:firstLine="560"/>
              <w:rPr>
                <w:rFonts w:hint="eastAsia" w:ascii="Times New Roman" w:hAnsi="Times New Roman" w:eastAsia="宋体" w:cs="Times New Roman"/>
                <w:kern w:val="0"/>
                <w:szCs w:val="20"/>
                <w:highlight w:val="none"/>
              </w:rPr>
            </w:pPr>
            <w:r>
              <w:rPr>
                <w:rFonts w:hint="eastAsia" w:ascii="Times New Roman" w:hAnsi="Times New Roman" w:eastAsia="宋体" w:cs="Times New Roman"/>
                <w:color w:val="000000"/>
                <w:kern w:val="0"/>
                <w:szCs w:val="20"/>
                <w:highlight w:val="none"/>
                <w:lang w:val="en-US" w:eastAsia="zh-CN"/>
              </w:rPr>
              <w:t>土地平整是施工人员活动最频繁、施工噪声最严重的区域</w:t>
            </w:r>
            <w:r>
              <w:rPr>
                <w:rFonts w:hint="eastAsia" w:cs="Times New Roman"/>
                <w:color w:val="000000"/>
                <w:kern w:val="0"/>
                <w:szCs w:val="20"/>
                <w:highlight w:val="none"/>
                <w:lang w:val="en-US" w:eastAsia="zh-CN"/>
              </w:rPr>
              <w:t>，</w:t>
            </w:r>
            <w:r>
              <w:rPr>
                <w:rFonts w:hint="eastAsia" w:ascii="Times New Roman" w:hAnsi="Times New Roman" w:eastAsia="宋体" w:cs="Times New Roman"/>
                <w:color w:val="000000"/>
                <w:kern w:val="0"/>
                <w:szCs w:val="20"/>
                <w:highlight w:val="none"/>
              </w:rPr>
              <w:t>本</w:t>
            </w:r>
            <w:r>
              <w:rPr>
                <w:rFonts w:hint="eastAsia" w:ascii="Times New Roman" w:hAnsi="Times New Roman" w:eastAsia="宋体" w:cs="Times New Roman"/>
                <w:color w:val="000000"/>
                <w:kern w:val="0"/>
                <w:szCs w:val="20"/>
                <w:highlight w:val="none"/>
                <w:lang w:val="en-US" w:eastAsia="zh-CN"/>
              </w:rPr>
              <w:t>项目周边</w:t>
            </w:r>
            <w:r>
              <w:rPr>
                <w:rFonts w:hint="eastAsia" w:ascii="Times New Roman" w:hAnsi="Times New Roman" w:eastAsia="宋体" w:cs="Times New Roman"/>
                <w:color w:val="000000"/>
                <w:kern w:val="0"/>
                <w:szCs w:val="20"/>
                <w:highlight w:val="none"/>
              </w:rPr>
              <w:t>仅有一些常见鸟类、啮齿类和蛙类动物少量存在，施工过程中由于</w:t>
            </w:r>
            <w:r>
              <w:rPr>
                <w:rFonts w:hint="eastAsia" w:ascii="Times New Roman" w:hAnsi="Times New Roman" w:eastAsia="宋体" w:cs="Times New Roman"/>
                <w:color w:val="000000"/>
                <w:kern w:val="0"/>
                <w:szCs w:val="20"/>
                <w:highlight w:val="none"/>
                <w:lang w:val="en-US" w:eastAsia="zh-CN"/>
              </w:rPr>
              <w:t>项目区的</w:t>
            </w:r>
            <w:r>
              <w:rPr>
                <w:rFonts w:hint="eastAsia" w:ascii="Times New Roman" w:hAnsi="Times New Roman" w:eastAsia="宋体" w:cs="Times New Roman"/>
                <w:color w:val="000000"/>
                <w:kern w:val="0"/>
                <w:szCs w:val="20"/>
                <w:highlight w:val="none"/>
              </w:rPr>
              <w:t>开挖建设会对</w:t>
            </w:r>
            <w:r>
              <w:rPr>
                <w:rFonts w:hint="eastAsia" w:ascii="Times New Roman" w:hAnsi="Times New Roman" w:eastAsia="宋体" w:cs="Times New Roman"/>
                <w:color w:val="000000"/>
                <w:kern w:val="0"/>
                <w:szCs w:val="20"/>
                <w:highlight w:val="none"/>
                <w:lang w:val="en-US" w:eastAsia="zh-CN"/>
              </w:rPr>
              <w:t>周边</w:t>
            </w:r>
            <w:r>
              <w:rPr>
                <w:rFonts w:hint="eastAsia" w:ascii="Times New Roman" w:hAnsi="Times New Roman" w:eastAsia="宋体" w:cs="Times New Roman"/>
                <w:color w:val="000000"/>
                <w:kern w:val="0"/>
                <w:szCs w:val="20"/>
                <w:highlight w:val="none"/>
              </w:rPr>
              <w:t>的啮齿类和蛙类动物产生临时阻隔影响</w:t>
            </w:r>
            <w:r>
              <w:rPr>
                <w:rFonts w:hint="eastAsia" w:cs="Times New Roman"/>
                <w:color w:val="000000"/>
                <w:kern w:val="0"/>
                <w:szCs w:val="20"/>
                <w:highlight w:val="none"/>
                <w:lang w:eastAsia="zh-CN"/>
              </w:rPr>
              <w:t>，</w:t>
            </w:r>
            <w:r>
              <w:rPr>
                <w:rFonts w:hint="eastAsia" w:ascii="Times New Roman" w:hAnsi="Times New Roman" w:eastAsia="宋体" w:cs="Times New Roman"/>
                <w:color w:val="000000"/>
                <w:kern w:val="0"/>
                <w:szCs w:val="20"/>
                <w:highlight w:val="none"/>
              </w:rPr>
              <w:t>为避免施工过程中对施工沿线动物的影响，应加强对施工人员生态保护的宣传教育。禁止施工人员捕食蛙类、蛇类、鸟类，以减轻施工对当地陆生动植物的影响</w:t>
            </w:r>
            <w:r>
              <w:rPr>
                <w:rFonts w:hint="eastAsia" w:ascii="Times New Roman" w:hAnsi="Times New Roman" w:eastAsia="宋体" w:cs="Times New Roman"/>
                <w:color w:val="000000"/>
                <w:kern w:val="0"/>
                <w:szCs w:val="20"/>
                <w:highlight w:val="none"/>
                <w:lang w:eastAsia="zh-CN"/>
              </w:rPr>
              <w:t>；</w:t>
            </w:r>
            <w:r>
              <w:rPr>
                <w:rFonts w:hint="eastAsia" w:ascii="Times New Roman" w:hAnsi="Times New Roman" w:eastAsia="宋体" w:cs="Times New Roman"/>
                <w:color w:val="000000"/>
                <w:kern w:val="0"/>
                <w:szCs w:val="20"/>
                <w:highlight w:val="none"/>
              </w:rPr>
              <w:t>采取有效措施抑制鼠类的危害</w:t>
            </w:r>
            <w:r>
              <w:rPr>
                <w:rFonts w:hint="eastAsia" w:ascii="Times New Roman" w:hAnsi="Times New Roman" w:eastAsia="宋体" w:cs="Times New Roman"/>
                <w:color w:val="000000"/>
                <w:kern w:val="0"/>
                <w:szCs w:val="20"/>
                <w:highlight w:val="none"/>
                <w:lang w:eastAsia="zh-CN"/>
              </w:rPr>
              <w:t>，避免</w:t>
            </w:r>
            <w:r>
              <w:rPr>
                <w:rFonts w:hint="eastAsia" w:ascii="Times New Roman" w:hAnsi="Times New Roman" w:eastAsia="宋体" w:cs="Times New Roman"/>
                <w:color w:val="000000"/>
                <w:kern w:val="0"/>
                <w:szCs w:val="20"/>
                <w:highlight w:val="none"/>
                <w:lang w:val="en-US" w:eastAsia="zh-CN"/>
              </w:rPr>
              <w:t>与</w:t>
            </w:r>
            <w:r>
              <w:rPr>
                <w:rFonts w:hint="eastAsia" w:ascii="Times New Roman" w:hAnsi="Times New Roman" w:eastAsia="宋体" w:cs="Times New Roman"/>
                <w:color w:val="000000"/>
                <w:kern w:val="0"/>
                <w:szCs w:val="20"/>
                <w:highlight w:val="none"/>
              </w:rPr>
              <w:t>鼠类</w:t>
            </w:r>
            <w:r>
              <w:rPr>
                <w:rFonts w:hint="eastAsia" w:ascii="Times New Roman" w:hAnsi="Times New Roman" w:eastAsia="宋体" w:cs="Times New Roman"/>
                <w:color w:val="000000"/>
                <w:kern w:val="0"/>
                <w:szCs w:val="20"/>
                <w:highlight w:val="none"/>
                <w:lang w:val="en-US" w:eastAsia="zh-CN"/>
              </w:rPr>
              <w:t>动物直接或间接接触</w:t>
            </w:r>
            <w:r>
              <w:rPr>
                <w:rFonts w:hint="eastAsia" w:ascii="Times New Roman" w:hAnsi="Times New Roman" w:eastAsia="宋体" w:cs="Times New Roman"/>
                <w:color w:val="000000"/>
                <w:kern w:val="0"/>
                <w:szCs w:val="20"/>
                <w:highlight w:val="none"/>
                <w:lang w:eastAsia="zh-CN"/>
              </w:rPr>
              <w:t>；在动物</w:t>
            </w:r>
            <w:r>
              <w:rPr>
                <w:rFonts w:hint="eastAsia" w:ascii="Times New Roman" w:hAnsi="Times New Roman" w:eastAsia="宋体" w:cs="Times New Roman"/>
                <w:color w:val="000000"/>
                <w:kern w:val="0"/>
                <w:szCs w:val="20"/>
                <w:highlight w:val="none"/>
                <w:lang w:val="en-US" w:eastAsia="zh-CN"/>
              </w:rPr>
              <w:t>繁殖期时，禁止人为掏窝或发生野生动物追捕、捕猎与故意惊吓造成动物弃巢，从而影响影响野生动物的觅食、繁殖</w:t>
            </w:r>
            <w:r>
              <w:rPr>
                <w:rFonts w:hint="eastAsia" w:ascii="Times New Roman" w:hAnsi="Times New Roman" w:eastAsia="宋体" w:cs="Times New Roman"/>
                <w:color w:val="000000"/>
                <w:kern w:val="0"/>
                <w:szCs w:val="20"/>
                <w:highlight w:val="none"/>
              </w:rPr>
              <w:t>；施工过程中施工临时占地及施工生产区选址尽量避开野生动物聚集区</w:t>
            </w:r>
            <w:r>
              <w:rPr>
                <w:rFonts w:hint="eastAsia" w:ascii="Times New Roman" w:hAnsi="Times New Roman" w:eastAsia="宋体" w:cs="Times New Roman"/>
                <w:color w:val="000000"/>
                <w:kern w:val="0"/>
                <w:szCs w:val="20"/>
                <w:highlight w:val="none"/>
                <w:lang w:eastAsia="zh-CN"/>
              </w:rPr>
              <w:t>，</w:t>
            </w:r>
            <w:r>
              <w:rPr>
                <w:rFonts w:hint="eastAsia" w:ascii="Times New Roman" w:hAnsi="Times New Roman" w:eastAsia="宋体" w:cs="Times New Roman"/>
                <w:color w:val="000000"/>
                <w:kern w:val="0"/>
                <w:szCs w:val="20"/>
                <w:highlight w:val="none"/>
              </w:rPr>
              <w:t>但由于啮齿类动物是广泛</w:t>
            </w:r>
            <w:r>
              <w:rPr>
                <w:rFonts w:hint="eastAsia" w:ascii="Times New Roman" w:hAnsi="Times New Roman" w:eastAsia="宋体" w:cs="Times New Roman"/>
                <w:kern w:val="0"/>
                <w:szCs w:val="20"/>
                <w:highlight w:val="none"/>
              </w:rPr>
              <w:t>分布，对于人类活动适应性强，随着施工结束后以及水土保持工作的实施，项目区占地范围内动物将会达到新的平衡，</w:t>
            </w:r>
            <w:r>
              <w:rPr>
                <w:rFonts w:hint="eastAsia" w:ascii="Times New Roman" w:hAnsi="Times New Roman" w:eastAsia="宋体" w:cs="Times New Roman"/>
                <w:kern w:val="0"/>
                <w:szCs w:val="20"/>
                <w:highlight w:val="none"/>
                <w:lang w:val="en-US" w:eastAsia="zh-CN"/>
              </w:rPr>
              <w:t>本项目的建设对</w:t>
            </w:r>
            <w:r>
              <w:rPr>
                <w:rFonts w:hint="eastAsia" w:ascii="Times New Roman" w:hAnsi="Times New Roman" w:eastAsia="宋体" w:cs="Times New Roman"/>
                <w:kern w:val="0"/>
                <w:szCs w:val="20"/>
                <w:highlight w:val="none"/>
              </w:rPr>
              <w:t>动物产生的影响</w:t>
            </w:r>
            <w:r>
              <w:rPr>
                <w:rFonts w:hint="eastAsia" w:ascii="Times New Roman" w:hAnsi="Times New Roman" w:eastAsia="宋体" w:cs="Times New Roman"/>
                <w:kern w:val="0"/>
                <w:szCs w:val="20"/>
                <w:highlight w:val="none"/>
                <w:lang w:val="en-US" w:eastAsia="zh-CN"/>
              </w:rPr>
              <w:t>较小</w:t>
            </w:r>
            <w:r>
              <w:rPr>
                <w:rFonts w:hint="eastAsia" w:ascii="Times New Roman" w:hAnsi="Times New Roman" w:eastAsia="宋体" w:cs="Times New Roman"/>
                <w:kern w:val="0"/>
                <w:szCs w:val="20"/>
                <w:highlight w:val="none"/>
              </w:rPr>
              <w:t>。</w:t>
            </w:r>
          </w:p>
          <w:p>
            <w:pPr>
              <w:ind w:firstLine="560"/>
              <w:rPr>
                <w:rFonts w:hint="default" w:ascii="Times New Roman" w:hAnsi="Times New Roman" w:eastAsia="宋体" w:cs="Times New Roman"/>
                <w:kern w:val="0"/>
                <w:szCs w:val="20"/>
                <w:highlight w:val="none"/>
              </w:rPr>
            </w:pPr>
            <w:r>
              <w:rPr>
                <w:rFonts w:hint="eastAsia" w:ascii="Times New Roman" w:hAnsi="Times New Roman" w:eastAsia="宋体" w:cs="Times New Roman"/>
                <w:kern w:val="0"/>
                <w:szCs w:val="20"/>
                <w:highlight w:val="none"/>
                <w:lang w:val="en-US" w:eastAsia="zh-CN"/>
              </w:rPr>
              <w:t>（4）</w:t>
            </w:r>
            <w:r>
              <w:rPr>
                <w:rFonts w:hint="default" w:ascii="Times New Roman" w:hAnsi="Times New Roman" w:eastAsia="宋体" w:cs="Times New Roman"/>
                <w:kern w:val="0"/>
                <w:szCs w:val="20"/>
                <w:highlight w:val="none"/>
              </w:rPr>
              <w:t>生态保护红线</w:t>
            </w:r>
            <w:r>
              <w:rPr>
                <w:rFonts w:hint="eastAsia" w:ascii="Times New Roman" w:hAnsi="Times New Roman" w:eastAsia="宋体" w:cs="Times New Roman"/>
                <w:kern w:val="0"/>
                <w:szCs w:val="20"/>
                <w:highlight w:val="none"/>
                <w:lang w:val="en-US" w:eastAsia="zh-CN"/>
              </w:rPr>
              <w:t>和</w:t>
            </w:r>
            <w:r>
              <w:rPr>
                <w:rFonts w:hint="eastAsia"/>
                <w:color w:val="000000"/>
                <w:highlight w:val="none"/>
                <w:lang w:val="en-US" w:eastAsia="zh-CN"/>
              </w:rPr>
              <w:t>江布拉克国家森林公园</w:t>
            </w:r>
            <w:r>
              <w:rPr>
                <w:rFonts w:hint="eastAsia" w:ascii="Times New Roman" w:hAnsi="Times New Roman" w:eastAsia="宋体" w:cs="Times New Roman"/>
                <w:kern w:val="0"/>
                <w:szCs w:val="20"/>
                <w:highlight w:val="none"/>
                <w:lang w:val="en-US" w:eastAsia="zh-CN"/>
              </w:rPr>
              <w:t>的</w:t>
            </w:r>
            <w:r>
              <w:rPr>
                <w:rFonts w:hint="default" w:ascii="Times New Roman" w:hAnsi="Times New Roman" w:eastAsia="宋体" w:cs="Times New Roman"/>
                <w:kern w:val="0"/>
                <w:szCs w:val="20"/>
                <w:highlight w:val="none"/>
              </w:rPr>
              <w:t>生态保护措施</w:t>
            </w:r>
          </w:p>
          <w:p>
            <w:pPr>
              <w:ind w:firstLine="560"/>
              <w:rPr>
                <w:rFonts w:hint="default" w:ascii="Times New Roman" w:hAnsi="Times New Roman" w:eastAsia="宋体" w:cs="Times New Roman"/>
                <w:kern w:val="0"/>
                <w:szCs w:val="20"/>
                <w:highlight w:val="none"/>
              </w:rPr>
            </w:pPr>
            <w:r>
              <w:rPr>
                <w:rFonts w:hint="eastAsia"/>
                <w:color w:val="000000"/>
                <w:highlight w:val="none"/>
                <w:lang w:val="en-US" w:eastAsia="zh-CN"/>
              </w:rPr>
              <w:t>本项目区中的</w:t>
            </w:r>
            <w:r>
              <w:rPr>
                <w:rFonts w:hint="eastAsia" w:ascii="Times New Roman" w:hAnsi="Times New Roman" w:eastAsia="宋体" w:cs="Times New Roman"/>
                <w:sz w:val="24"/>
                <w:szCs w:val="24"/>
                <w:highlight w:val="none"/>
                <w:lang w:val="en-US" w:eastAsia="zh-CN"/>
              </w:rPr>
              <w:t>白杨河水库至林区公路段</w:t>
            </w:r>
            <w:r>
              <w:rPr>
                <w:rFonts w:hint="eastAsia" w:cs="Times New Roman"/>
                <w:sz w:val="24"/>
                <w:szCs w:val="24"/>
                <w:highlight w:val="none"/>
                <w:lang w:val="en-US" w:eastAsia="zh-CN"/>
              </w:rPr>
              <w:t>起点</w:t>
            </w:r>
            <w:r>
              <w:rPr>
                <w:rFonts w:hint="default" w:ascii="Times New Roman" w:hAnsi="Times New Roman" w:cs="Times New Roman"/>
                <w:b w:val="0"/>
                <w:bCs/>
                <w:color w:val="000000"/>
                <w:highlight w:val="none"/>
              </w:rPr>
              <w:t>（</w:t>
            </w:r>
            <w:r>
              <w:rPr>
                <w:rFonts w:hint="eastAsia" w:cs="Times New Roman"/>
                <w:b w:val="0"/>
                <w:bCs w:val="0"/>
                <w:color w:val="000000"/>
                <w:kern w:val="0"/>
                <w:sz w:val="24"/>
                <w:szCs w:val="24"/>
                <w:highlight w:val="none"/>
                <w:lang w:val="en-US" w:eastAsia="zh-CN" w:bidi="ar-SA"/>
              </w:rPr>
              <w:t>桩号：</w:t>
            </w:r>
            <w:r>
              <w:rPr>
                <w:rFonts w:hint="default" w:ascii="Times New Roman" w:hAnsi="Times New Roman" w:eastAsia="宋体" w:cs="Times New Roman"/>
                <w:b w:val="0"/>
                <w:bCs w:val="0"/>
                <w:color w:val="000000"/>
                <w:kern w:val="0"/>
                <w:sz w:val="24"/>
                <w:szCs w:val="24"/>
                <w:highlight w:val="none"/>
                <w:lang w:val="en-US" w:eastAsia="zh-CN" w:bidi="ar-SA"/>
              </w:rPr>
              <w:t>4+100</w:t>
            </w:r>
            <w:r>
              <w:rPr>
                <w:rFonts w:hint="default" w:ascii="Times New Roman" w:hAnsi="Times New Roman" w:cs="Times New Roman"/>
                <w:b w:val="0"/>
                <w:bCs/>
                <w:color w:val="000000"/>
                <w:highlight w:val="none"/>
              </w:rPr>
              <w:t>）</w:t>
            </w:r>
            <w:r>
              <w:rPr>
                <w:rFonts w:hint="eastAsia"/>
                <w:color w:val="000000"/>
                <w:highlight w:val="none"/>
                <w:lang w:val="en-US" w:eastAsia="zh-CN"/>
              </w:rPr>
              <w:t>距离吉木萨尔县生态红线最近距离为20</w:t>
            </w:r>
            <w:r>
              <w:rPr>
                <w:rFonts w:hint="default" w:ascii="Times New Roman" w:hAnsi="Times New Roman" w:eastAsia="宋体" w:cs="Times New Roman"/>
                <w:color w:val="000000"/>
                <w:kern w:val="0"/>
                <w:sz w:val="24"/>
                <w:szCs w:val="24"/>
                <w:highlight w:val="none"/>
                <w:lang w:val="en-US" w:eastAsia="zh-CN" w:bidi="ar"/>
              </w:rPr>
              <w:t>m</w:t>
            </w:r>
            <w:r>
              <w:rPr>
                <w:rFonts w:hint="eastAsia"/>
                <w:color w:val="000000"/>
                <w:highlight w:val="none"/>
                <w:lang w:val="en-US" w:eastAsia="zh-CN"/>
              </w:rPr>
              <w:t>；</w:t>
            </w:r>
            <w:r>
              <w:rPr>
                <w:rFonts w:hint="eastAsia"/>
                <w:color w:val="000000"/>
                <w:highlight w:val="none"/>
              </w:rPr>
              <w:t>项目</w:t>
            </w:r>
            <w:r>
              <w:rPr>
                <w:rFonts w:hint="eastAsia"/>
                <w:color w:val="000000"/>
                <w:highlight w:val="none"/>
                <w:lang w:val="en-US" w:eastAsia="zh-CN"/>
              </w:rPr>
              <w:t>区</w:t>
            </w:r>
            <w:r>
              <w:rPr>
                <w:rFonts w:hint="eastAsia"/>
                <w:color w:val="000000"/>
                <w:highlight w:val="none"/>
              </w:rPr>
              <w:t>不在吉木萨尔县生态保护红线范围内</w:t>
            </w:r>
            <w:r>
              <w:rPr>
                <w:rFonts w:hint="eastAsia"/>
                <w:color w:val="000000"/>
                <w:highlight w:val="none"/>
                <w:lang w:eastAsia="zh-CN"/>
              </w:rPr>
              <w:t>；</w:t>
            </w:r>
            <w:r>
              <w:rPr>
                <w:rFonts w:hint="eastAsia"/>
                <w:snapToGrid w:val="0"/>
                <w:color w:val="000000"/>
                <w:kern w:val="0"/>
                <w:szCs w:val="20"/>
                <w:highlight w:val="none"/>
              </w:rPr>
              <w:t>五圣</w:t>
            </w:r>
            <w:r>
              <w:rPr>
                <w:rFonts w:hint="eastAsia" w:ascii="Times New Roman" w:hAnsi="Times New Roman" w:eastAsia="宋体" w:cs="Times New Roman"/>
                <w:sz w:val="24"/>
                <w:szCs w:val="24"/>
                <w:highlight w:val="none"/>
                <w:lang w:eastAsia="zh-CN"/>
              </w:rPr>
              <w:t>宫水文站段</w:t>
            </w:r>
            <w:r>
              <w:rPr>
                <w:rFonts w:hint="default" w:ascii="Times New Roman" w:hAnsi="Times New Roman" w:cs="Times New Roman"/>
                <w:b w:val="0"/>
                <w:bCs/>
                <w:color w:val="000000"/>
                <w:highlight w:val="none"/>
              </w:rPr>
              <w:t>（</w:t>
            </w:r>
            <w:r>
              <w:rPr>
                <w:rFonts w:hint="default" w:ascii="Times New Roman" w:hAnsi="Times New Roman" w:eastAsia="宋体" w:cs="Times New Roman"/>
                <w:b w:val="0"/>
                <w:bCs w:val="0"/>
                <w:color w:val="000000"/>
                <w:kern w:val="0"/>
                <w:sz w:val="24"/>
                <w:szCs w:val="24"/>
                <w:highlight w:val="none"/>
                <w:lang w:val="en-US" w:eastAsia="zh-CN" w:bidi="ar-SA"/>
              </w:rPr>
              <w:t>0+000～1+880</w:t>
            </w:r>
            <w:r>
              <w:rPr>
                <w:rFonts w:hint="default" w:ascii="Times New Roman" w:hAnsi="Times New Roman" w:cs="Times New Roman"/>
                <w:b w:val="0"/>
                <w:bCs/>
                <w:color w:val="000000"/>
                <w:highlight w:val="none"/>
              </w:rPr>
              <w:t>）</w:t>
            </w:r>
            <w:r>
              <w:rPr>
                <w:rFonts w:hint="eastAsia"/>
                <w:color w:val="000000"/>
                <w:highlight w:val="none"/>
                <w:lang w:val="en-US" w:eastAsia="zh-CN"/>
              </w:rPr>
              <w:t>距离新疆江布拉克国家森林公园最近距离为0</w:t>
            </w:r>
            <w:r>
              <w:rPr>
                <w:rFonts w:hint="default" w:ascii="Times New Roman" w:hAnsi="Times New Roman" w:eastAsia="宋体" w:cs="Times New Roman"/>
                <w:color w:val="000000"/>
                <w:kern w:val="0"/>
                <w:sz w:val="24"/>
                <w:szCs w:val="24"/>
                <w:highlight w:val="none"/>
                <w:lang w:val="en-US" w:eastAsia="zh-CN" w:bidi="ar"/>
              </w:rPr>
              <w:t>m</w:t>
            </w:r>
            <w:r>
              <w:rPr>
                <w:rFonts w:hint="eastAsia"/>
                <w:color w:val="000000"/>
                <w:highlight w:val="none"/>
                <w:lang w:val="en-US" w:eastAsia="zh-CN"/>
              </w:rPr>
              <w:t>，</w:t>
            </w:r>
            <w:r>
              <w:rPr>
                <w:rFonts w:hint="eastAsia" w:ascii="Times New Roman" w:hAnsi="Times New Roman" w:eastAsia="宋体" w:cs="Times New Roman"/>
                <w:b w:val="0"/>
                <w:bCs w:val="0"/>
                <w:color w:val="000000"/>
                <w:kern w:val="0"/>
                <w:sz w:val="24"/>
                <w:szCs w:val="24"/>
                <w:highlight w:val="none"/>
                <w:lang w:val="en-US" w:eastAsia="zh-CN" w:bidi="ar-SA"/>
              </w:rPr>
              <w:t>此段为单侧护砌，</w:t>
            </w:r>
            <w:r>
              <w:rPr>
                <w:rFonts w:hint="eastAsia" w:cs="Times New Roman"/>
                <w:b w:val="0"/>
                <w:bCs w:val="0"/>
                <w:color w:val="000000"/>
                <w:kern w:val="0"/>
                <w:sz w:val="24"/>
                <w:szCs w:val="24"/>
                <w:highlight w:val="none"/>
                <w:lang w:val="en-US" w:eastAsia="zh-CN" w:bidi="ar-SA"/>
              </w:rPr>
              <w:t>白杨河宽为9.3014m，</w:t>
            </w:r>
            <w:r>
              <w:rPr>
                <w:rFonts w:hint="eastAsia" w:ascii="Times New Roman" w:hAnsi="Times New Roman" w:eastAsia="宋体" w:cs="Times New Roman"/>
                <w:b w:val="0"/>
                <w:bCs w:val="0"/>
                <w:color w:val="000000"/>
                <w:kern w:val="0"/>
                <w:sz w:val="24"/>
                <w:szCs w:val="24"/>
                <w:highlight w:val="none"/>
                <w:lang w:val="en-US" w:eastAsia="zh-CN" w:bidi="ar-SA"/>
              </w:rPr>
              <w:t>对远离森林公园侧进行护砌</w:t>
            </w:r>
            <w:r>
              <w:rPr>
                <w:rFonts w:hint="eastAsia"/>
                <w:color w:val="000000"/>
                <w:highlight w:val="none"/>
                <w:lang w:val="en-US" w:eastAsia="zh-CN"/>
              </w:rPr>
              <w:t>，本项目实际施工距离江布拉克国家森林公园为</w:t>
            </w:r>
            <w:r>
              <w:rPr>
                <w:rFonts w:hint="eastAsia" w:cs="Times New Roman"/>
                <w:b w:val="0"/>
                <w:bCs w:val="0"/>
                <w:color w:val="000000"/>
                <w:kern w:val="0"/>
                <w:sz w:val="24"/>
                <w:szCs w:val="24"/>
                <w:highlight w:val="none"/>
                <w:lang w:val="en-US" w:eastAsia="zh-CN" w:bidi="ar-SA"/>
              </w:rPr>
              <w:t>9.3014m，</w:t>
            </w:r>
            <w:r>
              <w:rPr>
                <w:rFonts w:hint="eastAsia"/>
                <w:color w:val="000000"/>
                <w:highlight w:val="none"/>
                <w:lang w:val="en-US" w:eastAsia="zh-CN"/>
              </w:rPr>
              <w:t>江布拉克国家森林公园不属于自然保护区，项目区未涉及、占用及穿越江布拉克国家森林公园，</w:t>
            </w:r>
            <w:r>
              <w:rPr>
                <w:rFonts w:hint="eastAsia" w:ascii="Times New Roman" w:hAnsi="Times New Roman" w:eastAsia="宋体" w:cs="Times New Roman"/>
                <w:kern w:val="0"/>
                <w:szCs w:val="20"/>
                <w:highlight w:val="none"/>
                <w:lang w:eastAsia="zh-CN"/>
              </w:rPr>
              <w:t>结合</w:t>
            </w:r>
            <w:r>
              <w:rPr>
                <w:rFonts w:hint="eastAsia"/>
                <w:color w:val="000000"/>
                <w:highlight w:val="none"/>
                <w:lang w:val="en-US" w:eastAsia="zh-CN"/>
              </w:rPr>
              <w:t>吉木萨尔县</w:t>
            </w:r>
            <w:r>
              <w:rPr>
                <w:rFonts w:hint="default" w:ascii="Times New Roman" w:hAnsi="Times New Roman" w:eastAsia="宋体" w:cs="Times New Roman"/>
                <w:kern w:val="0"/>
                <w:szCs w:val="20"/>
                <w:highlight w:val="none"/>
              </w:rPr>
              <w:t>生物多样性维护生态保护红线</w:t>
            </w:r>
            <w:r>
              <w:rPr>
                <w:rFonts w:hint="eastAsia" w:ascii="Times New Roman" w:hAnsi="Times New Roman" w:eastAsia="宋体" w:cs="Times New Roman"/>
                <w:kern w:val="0"/>
                <w:szCs w:val="20"/>
                <w:highlight w:val="none"/>
                <w:lang w:val="en-US" w:eastAsia="zh-CN"/>
              </w:rPr>
              <w:t>和</w:t>
            </w:r>
            <w:r>
              <w:rPr>
                <w:rFonts w:hint="eastAsia"/>
                <w:color w:val="000000"/>
                <w:highlight w:val="none"/>
                <w:lang w:val="en-US" w:eastAsia="zh-CN"/>
              </w:rPr>
              <w:t>新疆江布拉克</w:t>
            </w:r>
            <w:r>
              <w:rPr>
                <w:rFonts w:hint="default" w:ascii="Times New Roman" w:hAnsi="Times New Roman" w:cs="Times New Roman"/>
                <w:color w:val="000000"/>
                <w:highlight w:val="none"/>
                <w:lang w:val="en-US" w:eastAsia="zh-CN"/>
              </w:rPr>
              <w:t>国家森林公园</w:t>
            </w:r>
            <w:r>
              <w:rPr>
                <w:rFonts w:hint="default" w:ascii="Times New Roman" w:hAnsi="Times New Roman" w:eastAsia="宋体" w:cs="Times New Roman"/>
                <w:kern w:val="0"/>
                <w:szCs w:val="20"/>
                <w:highlight w:val="none"/>
              </w:rPr>
              <w:t>生态保护</w:t>
            </w:r>
            <w:r>
              <w:rPr>
                <w:rFonts w:hint="default" w:ascii="Times New Roman" w:hAnsi="Times New Roman" w:eastAsia="宋体" w:cs="Times New Roman"/>
                <w:kern w:val="0"/>
                <w:szCs w:val="20"/>
                <w:highlight w:val="none"/>
                <w:lang w:eastAsia="zh-CN"/>
              </w:rPr>
              <w:t>保护要求，本次提出</w:t>
            </w:r>
            <w:r>
              <w:rPr>
                <w:rFonts w:hint="default" w:ascii="Times New Roman" w:hAnsi="Times New Roman" w:eastAsia="宋体" w:cs="Times New Roman"/>
                <w:kern w:val="0"/>
                <w:szCs w:val="20"/>
                <w:highlight w:val="none"/>
              </w:rPr>
              <w:t>如下措施：</w:t>
            </w:r>
          </w:p>
          <w:p>
            <w:pPr>
              <w:rPr>
                <w:rFonts w:hint="default" w:ascii="Times New Roman" w:hAnsi="Times New Roman" w:eastAsia="宋体" w:cs="Times New Roman"/>
                <w:kern w:val="0"/>
                <w:szCs w:val="20"/>
                <w:highlight w:val="none"/>
                <w:lang w:val="en-US" w:eastAsia="zh-CN"/>
              </w:rPr>
            </w:pPr>
            <w:r>
              <w:rPr>
                <w:rFonts w:hint="default" w:ascii="Times New Roman" w:hAnsi="Times New Roman" w:eastAsia="宋体" w:cs="Times New Roman"/>
                <w:kern w:val="0"/>
                <w:szCs w:val="20"/>
                <w:highlight w:val="none"/>
                <w:lang w:val="en-US" w:eastAsia="zh-CN"/>
              </w:rPr>
              <w:t>1</w:t>
            </w:r>
            <w:r>
              <w:rPr>
                <w:rFonts w:hint="default" w:ascii="Times New Roman" w:hAnsi="Times New Roman" w:eastAsia="宋体" w:cs="Times New Roman"/>
                <w:kern w:val="0"/>
                <w:szCs w:val="20"/>
                <w:highlight w:val="none"/>
                <w:lang w:eastAsia="zh-CN"/>
              </w:rPr>
              <w:t>）</w:t>
            </w:r>
            <w:r>
              <w:rPr>
                <w:rFonts w:hint="default" w:ascii="Times New Roman" w:hAnsi="Times New Roman" w:eastAsia="宋体" w:cs="Times New Roman"/>
                <w:kern w:val="0"/>
                <w:szCs w:val="20"/>
                <w:highlight w:val="none"/>
                <w:lang w:val="en-US" w:eastAsia="zh-CN"/>
              </w:rPr>
              <w:t>生态影响的避免与减缓措施</w:t>
            </w:r>
          </w:p>
          <w:p>
            <w:pPr>
              <w:ind w:firstLine="560"/>
              <w:rPr>
                <w:rFonts w:hint="eastAsia" w:ascii="Times New Roman" w:hAnsi="Times New Roman" w:eastAsia="宋体" w:cs="Times New Roman"/>
                <w:kern w:val="0"/>
                <w:szCs w:val="20"/>
                <w:highlight w:val="none"/>
                <w:lang w:eastAsia="zh-CN"/>
              </w:rPr>
            </w:pPr>
            <w:r>
              <w:rPr>
                <w:rFonts w:hint="default" w:ascii="Times New Roman" w:hAnsi="Times New Roman" w:eastAsia="宋体" w:cs="Times New Roman"/>
                <w:kern w:val="0"/>
                <w:szCs w:val="20"/>
                <w:highlight w:val="none"/>
              </w:rPr>
              <w:t>①禁止在施工过程中向</w:t>
            </w:r>
            <w:r>
              <w:rPr>
                <w:rFonts w:hint="default" w:ascii="Times New Roman" w:hAnsi="Times New Roman" w:eastAsia="宋体" w:cs="Times New Roman"/>
                <w:sz w:val="24"/>
                <w:szCs w:val="24"/>
                <w:highlight w:val="none"/>
                <w:lang w:val="en-US" w:eastAsia="zh-CN"/>
              </w:rPr>
              <w:t>白杨河</w:t>
            </w:r>
            <w:r>
              <w:rPr>
                <w:rFonts w:hint="default" w:ascii="Times New Roman" w:hAnsi="Times New Roman" w:eastAsia="宋体" w:cs="Times New Roman"/>
                <w:kern w:val="0"/>
                <w:szCs w:val="20"/>
                <w:highlight w:val="none"/>
              </w:rPr>
              <w:t>倾倒渣土等固体废物，临时土石方在渠道两侧堆放过程中采用防尘网苫盖，同时洒水降尘，</w:t>
            </w:r>
            <w:r>
              <w:rPr>
                <w:rFonts w:hint="default" w:ascii="Times New Roman" w:hAnsi="Times New Roman" w:eastAsia="宋体" w:cs="Times New Roman"/>
                <w:kern w:val="0"/>
                <w:szCs w:val="20"/>
                <w:highlight w:val="none"/>
                <w:lang w:eastAsia="zh-CN"/>
              </w:rPr>
              <w:t>频率</w:t>
            </w:r>
            <w:r>
              <w:rPr>
                <w:rFonts w:hint="default" w:ascii="Times New Roman" w:hAnsi="Times New Roman" w:eastAsia="宋体" w:cs="Times New Roman"/>
                <w:kern w:val="0"/>
                <w:szCs w:val="20"/>
                <w:highlight w:val="none"/>
              </w:rPr>
              <w:t>每天洒水1次，每次洒水3m</w:t>
            </w:r>
            <w:r>
              <w:rPr>
                <w:rFonts w:hint="default" w:ascii="Times New Roman" w:hAnsi="Times New Roman" w:eastAsia="宋体" w:cs="Times New Roman"/>
                <w:kern w:val="0"/>
                <w:szCs w:val="20"/>
                <w:highlight w:val="none"/>
                <w:vertAlign w:val="superscript"/>
              </w:rPr>
              <w:t>3</w:t>
            </w:r>
            <w:r>
              <w:rPr>
                <w:rFonts w:hint="default" w:ascii="Times New Roman" w:hAnsi="Times New Roman" w:eastAsia="宋体" w:cs="Times New Roman"/>
                <w:kern w:val="0"/>
                <w:szCs w:val="20"/>
                <w:highlight w:val="none"/>
              </w:rPr>
              <w:t>/hm</w:t>
            </w:r>
            <w:r>
              <w:rPr>
                <w:rFonts w:hint="default" w:ascii="Times New Roman" w:hAnsi="Times New Roman" w:eastAsia="宋体" w:cs="Times New Roman"/>
                <w:kern w:val="0"/>
                <w:szCs w:val="20"/>
                <w:highlight w:val="none"/>
                <w:vertAlign w:val="superscript"/>
              </w:rPr>
              <w:t>2</w:t>
            </w:r>
            <w:r>
              <w:rPr>
                <w:rFonts w:hint="default" w:ascii="Times New Roman" w:hAnsi="Times New Roman" w:eastAsia="宋体" w:cs="Times New Roman"/>
                <w:kern w:val="0"/>
                <w:szCs w:val="20"/>
                <w:highlight w:val="none"/>
                <w:lang w:eastAsia="zh-CN"/>
              </w:rPr>
              <w:t>，</w:t>
            </w:r>
            <w:r>
              <w:rPr>
                <w:rFonts w:hint="default" w:ascii="Times New Roman" w:hAnsi="Times New Roman" w:eastAsia="宋体" w:cs="Times New Roman"/>
                <w:kern w:val="0"/>
                <w:szCs w:val="20"/>
                <w:highlight w:val="none"/>
              </w:rPr>
              <w:t>刮风时加大洒水次数，避免土石方裸露加剧水土流失</w:t>
            </w:r>
            <w:r>
              <w:rPr>
                <w:rFonts w:hint="eastAsia" w:ascii="Times New Roman" w:hAnsi="Times New Roman" w:eastAsia="宋体" w:cs="Times New Roman"/>
                <w:kern w:val="0"/>
                <w:szCs w:val="20"/>
                <w:highlight w:val="none"/>
                <w:lang w:eastAsia="zh-CN"/>
              </w:rPr>
              <w:t>；</w:t>
            </w:r>
          </w:p>
          <w:p>
            <w:pPr>
              <w:ind w:firstLine="560"/>
              <w:rPr>
                <w:rFonts w:hint="default" w:ascii="Times New Roman" w:hAnsi="Times New Roman" w:eastAsia="宋体" w:cs="Times New Roman"/>
                <w:kern w:val="0"/>
                <w:szCs w:val="20"/>
                <w:highlight w:val="none"/>
              </w:rPr>
            </w:pPr>
            <w:r>
              <w:rPr>
                <w:rFonts w:hint="default" w:ascii="Times New Roman" w:hAnsi="Times New Roman" w:eastAsia="宋体" w:cs="Times New Roman"/>
                <w:kern w:val="0"/>
                <w:szCs w:val="20"/>
                <w:highlight w:val="none"/>
                <w:lang w:eastAsia="zh-CN"/>
              </w:rPr>
              <w:t>②施工人员应文明施工，按规定在划定的施工区范围内施工，车辆按规定路线行驶，禁止挤占、碾压施工区外的土壤植被，禁止在</w:t>
            </w:r>
            <w:r>
              <w:rPr>
                <w:rFonts w:hint="default" w:ascii="Times New Roman" w:hAnsi="Times New Roman" w:eastAsia="宋体" w:cs="Times New Roman"/>
                <w:sz w:val="24"/>
                <w:szCs w:val="24"/>
                <w:highlight w:val="none"/>
                <w:lang w:val="en-US" w:eastAsia="zh-CN"/>
              </w:rPr>
              <w:t>白杨河</w:t>
            </w:r>
            <w:r>
              <w:rPr>
                <w:rFonts w:hint="default" w:ascii="Times New Roman" w:hAnsi="Times New Roman" w:eastAsia="宋体" w:cs="Times New Roman"/>
                <w:kern w:val="0"/>
                <w:szCs w:val="20"/>
                <w:highlight w:val="none"/>
                <w:lang w:eastAsia="zh-CN"/>
              </w:rPr>
              <w:t>进行私自取水活动</w:t>
            </w:r>
            <w:r>
              <w:rPr>
                <w:rFonts w:hint="eastAsia" w:ascii="Times New Roman" w:hAnsi="Times New Roman" w:eastAsia="宋体" w:cs="Times New Roman"/>
                <w:kern w:val="0"/>
                <w:szCs w:val="20"/>
                <w:highlight w:val="none"/>
                <w:lang w:eastAsia="zh-CN"/>
              </w:rPr>
              <w:t>；</w:t>
            </w:r>
          </w:p>
          <w:p>
            <w:pPr>
              <w:ind w:firstLine="560"/>
              <w:rPr>
                <w:rFonts w:hint="eastAsia" w:ascii="Times New Roman" w:hAnsi="Times New Roman" w:eastAsia="宋体" w:cs="Times New Roman"/>
                <w:kern w:val="0"/>
                <w:szCs w:val="20"/>
                <w:highlight w:val="none"/>
                <w:lang w:eastAsia="zh-CN"/>
              </w:rPr>
            </w:pPr>
            <w:r>
              <w:rPr>
                <w:rFonts w:hint="default" w:ascii="Times New Roman" w:hAnsi="Times New Roman" w:eastAsia="宋体" w:cs="Times New Roman"/>
                <w:kern w:val="0"/>
                <w:szCs w:val="20"/>
                <w:highlight w:val="none"/>
                <w:lang w:val="en-US" w:eastAsia="zh-CN"/>
              </w:rPr>
              <w:t>③</w:t>
            </w:r>
            <w:r>
              <w:rPr>
                <w:rFonts w:hint="default" w:ascii="Times New Roman" w:hAnsi="Times New Roman" w:eastAsia="宋体" w:cs="Times New Roman"/>
                <w:kern w:val="0"/>
                <w:szCs w:val="20"/>
                <w:highlight w:val="none"/>
              </w:rPr>
              <w:t>实施水土保持方案时优先考虑</w:t>
            </w:r>
            <w:r>
              <w:rPr>
                <w:rFonts w:hint="eastAsia" w:ascii="Times New Roman" w:hAnsi="Times New Roman" w:eastAsia="宋体" w:cs="Times New Roman"/>
                <w:kern w:val="0"/>
                <w:szCs w:val="20"/>
                <w:highlight w:val="none"/>
                <w:lang w:val="en-US" w:eastAsia="zh-CN"/>
              </w:rPr>
              <w:t>吉木萨尔县</w:t>
            </w:r>
            <w:r>
              <w:rPr>
                <w:rFonts w:hint="default" w:ascii="Times New Roman" w:hAnsi="Times New Roman" w:eastAsia="宋体" w:cs="Times New Roman"/>
                <w:kern w:val="0"/>
                <w:szCs w:val="20"/>
                <w:highlight w:val="none"/>
              </w:rPr>
              <w:t>生物多样性维护生态保护红线</w:t>
            </w:r>
            <w:r>
              <w:rPr>
                <w:rFonts w:hint="eastAsia" w:ascii="Times New Roman" w:hAnsi="Times New Roman" w:eastAsia="宋体" w:cs="Times New Roman"/>
                <w:kern w:val="0"/>
                <w:szCs w:val="20"/>
                <w:highlight w:val="none"/>
                <w:lang w:val="en-US" w:eastAsia="zh-CN"/>
              </w:rPr>
              <w:t>和新疆江布拉克</w:t>
            </w:r>
            <w:r>
              <w:rPr>
                <w:rFonts w:hint="default" w:ascii="Times New Roman" w:hAnsi="Times New Roman" w:eastAsia="宋体" w:cs="Times New Roman"/>
                <w:kern w:val="0"/>
                <w:szCs w:val="20"/>
                <w:highlight w:val="none"/>
                <w:lang w:val="en-US" w:eastAsia="zh-CN"/>
              </w:rPr>
              <w:t>国家森林公园</w:t>
            </w:r>
            <w:r>
              <w:rPr>
                <w:rFonts w:hint="default" w:ascii="Times New Roman" w:hAnsi="Times New Roman" w:eastAsia="宋体" w:cs="Times New Roman"/>
                <w:kern w:val="0"/>
                <w:szCs w:val="20"/>
                <w:highlight w:val="none"/>
              </w:rPr>
              <w:t>施工段，</w:t>
            </w:r>
            <w:r>
              <w:rPr>
                <w:rFonts w:hint="eastAsia" w:ascii="Times New Roman" w:hAnsi="Times New Roman" w:eastAsia="宋体" w:cs="Times New Roman"/>
                <w:kern w:val="0"/>
                <w:szCs w:val="20"/>
                <w:highlight w:val="none"/>
                <w:lang w:val="en-US" w:eastAsia="zh-CN"/>
              </w:rPr>
              <w:t>禁止在生态红线吉木萨尔县</w:t>
            </w:r>
            <w:r>
              <w:rPr>
                <w:rFonts w:hint="default" w:ascii="Times New Roman" w:hAnsi="Times New Roman" w:eastAsia="宋体" w:cs="Times New Roman"/>
                <w:kern w:val="0"/>
                <w:szCs w:val="20"/>
                <w:highlight w:val="none"/>
              </w:rPr>
              <w:t>生物多样性维护生态保护红线</w:t>
            </w:r>
            <w:r>
              <w:rPr>
                <w:rFonts w:hint="eastAsia" w:ascii="Times New Roman" w:hAnsi="Times New Roman" w:eastAsia="宋体" w:cs="Times New Roman"/>
                <w:kern w:val="0"/>
                <w:szCs w:val="20"/>
                <w:highlight w:val="none"/>
                <w:lang w:val="en-US" w:eastAsia="zh-CN"/>
              </w:rPr>
              <w:t>和新疆江布拉克</w:t>
            </w:r>
            <w:r>
              <w:rPr>
                <w:rFonts w:hint="default" w:ascii="Times New Roman" w:hAnsi="Times New Roman" w:eastAsia="宋体" w:cs="Times New Roman"/>
                <w:kern w:val="0"/>
                <w:szCs w:val="20"/>
                <w:highlight w:val="none"/>
                <w:lang w:val="en-US" w:eastAsia="zh-CN"/>
              </w:rPr>
              <w:t>国家森林公园</w:t>
            </w:r>
            <w:r>
              <w:rPr>
                <w:rFonts w:hint="eastAsia" w:ascii="Times New Roman" w:hAnsi="Times New Roman" w:eastAsia="宋体" w:cs="Times New Roman"/>
                <w:kern w:val="0"/>
                <w:szCs w:val="20"/>
                <w:highlight w:val="none"/>
                <w:lang w:val="en-US" w:eastAsia="zh-CN"/>
              </w:rPr>
              <w:t>内施工</w:t>
            </w:r>
            <w:r>
              <w:rPr>
                <w:rFonts w:hint="eastAsia" w:ascii="Times New Roman" w:hAnsi="Times New Roman" w:eastAsia="宋体" w:cs="Times New Roman"/>
                <w:kern w:val="0"/>
                <w:szCs w:val="20"/>
                <w:highlight w:val="none"/>
                <w:lang w:eastAsia="zh-CN"/>
              </w:rPr>
              <w:t>；</w:t>
            </w:r>
          </w:p>
          <w:p>
            <w:pPr>
              <w:ind w:firstLine="560"/>
              <w:rPr>
                <w:rFonts w:hint="eastAsia" w:ascii="Times New Roman" w:hAnsi="Times New Roman" w:eastAsia="宋体" w:cs="Times New Roman"/>
                <w:kern w:val="0"/>
                <w:szCs w:val="20"/>
                <w:highlight w:val="none"/>
                <w:lang w:eastAsia="zh-CN"/>
              </w:rPr>
            </w:pPr>
            <w:r>
              <w:rPr>
                <w:rFonts w:hint="eastAsia" w:ascii="Times New Roman" w:hAnsi="Times New Roman" w:eastAsia="宋体" w:cs="Times New Roman"/>
                <w:kern w:val="0"/>
                <w:szCs w:val="20"/>
                <w:highlight w:val="none"/>
              </w:rPr>
              <w:t>④</w:t>
            </w:r>
            <w:r>
              <w:rPr>
                <w:rFonts w:hint="default" w:ascii="Times New Roman" w:hAnsi="Times New Roman" w:eastAsia="宋体" w:cs="Times New Roman"/>
                <w:kern w:val="0"/>
                <w:szCs w:val="20"/>
                <w:highlight w:val="none"/>
              </w:rPr>
              <w:t>严守用地红线，禁止在征地范围外的施工活动</w:t>
            </w:r>
            <w:r>
              <w:rPr>
                <w:rFonts w:hint="eastAsia" w:ascii="Times New Roman" w:hAnsi="Times New Roman" w:eastAsia="宋体" w:cs="Times New Roman"/>
                <w:kern w:val="0"/>
                <w:szCs w:val="20"/>
                <w:highlight w:val="none"/>
                <w:lang w:eastAsia="zh-CN"/>
              </w:rPr>
              <w:t>，</w:t>
            </w:r>
            <w:r>
              <w:rPr>
                <w:rFonts w:hint="default" w:ascii="Times New Roman" w:hAnsi="Times New Roman" w:eastAsia="宋体" w:cs="Times New Roman"/>
                <w:kern w:val="0"/>
                <w:szCs w:val="20"/>
                <w:highlight w:val="none"/>
              </w:rPr>
              <w:t>施工活动要保证在征地范围内进行，避免新增占地</w:t>
            </w:r>
            <w:r>
              <w:rPr>
                <w:rFonts w:hint="eastAsia" w:ascii="Times New Roman" w:hAnsi="Times New Roman" w:eastAsia="宋体" w:cs="Times New Roman"/>
                <w:kern w:val="0"/>
                <w:szCs w:val="20"/>
                <w:highlight w:val="none"/>
                <w:lang w:eastAsia="zh-CN"/>
              </w:rPr>
              <w:t>；</w:t>
            </w:r>
          </w:p>
          <w:p>
            <w:pPr>
              <w:ind w:firstLine="560"/>
              <w:rPr>
                <w:rFonts w:hint="default" w:ascii="Times New Roman" w:hAnsi="Times New Roman" w:eastAsia="宋体" w:cs="Times New Roman"/>
                <w:kern w:val="0"/>
                <w:szCs w:val="20"/>
                <w:highlight w:val="none"/>
              </w:rPr>
            </w:pPr>
            <w:r>
              <w:rPr>
                <w:rFonts w:hint="eastAsia" w:ascii="Times New Roman" w:hAnsi="Times New Roman" w:eastAsia="宋体" w:cs="Times New Roman"/>
                <w:kern w:val="0"/>
                <w:szCs w:val="20"/>
                <w:highlight w:val="none"/>
                <w:lang w:val="en-US" w:eastAsia="zh-CN"/>
              </w:rPr>
              <w:t>⑤严格控制施工占地范围、</w:t>
            </w:r>
            <w:r>
              <w:rPr>
                <w:rFonts w:hint="eastAsia" w:ascii="Times New Roman" w:hAnsi="Times New Roman" w:eastAsia="宋体" w:cs="Times New Roman"/>
                <w:kern w:val="0"/>
                <w:szCs w:val="20"/>
                <w:highlight w:val="none"/>
              </w:rPr>
              <w:t>临时土石方</w:t>
            </w:r>
            <w:r>
              <w:rPr>
                <w:rFonts w:hint="eastAsia" w:ascii="Times New Roman" w:hAnsi="Times New Roman" w:eastAsia="宋体" w:cs="Times New Roman"/>
                <w:kern w:val="0"/>
                <w:szCs w:val="20"/>
                <w:highlight w:val="none"/>
                <w:lang w:eastAsia="zh-CN"/>
              </w:rPr>
              <w:t>、</w:t>
            </w:r>
            <w:r>
              <w:rPr>
                <w:rFonts w:hint="eastAsia" w:ascii="Times New Roman" w:hAnsi="Times New Roman" w:eastAsia="宋体" w:cs="Times New Roman"/>
                <w:kern w:val="0"/>
                <w:szCs w:val="20"/>
                <w:highlight w:val="none"/>
              </w:rPr>
              <w:t>建筑材料</w:t>
            </w:r>
            <w:r>
              <w:rPr>
                <w:rFonts w:hint="eastAsia" w:ascii="Times New Roman" w:hAnsi="Times New Roman" w:eastAsia="宋体" w:cs="Times New Roman"/>
                <w:kern w:val="0"/>
                <w:szCs w:val="20"/>
                <w:highlight w:val="none"/>
                <w:lang w:val="en-US" w:eastAsia="zh-CN"/>
              </w:rPr>
              <w:t>严禁堆放在五圣宫水文站段</w:t>
            </w:r>
            <w:r>
              <w:rPr>
                <w:rFonts w:hint="eastAsia" w:cs="Times New Roman"/>
                <w:kern w:val="0"/>
                <w:szCs w:val="20"/>
                <w:highlight w:val="none"/>
                <w:lang w:val="en-US" w:eastAsia="zh-CN"/>
              </w:rPr>
              <w:t>和临近生态红线的区域</w:t>
            </w:r>
            <w:r>
              <w:rPr>
                <w:rFonts w:hint="eastAsia" w:ascii="Times New Roman" w:hAnsi="Times New Roman" w:eastAsia="宋体" w:cs="Times New Roman"/>
                <w:kern w:val="0"/>
                <w:szCs w:val="20"/>
                <w:highlight w:val="none"/>
                <w:lang w:val="en-US" w:eastAsia="zh-CN"/>
              </w:rPr>
              <w:t>，</w:t>
            </w:r>
            <w:r>
              <w:rPr>
                <w:rFonts w:hint="eastAsia" w:ascii="Times New Roman" w:hAnsi="Times New Roman" w:eastAsia="宋体" w:cs="Times New Roman"/>
                <w:kern w:val="0"/>
                <w:szCs w:val="20"/>
                <w:highlight w:val="none"/>
              </w:rPr>
              <w:t>采用防尘布覆盖</w:t>
            </w:r>
            <w:r>
              <w:rPr>
                <w:rFonts w:hint="eastAsia" w:cs="Times New Roman"/>
                <w:kern w:val="0"/>
                <w:szCs w:val="20"/>
                <w:highlight w:val="none"/>
                <w:lang w:eastAsia="zh-CN"/>
              </w:rPr>
              <w:t>；</w:t>
            </w:r>
            <w:r>
              <w:rPr>
                <w:rFonts w:hint="default" w:ascii="Times New Roman" w:hAnsi="Times New Roman" w:eastAsia="宋体" w:cs="Times New Roman"/>
                <w:kern w:val="0"/>
                <w:szCs w:val="20"/>
                <w:highlight w:val="none"/>
              </w:rPr>
              <w:t>妥善保管好施工材料，尽量不堆放施工材料，防止施工材料流入</w:t>
            </w:r>
            <w:r>
              <w:rPr>
                <w:rFonts w:hint="eastAsia" w:cs="Times New Roman"/>
                <w:kern w:val="0"/>
                <w:szCs w:val="20"/>
                <w:highlight w:val="none"/>
                <w:lang w:val="en-US" w:eastAsia="zh-CN"/>
              </w:rPr>
              <w:t>白杨河中</w:t>
            </w:r>
            <w:r>
              <w:rPr>
                <w:rFonts w:hint="default" w:ascii="Times New Roman" w:hAnsi="Times New Roman" w:eastAsia="宋体" w:cs="Times New Roman"/>
                <w:kern w:val="0"/>
                <w:szCs w:val="20"/>
                <w:highlight w:val="none"/>
              </w:rPr>
              <w:t>，污染水质，破坏两栖类和部分爬行类、鸟类的栖息地。</w:t>
            </w:r>
          </w:p>
          <w:p>
            <w:pPr>
              <w:ind w:firstLine="560"/>
              <w:rPr>
                <w:rFonts w:hint="default" w:ascii="Times New Roman" w:hAnsi="Times New Roman" w:eastAsia="宋体" w:cs="Times New Roman"/>
                <w:kern w:val="0"/>
                <w:szCs w:val="20"/>
                <w:highlight w:val="none"/>
                <w:lang w:val="en-US" w:eastAsia="zh-CN"/>
              </w:rPr>
            </w:pPr>
            <w:r>
              <w:rPr>
                <w:rFonts w:hint="eastAsia" w:ascii="Times New Roman" w:hAnsi="Times New Roman" w:eastAsia="宋体" w:cs="Times New Roman"/>
                <w:kern w:val="0"/>
                <w:szCs w:val="20"/>
                <w:highlight w:val="none"/>
                <w:lang w:val="en-US" w:eastAsia="zh-CN"/>
              </w:rPr>
              <w:t>2</w:t>
            </w:r>
            <w:r>
              <w:rPr>
                <w:rFonts w:hint="eastAsia" w:ascii="Times New Roman" w:hAnsi="Times New Roman" w:eastAsia="宋体" w:cs="Times New Roman"/>
                <w:kern w:val="0"/>
                <w:szCs w:val="20"/>
                <w:highlight w:val="none"/>
                <w:lang w:eastAsia="zh-CN"/>
              </w:rPr>
              <w:t>）</w:t>
            </w:r>
            <w:r>
              <w:rPr>
                <w:rFonts w:hint="eastAsia" w:ascii="Times New Roman" w:hAnsi="Times New Roman" w:eastAsia="宋体" w:cs="Times New Roman"/>
                <w:kern w:val="0"/>
                <w:szCs w:val="20"/>
                <w:highlight w:val="none"/>
                <w:lang w:val="en-US" w:eastAsia="zh-CN"/>
              </w:rPr>
              <w:t>生态影响的管理措施</w:t>
            </w:r>
          </w:p>
          <w:p>
            <w:pPr>
              <w:ind w:firstLine="560"/>
              <w:rPr>
                <w:rFonts w:hint="eastAsia" w:ascii="Times New Roman" w:hAnsi="Times New Roman" w:eastAsia="宋体" w:cs="Times New Roman"/>
                <w:kern w:val="0"/>
                <w:szCs w:val="20"/>
                <w:highlight w:val="none"/>
                <w:lang w:eastAsia="zh-CN"/>
              </w:rPr>
            </w:pPr>
            <w:r>
              <w:rPr>
                <w:rFonts w:hint="default" w:ascii="Times New Roman" w:hAnsi="Times New Roman" w:eastAsia="宋体" w:cs="Times New Roman"/>
                <w:kern w:val="0"/>
                <w:szCs w:val="20"/>
                <w:highlight w:val="none"/>
                <w:lang w:val="en-US" w:eastAsia="zh-CN"/>
              </w:rPr>
              <w:t>①</w:t>
            </w:r>
            <w:r>
              <w:rPr>
                <w:rFonts w:hint="default" w:ascii="Times New Roman" w:hAnsi="Times New Roman" w:eastAsia="宋体" w:cs="Times New Roman"/>
                <w:kern w:val="0"/>
                <w:szCs w:val="20"/>
                <w:highlight w:val="none"/>
              </w:rPr>
              <w:t>加强施工人员教育，增强保护水生生物和河道水生态系统的意识和自觉性，在工程施工区设置警示牌</w:t>
            </w:r>
            <w:r>
              <w:rPr>
                <w:rFonts w:hint="eastAsia" w:ascii="Times New Roman" w:hAnsi="Times New Roman" w:eastAsia="宋体" w:cs="Times New Roman"/>
                <w:kern w:val="0"/>
                <w:szCs w:val="20"/>
                <w:highlight w:val="none"/>
                <w:lang w:eastAsia="zh-CN"/>
              </w:rPr>
              <w:t>；</w:t>
            </w:r>
          </w:p>
          <w:p>
            <w:pPr>
              <w:ind w:firstLine="560"/>
              <w:rPr>
                <w:rFonts w:hint="default" w:ascii="Times New Roman" w:hAnsi="Times New Roman" w:eastAsia="宋体" w:cs="Times New Roman"/>
                <w:kern w:val="0"/>
                <w:szCs w:val="20"/>
                <w:highlight w:val="none"/>
              </w:rPr>
            </w:pPr>
            <w:r>
              <w:rPr>
                <w:rFonts w:hint="default" w:ascii="Times New Roman" w:hAnsi="Times New Roman" w:eastAsia="宋体" w:cs="Times New Roman"/>
                <w:kern w:val="0"/>
                <w:szCs w:val="20"/>
                <w:highlight w:val="none"/>
                <w:lang w:val="en-US" w:eastAsia="zh-CN"/>
              </w:rPr>
              <w:t>②</w:t>
            </w:r>
            <w:r>
              <w:rPr>
                <w:rFonts w:hint="default" w:ascii="Times New Roman" w:hAnsi="Times New Roman" w:eastAsia="宋体" w:cs="Times New Roman"/>
                <w:kern w:val="0"/>
                <w:szCs w:val="20"/>
                <w:highlight w:val="none"/>
              </w:rPr>
              <w:t>加强</w:t>
            </w:r>
            <w:r>
              <w:rPr>
                <w:rFonts w:hint="eastAsia" w:cs="Times New Roman"/>
                <w:kern w:val="0"/>
                <w:szCs w:val="20"/>
                <w:highlight w:val="none"/>
                <w:lang w:val="en-US" w:eastAsia="zh-CN"/>
              </w:rPr>
              <w:t>施工人员对</w:t>
            </w:r>
            <w:r>
              <w:rPr>
                <w:rFonts w:hint="eastAsia"/>
                <w:color w:val="000000"/>
                <w:highlight w:val="none"/>
                <w:lang w:val="en-US" w:eastAsia="zh-CN"/>
              </w:rPr>
              <w:t>吉木萨尔县生态红线和</w:t>
            </w:r>
            <w:r>
              <w:rPr>
                <w:rFonts w:hint="eastAsia" w:ascii="Times New Roman" w:hAnsi="Times New Roman" w:eastAsia="宋体" w:cs="Times New Roman"/>
                <w:kern w:val="0"/>
                <w:szCs w:val="20"/>
                <w:highlight w:val="none"/>
                <w:lang w:val="en-US" w:eastAsia="zh-CN"/>
              </w:rPr>
              <w:t>新疆江布拉克</w:t>
            </w:r>
            <w:r>
              <w:rPr>
                <w:rFonts w:hint="default" w:ascii="Times New Roman" w:hAnsi="Times New Roman" w:eastAsia="宋体" w:cs="Times New Roman"/>
                <w:kern w:val="0"/>
                <w:szCs w:val="20"/>
                <w:highlight w:val="none"/>
                <w:lang w:val="en-US" w:eastAsia="zh-CN"/>
              </w:rPr>
              <w:t>国家森林公园</w:t>
            </w:r>
            <w:r>
              <w:rPr>
                <w:rFonts w:hint="eastAsia" w:cs="Times New Roman"/>
                <w:kern w:val="0"/>
                <w:szCs w:val="20"/>
                <w:highlight w:val="none"/>
                <w:lang w:val="en-US" w:eastAsia="zh-CN"/>
              </w:rPr>
              <w:t>的</w:t>
            </w:r>
            <w:r>
              <w:rPr>
                <w:rFonts w:hint="default" w:ascii="Times New Roman" w:hAnsi="Times New Roman" w:eastAsia="宋体" w:cs="Times New Roman"/>
                <w:kern w:val="0"/>
                <w:szCs w:val="20"/>
                <w:highlight w:val="none"/>
              </w:rPr>
              <w:t>生态教育和野生动物保护教育，加强宣传力度</w:t>
            </w:r>
            <w:r>
              <w:rPr>
                <w:rFonts w:hint="eastAsia" w:cs="Times New Roman"/>
                <w:kern w:val="0"/>
                <w:szCs w:val="20"/>
                <w:highlight w:val="none"/>
                <w:lang w:eastAsia="zh-CN"/>
              </w:rPr>
              <w:t>；</w:t>
            </w:r>
            <w:r>
              <w:rPr>
                <w:rFonts w:hint="default" w:ascii="Times New Roman" w:hAnsi="Times New Roman" w:eastAsia="宋体" w:cs="Times New Roman"/>
                <w:kern w:val="0"/>
                <w:szCs w:val="20"/>
                <w:highlight w:val="none"/>
              </w:rPr>
              <w:t>采用在工程施工营造地分发宣传资料、日常工作会议中重点告示的方式宣传《中华人民共和国野生动物保护法》、《中华人民共和国陆生野生动物保护实施条例》等相关法律法规及条例，提高施工和管理人员的保护意识，严禁捕猎野生动物的行为。</w:t>
            </w:r>
          </w:p>
          <w:p>
            <w:pPr>
              <w:ind w:firstLine="560"/>
              <w:rPr>
                <w:rFonts w:hint="default" w:ascii="Times New Roman" w:hAnsi="Times New Roman" w:eastAsia="宋体" w:cs="Times New Roman"/>
                <w:kern w:val="0"/>
                <w:szCs w:val="20"/>
                <w:highlight w:val="none"/>
              </w:rPr>
            </w:pPr>
            <w:r>
              <w:rPr>
                <w:rFonts w:hint="default" w:ascii="Times New Roman" w:hAnsi="Times New Roman" w:eastAsia="宋体" w:cs="Times New Roman"/>
                <w:kern w:val="0"/>
                <w:szCs w:val="20"/>
                <w:highlight w:val="none"/>
                <w:lang w:val="en-US" w:eastAsia="zh-CN"/>
              </w:rPr>
              <w:t>③</w:t>
            </w:r>
            <w:r>
              <w:rPr>
                <w:rFonts w:hint="default" w:ascii="Times New Roman" w:hAnsi="Times New Roman" w:eastAsia="宋体" w:cs="Times New Roman"/>
                <w:kern w:val="0"/>
                <w:szCs w:val="20"/>
                <w:highlight w:val="none"/>
              </w:rPr>
              <w:t>划定工作区和活动范围，各施工场地周围应通过设置铁丝网和绿色塑料网进行隔离，防止施工人员和施工机械车辆随意进入</w:t>
            </w:r>
            <w:r>
              <w:rPr>
                <w:rFonts w:hint="eastAsia" w:ascii="Times New Roman" w:hAnsi="Times New Roman" w:eastAsia="宋体" w:cs="Times New Roman"/>
                <w:kern w:val="0"/>
                <w:szCs w:val="20"/>
                <w:highlight w:val="none"/>
                <w:lang w:val="en-US" w:eastAsia="zh-CN"/>
              </w:rPr>
              <w:t>生态红线，</w:t>
            </w:r>
            <w:r>
              <w:rPr>
                <w:rFonts w:hint="default" w:ascii="Times New Roman" w:hAnsi="Times New Roman" w:eastAsia="宋体" w:cs="Times New Roman"/>
                <w:kern w:val="0"/>
                <w:szCs w:val="20"/>
                <w:highlight w:val="none"/>
              </w:rPr>
              <w:t>优化施工计划，尽量缩短施工作业时间，避开鸟类迁移、繁殖季节施工。</w:t>
            </w:r>
          </w:p>
          <w:p>
            <w:pPr>
              <w:ind w:firstLine="560"/>
              <w:rPr>
                <w:rFonts w:hint="default" w:ascii="Times New Roman" w:hAnsi="Times New Roman" w:eastAsia="宋体" w:cs="Times New Roman"/>
                <w:kern w:val="0"/>
                <w:szCs w:val="20"/>
                <w:highlight w:val="none"/>
              </w:rPr>
            </w:pPr>
            <w:r>
              <w:rPr>
                <w:rFonts w:hint="eastAsia" w:ascii="Times New Roman" w:hAnsi="Times New Roman" w:eastAsia="宋体" w:cs="Times New Roman"/>
                <w:kern w:val="0"/>
                <w:szCs w:val="20"/>
                <w:highlight w:val="none"/>
                <w:lang w:val="en-US" w:eastAsia="zh-CN"/>
              </w:rPr>
              <w:t>（5）水生生态的</w:t>
            </w:r>
            <w:r>
              <w:rPr>
                <w:rFonts w:hint="default" w:ascii="Times New Roman" w:hAnsi="Times New Roman" w:eastAsia="宋体" w:cs="Times New Roman"/>
                <w:kern w:val="0"/>
                <w:szCs w:val="20"/>
                <w:highlight w:val="none"/>
              </w:rPr>
              <w:t>保护措施</w:t>
            </w:r>
          </w:p>
          <w:p>
            <w:pPr>
              <w:ind w:firstLine="560"/>
              <w:rPr>
                <w:rFonts w:hint="default" w:ascii="Times New Roman" w:hAnsi="Times New Roman" w:eastAsia="宋体" w:cs="Times New Roman"/>
                <w:kern w:val="0"/>
                <w:szCs w:val="20"/>
                <w:highlight w:val="none"/>
              </w:rPr>
            </w:pPr>
            <w:r>
              <w:rPr>
                <w:rFonts w:hint="default" w:ascii="Times New Roman" w:hAnsi="Times New Roman" w:eastAsia="宋体" w:cs="Times New Roman"/>
                <w:kern w:val="0"/>
                <w:szCs w:val="20"/>
                <w:highlight w:val="none"/>
                <w:lang w:val="en-US" w:eastAsia="zh-CN"/>
              </w:rPr>
              <w:t>①</w:t>
            </w:r>
            <w:r>
              <w:rPr>
                <w:rFonts w:hint="default" w:ascii="Times New Roman" w:hAnsi="Times New Roman" w:eastAsia="宋体" w:cs="Times New Roman"/>
                <w:kern w:val="0"/>
                <w:szCs w:val="20"/>
                <w:highlight w:val="none"/>
              </w:rPr>
              <w:t>严禁在河道边临时堆放弃土、弃渣和建筑垃圾，运输车辆进行覆盖或封闭运输，避免零碎土石、泥沙等进入河道</w:t>
            </w:r>
            <w:r>
              <w:rPr>
                <w:rFonts w:hint="eastAsia" w:cs="Times New Roman"/>
                <w:kern w:val="0"/>
                <w:szCs w:val="20"/>
                <w:highlight w:val="none"/>
                <w:lang w:eastAsia="zh-CN"/>
              </w:rPr>
              <w:t>，</w:t>
            </w:r>
            <w:r>
              <w:rPr>
                <w:rFonts w:hint="default" w:ascii="Times New Roman" w:hAnsi="Times New Roman" w:eastAsia="宋体" w:cs="Times New Roman"/>
                <w:kern w:val="0"/>
                <w:szCs w:val="20"/>
                <w:highlight w:val="none"/>
              </w:rPr>
              <w:t>开挖场地采取围堰措施，防止泥水流失和漫延。</w:t>
            </w:r>
          </w:p>
          <w:p>
            <w:pPr>
              <w:ind w:firstLine="560"/>
              <w:rPr>
                <w:rFonts w:hint="eastAsia" w:ascii="宋体" w:hAnsi="Times New Roman" w:eastAsia="宋体" w:cs="Times New Roman"/>
                <w:bCs/>
                <w:highlight w:val="none"/>
                <w:lang w:eastAsia="zh-CN"/>
              </w:rPr>
            </w:pPr>
            <w:r>
              <w:rPr>
                <w:rFonts w:hint="default" w:ascii="Times New Roman" w:hAnsi="Times New Roman" w:eastAsia="宋体" w:cs="Times New Roman"/>
                <w:kern w:val="0"/>
                <w:szCs w:val="20"/>
                <w:highlight w:val="none"/>
                <w:lang w:val="en-US" w:eastAsia="zh-CN"/>
              </w:rPr>
              <w:t>②</w:t>
            </w:r>
            <w:r>
              <w:rPr>
                <w:rFonts w:hint="default" w:ascii="宋体" w:hAnsi="Times New Roman" w:eastAsia="宋体" w:cs="Times New Roman"/>
                <w:bCs/>
                <w:highlight w:val="none"/>
              </w:rPr>
              <w:t>项目施工</w:t>
            </w:r>
            <w:r>
              <w:rPr>
                <w:rFonts w:hint="eastAsia" w:ascii="宋体" w:hAnsi="Times New Roman" w:eastAsia="宋体" w:cs="Times New Roman"/>
                <w:bCs/>
                <w:highlight w:val="none"/>
                <w:lang w:val="en-US" w:eastAsia="zh-CN"/>
              </w:rPr>
              <w:t>期间</w:t>
            </w:r>
            <w:r>
              <w:rPr>
                <w:rFonts w:hint="default" w:ascii="宋体" w:hAnsi="Times New Roman" w:eastAsia="宋体" w:cs="Times New Roman"/>
                <w:bCs/>
                <w:highlight w:val="none"/>
              </w:rPr>
              <w:t>废水、废渣不向天然河道排放，合理安排施工计划，</w:t>
            </w:r>
            <w:r>
              <w:rPr>
                <w:rFonts w:hint="eastAsia" w:ascii="宋体" w:hAnsi="Times New Roman" w:eastAsia="宋体" w:cs="Times New Roman"/>
                <w:bCs/>
                <w:highlight w:val="none"/>
                <w:lang w:val="en-US" w:eastAsia="zh-CN"/>
              </w:rPr>
              <w:t>施工期</w:t>
            </w:r>
            <w:r>
              <w:rPr>
                <w:rFonts w:hint="default" w:ascii="宋体" w:hAnsi="Times New Roman" w:eastAsia="宋体" w:cs="Times New Roman"/>
                <w:bCs/>
                <w:highlight w:val="none"/>
              </w:rPr>
              <w:t>安排在枯水期，避开各个鱼类的产卵期、洄游期及特别保护期</w:t>
            </w:r>
            <w:r>
              <w:rPr>
                <w:rFonts w:hint="eastAsia" w:ascii="宋体" w:hAnsi="Times New Roman" w:eastAsia="宋体" w:cs="Times New Roman"/>
                <w:bCs/>
                <w:highlight w:val="none"/>
                <w:lang w:eastAsia="zh-CN"/>
              </w:rPr>
              <w:t>。</w:t>
            </w:r>
          </w:p>
          <w:p>
            <w:pPr>
              <w:ind w:firstLine="560"/>
              <w:rPr>
                <w:rFonts w:hint="eastAsia" w:ascii="宋体" w:hAnsi="Times New Roman" w:eastAsia="宋体" w:cs="Times New Roman"/>
                <w:bCs/>
                <w:highlight w:val="none"/>
                <w:lang w:eastAsia="zh-CN"/>
              </w:rPr>
            </w:pPr>
            <w:r>
              <w:rPr>
                <w:rFonts w:hint="default" w:ascii="宋体" w:hAnsi="Times New Roman" w:eastAsia="宋体" w:cs="Times New Roman"/>
                <w:bCs/>
                <w:highlight w:val="none"/>
                <w:lang w:val="en-US" w:eastAsia="zh-CN"/>
              </w:rPr>
              <w:t>③</w:t>
            </w:r>
            <w:r>
              <w:rPr>
                <w:rFonts w:hint="default" w:ascii="宋体" w:hAnsi="Times New Roman" w:eastAsia="宋体" w:cs="Times New Roman"/>
                <w:bCs/>
                <w:highlight w:val="none"/>
              </w:rPr>
              <w:t>增强施工人员</w:t>
            </w:r>
            <w:r>
              <w:rPr>
                <w:rFonts w:hint="eastAsia" w:ascii="宋体" w:hAnsi="Times New Roman" w:eastAsia="宋体" w:cs="Times New Roman"/>
                <w:bCs/>
                <w:highlight w:val="none"/>
                <w:lang w:val="en-US" w:eastAsia="zh-CN"/>
              </w:rPr>
              <w:t>对</w:t>
            </w:r>
            <w:r>
              <w:rPr>
                <w:rFonts w:hint="default" w:ascii="宋体" w:hAnsi="Times New Roman" w:eastAsia="宋体" w:cs="Times New Roman"/>
                <w:bCs/>
                <w:highlight w:val="none"/>
              </w:rPr>
              <w:t>保护水生生物和河道水生态系统的意识和自觉性，在</w:t>
            </w:r>
            <w:r>
              <w:rPr>
                <w:rFonts w:hint="eastAsia" w:ascii="宋体" w:hAnsi="Times New Roman" w:eastAsia="宋体" w:cs="Times New Roman"/>
                <w:bCs/>
                <w:highlight w:val="none"/>
                <w:lang w:val="en-US" w:eastAsia="zh-CN"/>
              </w:rPr>
              <w:t>渠道施工</w:t>
            </w:r>
            <w:r>
              <w:rPr>
                <w:rFonts w:hint="default" w:ascii="宋体" w:hAnsi="Times New Roman" w:eastAsia="宋体" w:cs="Times New Roman"/>
                <w:bCs/>
                <w:highlight w:val="none"/>
              </w:rPr>
              <w:t>工区设置警示牌</w:t>
            </w:r>
            <w:r>
              <w:rPr>
                <w:rFonts w:hint="eastAsia" w:ascii="宋体" w:hAnsi="Times New Roman" w:eastAsia="宋体" w:cs="Times New Roman"/>
                <w:bCs/>
                <w:highlight w:val="none"/>
                <w:lang w:eastAsia="zh-CN"/>
              </w:rPr>
              <w:t>。</w:t>
            </w:r>
          </w:p>
          <w:p>
            <w:pPr>
              <w:ind w:firstLine="560"/>
              <w:rPr>
                <w:rFonts w:hint="eastAsia" w:ascii="宋体" w:hAnsi="Times New Roman" w:eastAsia="宋体" w:cs="Times New Roman"/>
                <w:bCs/>
                <w:highlight w:val="none"/>
                <w:lang w:val="en-US" w:eastAsia="zh-CN"/>
              </w:rPr>
            </w:pPr>
            <w:r>
              <w:rPr>
                <w:rFonts w:hint="eastAsia" w:ascii="宋体" w:hAnsi="Times New Roman" w:eastAsia="宋体" w:cs="Times New Roman"/>
                <w:bCs/>
                <w:highlight w:val="none"/>
                <w:lang w:val="en-US" w:eastAsia="zh-CN"/>
              </w:rPr>
              <w:t>④</w:t>
            </w:r>
            <w:r>
              <w:rPr>
                <w:rFonts w:hint="default" w:ascii="宋体" w:hAnsi="Times New Roman" w:eastAsia="宋体" w:cs="Times New Roman"/>
                <w:bCs/>
                <w:highlight w:val="none"/>
              </w:rPr>
              <w:t>通过物理、化学和生物方法降低</w:t>
            </w:r>
            <w:r>
              <w:rPr>
                <w:rFonts w:hint="eastAsia" w:ascii="宋体" w:hAnsi="Times New Roman" w:eastAsia="宋体" w:cs="Times New Roman"/>
                <w:bCs/>
                <w:highlight w:val="none"/>
                <w:lang w:val="en-US" w:eastAsia="zh-CN"/>
              </w:rPr>
              <w:t>白杨河</w:t>
            </w:r>
            <w:r>
              <w:rPr>
                <w:rFonts w:hint="default" w:ascii="宋体" w:hAnsi="Times New Roman" w:eastAsia="宋体" w:cs="Times New Roman"/>
                <w:bCs/>
                <w:highlight w:val="none"/>
              </w:rPr>
              <w:t>水体中的污染物浓度，提高水质。</w:t>
            </w:r>
          </w:p>
          <w:p>
            <w:pPr>
              <w:ind w:firstLine="560"/>
              <w:rPr>
                <w:rFonts w:hint="default" w:ascii="宋体" w:hAnsi="Times New Roman" w:eastAsia="宋体" w:cs="Times New Roman"/>
                <w:bCs/>
                <w:highlight w:val="none"/>
              </w:rPr>
            </w:pPr>
            <w:r>
              <w:rPr>
                <w:rFonts w:hint="eastAsia" w:ascii="宋体" w:hAnsi="Times New Roman" w:eastAsia="宋体" w:cs="Times New Roman"/>
                <w:bCs/>
                <w:highlight w:val="none"/>
                <w:lang w:val="en-US" w:eastAsia="zh-CN"/>
              </w:rPr>
              <w:t>⑤</w:t>
            </w:r>
            <w:r>
              <w:rPr>
                <w:rFonts w:hint="default" w:ascii="宋体" w:hAnsi="Times New Roman" w:eastAsia="宋体" w:cs="Times New Roman"/>
                <w:bCs/>
                <w:highlight w:val="none"/>
              </w:rPr>
              <w:t>保护和恢复</w:t>
            </w:r>
            <w:r>
              <w:rPr>
                <w:rFonts w:hint="eastAsia" w:ascii="宋体" w:hAnsi="Times New Roman" w:eastAsia="宋体" w:cs="Times New Roman"/>
                <w:bCs/>
                <w:highlight w:val="none"/>
                <w:lang w:val="en-US" w:eastAsia="zh-CN"/>
              </w:rPr>
              <w:t>白杨河中</w:t>
            </w:r>
            <w:r>
              <w:rPr>
                <w:rFonts w:hint="default" w:ascii="宋体" w:hAnsi="Times New Roman" w:eastAsia="宋体" w:cs="Times New Roman"/>
                <w:bCs/>
                <w:highlight w:val="none"/>
              </w:rPr>
              <w:t>的自然形态及生态系统结构，促进水生生物的多样性和生态平衡</w:t>
            </w:r>
            <w:r>
              <w:rPr>
                <w:rFonts w:hint="eastAsia" w:ascii="宋体" w:hAnsi="Times New Roman" w:eastAsia="宋体" w:cs="Times New Roman"/>
                <w:bCs/>
                <w:highlight w:val="none"/>
                <w:lang w:eastAsia="zh-CN"/>
              </w:rPr>
              <w:t>，</w:t>
            </w:r>
            <w:r>
              <w:rPr>
                <w:rFonts w:hint="default" w:ascii="宋体" w:hAnsi="Times New Roman" w:eastAsia="宋体" w:cs="Times New Roman"/>
                <w:bCs/>
                <w:highlight w:val="none"/>
              </w:rPr>
              <w:t>加强</w:t>
            </w:r>
            <w:r>
              <w:rPr>
                <w:rFonts w:hint="eastAsia" w:ascii="宋体" w:hAnsi="Times New Roman" w:eastAsia="宋体" w:cs="Times New Roman"/>
                <w:bCs/>
                <w:highlight w:val="none"/>
                <w:lang w:val="en-US" w:eastAsia="zh-CN"/>
              </w:rPr>
              <w:t>白杨河中</w:t>
            </w:r>
            <w:r>
              <w:rPr>
                <w:rFonts w:hint="default" w:ascii="宋体" w:hAnsi="Times New Roman" w:eastAsia="宋体" w:cs="Times New Roman"/>
                <w:bCs/>
                <w:highlight w:val="none"/>
              </w:rPr>
              <w:t>水生生物的增殖和放流工作，提升河流生态系统的稳定性和自净能力。</w:t>
            </w:r>
          </w:p>
          <w:p>
            <w:pPr>
              <w:ind w:firstLine="560"/>
              <w:rPr>
                <w:rFonts w:hint="default" w:ascii="宋体" w:hAnsi="Times New Roman" w:eastAsia="宋体" w:cs="Times New Roman"/>
                <w:bCs/>
                <w:highlight w:val="none"/>
              </w:rPr>
            </w:pPr>
            <w:r>
              <w:rPr>
                <w:rFonts w:hint="eastAsia" w:ascii="宋体" w:hAnsi="Times New Roman" w:eastAsia="宋体" w:cs="Times New Roman"/>
                <w:bCs/>
                <w:highlight w:val="none"/>
                <w:lang w:val="en-US" w:eastAsia="zh-CN"/>
              </w:rPr>
              <w:t xml:space="preserve"> ⑥</w:t>
            </w:r>
            <w:r>
              <w:rPr>
                <w:rFonts w:hint="default" w:ascii="宋体" w:hAnsi="Times New Roman" w:eastAsia="宋体" w:cs="Times New Roman"/>
                <w:bCs/>
                <w:highlight w:val="none"/>
              </w:rPr>
              <w:t>通过合理配置</w:t>
            </w:r>
            <w:r>
              <w:rPr>
                <w:rFonts w:hint="eastAsia" w:ascii="宋体" w:hAnsi="Times New Roman" w:eastAsia="宋体" w:cs="Times New Roman"/>
                <w:bCs/>
                <w:highlight w:val="none"/>
                <w:lang w:val="en-US" w:eastAsia="zh-CN"/>
              </w:rPr>
              <w:t>白杨河中</w:t>
            </w:r>
            <w:r>
              <w:rPr>
                <w:rFonts w:hint="default" w:ascii="宋体" w:hAnsi="Times New Roman" w:eastAsia="宋体" w:cs="Times New Roman"/>
                <w:bCs/>
                <w:highlight w:val="none"/>
              </w:rPr>
              <w:t>的水资源、加强水资源管理和节约用水等措施，保护和改善</w:t>
            </w:r>
            <w:r>
              <w:rPr>
                <w:rFonts w:hint="eastAsia" w:ascii="宋体" w:hAnsi="Times New Roman" w:eastAsia="宋体" w:cs="Times New Roman"/>
                <w:bCs/>
                <w:highlight w:val="none"/>
                <w:lang w:val="en-US" w:eastAsia="zh-CN"/>
              </w:rPr>
              <w:t>白杨河</w:t>
            </w:r>
            <w:r>
              <w:rPr>
                <w:rFonts w:hint="default" w:ascii="宋体" w:hAnsi="Times New Roman" w:eastAsia="宋体" w:cs="Times New Roman"/>
                <w:bCs/>
                <w:highlight w:val="none"/>
              </w:rPr>
              <w:t>河流的水质。</w:t>
            </w:r>
          </w:p>
          <w:p>
            <w:pPr>
              <w:ind w:firstLine="560"/>
              <w:rPr>
                <w:rFonts w:hint="default" w:ascii="宋体" w:hAnsi="Times New Roman" w:eastAsia="宋体" w:cs="Times New Roman"/>
                <w:bCs/>
                <w:highlight w:val="none"/>
                <w:lang w:val="en-US" w:eastAsia="zh-CN"/>
              </w:rPr>
            </w:pPr>
            <w:r>
              <w:rPr>
                <w:rFonts w:hint="eastAsia" w:ascii="宋体" w:hAnsi="Times New Roman" w:eastAsia="宋体" w:cs="Times New Roman"/>
                <w:bCs/>
                <w:highlight w:val="none"/>
                <w:lang w:val="en-US" w:eastAsia="zh-CN"/>
              </w:rPr>
              <w:t>⑧</w:t>
            </w:r>
            <w:r>
              <w:rPr>
                <w:rFonts w:hint="default" w:ascii="宋体" w:hAnsi="Times New Roman" w:eastAsia="宋体" w:cs="Times New Roman"/>
                <w:bCs/>
                <w:highlight w:val="none"/>
              </w:rPr>
              <w:t>通过加强宣传教育、建立公众参与机制等措施，提高公众环保意识和参与度</w:t>
            </w:r>
            <w:r>
              <w:rPr>
                <w:rFonts w:hint="eastAsia" w:ascii="宋体" w:cs="Times New Roman"/>
                <w:bCs/>
                <w:highlight w:val="none"/>
                <w:lang w:eastAsia="zh-CN"/>
              </w:rPr>
              <w:t>，</w:t>
            </w:r>
            <w:r>
              <w:rPr>
                <w:rFonts w:hint="default" w:ascii="宋体" w:hAnsi="Times New Roman" w:eastAsia="宋体" w:cs="Times New Roman"/>
                <w:bCs/>
                <w:highlight w:val="none"/>
              </w:rPr>
              <w:t>社会各界共同参与</w:t>
            </w:r>
            <w:r>
              <w:rPr>
                <w:rFonts w:hint="eastAsia" w:ascii="宋体" w:hAnsi="Times New Roman" w:eastAsia="宋体" w:cs="Times New Roman"/>
                <w:bCs/>
                <w:highlight w:val="none"/>
                <w:lang w:val="en-US" w:eastAsia="zh-CN"/>
              </w:rPr>
              <w:t>白杨河</w:t>
            </w:r>
            <w:r>
              <w:rPr>
                <w:rFonts w:hint="default" w:ascii="宋体" w:hAnsi="Times New Roman" w:eastAsia="宋体" w:cs="Times New Roman"/>
                <w:bCs/>
                <w:highlight w:val="none"/>
              </w:rPr>
              <w:t>河道治理工作，形成合力，推动河道治理工作的顺利开展。</w:t>
            </w:r>
          </w:p>
          <w:p>
            <w:pPr>
              <w:ind w:firstLine="560"/>
              <w:rPr>
                <w:rFonts w:hint="eastAsia" w:ascii="Times New Roman" w:hAnsi="Times New Roman" w:eastAsia="宋体" w:cs="Times New Roman"/>
                <w:kern w:val="0"/>
                <w:szCs w:val="20"/>
                <w:highlight w:val="none"/>
              </w:rPr>
            </w:pPr>
            <w:r>
              <w:rPr>
                <w:rFonts w:hint="eastAsia" w:ascii="Times New Roman" w:hAnsi="Times New Roman" w:eastAsia="宋体" w:cs="Times New Roman"/>
                <w:kern w:val="0"/>
                <w:szCs w:val="20"/>
                <w:highlight w:val="none"/>
                <w:lang w:val="en-US" w:eastAsia="zh-CN"/>
              </w:rPr>
              <w:t>（6）</w:t>
            </w:r>
            <w:r>
              <w:rPr>
                <w:rFonts w:hint="eastAsia" w:ascii="Times New Roman" w:hAnsi="Times New Roman" w:eastAsia="宋体" w:cs="Times New Roman"/>
                <w:kern w:val="0"/>
                <w:szCs w:val="20"/>
                <w:highlight w:val="none"/>
              </w:rPr>
              <w:t>水土保持措施</w:t>
            </w:r>
          </w:p>
          <w:p>
            <w:pPr>
              <w:ind w:firstLine="560"/>
              <w:rPr>
                <w:rFonts w:hint="eastAsia" w:ascii="Times New Roman" w:hAnsi="Times New Roman" w:eastAsia="宋体" w:cs="Times New Roman"/>
                <w:kern w:val="0"/>
                <w:szCs w:val="20"/>
                <w:highlight w:val="none"/>
                <w:lang w:eastAsia="zh-CN"/>
              </w:rPr>
            </w:pPr>
            <w:r>
              <w:rPr>
                <w:rFonts w:hint="default" w:ascii="Times New Roman" w:hAnsi="Times New Roman" w:eastAsia="宋体" w:cs="Times New Roman"/>
                <w:kern w:val="0"/>
                <w:szCs w:val="20"/>
                <w:highlight w:val="none"/>
                <w:lang w:val="en-US" w:eastAsia="zh-CN"/>
              </w:rPr>
              <w:t>①</w:t>
            </w:r>
            <w:r>
              <w:rPr>
                <w:rFonts w:hint="eastAsia" w:ascii="Times New Roman" w:hAnsi="Times New Roman" w:eastAsia="宋体" w:cs="Times New Roman"/>
                <w:kern w:val="0"/>
                <w:szCs w:val="20"/>
                <w:highlight w:val="none"/>
                <w:lang w:eastAsia="zh-CN"/>
              </w:rPr>
              <w:t>施工期间应规范施工行为，严格控制施工作业范围，尽量减少对施工范围以外植被碾压、碰撞等伤害；</w:t>
            </w:r>
          </w:p>
          <w:p>
            <w:pPr>
              <w:ind w:firstLine="560"/>
              <w:rPr>
                <w:rFonts w:hint="eastAsia" w:ascii="Times New Roman" w:hAnsi="Times New Roman" w:eastAsia="宋体" w:cs="Times New Roman"/>
                <w:kern w:val="0"/>
                <w:szCs w:val="20"/>
                <w:highlight w:val="none"/>
                <w:lang w:eastAsia="zh-CN"/>
              </w:rPr>
            </w:pPr>
            <w:r>
              <w:rPr>
                <w:rFonts w:hint="eastAsia" w:ascii="Times New Roman" w:hAnsi="Times New Roman" w:eastAsia="宋体" w:cs="Times New Roman"/>
                <w:kern w:val="0"/>
                <w:szCs w:val="20"/>
                <w:highlight w:val="none"/>
                <w:lang w:eastAsia="zh-CN"/>
              </w:rPr>
              <w:t>②施工开挖土石方，应合理堆放，做好苫盖工作，尽量在施工场地内周转利用，减少弃方量，沿线临时堆土，洒水方式采用洒水车洒水，每天对该区域洒水1次；</w:t>
            </w:r>
          </w:p>
          <w:p>
            <w:pPr>
              <w:ind w:firstLine="560"/>
              <w:rPr>
                <w:rFonts w:hint="eastAsia" w:ascii="Times New Roman" w:hAnsi="Times New Roman" w:eastAsia="宋体" w:cs="Times New Roman"/>
                <w:kern w:val="0"/>
                <w:szCs w:val="20"/>
                <w:highlight w:val="none"/>
                <w:lang w:eastAsia="zh-CN"/>
              </w:rPr>
            </w:pPr>
            <w:r>
              <w:rPr>
                <w:rFonts w:hint="eastAsia" w:ascii="Times New Roman" w:hAnsi="Times New Roman" w:eastAsia="宋体" w:cs="Times New Roman"/>
                <w:kern w:val="0"/>
                <w:szCs w:val="20"/>
                <w:highlight w:val="none"/>
                <w:lang w:eastAsia="zh-CN"/>
              </w:rPr>
              <w:t>③工程挖方应尽可能用于</w:t>
            </w:r>
            <w:r>
              <w:rPr>
                <w:rFonts w:hint="eastAsia" w:ascii="Times New Roman" w:hAnsi="Times New Roman" w:eastAsia="宋体" w:cs="Times New Roman"/>
                <w:kern w:val="0"/>
                <w:szCs w:val="20"/>
                <w:highlight w:val="none"/>
                <w:lang w:val="en-US" w:eastAsia="zh-CN"/>
              </w:rPr>
              <w:t>项目区</w:t>
            </w:r>
            <w:r>
              <w:rPr>
                <w:rFonts w:hint="eastAsia" w:ascii="Times New Roman" w:hAnsi="Times New Roman" w:eastAsia="宋体" w:cs="Times New Roman"/>
                <w:kern w:val="0"/>
                <w:szCs w:val="20"/>
                <w:highlight w:val="none"/>
                <w:lang w:eastAsia="zh-CN"/>
              </w:rPr>
              <w:t>回填、</w:t>
            </w:r>
            <w:r>
              <w:rPr>
                <w:rFonts w:hint="eastAsia" w:ascii="Times New Roman" w:hAnsi="Times New Roman" w:eastAsia="宋体" w:cs="Times New Roman"/>
                <w:kern w:val="0"/>
                <w:szCs w:val="20"/>
                <w:highlight w:val="none"/>
                <w:lang w:val="en-US" w:eastAsia="zh-CN"/>
              </w:rPr>
              <w:t>土地平整</w:t>
            </w:r>
            <w:r>
              <w:rPr>
                <w:rFonts w:hint="eastAsia" w:ascii="Times New Roman" w:hAnsi="Times New Roman" w:eastAsia="宋体" w:cs="Times New Roman"/>
                <w:kern w:val="0"/>
                <w:szCs w:val="20"/>
                <w:highlight w:val="none"/>
                <w:lang w:eastAsia="zh-CN"/>
              </w:rPr>
              <w:t>，不得随意抛弃；</w:t>
            </w:r>
          </w:p>
          <w:p>
            <w:pPr>
              <w:ind w:firstLine="560"/>
              <w:rPr>
                <w:rFonts w:hint="eastAsia" w:ascii="Times New Roman" w:hAnsi="Times New Roman" w:eastAsia="宋体" w:cs="Times New Roman"/>
                <w:kern w:val="0"/>
                <w:szCs w:val="20"/>
                <w:highlight w:val="none"/>
                <w:lang w:eastAsia="zh-CN"/>
              </w:rPr>
            </w:pPr>
            <w:r>
              <w:rPr>
                <w:rFonts w:hint="eastAsia" w:ascii="Times New Roman" w:hAnsi="Times New Roman" w:eastAsia="宋体" w:cs="Times New Roman"/>
                <w:kern w:val="0"/>
                <w:szCs w:val="20"/>
                <w:highlight w:val="none"/>
                <w:lang w:eastAsia="zh-CN"/>
              </w:rPr>
              <w:t>④除被建筑物、道路以及施工机械占用外，工程各处开挖裸露区域，</w:t>
            </w:r>
            <w:r>
              <w:rPr>
                <w:rFonts w:hint="eastAsia" w:ascii="Times New Roman" w:hAnsi="Times New Roman" w:eastAsia="宋体" w:cs="Times New Roman"/>
                <w:kern w:val="0"/>
                <w:szCs w:val="20"/>
                <w:highlight w:val="none"/>
                <w:lang w:val="en-US" w:eastAsia="zh-CN"/>
              </w:rPr>
              <w:t>应</w:t>
            </w:r>
            <w:r>
              <w:rPr>
                <w:rFonts w:hint="eastAsia" w:ascii="Times New Roman" w:hAnsi="Times New Roman" w:eastAsia="宋体" w:cs="Times New Roman"/>
                <w:kern w:val="0"/>
                <w:szCs w:val="20"/>
                <w:highlight w:val="none"/>
                <w:lang w:eastAsia="zh-CN"/>
              </w:rPr>
              <w:t>进行后续绿化恢复植被，减少水土流失，做到水土流失治理与景观保护相互统一；</w:t>
            </w:r>
          </w:p>
          <w:p>
            <w:pPr>
              <w:ind w:firstLine="560"/>
              <w:rPr>
                <w:rFonts w:hint="eastAsia" w:ascii="Times New Roman" w:hAnsi="Times New Roman" w:eastAsia="宋体" w:cs="Times New Roman"/>
                <w:kern w:val="0"/>
                <w:szCs w:val="20"/>
                <w:highlight w:val="none"/>
                <w:lang w:eastAsia="zh-CN"/>
              </w:rPr>
            </w:pPr>
            <w:r>
              <w:rPr>
                <w:rFonts w:hint="eastAsia" w:ascii="Times New Roman" w:hAnsi="Times New Roman" w:eastAsia="宋体" w:cs="Times New Roman"/>
                <w:kern w:val="0"/>
                <w:szCs w:val="20"/>
                <w:highlight w:val="none"/>
                <w:lang w:eastAsia="zh-CN"/>
              </w:rPr>
              <w:t>⑤施工期间车辆运输土石方，运输车辆的车厢应采取帆布遮盖，减少风蚀；风力大于六级时应禁止施工；</w:t>
            </w:r>
          </w:p>
          <w:p>
            <w:pPr>
              <w:ind w:firstLine="560"/>
              <w:rPr>
                <w:rFonts w:hint="eastAsia" w:ascii="Times New Roman" w:hAnsi="Times New Roman" w:eastAsia="宋体" w:cs="Times New Roman"/>
                <w:kern w:val="0"/>
                <w:szCs w:val="20"/>
                <w:highlight w:val="none"/>
                <w:lang w:eastAsia="zh-CN"/>
              </w:rPr>
            </w:pPr>
            <w:r>
              <w:rPr>
                <w:rFonts w:hint="eastAsia" w:ascii="Times New Roman" w:hAnsi="Times New Roman" w:eastAsia="宋体" w:cs="Times New Roman"/>
                <w:kern w:val="0"/>
                <w:szCs w:val="20"/>
                <w:highlight w:val="none"/>
                <w:lang w:eastAsia="zh-CN"/>
              </w:rPr>
              <w:t>⑥施工结束后，进行植被恢复，</w:t>
            </w:r>
            <w:r>
              <w:rPr>
                <w:rFonts w:hint="eastAsia" w:ascii="Times New Roman" w:hAnsi="Times New Roman" w:eastAsia="宋体" w:cs="Times New Roman"/>
                <w:kern w:val="0"/>
                <w:szCs w:val="20"/>
                <w:highlight w:val="none"/>
                <w:lang w:val="en-US" w:eastAsia="zh-CN"/>
              </w:rPr>
              <w:t>对</w:t>
            </w:r>
            <w:r>
              <w:rPr>
                <w:rFonts w:hint="eastAsia" w:ascii="Times New Roman" w:hAnsi="Times New Roman" w:eastAsia="宋体" w:cs="Times New Roman"/>
                <w:kern w:val="0"/>
                <w:szCs w:val="20"/>
                <w:highlight w:val="none"/>
                <w:lang w:eastAsia="zh-CN"/>
              </w:rPr>
              <w:t>占用</w:t>
            </w:r>
            <w:r>
              <w:rPr>
                <w:rFonts w:hint="eastAsia" w:ascii="Times New Roman" w:hAnsi="Times New Roman" w:eastAsia="宋体" w:cs="Times New Roman"/>
                <w:kern w:val="0"/>
                <w:szCs w:val="20"/>
                <w:highlight w:val="none"/>
                <w:lang w:val="en-US" w:eastAsia="zh-CN"/>
              </w:rPr>
              <w:t>的土地</w:t>
            </w:r>
            <w:r>
              <w:rPr>
                <w:rFonts w:hint="eastAsia" w:ascii="Times New Roman" w:hAnsi="Times New Roman" w:eastAsia="宋体" w:cs="Times New Roman"/>
                <w:kern w:val="0"/>
                <w:szCs w:val="20"/>
                <w:highlight w:val="none"/>
                <w:lang w:eastAsia="zh-CN"/>
              </w:rPr>
              <w:t>采用</w:t>
            </w:r>
            <w:r>
              <w:rPr>
                <w:rFonts w:hint="eastAsia" w:ascii="Times New Roman" w:hAnsi="Times New Roman" w:eastAsia="宋体" w:cs="Times New Roman"/>
                <w:kern w:val="0"/>
                <w:szCs w:val="20"/>
                <w:highlight w:val="none"/>
                <w:lang w:val="en-US" w:eastAsia="zh-CN"/>
              </w:rPr>
              <w:t>重新</w:t>
            </w:r>
            <w:r>
              <w:rPr>
                <w:rFonts w:hint="eastAsia" w:ascii="Times New Roman" w:hAnsi="Times New Roman" w:eastAsia="宋体" w:cs="Times New Roman"/>
                <w:kern w:val="0"/>
                <w:szCs w:val="20"/>
                <w:highlight w:val="none"/>
                <w:lang w:eastAsia="zh-CN"/>
              </w:rPr>
              <w:t>移栽</w:t>
            </w:r>
            <w:r>
              <w:rPr>
                <w:rFonts w:hint="eastAsia" w:ascii="Times New Roman" w:hAnsi="Times New Roman" w:eastAsia="宋体" w:cs="Times New Roman"/>
                <w:kern w:val="0"/>
                <w:szCs w:val="20"/>
                <w:highlight w:val="none"/>
                <w:lang w:val="en-US" w:eastAsia="zh-CN"/>
              </w:rPr>
              <w:t>植被的方式完善绿化，主要以杨树、柳树等当地常见植被；</w:t>
            </w:r>
          </w:p>
          <w:p>
            <w:pPr>
              <w:ind w:firstLine="560"/>
              <w:rPr>
                <w:rFonts w:hint="eastAsia" w:ascii="Times New Roman" w:hAnsi="Times New Roman" w:eastAsia="宋体" w:cs="Times New Roman"/>
                <w:kern w:val="0"/>
                <w:szCs w:val="20"/>
                <w:highlight w:val="none"/>
                <w:lang w:eastAsia="zh-CN"/>
              </w:rPr>
            </w:pPr>
            <w:r>
              <w:rPr>
                <w:rFonts w:hint="eastAsia" w:ascii="Times New Roman" w:hAnsi="Times New Roman" w:eastAsia="宋体" w:cs="Times New Roman"/>
                <w:kern w:val="0"/>
                <w:szCs w:val="20"/>
                <w:highlight w:val="none"/>
                <w:lang w:eastAsia="zh-CN"/>
              </w:rPr>
              <w:t>⑦施工时，开挖的土方堆放在两侧外边坡，施工期开挖满足回填用土要求的土方，随地形起伏，呈梯形条带状堆放，用洒水方式湿润地表，防止大风时造成水土流失，采用防尘网苫盖以减少大风起尘，渠线两侧采用彩条旗限定施工范围。</w:t>
            </w:r>
          </w:p>
          <w:p>
            <w:pPr>
              <w:ind w:firstLine="560"/>
              <w:rPr>
                <w:rFonts w:hint="eastAsia" w:ascii="Times New Roman" w:hAnsi="Times New Roman" w:eastAsia="宋体" w:cs="Times New Roman"/>
                <w:kern w:val="0"/>
                <w:szCs w:val="20"/>
                <w:highlight w:val="none"/>
                <w:lang w:eastAsia="zh-CN"/>
              </w:rPr>
            </w:pPr>
            <w:r>
              <w:rPr>
                <w:rFonts w:hint="eastAsia" w:ascii="Times New Roman" w:hAnsi="Times New Roman" w:eastAsia="宋体" w:cs="Times New Roman"/>
                <w:kern w:val="0"/>
                <w:szCs w:val="20"/>
                <w:highlight w:val="none"/>
                <w:lang w:eastAsia="zh-CN"/>
              </w:rPr>
              <w:t>⑧施工生产区为临时占地，施工结束后对施工生产区进行清除，施工单位将建筑垃圾、废弃物全部拉运至当地生态环境部门指定地点集中处理。施工生产区尽量减少砂料、石料等成品料在成品料区的堆放时间。此外，施工生产区施工期间采取</w:t>
            </w:r>
            <w:r>
              <w:rPr>
                <w:rFonts w:hint="eastAsia" w:ascii="Times New Roman" w:hAnsi="Times New Roman" w:eastAsia="宋体" w:cs="Times New Roman"/>
                <w:kern w:val="0"/>
                <w:szCs w:val="20"/>
                <w:highlight w:val="none"/>
                <w:lang w:val="en-US" w:eastAsia="zh-CN"/>
              </w:rPr>
              <w:t>了</w:t>
            </w:r>
            <w:r>
              <w:rPr>
                <w:rFonts w:hint="eastAsia" w:ascii="Times New Roman" w:hAnsi="Times New Roman" w:eastAsia="宋体" w:cs="Times New Roman"/>
                <w:kern w:val="0"/>
                <w:szCs w:val="20"/>
                <w:highlight w:val="none"/>
                <w:lang w:eastAsia="zh-CN"/>
              </w:rPr>
              <w:t>洒水保湿的方法，降低施工场地的扬尘量。</w:t>
            </w:r>
          </w:p>
          <w:p>
            <w:pPr>
              <w:ind w:firstLine="560"/>
              <w:rPr>
                <w:rFonts w:hint="eastAsia" w:ascii="Times New Roman" w:hAnsi="Times New Roman" w:eastAsia="宋体" w:cs="Times New Roman"/>
                <w:kern w:val="0"/>
                <w:szCs w:val="20"/>
                <w:highlight w:val="none"/>
                <w:lang w:eastAsia="zh-CN"/>
              </w:rPr>
            </w:pPr>
            <w:r>
              <w:rPr>
                <w:rFonts w:hint="eastAsia" w:ascii="Times New Roman" w:hAnsi="Times New Roman" w:eastAsia="宋体" w:cs="Times New Roman"/>
                <w:kern w:val="0"/>
                <w:szCs w:val="20"/>
                <w:highlight w:val="none"/>
                <w:lang w:eastAsia="zh-CN"/>
              </w:rPr>
              <w:t>⑨</w:t>
            </w:r>
            <w:r>
              <w:rPr>
                <w:rFonts w:hint="eastAsia" w:ascii="Times New Roman" w:hAnsi="Times New Roman" w:eastAsia="宋体" w:cs="Times New Roman"/>
                <w:kern w:val="0"/>
                <w:szCs w:val="20"/>
                <w:highlight w:val="none"/>
                <w:lang w:val="en-US" w:eastAsia="zh-CN"/>
              </w:rPr>
              <w:t>施工期间划定施工活动范围，严格控制和管理运输车辆及重型机械的运行线路和范围，不得离开运输道路及随意行驶，由专人负责，以防破坏土壤和植被，使土地沙化。</w:t>
            </w:r>
          </w:p>
          <w:p>
            <w:pPr>
              <w:ind w:firstLine="560"/>
              <w:rPr>
                <w:rFonts w:hint="eastAsia" w:ascii="Times New Roman" w:hAnsi="Times New Roman" w:eastAsia="宋体" w:cs="Times New Roman"/>
                <w:kern w:val="0"/>
                <w:szCs w:val="20"/>
                <w:highlight w:val="none"/>
                <w:lang w:eastAsia="zh-CN"/>
              </w:rPr>
            </w:pPr>
            <w:r>
              <w:rPr>
                <w:rFonts w:hint="eastAsia" w:ascii="Times New Roman" w:hAnsi="Times New Roman" w:eastAsia="宋体" w:cs="Times New Roman"/>
                <w:kern w:val="0"/>
                <w:szCs w:val="20"/>
                <w:highlight w:val="none"/>
                <w:lang w:eastAsia="zh-CN"/>
              </w:rPr>
              <w:t>⑩建设单位按照</w:t>
            </w:r>
            <w:r>
              <w:rPr>
                <w:rFonts w:hint="default" w:ascii="Times New Roman" w:hAnsi="Times New Roman" w:eastAsia="宋体" w:cs="Times New Roman"/>
                <w:kern w:val="0"/>
                <w:szCs w:val="20"/>
                <w:highlight w:val="none"/>
                <w:lang w:val="en-US" w:eastAsia="zh-CN"/>
              </w:rPr>
              <w:t>《</w:t>
            </w:r>
            <w:r>
              <w:rPr>
                <w:rFonts w:hint="eastAsia" w:ascii="Times New Roman" w:hAnsi="Times New Roman" w:eastAsia="宋体" w:cs="Times New Roman"/>
                <w:kern w:val="0"/>
                <w:szCs w:val="20"/>
                <w:highlight w:val="none"/>
                <w:lang w:val="en-US" w:eastAsia="zh-CN"/>
              </w:rPr>
              <w:t>新疆吉木萨尔县白杨河五圣宫水文站至S303省道段中小河流治理工程</w:t>
            </w:r>
            <w:r>
              <w:rPr>
                <w:rFonts w:hint="default" w:ascii="Times New Roman" w:hAnsi="Times New Roman" w:eastAsia="宋体" w:cs="Times New Roman"/>
                <w:kern w:val="0"/>
                <w:szCs w:val="20"/>
                <w:highlight w:val="none"/>
                <w:lang w:val="en-US" w:eastAsia="zh-CN"/>
              </w:rPr>
              <w:t>》</w:t>
            </w:r>
            <w:r>
              <w:rPr>
                <w:rFonts w:hint="eastAsia" w:ascii="Times New Roman" w:hAnsi="Times New Roman" w:eastAsia="宋体" w:cs="Times New Roman"/>
                <w:kern w:val="0"/>
                <w:szCs w:val="20"/>
                <w:highlight w:val="none"/>
                <w:lang w:val="en-US" w:eastAsia="zh-CN"/>
              </w:rPr>
              <w:t>水土保持方案报告书及其批复中的要求进行</w:t>
            </w:r>
            <w:r>
              <w:rPr>
                <w:rFonts w:hint="eastAsia" w:ascii="Times New Roman" w:hAnsi="Times New Roman" w:eastAsia="宋体" w:cs="Times New Roman"/>
                <w:kern w:val="0"/>
                <w:szCs w:val="20"/>
                <w:highlight w:val="none"/>
                <w:lang w:eastAsia="zh-CN"/>
              </w:rPr>
              <w:t>水土保持</w:t>
            </w:r>
            <w:r>
              <w:rPr>
                <w:rFonts w:hint="eastAsia" w:ascii="Times New Roman" w:hAnsi="Times New Roman" w:eastAsia="宋体" w:cs="Times New Roman"/>
                <w:kern w:val="0"/>
                <w:szCs w:val="20"/>
                <w:highlight w:val="none"/>
                <w:lang w:val="en-US" w:eastAsia="zh-CN"/>
              </w:rPr>
              <w:t>恢复</w:t>
            </w:r>
            <w:r>
              <w:rPr>
                <w:rFonts w:hint="eastAsia" w:ascii="Times New Roman" w:hAnsi="Times New Roman" w:eastAsia="宋体" w:cs="Times New Roman"/>
                <w:kern w:val="0"/>
                <w:szCs w:val="20"/>
                <w:highlight w:val="none"/>
                <w:lang w:eastAsia="zh-CN"/>
              </w:rPr>
              <w:t>措施，将工程建设造成的水土流失降至最低，以利于施工结束后区域生态环境的恢复与保护。</w:t>
            </w:r>
          </w:p>
          <w:p>
            <w:pPr>
              <w:pStyle w:val="155"/>
              <w:snapToGrid w:val="0"/>
              <w:spacing w:line="360" w:lineRule="auto"/>
              <w:ind w:left="0" w:leftChars="0" w:right="0" w:firstLine="0" w:firstLineChars="0"/>
              <w:jc w:val="both"/>
              <w:rPr>
                <w:rFonts w:hint="default" w:ascii="Times New Roman" w:hAnsi="Times New Roman" w:cs="Times New Roman"/>
                <w:b/>
                <w:bCs/>
                <w:sz w:val="24"/>
                <w:szCs w:val="24"/>
              </w:rPr>
            </w:pPr>
            <w:r>
              <w:rPr>
                <w:rFonts w:hint="eastAsia" w:cs="Times New Roman"/>
                <w:b/>
                <w:bCs/>
                <w:sz w:val="24"/>
                <w:szCs w:val="24"/>
                <w:lang w:val="en-US" w:eastAsia="zh-CN"/>
              </w:rPr>
              <w:t>6</w:t>
            </w:r>
            <w:r>
              <w:rPr>
                <w:rFonts w:hint="default" w:ascii="Times New Roman" w:hAnsi="Times New Roman" w:cs="Times New Roman"/>
                <w:b/>
                <w:bCs/>
                <w:sz w:val="24"/>
                <w:szCs w:val="24"/>
              </w:rPr>
              <w:t>、施工期环境管理</w:t>
            </w:r>
          </w:p>
          <w:p>
            <w:pPr>
              <w:pStyle w:val="155"/>
              <w:snapToGrid w:val="0"/>
              <w:spacing w:line="360" w:lineRule="auto"/>
              <w:ind w:left="0" w:right="0"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为保证本工程环境保护工作的顺利进行，充分发挥其效益，建立、健全领导管理体系十分必要</w:t>
            </w:r>
            <w:r>
              <w:rPr>
                <w:rFonts w:hint="default" w:ascii="Times New Roman" w:hAnsi="Times New Roman" w:cs="Times New Roman"/>
                <w:sz w:val="24"/>
                <w:szCs w:val="24"/>
                <w:lang w:eastAsia="zh-CN"/>
              </w:rPr>
              <w:t>，</w:t>
            </w:r>
            <w:r>
              <w:rPr>
                <w:rFonts w:hint="default" w:ascii="Times New Roman" w:hAnsi="Times New Roman" w:cs="Times New Roman"/>
                <w:sz w:val="24"/>
                <w:szCs w:val="24"/>
              </w:rPr>
              <w:t>本工程环境保护措施的管理机构为吉木萨尔县水管站，由管理处组建环境保护管理小组，小组应设质检员长驻工地，对各项环境保护措施的实施进行管理，保证质量的前提下保证实施时间</w:t>
            </w:r>
            <w:r>
              <w:rPr>
                <w:rFonts w:hint="default" w:ascii="Times New Roman" w:hAnsi="Times New Roman" w:cs="Times New Roman"/>
                <w:sz w:val="24"/>
                <w:szCs w:val="24"/>
                <w:lang w:eastAsia="zh-CN"/>
              </w:rPr>
              <w:t>，</w:t>
            </w:r>
            <w:r>
              <w:rPr>
                <w:rFonts w:hint="default" w:ascii="Times New Roman" w:hAnsi="Times New Roman" w:cs="Times New Roman"/>
                <w:sz w:val="24"/>
                <w:szCs w:val="24"/>
              </w:rPr>
              <w:t>加快措施的完成，具体如下</w:t>
            </w:r>
            <w:r>
              <w:rPr>
                <w:rFonts w:hint="eastAsia" w:cs="Times New Roman"/>
                <w:sz w:val="24"/>
                <w:szCs w:val="24"/>
                <w:lang w:eastAsia="zh-CN"/>
              </w:rPr>
              <w:t>：</w:t>
            </w:r>
          </w:p>
          <w:p>
            <w:pPr>
              <w:pStyle w:val="155"/>
              <w:snapToGrid w:val="0"/>
              <w:spacing w:line="360" w:lineRule="auto"/>
              <w:ind w:left="0" w:right="0" w:firstLine="480" w:firstLineChars="200"/>
              <w:jc w:val="both"/>
              <w:rPr>
                <w:rFonts w:hint="default" w:ascii="Times New Roman" w:hAnsi="Times New Roman" w:cs="Times New Roman"/>
                <w:sz w:val="24"/>
                <w:szCs w:val="24"/>
                <w:lang w:eastAsia="zh-CN"/>
              </w:rPr>
            </w:pPr>
            <w:r>
              <w:rPr>
                <w:rFonts w:hint="default" w:ascii="Times New Roman" w:hAnsi="Times New Roman" w:eastAsia="宋体" w:cs="Times New Roman"/>
                <w:b w:val="0"/>
                <w:bCs w:val="0"/>
                <w:snapToGrid w:val="0"/>
                <w:color w:val="000000"/>
                <w:kern w:val="0"/>
                <w:sz w:val="24"/>
                <w:szCs w:val="24"/>
                <w:lang w:val="en-US" w:eastAsia="zh-CN"/>
              </w:rPr>
              <w:t>（</w:t>
            </w:r>
            <w:r>
              <w:rPr>
                <w:rFonts w:hint="eastAsia" w:cs="Times New Roman"/>
                <w:b w:val="0"/>
                <w:bCs w:val="0"/>
                <w:snapToGrid w:val="0"/>
                <w:color w:val="000000"/>
                <w:kern w:val="0"/>
                <w:sz w:val="24"/>
                <w:szCs w:val="24"/>
                <w:lang w:val="en-US" w:eastAsia="zh-CN"/>
              </w:rPr>
              <w:t>1</w:t>
            </w:r>
            <w:r>
              <w:rPr>
                <w:rFonts w:hint="default" w:ascii="Times New Roman" w:hAnsi="Times New Roman" w:eastAsia="宋体" w:cs="Times New Roman"/>
                <w:b w:val="0"/>
                <w:bCs w:val="0"/>
                <w:snapToGrid w:val="0"/>
                <w:color w:val="000000"/>
                <w:kern w:val="0"/>
                <w:sz w:val="24"/>
                <w:szCs w:val="24"/>
                <w:lang w:val="en-US" w:eastAsia="zh-CN"/>
              </w:rPr>
              <w:t>）</w:t>
            </w:r>
            <w:r>
              <w:rPr>
                <w:rFonts w:hint="default" w:ascii="Times New Roman" w:hAnsi="Times New Roman" w:cs="Times New Roman"/>
                <w:sz w:val="24"/>
                <w:szCs w:val="24"/>
              </w:rPr>
              <w:t>制定工程建设年度环境保护工作实施计划，整编相关资料，编制年度环境质量报告，并呈报上级主管部门</w:t>
            </w:r>
            <w:r>
              <w:rPr>
                <w:rFonts w:hint="default" w:ascii="Times New Roman" w:hAnsi="Times New Roman" w:cs="Times New Roman"/>
                <w:sz w:val="24"/>
                <w:szCs w:val="24"/>
                <w:lang w:eastAsia="zh-CN"/>
              </w:rPr>
              <w:t>；</w:t>
            </w:r>
          </w:p>
          <w:p>
            <w:pPr>
              <w:pStyle w:val="155"/>
              <w:snapToGrid w:val="0"/>
              <w:spacing w:line="360" w:lineRule="auto"/>
              <w:ind w:left="0" w:right="0" w:firstLine="480" w:firstLineChars="200"/>
              <w:jc w:val="both"/>
              <w:rPr>
                <w:rFonts w:hint="default" w:ascii="Times New Roman" w:hAnsi="Times New Roman" w:cs="Times New Roman"/>
                <w:sz w:val="24"/>
                <w:szCs w:val="24"/>
                <w:lang w:eastAsia="zh-CN"/>
              </w:rPr>
            </w:pPr>
            <w:r>
              <w:rPr>
                <w:rFonts w:hint="default" w:ascii="Times New Roman" w:hAnsi="Times New Roman" w:eastAsia="宋体" w:cs="Times New Roman"/>
                <w:b w:val="0"/>
                <w:bCs w:val="0"/>
                <w:snapToGrid w:val="0"/>
                <w:color w:val="000000"/>
                <w:kern w:val="0"/>
                <w:sz w:val="24"/>
                <w:szCs w:val="24"/>
                <w:lang w:val="en-US" w:eastAsia="zh-CN"/>
              </w:rPr>
              <w:t>（2）</w:t>
            </w:r>
            <w:r>
              <w:rPr>
                <w:rFonts w:hint="default" w:ascii="Times New Roman" w:hAnsi="Times New Roman" w:cs="Times New Roman"/>
                <w:sz w:val="24"/>
                <w:szCs w:val="24"/>
              </w:rPr>
              <w:t>加强工程环境监测管理，审定监测计划，委托具有相应环境监测资质的单位对工程建设区实施环境监测计划</w:t>
            </w:r>
            <w:r>
              <w:rPr>
                <w:rFonts w:hint="default" w:ascii="Times New Roman" w:hAnsi="Times New Roman" w:cs="Times New Roman"/>
                <w:sz w:val="24"/>
                <w:szCs w:val="24"/>
                <w:lang w:eastAsia="zh-CN"/>
              </w:rPr>
              <w:t>；</w:t>
            </w:r>
          </w:p>
          <w:p>
            <w:pPr>
              <w:pStyle w:val="155"/>
              <w:snapToGrid w:val="0"/>
              <w:spacing w:line="360" w:lineRule="auto"/>
              <w:ind w:left="0" w:right="0" w:firstLine="480" w:firstLineChars="200"/>
              <w:jc w:val="both"/>
              <w:rPr>
                <w:rFonts w:hint="eastAsia" w:ascii="Times New Roman" w:hAnsi="Times New Roman" w:cs="Times New Roman"/>
                <w:sz w:val="24"/>
                <w:szCs w:val="24"/>
                <w:lang w:eastAsia="zh-CN"/>
              </w:rPr>
            </w:pPr>
            <w:r>
              <w:rPr>
                <w:rFonts w:hint="default" w:ascii="Times New Roman" w:hAnsi="Times New Roman" w:eastAsia="宋体" w:cs="Times New Roman"/>
                <w:b w:val="0"/>
                <w:bCs w:val="0"/>
                <w:snapToGrid w:val="0"/>
                <w:color w:val="000000"/>
                <w:kern w:val="0"/>
                <w:sz w:val="24"/>
                <w:szCs w:val="24"/>
                <w:lang w:val="en-US" w:eastAsia="zh-CN"/>
              </w:rPr>
              <w:t>（</w:t>
            </w:r>
            <w:r>
              <w:rPr>
                <w:rFonts w:hint="eastAsia" w:cs="Times New Roman"/>
                <w:b w:val="0"/>
                <w:bCs w:val="0"/>
                <w:snapToGrid w:val="0"/>
                <w:color w:val="000000"/>
                <w:kern w:val="0"/>
                <w:sz w:val="24"/>
                <w:szCs w:val="24"/>
                <w:lang w:val="en-US" w:eastAsia="zh-CN"/>
              </w:rPr>
              <w:t>3</w:t>
            </w:r>
            <w:r>
              <w:rPr>
                <w:rFonts w:hint="default" w:ascii="Times New Roman" w:hAnsi="Times New Roman" w:eastAsia="宋体" w:cs="Times New Roman"/>
                <w:b w:val="0"/>
                <w:bCs w:val="0"/>
                <w:snapToGrid w:val="0"/>
                <w:color w:val="000000"/>
                <w:kern w:val="0"/>
                <w:sz w:val="24"/>
                <w:szCs w:val="24"/>
                <w:lang w:val="en-US" w:eastAsia="zh-CN"/>
              </w:rPr>
              <w:t>）</w:t>
            </w:r>
            <w:r>
              <w:rPr>
                <w:rFonts w:hint="default" w:ascii="Times New Roman" w:hAnsi="Times New Roman" w:cs="Times New Roman"/>
                <w:sz w:val="24"/>
                <w:szCs w:val="24"/>
              </w:rPr>
              <w:t>在施工开始前，要统一规划、合理布局，对</w:t>
            </w:r>
            <w:r>
              <w:rPr>
                <w:rFonts w:hint="eastAsia" w:ascii="Times New Roman" w:hAnsi="Times New Roman" w:cs="Times New Roman"/>
                <w:sz w:val="24"/>
                <w:szCs w:val="24"/>
              </w:rPr>
              <w:t>施工现场科学勘探后制定合理的施工方案，对施工建设中可能遇到的困难提出解决预案</w:t>
            </w:r>
            <w:r>
              <w:rPr>
                <w:rFonts w:hint="eastAsia" w:ascii="Times New Roman" w:hAnsi="Times New Roman" w:cs="Times New Roman"/>
                <w:sz w:val="24"/>
                <w:szCs w:val="24"/>
                <w:lang w:eastAsia="zh-CN"/>
              </w:rPr>
              <w:t>；</w:t>
            </w:r>
          </w:p>
          <w:p>
            <w:pPr>
              <w:pStyle w:val="155"/>
              <w:snapToGrid w:val="0"/>
              <w:spacing w:line="360" w:lineRule="auto"/>
              <w:ind w:left="0" w:right="0" w:firstLine="480" w:firstLineChars="200"/>
              <w:jc w:val="both"/>
              <w:rPr>
                <w:rFonts w:hint="eastAsia" w:ascii="Times New Roman" w:hAnsi="Times New Roman" w:eastAsia="宋体" w:cs="Times New Roman"/>
                <w:sz w:val="24"/>
                <w:szCs w:val="24"/>
                <w:lang w:eastAsia="zh-CN"/>
              </w:rPr>
            </w:pPr>
            <w:r>
              <w:rPr>
                <w:rFonts w:hint="default" w:ascii="Times New Roman" w:hAnsi="Times New Roman" w:eastAsia="宋体" w:cs="Times New Roman"/>
                <w:b w:val="0"/>
                <w:bCs w:val="0"/>
                <w:snapToGrid w:val="0"/>
                <w:color w:val="000000"/>
                <w:kern w:val="0"/>
                <w:sz w:val="24"/>
                <w:szCs w:val="24"/>
                <w:lang w:val="en-US" w:eastAsia="zh-CN"/>
              </w:rPr>
              <w:t>（</w:t>
            </w:r>
            <w:r>
              <w:rPr>
                <w:rFonts w:hint="eastAsia" w:cs="Times New Roman"/>
                <w:b w:val="0"/>
                <w:bCs w:val="0"/>
                <w:snapToGrid w:val="0"/>
                <w:color w:val="000000"/>
                <w:kern w:val="0"/>
                <w:sz w:val="24"/>
                <w:szCs w:val="24"/>
                <w:lang w:val="en-US" w:eastAsia="zh-CN"/>
              </w:rPr>
              <w:t>4</w:t>
            </w:r>
            <w:r>
              <w:rPr>
                <w:rFonts w:hint="default" w:ascii="Times New Roman" w:hAnsi="Times New Roman" w:eastAsia="宋体" w:cs="Times New Roman"/>
                <w:b w:val="0"/>
                <w:bCs w:val="0"/>
                <w:snapToGrid w:val="0"/>
                <w:color w:val="000000"/>
                <w:kern w:val="0"/>
                <w:sz w:val="24"/>
                <w:szCs w:val="24"/>
                <w:lang w:val="en-US" w:eastAsia="zh-CN"/>
              </w:rPr>
              <w:t>）</w:t>
            </w:r>
            <w:r>
              <w:rPr>
                <w:rFonts w:hint="eastAsia" w:ascii="Times New Roman" w:hAnsi="Times New Roman" w:cs="Times New Roman"/>
                <w:sz w:val="24"/>
                <w:szCs w:val="24"/>
              </w:rPr>
              <w:t>组织实施环境保护工作，并监督、检查环境保护措施的执行情况和环保经费的使用情况，保证工程施工活动能按环保</w:t>
            </w:r>
            <w:r>
              <w:rPr>
                <w:rFonts w:hint="eastAsia" w:cs="Times New Roman"/>
                <w:sz w:val="24"/>
                <w:szCs w:val="24"/>
                <w:lang w:eastAsia="zh-CN"/>
              </w:rPr>
              <w:t>“</w:t>
            </w:r>
            <w:r>
              <w:rPr>
                <w:rFonts w:hint="eastAsia" w:ascii="Times New Roman" w:hAnsi="Times New Roman" w:cs="Times New Roman"/>
                <w:sz w:val="24"/>
                <w:szCs w:val="24"/>
              </w:rPr>
              <w:t>三同时</w:t>
            </w:r>
            <w:r>
              <w:rPr>
                <w:rFonts w:hint="eastAsia" w:cs="Times New Roman"/>
                <w:sz w:val="24"/>
                <w:szCs w:val="24"/>
                <w:lang w:eastAsia="zh-CN"/>
              </w:rPr>
              <w:t>”</w:t>
            </w:r>
            <w:r>
              <w:rPr>
                <w:rFonts w:hint="eastAsia" w:ascii="Times New Roman" w:hAnsi="Times New Roman" w:cs="Times New Roman"/>
                <w:sz w:val="24"/>
                <w:szCs w:val="24"/>
              </w:rPr>
              <w:t>原则执行</w:t>
            </w:r>
            <w:r>
              <w:rPr>
                <w:rFonts w:hint="eastAsia" w:ascii="Times New Roman" w:hAnsi="Times New Roman" w:cs="Times New Roman"/>
                <w:sz w:val="24"/>
                <w:szCs w:val="24"/>
                <w:lang w:eastAsia="zh-CN"/>
              </w:rPr>
              <w:t>；</w:t>
            </w:r>
          </w:p>
          <w:p>
            <w:pPr>
              <w:pStyle w:val="155"/>
              <w:snapToGrid w:val="0"/>
              <w:spacing w:line="360" w:lineRule="auto"/>
              <w:ind w:left="0" w:right="0" w:firstLine="480" w:firstLineChars="200"/>
              <w:jc w:val="both"/>
              <w:rPr>
                <w:rFonts w:hint="eastAsia" w:ascii="Times New Roman" w:hAnsi="Times New Roman" w:eastAsia="宋体" w:cs="Times New Roman"/>
                <w:sz w:val="24"/>
                <w:szCs w:val="24"/>
                <w:lang w:eastAsia="zh-CN"/>
              </w:rPr>
            </w:pPr>
            <w:r>
              <w:rPr>
                <w:rFonts w:hint="default" w:ascii="Times New Roman" w:hAnsi="Times New Roman" w:eastAsia="宋体" w:cs="Times New Roman"/>
                <w:b w:val="0"/>
                <w:bCs w:val="0"/>
                <w:snapToGrid w:val="0"/>
                <w:color w:val="000000"/>
                <w:kern w:val="0"/>
                <w:sz w:val="24"/>
                <w:szCs w:val="24"/>
                <w:lang w:val="en-US" w:eastAsia="zh-CN"/>
              </w:rPr>
              <w:t>（</w:t>
            </w:r>
            <w:r>
              <w:rPr>
                <w:rFonts w:hint="eastAsia" w:cs="Times New Roman"/>
                <w:b w:val="0"/>
                <w:bCs w:val="0"/>
                <w:snapToGrid w:val="0"/>
                <w:color w:val="000000"/>
                <w:kern w:val="0"/>
                <w:sz w:val="24"/>
                <w:szCs w:val="24"/>
                <w:lang w:val="en-US" w:eastAsia="zh-CN"/>
              </w:rPr>
              <w:t>5</w:t>
            </w:r>
            <w:r>
              <w:rPr>
                <w:rFonts w:hint="default" w:ascii="Times New Roman" w:hAnsi="Times New Roman" w:eastAsia="宋体" w:cs="Times New Roman"/>
                <w:b w:val="0"/>
                <w:bCs w:val="0"/>
                <w:snapToGrid w:val="0"/>
                <w:color w:val="000000"/>
                <w:kern w:val="0"/>
                <w:sz w:val="24"/>
                <w:szCs w:val="24"/>
                <w:lang w:val="en-US" w:eastAsia="zh-CN"/>
              </w:rPr>
              <w:t>）</w:t>
            </w:r>
            <w:r>
              <w:rPr>
                <w:rFonts w:hint="eastAsia" w:ascii="Times New Roman" w:hAnsi="Times New Roman" w:cs="Times New Roman"/>
                <w:sz w:val="24"/>
                <w:szCs w:val="24"/>
              </w:rPr>
              <w:t>协调和处理工程引起的环境污染事故和环境纠纷</w:t>
            </w:r>
            <w:r>
              <w:rPr>
                <w:rFonts w:hint="eastAsia" w:ascii="Times New Roman" w:hAnsi="Times New Roman" w:cs="Times New Roman"/>
                <w:sz w:val="24"/>
                <w:szCs w:val="24"/>
                <w:lang w:eastAsia="zh-CN"/>
              </w:rPr>
              <w:t>；</w:t>
            </w:r>
          </w:p>
          <w:p>
            <w:pPr>
              <w:pStyle w:val="155"/>
              <w:snapToGrid w:val="0"/>
              <w:spacing w:line="360" w:lineRule="auto"/>
              <w:ind w:left="0" w:right="0" w:firstLine="480" w:firstLineChars="2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b w:val="0"/>
                <w:bCs w:val="0"/>
                <w:snapToGrid w:val="0"/>
                <w:color w:val="000000"/>
                <w:kern w:val="0"/>
                <w:sz w:val="24"/>
                <w:szCs w:val="24"/>
                <w:lang w:val="en-US" w:eastAsia="zh-CN"/>
              </w:rPr>
              <w:t>（</w:t>
            </w:r>
            <w:r>
              <w:rPr>
                <w:rFonts w:hint="eastAsia" w:cs="Times New Roman"/>
                <w:b w:val="0"/>
                <w:bCs w:val="0"/>
                <w:snapToGrid w:val="0"/>
                <w:color w:val="000000"/>
                <w:kern w:val="0"/>
                <w:sz w:val="24"/>
                <w:szCs w:val="24"/>
                <w:lang w:val="en-US" w:eastAsia="zh-CN"/>
              </w:rPr>
              <w:t>6</w:t>
            </w:r>
            <w:r>
              <w:rPr>
                <w:rFonts w:hint="default" w:ascii="Times New Roman" w:hAnsi="Times New Roman" w:eastAsia="宋体" w:cs="Times New Roman"/>
                <w:b w:val="0"/>
                <w:bCs w:val="0"/>
                <w:snapToGrid w:val="0"/>
                <w:color w:val="000000"/>
                <w:kern w:val="0"/>
                <w:sz w:val="24"/>
                <w:szCs w:val="24"/>
                <w:lang w:val="en-US" w:eastAsia="zh-CN"/>
              </w:rPr>
              <w:t>）</w:t>
            </w:r>
            <w:r>
              <w:rPr>
                <w:rFonts w:hint="eastAsia" w:ascii="Times New Roman" w:hAnsi="Times New Roman" w:cs="Times New Roman"/>
                <w:sz w:val="24"/>
                <w:szCs w:val="24"/>
              </w:rPr>
              <w:t>加强环境保护的宣传教育和技术培训，提高施工人员的环境保护意识和湿</w:t>
            </w:r>
            <w:r>
              <w:rPr>
                <w:rFonts w:hint="default" w:ascii="Times New Roman" w:hAnsi="Times New Roman" w:cs="Times New Roman"/>
                <w:sz w:val="24"/>
                <w:szCs w:val="24"/>
              </w:rPr>
              <w:t>地保护参与意识，提高工程环境管理人员的技术水平</w:t>
            </w:r>
            <w:r>
              <w:rPr>
                <w:rFonts w:hint="default" w:ascii="Times New Roman" w:hAnsi="Times New Roman" w:cs="Times New Roman"/>
                <w:sz w:val="24"/>
                <w:szCs w:val="24"/>
                <w:lang w:eastAsia="zh-CN"/>
              </w:rPr>
              <w:t>；</w:t>
            </w:r>
          </w:p>
          <w:p>
            <w:pPr>
              <w:pStyle w:val="155"/>
              <w:snapToGrid w:val="0"/>
              <w:spacing w:line="360" w:lineRule="auto"/>
              <w:ind w:left="0" w:right="0" w:firstLine="480" w:firstLineChars="20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val="0"/>
                <w:bCs w:val="0"/>
                <w:snapToGrid w:val="0"/>
                <w:color w:val="000000"/>
                <w:kern w:val="0"/>
                <w:sz w:val="24"/>
                <w:szCs w:val="24"/>
                <w:lang w:val="en-US" w:eastAsia="zh-CN"/>
              </w:rPr>
              <w:t>（</w:t>
            </w:r>
            <w:r>
              <w:rPr>
                <w:rFonts w:hint="eastAsia" w:cs="Times New Roman"/>
                <w:b w:val="0"/>
                <w:bCs w:val="0"/>
                <w:snapToGrid w:val="0"/>
                <w:color w:val="000000"/>
                <w:kern w:val="0"/>
                <w:sz w:val="24"/>
                <w:szCs w:val="24"/>
                <w:lang w:val="en-US" w:eastAsia="zh-CN"/>
              </w:rPr>
              <w:t>7</w:t>
            </w:r>
            <w:r>
              <w:rPr>
                <w:rFonts w:hint="default" w:ascii="Times New Roman" w:hAnsi="Times New Roman" w:eastAsia="宋体" w:cs="Times New Roman"/>
                <w:b w:val="0"/>
                <w:bCs w:val="0"/>
                <w:snapToGrid w:val="0"/>
                <w:color w:val="000000"/>
                <w:kern w:val="0"/>
                <w:sz w:val="24"/>
                <w:szCs w:val="24"/>
                <w:lang w:val="en-US" w:eastAsia="zh-CN"/>
              </w:rPr>
              <w:t>）</w:t>
            </w:r>
            <w:r>
              <w:rPr>
                <w:rFonts w:hint="default" w:cs="Times New Roman"/>
                <w:sz w:val="24"/>
                <w:szCs w:val="24"/>
                <w:lang w:val="en-US" w:eastAsia="zh-CN"/>
              </w:rPr>
              <w:t>开展施工监理工作；</w:t>
            </w:r>
            <w:r>
              <w:rPr>
                <w:rFonts w:hint="default" w:ascii="Times New Roman" w:hAnsi="Times New Roman" w:eastAsia="宋体" w:cs="Times New Roman"/>
                <w:i w:val="0"/>
                <w:iCs w:val="0"/>
                <w:caps w:val="0"/>
                <w:spacing w:val="0"/>
                <w:sz w:val="24"/>
                <w:szCs w:val="24"/>
                <w:shd w:val="clear"/>
              </w:rPr>
              <w:t>对监理人员的工作进行领导、协调和监督检查</w:t>
            </w:r>
            <w:r>
              <w:rPr>
                <w:rFonts w:hint="default" w:cs="Times New Roman"/>
                <w:i w:val="0"/>
                <w:iCs w:val="0"/>
                <w:caps w:val="0"/>
                <w:spacing w:val="0"/>
                <w:sz w:val="24"/>
                <w:szCs w:val="24"/>
                <w:shd w:val="clear"/>
                <w:lang w:eastAsia="zh-CN"/>
              </w:rPr>
              <w:t>；</w:t>
            </w:r>
            <w:r>
              <w:rPr>
                <w:rFonts w:ascii="Times New Roman" w:hAnsi="Times New Roman" w:eastAsia="宋体" w:cs="Times New Roman"/>
                <w:i w:val="0"/>
                <w:iCs w:val="0"/>
                <w:caps w:val="0"/>
                <w:spacing w:val="0"/>
                <w:sz w:val="24"/>
                <w:szCs w:val="24"/>
                <w:shd w:val="clear"/>
              </w:rPr>
              <w:t>主持编写项目工程监理规划，审查各专业监理实施细则</w:t>
            </w:r>
            <w:r>
              <w:rPr>
                <w:rFonts w:hint="default" w:ascii="Times New Roman" w:hAnsi="Times New Roman" w:eastAsia="宋体" w:cs="Times New Roman"/>
                <w:i w:val="0"/>
                <w:iCs w:val="0"/>
                <w:caps w:val="0"/>
                <w:spacing w:val="0"/>
                <w:sz w:val="24"/>
                <w:szCs w:val="24"/>
                <w:shd w:val="clear"/>
                <w:lang w:eastAsia="zh-CN"/>
              </w:rPr>
              <w:t>；</w:t>
            </w:r>
          </w:p>
          <w:p>
            <w:pPr>
              <w:pStyle w:val="155"/>
              <w:snapToGrid w:val="0"/>
              <w:spacing w:line="360" w:lineRule="auto"/>
              <w:ind w:left="0" w:right="0" w:firstLine="480" w:firstLineChars="200"/>
              <w:jc w:val="both"/>
              <w:rPr>
                <w:rFonts w:hint="eastAsia" w:ascii="Times New Roman" w:hAnsi="Times New Roman" w:eastAsia="宋体" w:cs="Times New Roman"/>
                <w:sz w:val="24"/>
                <w:szCs w:val="24"/>
                <w:lang w:val="en-US" w:eastAsia="zh-CN"/>
              </w:rPr>
            </w:pPr>
            <w:r>
              <w:rPr>
                <w:rFonts w:hint="default" w:ascii="Times New Roman" w:hAnsi="Times New Roman" w:eastAsia="宋体" w:cs="Times New Roman"/>
                <w:b w:val="0"/>
                <w:bCs w:val="0"/>
                <w:snapToGrid w:val="0"/>
                <w:color w:val="000000"/>
                <w:kern w:val="0"/>
                <w:sz w:val="24"/>
                <w:szCs w:val="24"/>
                <w:lang w:val="en-US" w:eastAsia="zh-CN"/>
              </w:rPr>
              <w:t>（</w:t>
            </w:r>
            <w:r>
              <w:rPr>
                <w:rFonts w:hint="eastAsia" w:cs="Times New Roman"/>
                <w:b w:val="0"/>
                <w:bCs w:val="0"/>
                <w:snapToGrid w:val="0"/>
                <w:color w:val="000000"/>
                <w:kern w:val="0"/>
                <w:sz w:val="24"/>
                <w:szCs w:val="24"/>
                <w:lang w:val="en-US" w:eastAsia="zh-CN"/>
              </w:rPr>
              <w:t>8</w:t>
            </w:r>
            <w:r>
              <w:rPr>
                <w:rFonts w:hint="default" w:ascii="Times New Roman" w:hAnsi="Times New Roman" w:eastAsia="宋体" w:cs="Times New Roman"/>
                <w:b w:val="0"/>
                <w:bCs w:val="0"/>
                <w:snapToGrid w:val="0"/>
                <w:color w:val="000000"/>
                <w:kern w:val="0"/>
                <w:sz w:val="24"/>
                <w:szCs w:val="24"/>
                <w:lang w:val="en-US" w:eastAsia="zh-CN"/>
              </w:rPr>
              <w:t>）</w:t>
            </w:r>
            <w:r>
              <w:rPr>
                <w:rFonts w:ascii="Times New Roman" w:hAnsi="Times New Roman" w:eastAsia="宋体" w:cs="Times New Roman"/>
                <w:i w:val="0"/>
                <w:iCs w:val="0"/>
                <w:caps w:val="0"/>
                <w:spacing w:val="0"/>
                <w:sz w:val="24"/>
                <w:szCs w:val="24"/>
                <w:shd w:val="clear"/>
              </w:rPr>
              <w:t>检查工程的质量</w:t>
            </w:r>
            <w:r>
              <w:rPr>
                <w:rFonts w:hint="default" w:ascii="Times New Roman" w:hAnsi="Times New Roman" w:eastAsia="宋体" w:cs="Times New Roman"/>
                <w:i w:val="0"/>
                <w:iCs w:val="0"/>
                <w:caps w:val="0"/>
                <w:spacing w:val="0"/>
                <w:sz w:val="24"/>
                <w:szCs w:val="24"/>
                <w:shd w:val="clear"/>
                <w:lang w:eastAsia="zh-CN"/>
              </w:rPr>
              <w:t>，</w:t>
            </w:r>
            <w:r>
              <w:rPr>
                <w:rFonts w:ascii="Times New Roman" w:hAnsi="Times New Roman" w:eastAsia="宋体" w:cs="Times New Roman"/>
                <w:i w:val="0"/>
                <w:iCs w:val="0"/>
                <w:caps w:val="0"/>
                <w:spacing w:val="0"/>
                <w:sz w:val="24"/>
                <w:szCs w:val="24"/>
                <w:shd w:val="clear"/>
              </w:rPr>
              <w:t>组织工程竣工验收，编制监理月报</w:t>
            </w:r>
            <w:r>
              <w:rPr>
                <w:rFonts w:hint="default" w:cs="Times New Roman"/>
                <w:i w:val="0"/>
                <w:iCs w:val="0"/>
                <w:caps w:val="0"/>
                <w:spacing w:val="0"/>
                <w:sz w:val="24"/>
                <w:szCs w:val="24"/>
                <w:shd w:val="clear"/>
                <w:lang w:eastAsia="zh-CN"/>
              </w:rPr>
              <w:t>，</w:t>
            </w:r>
            <w:r>
              <w:rPr>
                <w:rFonts w:ascii="Times New Roman" w:hAnsi="Times New Roman" w:eastAsia="宋体" w:cs="Times New Roman"/>
                <w:i w:val="0"/>
                <w:iCs w:val="0"/>
                <w:caps w:val="0"/>
                <w:spacing w:val="0"/>
                <w:sz w:val="24"/>
                <w:szCs w:val="24"/>
                <w:shd w:val="clear"/>
              </w:rPr>
              <w:t>编写项目工程监理总结</w:t>
            </w:r>
            <w:r>
              <w:rPr>
                <w:rFonts w:hint="default" w:ascii="Times New Roman" w:hAnsi="Times New Roman" w:eastAsia="宋体" w:cs="Times New Roman"/>
                <w:i w:val="0"/>
                <w:iCs w:val="0"/>
                <w:caps w:val="0"/>
                <w:spacing w:val="0"/>
                <w:sz w:val="24"/>
                <w:szCs w:val="24"/>
                <w:shd w:val="clear"/>
                <w:lang w:eastAsia="zh-CN"/>
              </w:rPr>
              <w:t>；</w:t>
            </w:r>
          </w:p>
          <w:p>
            <w:pPr>
              <w:pStyle w:val="155"/>
              <w:snapToGrid w:val="0"/>
              <w:spacing w:line="360" w:lineRule="auto"/>
              <w:ind w:left="0" w:right="0" w:firstLine="480" w:firstLineChars="200"/>
              <w:jc w:val="both"/>
              <w:rPr>
                <w:sz w:val="24"/>
                <w:szCs w:val="24"/>
              </w:rPr>
            </w:pPr>
            <w:r>
              <w:rPr>
                <w:rFonts w:hint="default" w:ascii="Times New Roman" w:hAnsi="Times New Roman" w:eastAsia="宋体" w:cs="Times New Roman"/>
                <w:b w:val="0"/>
                <w:bCs w:val="0"/>
                <w:snapToGrid w:val="0"/>
                <w:color w:val="000000"/>
                <w:kern w:val="0"/>
                <w:sz w:val="24"/>
                <w:szCs w:val="24"/>
                <w:lang w:val="en-US" w:eastAsia="zh-CN"/>
              </w:rPr>
              <w:t>（</w:t>
            </w:r>
            <w:r>
              <w:rPr>
                <w:rFonts w:hint="eastAsia" w:cs="Times New Roman"/>
                <w:b w:val="0"/>
                <w:bCs w:val="0"/>
                <w:snapToGrid w:val="0"/>
                <w:color w:val="000000"/>
                <w:kern w:val="0"/>
                <w:sz w:val="24"/>
                <w:szCs w:val="24"/>
                <w:lang w:val="en-US" w:eastAsia="zh-CN"/>
              </w:rPr>
              <w:t>9</w:t>
            </w:r>
            <w:r>
              <w:rPr>
                <w:rFonts w:hint="default" w:ascii="Times New Roman" w:hAnsi="Times New Roman" w:eastAsia="宋体" w:cs="Times New Roman"/>
                <w:b w:val="0"/>
                <w:bCs w:val="0"/>
                <w:snapToGrid w:val="0"/>
                <w:color w:val="000000"/>
                <w:kern w:val="0"/>
                <w:sz w:val="24"/>
                <w:szCs w:val="24"/>
                <w:lang w:val="en-US" w:eastAsia="zh-CN"/>
              </w:rPr>
              <w:t>）</w:t>
            </w:r>
            <w:r>
              <w:rPr>
                <w:rFonts w:hint="eastAsia" w:ascii="Times New Roman" w:hAnsi="Times New Roman" w:cs="Times New Roman"/>
                <w:sz w:val="24"/>
                <w:szCs w:val="24"/>
              </w:rPr>
              <w:t>配合开展工程环境保护竣工验收工作。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9" w:hRule="atLeast"/>
          <w:jc w:val="center"/>
        </w:trPr>
        <w:tc>
          <w:tcPr>
            <w:tcW w:w="533" w:type="pct"/>
            <w:tcMar>
              <w:left w:w="28" w:type="dxa"/>
              <w:right w:w="28" w:type="dxa"/>
            </w:tcMar>
            <w:vAlign w:val="center"/>
          </w:tcPr>
          <w:p>
            <w:pPr>
              <w:adjustRightInd w:val="0"/>
              <w:snapToGrid w:val="0"/>
              <w:spacing w:line="240" w:lineRule="auto"/>
              <w:ind w:firstLine="0" w:firstLineChars="0"/>
              <w:jc w:val="center"/>
              <w:rPr>
                <w:rFonts w:hAnsi="宋体"/>
                <w:b/>
                <w:bCs/>
                <w:color w:val="000000"/>
                <w:spacing w:val="10"/>
              </w:rPr>
            </w:pPr>
            <w:r>
              <w:rPr>
                <w:rFonts w:hint="eastAsia" w:hAnsi="宋体"/>
                <w:b/>
                <w:bCs/>
                <w:color w:val="000000"/>
                <w:spacing w:val="10"/>
              </w:rPr>
              <w:t>运营</w:t>
            </w:r>
          </w:p>
          <w:p>
            <w:pPr>
              <w:adjustRightInd w:val="0"/>
              <w:snapToGrid w:val="0"/>
              <w:spacing w:line="240" w:lineRule="auto"/>
              <w:ind w:firstLine="0" w:firstLineChars="0"/>
              <w:jc w:val="center"/>
              <w:rPr>
                <w:rFonts w:hAnsi="宋体"/>
                <w:b/>
                <w:bCs/>
                <w:color w:val="000000"/>
                <w:spacing w:val="10"/>
              </w:rPr>
            </w:pPr>
            <w:r>
              <w:rPr>
                <w:rFonts w:hint="eastAsia" w:hAnsi="宋体"/>
                <w:b/>
                <w:bCs/>
                <w:color w:val="000000"/>
                <w:spacing w:val="10"/>
              </w:rPr>
              <w:t>期生</w:t>
            </w:r>
          </w:p>
          <w:p>
            <w:pPr>
              <w:adjustRightInd w:val="0"/>
              <w:snapToGrid w:val="0"/>
              <w:spacing w:line="240" w:lineRule="auto"/>
              <w:ind w:firstLine="0" w:firstLineChars="0"/>
              <w:jc w:val="center"/>
              <w:rPr>
                <w:rFonts w:hAnsi="宋体"/>
                <w:b/>
                <w:bCs/>
                <w:color w:val="000000"/>
                <w:spacing w:val="10"/>
              </w:rPr>
            </w:pPr>
            <w:r>
              <w:rPr>
                <w:rFonts w:hint="eastAsia" w:hAnsi="宋体"/>
                <w:b/>
                <w:bCs/>
                <w:color w:val="000000"/>
                <w:spacing w:val="10"/>
              </w:rPr>
              <w:t>态环</w:t>
            </w:r>
          </w:p>
          <w:p>
            <w:pPr>
              <w:adjustRightInd w:val="0"/>
              <w:snapToGrid w:val="0"/>
              <w:spacing w:line="240" w:lineRule="auto"/>
              <w:ind w:firstLine="0" w:firstLineChars="0"/>
              <w:jc w:val="center"/>
              <w:rPr>
                <w:rFonts w:hAnsi="宋体"/>
                <w:b/>
                <w:bCs/>
                <w:color w:val="000000"/>
                <w:spacing w:val="10"/>
              </w:rPr>
            </w:pPr>
            <w:r>
              <w:rPr>
                <w:rFonts w:hint="eastAsia" w:hAnsi="宋体"/>
                <w:b/>
                <w:bCs/>
                <w:color w:val="000000"/>
                <w:spacing w:val="10"/>
              </w:rPr>
              <w:t>境保</w:t>
            </w:r>
          </w:p>
          <w:p>
            <w:pPr>
              <w:adjustRightInd w:val="0"/>
              <w:snapToGrid w:val="0"/>
              <w:spacing w:line="240" w:lineRule="auto"/>
              <w:ind w:firstLine="0" w:firstLineChars="0"/>
              <w:jc w:val="center"/>
              <w:rPr>
                <w:rFonts w:hAnsi="宋体"/>
                <w:b/>
                <w:bCs/>
                <w:color w:val="000000"/>
                <w:spacing w:val="10"/>
              </w:rPr>
            </w:pPr>
            <w:r>
              <w:rPr>
                <w:rFonts w:hint="eastAsia" w:hAnsi="宋体"/>
                <w:b/>
                <w:bCs/>
                <w:color w:val="000000"/>
                <w:spacing w:val="10"/>
              </w:rPr>
              <w:t>护措</w:t>
            </w:r>
          </w:p>
          <w:p>
            <w:pPr>
              <w:adjustRightInd w:val="0"/>
              <w:snapToGrid w:val="0"/>
              <w:spacing w:line="240" w:lineRule="auto"/>
              <w:ind w:firstLine="0" w:firstLineChars="0"/>
              <w:jc w:val="center"/>
              <w:rPr>
                <w:b/>
                <w:bCs/>
                <w:color w:val="FF0000"/>
                <w:spacing w:val="10"/>
              </w:rPr>
            </w:pPr>
            <w:r>
              <w:rPr>
                <w:rFonts w:hint="eastAsia" w:hAnsi="宋体"/>
                <w:b/>
                <w:bCs/>
                <w:color w:val="000000"/>
                <w:spacing w:val="10"/>
              </w:rPr>
              <w:t>施</w:t>
            </w:r>
          </w:p>
        </w:tc>
        <w:tc>
          <w:tcPr>
            <w:tcW w:w="4466" w:type="pct"/>
          </w:tcPr>
          <w:p>
            <w:pPr>
              <w:adjustRightInd w:val="0"/>
              <w:snapToGrid w:val="0"/>
              <w:spacing w:line="460" w:lineRule="exact"/>
              <w:ind w:firstLine="31680"/>
              <w:rPr>
                <w:color w:val="000000"/>
              </w:rPr>
            </w:pPr>
            <w:r>
              <w:rPr>
                <w:rFonts w:hint="eastAsia"/>
                <w:color w:val="000000"/>
              </w:rPr>
              <w:t>本工程营运期无生态环境影响，无需施行生态环境保护措施。</w:t>
            </w:r>
          </w:p>
          <w:p>
            <w:pPr>
              <w:adjustRightInd w:val="0"/>
              <w:snapToGrid w:val="0"/>
              <w:spacing w:line="460" w:lineRule="exact"/>
              <w:ind w:firstLine="0" w:firstLineChars="0"/>
              <w:rPr>
                <w:b/>
                <w:color w:val="000000"/>
              </w:rPr>
            </w:pPr>
            <w:r>
              <w:rPr>
                <w:b/>
                <w:color w:val="000000"/>
              </w:rPr>
              <w:t>1</w:t>
            </w:r>
            <w:r>
              <w:rPr>
                <w:rFonts w:hint="eastAsia"/>
                <w:b/>
                <w:color w:val="000000"/>
              </w:rPr>
              <w:t>、水环境保护措施</w:t>
            </w:r>
          </w:p>
          <w:p>
            <w:pPr>
              <w:adjustRightInd w:val="0"/>
              <w:snapToGrid w:val="0"/>
              <w:spacing w:line="460" w:lineRule="exact"/>
              <w:ind w:firstLine="31680"/>
              <w:rPr>
                <w:rFonts w:hint="eastAsia" w:eastAsia="宋体"/>
                <w:color w:val="000000"/>
                <w:lang w:val="en-US" w:eastAsia="zh-CN"/>
              </w:rPr>
            </w:pPr>
            <w:r>
              <w:rPr>
                <w:rFonts w:hint="eastAsia"/>
                <w:color w:val="000000"/>
              </w:rPr>
              <w:t>项目运营期间，应加大对河道两岸巡查，加强水环境保护的宣传力度，防止污水排入河道内倾倒垃圾</w:t>
            </w:r>
            <w:r>
              <w:rPr>
                <w:rFonts w:hint="eastAsia"/>
                <w:color w:val="000000"/>
                <w:lang w:eastAsia="zh-CN"/>
              </w:rPr>
              <w:t>。</w:t>
            </w:r>
          </w:p>
          <w:p>
            <w:pPr>
              <w:adjustRightInd w:val="0"/>
              <w:snapToGrid w:val="0"/>
              <w:spacing w:line="460" w:lineRule="exact"/>
              <w:ind w:firstLine="0" w:firstLineChars="0"/>
              <w:rPr>
                <w:b/>
                <w:color w:val="000000"/>
              </w:rPr>
            </w:pPr>
            <w:r>
              <w:rPr>
                <w:b/>
                <w:color w:val="000000"/>
              </w:rPr>
              <w:t>2</w:t>
            </w:r>
            <w:r>
              <w:rPr>
                <w:rFonts w:hint="eastAsia"/>
                <w:b/>
                <w:color w:val="000000"/>
              </w:rPr>
              <w:t>、运行期固体废物污染治理措施</w:t>
            </w:r>
          </w:p>
          <w:p>
            <w:pPr>
              <w:adjustRightInd w:val="0"/>
              <w:snapToGrid w:val="0"/>
              <w:spacing w:line="460" w:lineRule="exact"/>
              <w:ind w:firstLine="31680"/>
              <w:rPr>
                <w:rFonts w:hint="eastAsia"/>
                <w:color w:val="000000"/>
              </w:rPr>
            </w:pPr>
            <w:r>
              <w:rPr>
                <w:rFonts w:hint="eastAsia"/>
                <w:color w:val="000000"/>
              </w:rPr>
              <w:t>工程建成后，设立明显标志，加强水环境保护的宣传力度，严禁在河道及两侧范围内倾倒垃圾，防止水质污染和阻塞行洪。</w:t>
            </w:r>
          </w:p>
          <w:p>
            <w:pPr>
              <w:adjustRightInd w:val="0"/>
              <w:snapToGrid w:val="0"/>
              <w:spacing w:line="460" w:lineRule="exact"/>
              <w:ind w:firstLine="0" w:firstLineChars="0"/>
              <w:rPr>
                <w:rFonts w:hint="eastAsia"/>
                <w:b/>
                <w:color w:val="000000"/>
              </w:rPr>
            </w:pPr>
            <w:r>
              <w:rPr>
                <w:rFonts w:hint="eastAsia"/>
                <w:b/>
                <w:color w:val="000000"/>
                <w:lang w:val="en-US" w:eastAsia="zh-CN"/>
              </w:rPr>
              <w:t>3、</w:t>
            </w:r>
            <w:r>
              <w:rPr>
                <w:rFonts w:hint="eastAsia"/>
                <w:b/>
                <w:color w:val="000000"/>
              </w:rPr>
              <w:t>生态</w:t>
            </w:r>
            <w:r>
              <w:rPr>
                <w:rFonts w:hint="eastAsia"/>
                <w:b/>
                <w:color w:val="000000"/>
                <w:lang w:val="en-US" w:eastAsia="zh-CN"/>
              </w:rPr>
              <w:t>环境</w:t>
            </w:r>
            <w:r>
              <w:rPr>
                <w:rFonts w:hint="eastAsia"/>
                <w:b/>
                <w:color w:val="000000"/>
              </w:rPr>
              <w:t>保护措施</w:t>
            </w:r>
          </w:p>
          <w:p>
            <w:pPr>
              <w:adjustRightInd w:val="0"/>
              <w:snapToGrid w:val="0"/>
              <w:spacing w:line="460" w:lineRule="exact"/>
              <w:ind w:firstLine="31680"/>
              <w:rPr>
                <w:rFonts w:hint="eastAsia"/>
                <w:color w:val="000000"/>
              </w:rPr>
            </w:pPr>
            <w:r>
              <w:rPr>
                <w:rFonts w:hint="eastAsia"/>
                <w:color w:val="000000"/>
              </w:rPr>
              <w:t>工程运行后，各项</w:t>
            </w:r>
            <w:r>
              <w:rPr>
                <w:rFonts w:hint="eastAsia"/>
                <w:color w:val="000000"/>
                <w:lang w:val="en-US" w:eastAsia="zh-CN"/>
              </w:rPr>
              <w:t>植被恢复</w:t>
            </w:r>
            <w:r>
              <w:rPr>
                <w:rFonts w:hint="eastAsia"/>
                <w:color w:val="000000"/>
              </w:rPr>
              <w:t>、水土保持措施的实施将有效减少工程区的水土流失，增加项目区的绿地面积和植被覆盖率，项目区的生态环境将有一定的改善和提高</w:t>
            </w:r>
            <w:r>
              <w:rPr>
                <w:rFonts w:hint="eastAsia"/>
                <w:color w:val="000000"/>
                <w:lang w:eastAsia="zh-CN"/>
              </w:rPr>
              <w:t>，</w:t>
            </w:r>
            <w:r>
              <w:rPr>
                <w:rFonts w:hint="eastAsia"/>
                <w:color w:val="000000"/>
              </w:rPr>
              <w:t>此外，还需通过以下措施提高项目生态环境质量：</w:t>
            </w:r>
          </w:p>
          <w:p>
            <w:pPr>
              <w:adjustRightInd w:val="0"/>
              <w:snapToGrid w:val="0"/>
              <w:spacing w:line="460" w:lineRule="exact"/>
              <w:ind w:firstLine="31680"/>
              <w:rPr>
                <w:rFonts w:hint="eastAsia"/>
                <w:color w:val="000000"/>
              </w:rPr>
            </w:pPr>
            <w:r>
              <w:rPr>
                <w:rFonts w:hint="eastAsia" w:ascii="Times New Roman" w:hAnsi="Times New Roman" w:eastAsia="宋体" w:cs="Times New Roman"/>
              </w:rPr>
              <w:t>（</w:t>
            </w:r>
            <w:r>
              <w:rPr>
                <w:rFonts w:hint="eastAsia" w:cs="Times New Roman"/>
                <w:lang w:val="en-US" w:eastAsia="zh-CN"/>
              </w:rPr>
              <w:t>1</w:t>
            </w:r>
            <w:r>
              <w:rPr>
                <w:rFonts w:hint="eastAsia" w:ascii="Times New Roman" w:hAnsi="Times New Roman" w:eastAsia="宋体" w:cs="Times New Roman"/>
              </w:rPr>
              <w:t>）</w:t>
            </w:r>
            <w:r>
              <w:rPr>
                <w:rFonts w:hint="eastAsia"/>
                <w:color w:val="000000"/>
              </w:rPr>
              <w:t>加强宣传教育，提高村民和职工的环境保护意识，加强对绿化工程的管理与抚育，防火、防虫，禁止砍伐作业范围外树木，禁止破坏</w:t>
            </w:r>
            <w:r>
              <w:rPr>
                <w:rFonts w:hint="eastAsia"/>
                <w:color w:val="000000"/>
                <w:lang w:val="en-US" w:eastAsia="zh-CN"/>
              </w:rPr>
              <w:t>林地和</w:t>
            </w:r>
            <w:r>
              <w:rPr>
                <w:rFonts w:hint="eastAsia"/>
                <w:color w:val="000000"/>
              </w:rPr>
              <w:t>草地。</w:t>
            </w:r>
          </w:p>
          <w:p>
            <w:pPr>
              <w:adjustRightInd w:val="0"/>
              <w:snapToGrid w:val="0"/>
              <w:spacing w:line="460" w:lineRule="exact"/>
              <w:ind w:firstLine="31680"/>
              <w:rPr>
                <w:rFonts w:hint="eastAsia"/>
                <w:color w:val="000000"/>
              </w:rPr>
            </w:pPr>
            <w:r>
              <w:rPr>
                <w:rFonts w:hint="eastAsia" w:ascii="Times New Roman" w:hAnsi="Times New Roman" w:eastAsia="宋体" w:cs="Times New Roman"/>
              </w:rPr>
              <w:t>（</w:t>
            </w:r>
            <w:r>
              <w:rPr>
                <w:rFonts w:hint="eastAsia" w:cs="Times New Roman"/>
                <w:lang w:val="en-US" w:eastAsia="zh-CN"/>
              </w:rPr>
              <w:t>2</w:t>
            </w:r>
            <w:r>
              <w:rPr>
                <w:rFonts w:hint="eastAsia" w:ascii="Times New Roman" w:hAnsi="Times New Roman" w:eastAsia="宋体" w:cs="Times New Roman"/>
              </w:rPr>
              <w:t>）</w:t>
            </w:r>
            <w:r>
              <w:rPr>
                <w:rFonts w:hint="eastAsia"/>
                <w:color w:val="000000"/>
              </w:rPr>
              <w:t>加强对周边区域生态环境实地监控，及时发现不良地质隐患工点，采取防治措施以杜绝地质灾害的发生。</w:t>
            </w:r>
          </w:p>
          <w:p>
            <w:pPr>
              <w:adjustRightInd w:val="0"/>
              <w:snapToGrid w:val="0"/>
              <w:spacing w:line="460" w:lineRule="exact"/>
              <w:ind w:firstLine="31680"/>
              <w:rPr>
                <w:rFonts w:hint="eastAsia"/>
                <w:color w:val="000000"/>
              </w:rPr>
            </w:pPr>
            <w:r>
              <w:rPr>
                <w:rFonts w:hint="eastAsia" w:ascii="Times New Roman" w:hAnsi="Times New Roman" w:eastAsia="宋体" w:cs="Times New Roman"/>
              </w:rPr>
              <w:t>（</w:t>
            </w:r>
            <w:r>
              <w:rPr>
                <w:rFonts w:hint="eastAsia" w:cs="Times New Roman"/>
                <w:lang w:val="en-US" w:eastAsia="zh-CN"/>
              </w:rPr>
              <w:t>3</w:t>
            </w:r>
            <w:r>
              <w:rPr>
                <w:rFonts w:hint="eastAsia" w:ascii="Times New Roman" w:hAnsi="Times New Roman" w:eastAsia="宋体" w:cs="Times New Roman"/>
              </w:rPr>
              <w:t>）</w:t>
            </w:r>
            <w:r>
              <w:rPr>
                <w:rFonts w:hint="eastAsia"/>
                <w:color w:val="000000"/>
                <w:lang w:val="zh-CN"/>
              </w:rPr>
              <w:t>在春、秋农忙季节，同时通过对过往车辆采取限速等措施，</w:t>
            </w:r>
            <w:r>
              <w:rPr>
                <w:rFonts w:hint="eastAsia"/>
                <w:color w:val="000000"/>
                <w:lang w:val="en-US" w:eastAsia="zh-CN"/>
              </w:rPr>
              <w:t>减少噪声及道路扬尘的产生</w:t>
            </w:r>
            <w:r>
              <w:rPr>
                <w:rFonts w:hint="eastAsia"/>
                <w:color w:val="000000"/>
                <w:lang w:val="zh-CN"/>
              </w:rPr>
              <w:t>。</w:t>
            </w:r>
          </w:p>
          <w:p>
            <w:pPr>
              <w:adjustRightInd w:val="0"/>
              <w:snapToGrid w:val="0"/>
              <w:spacing w:line="460" w:lineRule="exact"/>
              <w:ind w:firstLine="31680"/>
              <w:rPr>
                <w:rFonts w:hint="eastAsia"/>
                <w:color w:val="000000"/>
              </w:rPr>
            </w:pPr>
            <w:r>
              <w:rPr>
                <w:rFonts w:hint="eastAsia"/>
                <w:color w:val="000000"/>
                <w:lang w:eastAsia="zh-CN"/>
              </w:rPr>
              <w:t>（</w:t>
            </w:r>
            <w:r>
              <w:rPr>
                <w:rFonts w:hint="eastAsia"/>
                <w:color w:val="000000"/>
                <w:lang w:val="en-US" w:eastAsia="zh-CN"/>
              </w:rPr>
              <w:t>4</w:t>
            </w:r>
            <w:r>
              <w:rPr>
                <w:rFonts w:hint="eastAsia"/>
                <w:color w:val="000000"/>
                <w:lang w:eastAsia="zh-CN"/>
              </w:rPr>
              <w:t>）</w:t>
            </w:r>
            <w:r>
              <w:rPr>
                <w:rFonts w:hint="eastAsia"/>
                <w:color w:val="000000"/>
              </w:rPr>
              <w:t>项目管理上严格执行“三条红线”的地表水指标水量，严禁超指标引水。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3" w:hRule="atLeast"/>
          <w:jc w:val="center"/>
        </w:trPr>
        <w:tc>
          <w:tcPr>
            <w:tcW w:w="533" w:type="pct"/>
            <w:tcMar>
              <w:left w:w="28" w:type="dxa"/>
              <w:right w:w="28" w:type="dxa"/>
            </w:tcMar>
            <w:vAlign w:val="center"/>
          </w:tcPr>
          <w:p>
            <w:pPr>
              <w:adjustRightInd w:val="0"/>
              <w:snapToGrid w:val="0"/>
              <w:spacing w:line="240" w:lineRule="auto"/>
              <w:ind w:firstLine="0" w:firstLineChars="0"/>
              <w:jc w:val="center"/>
              <w:rPr>
                <w:rFonts w:hAnsi="宋体"/>
                <w:b/>
                <w:bCs/>
                <w:color w:val="000000"/>
                <w:spacing w:val="10"/>
              </w:rPr>
            </w:pPr>
            <w:r>
              <w:rPr>
                <w:rFonts w:hint="eastAsia" w:hAnsi="宋体"/>
                <w:b/>
                <w:bCs/>
                <w:color w:val="000000"/>
                <w:spacing w:val="10"/>
              </w:rPr>
              <w:t>其他</w:t>
            </w:r>
          </w:p>
        </w:tc>
        <w:tc>
          <w:tcPr>
            <w:tcW w:w="4466" w:type="pct"/>
          </w:tcPr>
          <w:p>
            <w:pPr>
              <w:adjustRightInd w:val="0"/>
              <w:snapToGrid w:val="0"/>
              <w:spacing w:line="360" w:lineRule="auto"/>
              <w:ind w:firstLine="0" w:firstLineChars="0"/>
              <w:rPr>
                <w:rFonts w:hint="default"/>
                <w:b/>
                <w:bCs/>
              </w:rPr>
            </w:pPr>
            <w:r>
              <w:rPr>
                <w:rFonts w:hint="eastAsia"/>
                <w:b/>
                <w:bCs/>
                <w:lang w:val="en-US" w:eastAsia="zh-CN"/>
              </w:rPr>
              <w:t>1</w:t>
            </w:r>
            <w:r>
              <w:rPr>
                <w:rFonts w:hint="default"/>
                <w:b/>
                <w:bCs/>
              </w:rPr>
              <w:t>、环境监测计划</w:t>
            </w:r>
          </w:p>
          <w:p>
            <w:pPr>
              <w:adjustRightInd w:val="0"/>
              <w:snapToGrid w:val="0"/>
              <w:spacing w:line="360" w:lineRule="auto"/>
              <w:ind w:firstLine="31680"/>
              <w:rPr>
                <w:rFonts w:hint="default"/>
              </w:rPr>
            </w:pPr>
            <w:r>
              <w:rPr>
                <w:rFonts w:hint="default"/>
              </w:rPr>
              <w:t>本工程不设置专门的环境监测机构，施工期水质监测、环境空气监测、噪声监测可</w:t>
            </w:r>
            <w:r>
              <w:rPr>
                <w:rFonts w:hint="default"/>
                <w:lang w:val="en-US" w:eastAsia="zh-CN"/>
              </w:rPr>
              <w:t>由建设单位</w:t>
            </w:r>
            <w:r>
              <w:rPr>
                <w:rFonts w:hint="default"/>
              </w:rPr>
              <w:t>委托有相应资质的环境监测部门实施，技术要求按照有关环境监测规范的规定执行，以保障监测数据的可靠性。</w:t>
            </w:r>
          </w:p>
          <w:p>
            <w:pPr>
              <w:adjustRightInd w:val="0"/>
              <w:snapToGrid w:val="0"/>
              <w:spacing w:line="360" w:lineRule="auto"/>
              <w:ind w:firstLine="31680"/>
            </w:pPr>
            <w:r>
              <w:rPr>
                <w:rFonts w:hint="default"/>
              </w:rPr>
              <w:t>本工程环境监测计划一览表见5-1</w:t>
            </w:r>
            <w:r>
              <w:rPr>
                <w:rFonts w:hint="eastAsia"/>
              </w:rPr>
              <w:t>。</w:t>
            </w:r>
          </w:p>
          <w:p>
            <w:pPr>
              <w:pStyle w:val="147"/>
              <w:snapToGrid w:val="0"/>
              <w:spacing w:line="240" w:lineRule="auto"/>
              <w:ind w:firstLine="0" w:firstLineChars="0"/>
              <w:jc w:val="center"/>
            </w:pPr>
            <w:r>
              <w:rPr>
                <w:rFonts w:hint="default" w:ascii="Times New Roman" w:hAnsi="Times New Roman" w:cs="Times New Roman"/>
                <w:b/>
                <w:bCs/>
                <w:sz w:val="21"/>
                <w:szCs w:val="21"/>
              </w:rPr>
              <w:t xml:space="preserve">表5-1    </w:t>
            </w:r>
            <w:r>
              <w:rPr>
                <w:rFonts w:hint="eastAsia" w:cs="Times New Roman"/>
                <w:b/>
                <w:bCs/>
                <w:sz w:val="21"/>
                <w:szCs w:val="21"/>
                <w:lang w:val="en-US" w:eastAsia="zh-CN"/>
              </w:rPr>
              <w:t xml:space="preserve">    </w:t>
            </w:r>
            <w:r>
              <w:rPr>
                <w:rFonts w:hint="default" w:ascii="Times New Roman" w:hAnsi="Times New Roman" w:cs="Times New Roman"/>
                <w:b/>
                <w:bCs/>
                <w:sz w:val="21"/>
                <w:szCs w:val="21"/>
              </w:rPr>
              <w:t>环境监测计划一览表</w:t>
            </w:r>
          </w:p>
          <w:tbl>
            <w:tblPr>
              <w:tblStyle w:val="3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740"/>
              <w:gridCol w:w="1078"/>
              <w:gridCol w:w="1521"/>
              <w:gridCol w:w="1633"/>
              <w:gridCol w:w="1393"/>
              <w:gridCol w:w="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420" w:type="pct"/>
                  <w:vAlign w:val="center"/>
                </w:tcPr>
                <w:p>
                  <w:pPr>
                    <w:pStyle w:val="31"/>
                    <w:snapToGrid w:val="0"/>
                    <w:spacing w:beforeAutospacing="0" w:afterAutospacing="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阶段</w:t>
                  </w:r>
                </w:p>
              </w:tc>
              <w:tc>
                <w:tcPr>
                  <w:tcW w:w="478" w:type="pct"/>
                  <w:vAlign w:val="center"/>
                </w:tcPr>
                <w:p>
                  <w:pPr>
                    <w:pStyle w:val="31"/>
                    <w:snapToGrid w:val="0"/>
                    <w:spacing w:beforeAutospacing="0" w:afterAutospacing="0" w:line="240" w:lineRule="auto"/>
                    <w:ind w:right="-26" w:rightChars="-11"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分类</w:t>
                  </w:r>
                </w:p>
              </w:tc>
              <w:tc>
                <w:tcPr>
                  <w:tcW w:w="696" w:type="pct"/>
                  <w:vAlign w:val="center"/>
                </w:tcPr>
                <w:p>
                  <w:pPr>
                    <w:pStyle w:val="31"/>
                    <w:snapToGrid w:val="0"/>
                    <w:spacing w:beforeAutospacing="0" w:afterAutospacing="0" w:line="240" w:lineRule="auto"/>
                    <w:ind w:right="-26" w:rightChars="-11"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污染物源</w:t>
                  </w:r>
                </w:p>
              </w:tc>
              <w:tc>
                <w:tcPr>
                  <w:tcW w:w="982" w:type="pct"/>
                  <w:vAlign w:val="center"/>
                </w:tcPr>
                <w:p>
                  <w:pPr>
                    <w:pStyle w:val="31"/>
                    <w:snapToGrid w:val="0"/>
                    <w:spacing w:beforeAutospacing="0" w:afterAutospacing="0" w:line="240" w:lineRule="auto"/>
                    <w:ind w:right="-26" w:rightChars="-11"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环保措施</w:t>
                  </w:r>
                </w:p>
              </w:tc>
              <w:tc>
                <w:tcPr>
                  <w:tcW w:w="1054" w:type="pct"/>
                  <w:vAlign w:val="center"/>
                </w:tcPr>
                <w:p>
                  <w:pPr>
                    <w:pStyle w:val="31"/>
                    <w:snapToGrid w:val="0"/>
                    <w:spacing w:beforeAutospacing="0" w:afterAutospacing="0" w:line="240" w:lineRule="auto"/>
                    <w:ind w:right="-26" w:rightChars="-11"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监测位置</w:t>
                  </w:r>
                </w:p>
              </w:tc>
              <w:tc>
                <w:tcPr>
                  <w:tcW w:w="899" w:type="pct"/>
                  <w:vAlign w:val="center"/>
                </w:tcPr>
                <w:p>
                  <w:pPr>
                    <w:pStyle w:val="31"/>
                    <w:snapToGrid w:val="0"/>
                    <w:spacing w:beforeAutospacing="0" w:afterAutospacing="0" w:line="240" w:lineRule="auto"/>
                    <w:ind w:right="-26" w:rightChars="-11"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监测内容</w:t>
                  </w:r>
                </w:p>
              </w:tc>
              <w:tc>
                <w:tcPr>
                  <w:tcW w:w="468" w:type="pct"/>
                  <w:vAlign w:val="center"/>
                </w:tcPr>
                <w:p>
                  <w:pPr>
                    <w:pStyle w:val="31"/>
                    <w:snapToGrid w:val="0"/>
                    <w:spacing w:beforeAutospacing="0" w:afterAutospacing="0" w:line="240" w:lineRule="auto"/>
                    <w:ind w:right="-26" w:rightChars="-11"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监测频率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420" w:type="pct"/>
                  <w:vMerge w:val="restart"/>
                  <w:vAlign w:val="center"/>
                </w:tcPr>
                <w:p>
                  <w:pPr>
                    <w:pStyle w:val="31"/>
                    <w:snapToGrid w:val="0"/>
                    <w:spacing w:beforeAutospacing="0" w:afterAutospacing="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施工期</w:t>
                  </w:r>
                </w:p>
              </w:tc>
              <w:tc>
                <w:tcPr>
                  <w:tcW w:w="478" w:type="pct"/>
                  <w:vAlign w:val="center"/>
                </w:tcPr>
                <w:p>
                  <w:pPr>
                    <w:pStyle w:val="31"/>
                    <w:snapToGrid w:val="0"/>
                    <w:spacing w:beforeAutospacing="0" w:afterAutospacing="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噪声</w:t>
                  </w:r>
                </w:p>
              </w:tc>
              <w:tc>
                <w:tcPr>
                  <w:tcW w:w="696" w:type="pct"/>
                  <w:vAlign w:val="center"/>
                </w:tcPr>
                <w:p>
                  <w:pPr>
                    <w:pStyle w:val="31"/>
                    <w:snapToGrid w:val="0"/>
                    <w:spacing w:beforeAutospacing="0" w:afterAutospacing="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施工噪声</w:t>
                  </w:r>
                </w:p>
              </w:tc>
              <w:tc>
                <w:tcPr>
                  <w:tcW w:w="982" w:type="pct"/>
                  <w:vAlign w:val="center"/>
                </w:tcPr>
                <w:p>
                  <w:pPr>
                    <w:pStyle w:val="31"/>
                    <w:snapToGrid w:val="0"/>
                    <w:spacing w:beforeAutospacing="0" w:afterAutospacing="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低噪设备、禁止夜间施工</w:t>
                  </w:r>
                </w:p>
              </w:tc>
              <w:tc>
                <w:tcPr>
                  <w:tcW w:w="1054" w:type="pct"/>
                  <w:vAlign w:val="center"/>
                </w:tcPr>
                <w:p>
                  <w:pPr>
                    <w:pStyle w:val="31"/>
                    <w:snapToGrid w:val="0"/>
                    <w:spacing w:beforeAutospacing="0" w:afterAutospacing="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各标段设置1个噪声监测点</w:t>
                  </w:r>
                </w:p>
              </w:tc>
              <w:tc>
                <w:tcPr>
                  <w:tcW w:w="899" w:type="pct"/>
                  <w:vAlign w:val="center"/>
                </w:tcPr>
                <w:p>
                  <w:pPr>
                    <w:pStyle w:val="31"/>
                    <w:snapToGrid w:val="0"/>
                    <w:spacing w:beforeAutospacing="0" w:afterAutospacing="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LAeq</w:t>
                  </w:r>
                </w:p>
              </w:tc>
              <w:tc>
                <w:tcPr>
                  <w:tcW w:w="468" w:type="pct"/>
                  <w:vAlign w:val="center"/>
                </w:tcPr>
                <w:p>
                  <w:pPr>
                    <w:pStyle w:val="31"/>
                    <w:snapToGrid w:val="0"/>
                    <w:spacing w:beforeAutospacing="0" w:afterAutospacing="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1期/季度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420" w:type="pct"/>
                  <w:vMerge w:val="continue"/>
                  <w:vAlign w:val="center"/>
                </w:tcPr>
                <w:p>
                  <w:pPr>
                    <w:pStyle w:val="31"/>
                    <w:snapToGrid w:val="0"/>
                    <w:spacing w:beforeAutospacing="0" w:afterAutospacing="0" w:line="240" w:lineRule="auto"/>
                    <w:ind w:firstLine="0" w:firstLineChars="0"/>
                    <w:jc w:val="center"/>
                    <w:rPr>
                      <w:rFonts w:hint="default" w:ascii="Times New Roman" w:hAnsi="Times New Roman" w:cs="Times New Roman"/>
                      <w:sz w:val="21"/>
                      <w:szCs w:val="21"/>
                    </w:rPr>
                  </w:pPr>
                </w:p>
              </w:tc>
              <w:tc>
                <w:tcPr>
                  <w:tcW w:w="478" w:type="pct"/>
                  <w:vAlign w:val="center"/>
                </w:tcPr>
                <w:p>
                  <w:pPr>
                    <w:pStyle w:val="31"/>
                    <w:snapToGrid w:val="0"/>
                    <w:spacing w:beforeAutospacing="0" w:afterAutospacing="0" w:line="240" w:lineRule="auto"/>
                    <w:ind w:firstLine="0" w:firstLineChars="0"/>
                    <w:jc w:val="center"/>
                    <w:rPr>
                      <w:rFonts w:hint="eastAsia" w:ascii="Times New Roman" w:hAnsi="Times New Roman" w:eastAsia="宋体" w:cs="Times New Roman"/>
                      <w:sz w:val="21"/>
                      <w:szCs w:val="21"/>
                      <w:lang w:val="en-US" w:eastAsia="zh-CN"/>
                    </w:rPr>
                  </w:pPr>
                  <w:r>
                    <w:rPr>
                      <w:rFonts w:hint="eastAsia" w:ascii="Times New Roman" w:cs="Times New Roman"/>
                      <w:sz w:val="21"/>
                      <w:szCs w:val="21"/>
                      <w:lang w:val="en-US" w:eastAsia="zh-CN"/>
                    </w:rPr>
                    <w:t>废水</w:t>
                  </w:r>
                </w:p>
              </w:tc>
              <w:tc>
                <w:tcPr>
                  <w:tcW w:w="696" w:type="pct"/>
                  <w:vAlign w:val="center"/>
                </w:tcPr>
                <w:p>
                  <w:pPr>
                    <w:pStyle w:val="31"/>
                    <w:snapToGrid w:val="0"/>
                    <w:spacing w:beforeAutospacing="0" w:afterAutospacing="0" w:line="240" w:lineRule="auto"/>
                    <w:ind w:firstLine="0" w:firstLineChars="0"/>
                    <w:jc w:val="center"/>
                    <w:rPr>
                      <w:rFonts w:hint="default" w:ascii="Times New Roman" w:hAnsi="Times New Roman" w:eastAsia="宋体" w:cs="Times New Roman"/>
                      <w:sz w:val="21"/>
                      <w:szCs w:val="21"/>
                      <w:lang w:val="en-US" w:eastAsia="zh-CN"/>
                    </w:rPr>
                  </w:pPr>
                  <w:r>
                    <w:rPr>
                      <w:rFonts w:hint="eastAsia" w:ascii="Times New Roman" w:cs="Times New Roman"/>
                      <w:sz w:val="21"/>
                      <w:szCs w:val="21"/>
                      <w:lang w:val="en-US" w:eastAsia="zh-CN"/>
                    </w:rPr>
                    <w:t>项目区</w:t>
                  </w:r>
                </w:p>
              </w:tc>
              <w:tc>
                <w:tcPr>
                  <w:tcW w:w="982" w:type="pct"/>
                  <w:vAlign w:val="center"/>
                </w:tcPr>
                <w:p>
                  <w:pPr>
                    <w:pStyle w:val="31"/>
                    <w:snapToGrid w:val="0"/>
                    <w:spacing w:beforeAutospacing="0" w:afterAutospacing="0" w:line="240" w:lineRule="auto"/>
                    <w:ind w:firstLine="0" w:firstLineChars="0"/>
                    <w:jc w:val="center"/>
                    <w:rPr>
                      <w:rFonts w:hint="default" w:ascii="Times New Roman" w:hAnsi="Times New Roman" w:cs="Times New Roman"/>
                      <w:sz w:val="21"/>
                      <w:szCs w:val="21"/>
                      <w:lang w:val="en-US"/>
                    </w:rPr>
                  </w:pPr>
                  <w:r>
                    <w:rPr>
                      <w:rFonts w:hint="eastAsia" w:ascii="Times New Roman" w:cs="Times New Roman"/>
                      <w:sz w:val="21"/>
                      <w:szCs w:val="21"/>
                      <w:lang w:val="en-US" w:eastAsia="zh-CN"/>
                    </w:rPr>
                    <w:t>化粪池</w:t>
                  </w:r>
                </w:p>
              </w:tc>
              <w:tc>
                <w:tcPr>
                  <w:tcW w:w="1054" w:type="pct"/>
                  <w:vAlign w:val="center"/>
                </w:tcPr>
                <w:p>
                  <w:pPr>
                    <w:pStyle w:val="31"/>
                    <w:snapToGrid w:val="0"/>
                    <w:spacing w:beforeAutospacing="0" w:afterAutospacing="0" w:line="240" w:lineRule="auto"/>
                    <w:ind w:firstLine="0" w:firstLineChars="0"/>
                    <w:jc w:val="center"/>
                    <w:rPr>
                      <w:rFonts w:hint="default" w:ascii="Times New Roman" w:hAnsi="Times New Roman" w:eastAsia="宋体" w:cs="Times New Roman"/>
                      <w:sz w:val="21"/>
                      <w:szCs w:val="21"/>
                      <w:lang w:val="en-US" w:eastAsia="zh-CN"/>
                    </w:rPr>
                  </w:pPr>
                  <w:r>
                    <w:rPr>
                      <w:rFonts w:hint="eastAsia" w:ascii="Times New Roman" w:cs="Times New Roman"/>
                      <w:sz w:val="21"/>
                      <w:szCs w:val="21"/>
                      <w:lang w:val="en-US" w:eastAsia="zh-CN"/>
                    </w:rPr>
                    <w:t>化粪池排放口</w:t>
                  </w:r>
                </w:p>
              </w:tc>
              <w:tc>
                <w:tcPr>
                  <w:tcW w:w="899" w:type="pct"/>
                  <w:vAlign w:val="center"/>
                </w:tcPr>
                <w:p>
                  <w:pPr>
                    <w:pStyle w:val="31"/>
                    <w:snapToGrid w:val="0"/>
                    <w:spacing w:beforeAutospacing="0" w:afterAutospacing="0" w:line="240" w:lineRule="auto"/>
                    <w:ind w:firstLine="0" w:firstLineChars="0"/>
                    <w:jc w:val="center"/>
                    <w:rPr>
                      <w:rFonts w:hint="default" w:ascii="Times New Roman" w:hAnsi="Times New Roman" w:cs="Times New Roman"/>
                      <w:sz w:val="21"/>
                      <w:szCs w:val="21"/>
                    </w:rPr>
                  </w:pPr>
                  <w:r>
                    <w:rPr>
                      <w:rFonts w:hint="eastAsia" w:ascii="Times New Roman" w:hAnsi="Times New Roman" w:eastAsia="宋体" w:cs="Times New Roman"/>
                      <w:bCs/>
                      <w:sz w:val="21"/>
                      <w:szCs w:val="21"/>
                    </w:rPr>
                    <w:t>COD、BOD</w:t>
                  </w:r>
                  <w:r>
                    <w:rPr>
                      <w:rFonts w:hint="eastAsia" w:ascii="Times New Roman" w:hAnsi="Times New Roman" w:eastAsia="宋体" w:cs="Times New Roman"/>
                      <w:bCs/>
                      <w:sz w:val="21"/>
                      <w:szCs w:val="21"/>
                      <w:vertAlign w:val="subscript"/>
                    </w:rPr>
                    <w:t>5</w:t>
                  </w:r>
                  <w:r>
                    <w:rPr>
                      <w:rFonts w:hint="eastAsia" w:ascii="Times New Roman" w:hAnsi="Times New Roman" w:eastAsia="宋体" w:cs="Times New Roman"/>
                      <w:bCs/>
                      <w:sz w:val="21"/>
                      <w:szCs w:val="21"/>
                    </w:rPr>
                    <w:t>、SS、氨氮、动植物油</w:t>
                  </w:r>
                </w:p>
              </w:tc>
              <w:tc>
                <w:tcPr>
                  <w:tcW w:w="468" w:type="pct"/>
                  <w:vAlign w:val="center"/>
                </w:tcPr>
                <w:p>
                  <w:pPr>
                    <w:pStyle w:val="31"/>
                    <w:snapToGrid w:val="0"/>
                    <w:spacing w:beforeAutospacing="0" w:afterAutospacing="0" w:line="240" w:lineRule="auto"/>
                    <w:ind w:firstLine="0" w:firstLineChars="0"/>
                    <w:jc w:val="center"/>
                    <w:rPr>
                      <w:rFonts w:hint="default" w:ascii="Times New Roman" w:hAnsi="Times New Roman" w:cs="Times New Roman"/>
                      <w:sz w:val="21"/>
                      <w:szCs w:val="21"/>
                    </w:rPr>
                  </w:pPr>
                  <w:r>
                    <w:rPr>
                      <w:rFonts w:hint="default" w:ascii="Times New Roman" w:hAnsi="Times New Roman" w:eastAsia="宋体" w:cs="Times New Roman"/>
                      <w:sz w:val="21"/>
                      <w:szCs w:val="21"/>
                    </w:rPr>
                    <w:t>半年</w:t>
                  </w:r>
                  <w:r>
                    <w:rPr>
                      <w:rFonts w:hint="eastAsia" w:ascii="Times New Roman" w:hAnsi="Times New Roman" w:eastAsia="宋体" w:cs="Times New Roman"/>
                      <w:sz w:val="21"/>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0" w:type="pct"/>
                  <w:vMerge w:val="continue"/>
                  <w:vAlign w:val="center"/>
                </w:tcPr>
                <w:p>
                  <w:pPr>
                    <w:pStyle w:val="31"/>
                    <w:snapToGrid w:val="0"/>
                    <w:spacing w:beforeAutospacing="0" w:afterAutospacing="0" w:line="240" w:lineRule="auto"/>
                    <w:ind w:firstLine="31680"/>
                    <w:jc w:val="center"/>
                    <w:rPr>
                      <w:rFonts w:hint="default" w:ascii="Times New Roman" w:hAnsi="Times New Roman" w:cs="Times New Roman"/>
                      <w:sz w:val="21"/>
                      <w:szCs w:val="21"/>
                    </w:rPr>
                  </w:pPr>
                </w:p>
              </w:tc>
              <w:tc>
                <w:tcPr>
                  <w:tcW w:w="478" w:type="pct"/>
                  <w:vAlign w:val="center"/>
                </w:tcPr>
                <w:p>
                  <w:pPr>
                    <w:pStyle w:val="31"/>
                    <w:snapToGrid w:val="0"/>
                    <w:spacing w:beforeAutospacing="0" w:afterAutospacing="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废气</w:t>
                  </w:r>
                </w:p>
              </w:tc>
              <w:tc>
                <w:tcPr>
                  <w:tcW w:w="696" w:type="pct"/>
                  <w:vAlign w:val="center"/>
                </w:tcPr>
                <w:p>
                  <w:pPr>
                    <w:pStyle w:val="31"/>
                    <w:snapToGrid w:val="0"/>
                    <w:spacing w:beforeAutospacing="0" w:afterAutospacing="0" w:line="240" w:lineRule="auto"/>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施工扬尘</w:t>
                  </w:r>
                </w:p>
              </w:tc>
              <w:tc>
                <w:tcPr>
                  <w:tcW w:w="982" w:type="pct"/>
                  <w:vAlign w:val="center"/>
                </w:tcPr>
                <w:p>
                  <w:pPr>
                    <w:pStyle w:val="31"/>
                    <w:snapToGrid w:val="0"/>
                    <w:spacing w:beforeAutospacing="0" w:afterAutospacing="0" w:line="240" w:lineRule="auto"/>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工区四周设置围屏，场内定期洒水抑尘</w:t>
                  </w:r>
                </w:p>
              </w:tc>
              <w:tc>
                <w:tcPr>
                  <w:tcW w:w="1054" w:type="pct"/>
                  <w:vAlign w:val="center"/>
                </w:tcPr>
                <w:p>
                  <w:pPr>
                    <w:pStyle w:val="31"/>
                    <w:snapToGrid w:val="0"/>
                    <w:spacing w:beforeAutospacing="0" w:afterAutospacing="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各标段设置1个TSP监测点</w:t>
                  </w:r>
                </w:p>
              </w:tc>
              <w:tc>
                <w:tcPr>
                  <w:tcW w:w="899" w:type="pct"/>
                  <w:vAlign w:val="center"/>
                </w:tcPr>
                <w:p>
                  <w:pPr>
                    <w:pStyle w:val="31"/>
                    <w:snapToGrid w:val="0"/>
                    <w:spacing w:beforeAutospacing="0" w:afterAutospacing="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TSP</w:t>
                  </w:r>
                </w:p>
              </w:tc>
              <w:tc>
                <w:tcPr>
                  <w:tcW w:w="468" w:type="pct"/>
                  <w:vAlign w:val="center"/>
                </w:tcPr>
                <w:p>
                  <w:pPr>
                    <w:pStyle w:val="31"/>
                    <w:snapToGrid w:val="0"/>
                    <w:spacing w:beforeAutospacing="0" w:afterAutospacing="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1期/季度</w:t>
                  </w:r>
                </w:p>
              </w:tc>
            </w:tr>
          </w:tbl>
          <w:p>
            <w:pPr>
              <w:pStyle w:val="5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1" w:hRule="atLeast"/>
          <w:jc w:val="center"/>
        </w:trPr>
        <w:tc>
          <w:tcPr>
            <w:tcW w:w="533" w:type="pct"/>
            <w:vAlign w:val="center"/>
          </w:tcPr>
          <w:p>
            <w:pPr>
              <w:adjustRightInd w:val="0"/>
              <w:snapToGrid w:val="0"/>
              <w:spacing w:line="240" w:lineRule="auto"/>
              <w:ind w:firstLine="0" w:firstLineChars="0"/>
              <w:jc w:val="center"/>
              <w:rPr>
                <w:rFonts w:hAnsi="宋体"/>
                <w:b/>
                <w:bCs/>
                <w:color w:val="000000"/>
              </w:rPr>
            </w:pPr>
            <w:r>
              <w:rPr>
                <w:rFonts w:hint="eastAsia" w:hAnsi="宋体"/>
                <w:b/>
                <w:bCs/>
                <w:color w:val="000000"/>
              </w:rPr>
              <w:t>环保</w:t>
            </w:r>
          </w:p>
          <w:p>
            <w:pPr>
              <w:adjustRightInd w:val="0"/>
              <w:snapToGrid w:val="0"/>
              <w:spacing w:line="240" w:lineRule="auto"/>
              <w:ind w:firstLine="0" w:firstLineChars="0"/>
              <w:jc w:val="center"/>
              <w:rPr>
                <w:b/>
                <w:bCs/>
                <w:color w:val="FF0000"/>
                <w:spacing w:val="10"/>
              </w:rPr>
            </w:pPr>
            <w:r>
              <w:rPr>
                <w:rFonts w:hint="eastAsia" w:hAnsi="宋体"/>
                <w:b/>
                <w:bCs/>
                <w:color w:val="000000"/>
              </w:rPr>
              <w:t>投资</w:t>
            </w:r>
          </w:p>
        </w:tc>
        <w:tc>
          <w:tcPr>
            <w:tcW w:w="4466" w:type="pct"/>
          </w:tcPr>
          <w:p>
            <w:pPr>
              <w:snapToGrid w:val="0"/>
              <w:spacing w:line="360" w:lineRule="auto"/>
              <w:ind w:left="0" w:leftChars="0" w:firstLine="0" w:firstLineChars="0"/>
              <w:rPr>
                <w:rFonts w:hint="eastAsia" w:ascii="Times New Roman" w:hAnsi="宋体" w:cs="Times New Roman"/>
                <w:color w:val="000000"/>
              </w:rPr>
            </w:pPr>
            <w:r>
              <w:rPr>
                <w:rFonts w:hAnsi="宋体"/>
                <w:b/>
                <w:color w:val="000000"/>
              </w:rPr>
              <w:t>1</w:t>
            </w:r>
            <w:r>
              <w:rPr>
                <w:rFonts w:hint="eastAsia" w:hAnsi="宋体"/>
                <w:b/>
                <w:color w:val="000000"/>
              </w:rPr>
              <w:t>、环保投资</w:t>
            </w:r>
          </w:p>
          <w:p>
            <w:pPr>
              <w:snapToGrid w:val="0"/>
              <w:spacing w:line="360" w:lineRule="auto"/>
              <w:ind w:firstLine="31680"/>
              <w:rPr>
                <w:b/>
                <w:bCs/>
                <w:color w:val="000000"/>
              </w:rPr>
            </w:pPr>
            <w:r>
              <w:rPr>
                <w:rFonts w:hint="eastAsia" w:ascii="Times New Roman" w:hAnsi="宋体" w:cs="Times New Roman"/>
                <w:color w:val="000000"/>
              </w:rPr>
              <w:t>本项目总投资</w:t>
            </w:r>
            <w:r>
              <w:rPr>
                <w:rFonts w:hint="eastAsia" w:hAnsi="宋体"/>
                <w:color w:val="000000"/>
                <w:lang w:val="en-US" w:eastAsia="zh-CN"/>
              </w:rPr>
              <w:t>6100</w:t>
            </w:r>
            <w:r>
              <w:rPr>
                <w:rFonts w:hint="eastAsia" w:ascii="Times New Roman" w:hAnsi="宋体" w:cs="Times New Roman"/>
                <w:color w:val="000000"/>
                <w:lang w:val="en-US" w:eastAsia="zh-CN"/>
              </w:rPr>
              <w:t>万元</w:t>
            </w:r>
            <w:r>
              <w:rPr>
                <w:rFonts w:hint="eastAsia" w:ascii="Times New Roman" w:hAnsi="宋体" w:cs="Times New Roman"/>
                <w:color w:val="000000"/>
              </w:rPr>
              <w:t>，其中环保措施投资估算</w:t>
            </w:r>
            <w:r>
              <w:rPr>
                <w:rFonts w:hint="eastAsia" w:hAnsi="宋体" w:cs="Times New Roman"/>
                <w:color w:val="000000"/>
                <w:highlight w:val="none"/>
                <w:lang w:val="en-US" w:eastAsia="zh-CN"/>
              </w:rPr>
              <w:t>100</w:t>
            </w:r>
            <w:r>
              <w:rPr>
                <w:rFonts w:hint="eastAsia" w:ascii="Times New Roman" w:hAnsi="宋体" w:cs="Times New Roman"/>
                <w:color w:val="000000"/>
                <w:highlight w:val="none"/>
              </w:rPr>
              <w:t>万</w:t>
            </w:r>
            <w:r>
              <w:rPr>
                <w:rFonts w:hint="eastAsia" w:ascii="Times New Roman" w:hAnsi="宋体" w:cs="Times New Roman"/>
                <w:color w:val="000000"/>
              </w:rPr>
              <w:t>元，占总投资的</w:t>
            </w:r>
            <w:r>
              <w:rPr>
                <w:rFonts w:hint="eastAsia" w:hAnsi="宋体" w:cs="Times New Roman"/>
                <w:color w:val="000000"/>
                <w:lang w:val="en-US" w:eastAsia="zh-CN"/>
              </w:rPr>
              <w:t>1.64</w:t>
            </w:r>
            <w:r>
              <w:rPr>
                <w:rFonts w:hint="eastAsia" w:ascii="Times New Roman" w:hAnsi="宋体" w:cs="Times New Roman"/>
                <w:color w:val="000000"/>
                <w:lang w:val="en-US" w:eastAsia="zh-CN"/>
              </w:rPr>
              <w:t>%，详</w:t>
            </w:r>
            <w:r>
              <w:rPr>
                <w:rFonts w:hint="eastAsia" w:ascii="Times New Roman" w:hAnsi="宋体" w:cs="Times New Roman"/>
                <w:color w:val="000000"/>
              </w:rPr>
              <w:t>见表</w:t>
            </w:r>
            <w:r>
              <w:rPr>
                <w:color w:val="000000"/>
              </w:rPr>
              <w:t>5-</w:t>
            </w:r>
            <w:r>
              <w:rPr>
                <w:rFonts w:hint="eastAsia"/>
                <w:color w:val="000000"/>
                <w:lang w:val="en-US" w:eastAsia="zh-CN"/>
              </w:rPr>
              <w:t>2</w:t>
            </w:r>
            <w:r>
              <w:rPr>
                <w:rFonts w:hint="eastAsia" w:hAnsi="宋体"/>
                <w:color w:val="000000"/>
              </w:rPr>
              <w:t>。</w:t>
            </w:r>
          </w:p>
          <w:p>
            <w:pPr>
              <w:spacing w:line="240" w:lineRule="auto"/>
              <w:ind w:firstLine="31680"/>
              <w:jc w:val="center"/>
              <w:rPr>
                <w:rFonts w:hAnsi="宋体"/>
                <w:b/>
                <w:color w:val="000000"/>
                <w:spacing w:val="6"/>
                <w:sz w:val="21"/>
                <w:szCs w:val="21"/>
              </w:rPr>
            </w:pPr>
            <w:r>
              <w:rPr>
                <w:rFonts w:hint="eastAsia" w:hAnsi="宋体"/>
                <w:b/>
                <w:color w:val="000000"/>
                <w:spacing w:val="6"/>
                <w:sz w:val="21"/>
                <w:szCs w:val="21"/>
              </w:rPr>
              <w:t>表</w:t>
            </w:r>
            <w:r>
              <w:rPr>
                <w:rFonts w:hAnsi="宋体"/>
                <w:b/>
                <w:color w:val="000000"/>
                <w:spacing w:val="6"/>
                <w:sz w:val="21"/>
                <w:szCs w:val="21"/>
              </w:rPr>
              <w:t>5-</w:t>
            </w:r>
            <w:r>
              <w:rPr>
                <w:rFonts w:hint="eastAsia" w:hAnsi="宋体"/>
                <w:b/>
                <w:color w:val="000000"/>
                <w:spacing w:val="6"/>
                <w:sz w:val="21"/>
                <w:szCs w:val="21"/>
                <w:lang w:val="en-US" w:eastAsia="zh-CN"/>
              </w:rPr>
              <w:t>2</w:t>
            </w:r>
            <w:r>
              <w:rPr>
                <w:rFonts w:hAnsi="宋体"/>
                <w:b/>
                <w:color w:val="000000"/>
                <w:spacing w:val="6"/>
                <w:sz w:val="21"/>
                <w:szCs w:val="21"/>
              </w:rPr>
              <w:t xml:space="preserve"> </w:t>
            </w:r>
            <w:r>
              <w:rPr>
                <w:rFonts w:hint="eastAsia" w:hAnsi="宋体"/>
                <w:b/>
                <w:color w:val="000000"/>
                <w:spacing w:val="6"/>
                <w:sz w:val="21"/>
                <w:szCs w:val="21"/>
                <w:lang w:val="en-US" w:eastAsia="zh-CN"/>
              </w:rPr>
              <w:t xml:space="preserve">  </w:t>
            </w:r>
            <w:r>
              <w:rPr>
                <w:rFonts w:hAnsi="宋体"/>
                <w:b/>
                <w:color w:val="000000"/>
                <w:spacing w:val="6"/>
                <w:sz w:val="21"/>
                <w:szCs w:val="21"/>
              </w:rPr>
              <w:t xml:space="preserve"> </w:t>
            </w:r>
            <w:r>
              <w:rPr>
                <w:rFonts w:hint="eastAsia" w:hAnsi="宋体"/>
                <w:b/>
                <w:color w:val="000000"/>
                <w:spacing w:val="6"/>
                <w:sz w:val="21"/>
                <w:szCs w:val="21"/>
                <w:lang w:val="en-US" w:eastAsia="zh-CN"/>
              </w:rPr>
              <w:t xml:space="preserve"> </w:t>
            </w:r>
            <w:r>
              <w:rPr>
                <w:rFonts w:hAnsi="宋体"/>
                <w:b/>
                <w:color w:val="000000"/>
                <w:spacing w:val="6"/>
                <w:sz w:val="21"/>
                <w:szCs w:val="21"/>
              </w:rPr>
              <w:t xml:space="preserve">  </w:t>
            </w:r>
            <w:r>
              <w:rPr>
                <w:rFonts w:hint="eastAsia" w:hAnsi="宋体"/>
                <w:b/>
                <w:color w:val="000000"/>
                <w:spacing w:val="6"/>
                <w:sz w:val="21"/>
                <w:szCs w:val="21"/>
              </w:rPr>
              <w:t>环保投资费用估算表</w:t>
            </w: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119"/>
              <w:gridCol w:w="959"/>
              <w:gridCol w:w="1356"/>
              <w:gridCol w:w="2451"/>
              <w:gridCol w:w="1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tcPr>
                <w:p>
                  <w:pPr>
                    <w:pStyle w:val="53"/>
                    <w:spacing w:line="240" w:lineRule="auto"/>
                    <w:ind w:left="0" w:leftChars="0" w:firstLine="0" w:firstLineChars="0"/>
                    <w:jc w:val="center"/>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序号</w:t>
                  </w:r>
                </w:p>
              </w:tc>
              <w:tc>
                <w:tcPr>
                  <w:tcW w:w="722" w:type="pct"/>
                </w:tcPr>
                <w:p>
                  <w:pPr>
                    <w:pStyle w:val="53"/>
                    <w:spacing w:line="240" w:lineRule="auto"/>
                    <w:ind w:left="0" w:leftChars="0" w:firstLine="0" w:firstLineChars="0"/>
                    <w:jc w:val="center"/>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类别</w:t>
                  </w:r>
                </w:p>
              </w:tc>
              <w:tc>
                <w:tcPr>
                  <w:tcW w:w="1494" w:type="pct"/>
                  <w:gridSpan w:val="2"/>
                </w:tcPr>
                <w:p>
                  <w:pPr>
                    <w:pStyle w:val="53"/>
                    <w:spacing w:line="240" w:lineRule="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治理对象</w:t>
                  </w:r>
                </w:p>
              </w:tc>
              <w:tc>
                <w:tcPr>
                  <w:tcW w:w="1581" w:type="pct"/>
                </w:tcPr>
                <w:p>
                  <w:pPr>
                    <w:pStyle w:val="53"/>
                    <w:spacing w:line="240" w:lineRule="auto"/>
                    <w:ind w:left="0" w:leftChars="0" w:firstLine="0" w:firstLineChars="0"/>
                    <w:jc w:val="center"/>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治理措施</w:t>
                  </w:r>
                </w:p>
              </w:tc>
              <w:tc>
                <w:tcPr>
                  <w:tcW w:w="773" w:type="pct"/>
                </w:tcPr>
                <w:p>
                  <w:pPr>
                    <w:pStyle w:val="53"/>
                    <w:spacing w:line="240" w:lineRule="auto"/>
                    <w:ind w:left="0" w:leftChars="0" w:firstLine="0" w:firstLineChars="0"/>
                    <w:jc w:val="center"/>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环保投资</w:t>
                  </w:r>
                </w:p>
                <w:p>
                  <w:pPr>
                    <w:pStyle w:val="53"/>
                    <w:spacing w:line="240" w:lineRule="auto"/>
                    <w:ind w:left="0" w:leftChars="0" w:firstLine="0" w:firstLineChars="0"/>
                    <w:jc w:val="center"/>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28" w:type="pct"/>
                </w:tcPr>
                <w:p>
                  <w:pPr>
                    <w:pStyle w:val="53"/>
                    <w:spacing w:line="240" w:lineRule="auto"/>
                    <w:ind w:left="0" w:leftChars="0" w:firstLine="0" w:firstLineChars="0"/>
                    <w:jc w:val="center"/>
                    <w:rPr>
                      <w:rFonts w:hint="eastAsia"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1</w:t>
                  </w:r>
                </w:p>
              </w:tc>
              <w:tc>
                <w:tcPr>
                  <w:tcW w:w="722" w:type="pct"/>
                </w:tcPr>
                <w:p>
                  <w:pPr>
                    <w:pStyle w:val="53"/>
                    <w:spacing w:line="240" w:lineRule="auto"/>
                    <w:ind w:left="0" w:leftChars="0" w:firstLine="0" w:firstLineChars="0"/>
                    <w:jc w:val="center"/>
                    <w:rPr>
                      <w:rFonts w:hint="eastAsia"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废水</w:t>
                  </w:r>
                </w:p>
              </w:tc>
              <w:tc>
                <w:tcPr>
                  <w:tcW w:w="619" w:type="pct"/>
                  <w:vAlign w:val="top"/>
                </w:tcPr>
                <w:p>
                  <w:pPr>
                    <w:pStyle w:val="53"/>
                    <w:spacing w:line="240" w:lineRule="auto"/>
                    <w:ind w:left="0" w:leftChars="0" w:firstLine="0" w:firstLineChars="0"/>
                    <w:jc w:val="center"/>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施工期</w:t>
                  </w:r>
                </w:p>
              </w:tc>
              <w:tc>
                <w:tcPr>
                  <w:tcW w:w="875" w:type="pct"/>
                </w:tcPr>
                <w:p>
                  <w:pPr>
                    <w:pStyle w:val="53"/>
                    <w:spacing w:line="240" w:lineRule="auto"/>
                    <w:ind w:left="0" w:leftChars="0" w:firstLine="0" w:firstLineChars="0"/>
                    <w:jc w:val="center"/>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生活污水</w:t>
                  </w:r>
                </w:p>
              </w:tc>
              <w:tc>
                <w:tcPr>
                  <w:tcW w:w="1581" w:type="pct"/>
                </w:tcPr>
                <w:p>
                  <w:pPr>
                    <w:pStyle w:val="53"/>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vertAlign w:val="baseline"/>
                    </w:rPr>
                    <w:t>化粪池</w:t>
                  </w:r>
                </w:p>
              </w:tc>
              <w:tc>
                <w:tcPr>
                  <w:tcW w:w="773" w:type="pct"/>
                </w:tcPr>
                <w:p>
                  <w:pPr>
                    <w:pStyle w:val="53"/>
                    <w:spacing w:line="240" w:lineRule="auto"/>
                    <w:ind w:left="0" w:leftChars="0" w:firstLine="0" w:firstLineChars="0"/>
                    <w:jc w:val="center"/>
                    <w:rPr>
                      <w:rFonts w:hint="eastAsia"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tcPr>
                <w:p>
                  <w:pPr>
                    <w:pStyle w:val="53"/>
                    <w:spacing w:line="240" w:lineRule="auto"/>
                    <w:ind w:left="0" w:leftChars="0" w:firstLine="0" w:firstLineChars="0"/>
                    <w:jc w:val="center"/>
                    <w:rPr>
                      <w:rFonts w:hint="eastAsia"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2</w:t>
                  </w:r>
                </w:p>
              </w:tc>
              <w:tc>
                <w:tcPr>
                  <w:tcW w:w="722" w:type="pct"/>
                </w:tcPr>
                <w:p>
                  <w:pPr>
                    <w:pStyle w:val="53"/>
                    <w:spacing w:line="240" w:lineRule="auto"/>
                    <w:ind w:left="0" w:leftChars="0" w:firstLine="0" w:firstLineChars="0"/>
                    <w:jc w:val="center"/>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固体废物</w:t>
                  </w:r>
                </w:p>
              </w:tc>
              <w:tc>
                <w:tcPr>
                  <w:tcW w:w="619" w:type="pct"/>
                  <w:vAlign w:val="top"/>
                </w:tcPr>
                <w:p>
                  <w:pPr>
                    <w:pStyle w:val="53"/>
                    <w:spacing w:line="240" w:lineRule="auto"/>
                    <w:ind w:left="0" w:leftChars="0" w:firstLine="0" w:firstLineChars="0"/>
                    <w:jc w:val="center"/>
                    <w:rPr>
                      <w:rFonts w:hint="default" w:ascii="Times New Roman" w:cs="Times New Roman"/>
                      <w:sz w:val="21"/>
                      <w:szCs w:val="21"/>
                      <w:vertAlign w:val="baseline"/>
                      <w:lang w:val="en-US" w:eastAsia="zh-CN"/>
                    </w:rPr>
                  </w:pPr>
                  <w:r>
                    <w:rPr>
                      <w:rFonts w:hint="default" w:ascii="Times New Roman" w:cs="Times New Roman"/>
                      <w:sz w:val="21"/>
                      <w:szCs w:val="21"/>
                      <w:vertAlign w:val="baseline"/>
                      <w:lang w:val="en-US" w:eastAsia="zh-CN"/>
                    </w:rPr>
                    <w:t>施工期</w:t>
                  </w:r>
                </w:p>
              </w:tc>
              <w:tc>
                <w:tcPr>
                  <w:tcW w:w="875" w:type="pct"/>
                  <w:vAlign w:val="top"/>
                </w:tcPr>
                <w:p>
                  <w:pPr>
                    <w:pStyle w:val="53"/>
                    <w:spacing w:line="240" w:lineRule="auto"/>
                    <w:ind w:left="0" w:leftChars="0" w:firstLine="0" w:firstLineChars="0"/>
                    <w:jc w:val="center"/>
                    <w:rPr>
                      <w:rFonts w:hint="default" w:ascii="Times New Roman" w:cs="Times New Roman"/>
                      <w:sz w:val="21"/>
                      <w:szCs w:val="21"/>
                      <w:vertAlign w:val="baseline"/>
                      <w:lang w:val="en-US" w:eastAsia="zh-CN"/>
                    </w:rPr>
                  </w:pPr>
                  <w:r>
                    <w:rPr>
                      <w:rFonts w:hint="default" w:ascii="Times New Roman" w:cs="Times New Roman"/>
                      <w:sz w:val="21"/>
                      <w:szCs w:val="21"/>
                      <w:vertAlign w:val="baseline"/>
                      <w:lang w:val="en-US" w:eastAsia="zh-CN"/>
                    </w:rPr>
                    <w:t>土石方、建筑垃圾等</w:t>
                  </w:r>
                  <w:r>
                    <w:rPr>
                      <w:rFonts w:hint="eastAsia" w:ascii="Times New Roman" w:cs="Times New Roman"/>
                      <w:sz w:val="21"/>
                      <w:szCs w:val="21"/>
                      <w:vertAlign w:val="baseline"/>
                      <w:lang w:val="en-US" w:eastAsia="zh-CN"/>
                    </w:rPr>
                    <w:t>、生活垃圾</w:t>
                  </w:r>
                </w:p>
              </w:tc>
              <w:tc>
                <w:tcPr>
                  <w:tcW w:w="1581" w:type="pct"/>
                </w:tcPr>
                <w:p>
                  <w:pPr>
                    <w:pStyle w:val="53"/>
                    <w:spacing w:line="240" w:lineRule="auto"/>
                    <w:ind w:left="0" w:leftChars="0" w:firstLine="0" w:firstLineChars="0"/>
                    <w:jc w:val="center"/>
                    <w:rPr>
                      <w:rFonts w:hint="default" w:ascii="Times New Roman" w:hAnsi="Times New Roman" w:cs="Times New Roman"/>
                      <w:sz w:val="21"/>
                      <w:szCs w:val="21"/>
                      <w:vertAlign w:val="baseline"/>
                    </w:rPr>
                  </w:pPr>
                  <w:r>
                    <w:rPr>
                      <w:rFonts w:hint="eastAsia" w:ascii="Times New Roman" w:cs="Times New Roman"/>
                      <w:sz w:val="21"/>
                      <w:szCs w:val="21"/>
                      <w:vertAlign w:val="baseline"/>
                      <w:lang w:val="en-US" w:eastAsia="zh-CN"/>
                    </w:rPr>
                    <w:t>生活垃圾收集设施、建筑垃圾收集设施、生活垃圾处置费用、建筑垃圾处置费用</w:t>
                  </w:r>
                </w:p>
              </w:tc>
              <w:tc>
                <w:tcPr>
                  <w:tcW w:w="773" w:type="pct"/>
                </w:tcPr>
                <w:p>
                  <w:pPr>
                    <w:pStyle w:val="53"/>
                    <w:spacing w:line="24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eastAsia" w:ascii="Times New Roman" w:cs="Times New Roman"/>
                      <w:sz w:val="21"/>
                      <w:szCs w:val="21"/>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8" w:type="pct"/>
                </w:tcPr>
                <w:p>
                  <w:pPr>
                    <w:pStyle w:val="53"/>
                    <w:spacing w:line="240" w:lineRule="auto"/>
                    <w:ind w:left="0" w:leftChars="0" w:firstLine="0" w:firstLineChars="0"/>
                    <w:jc w:val="center"/>
                    <w:rPr>
                      <w:rFonts w:hint="eastAsia"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3</w:t>
                  </w:r>
                </w:p>
              </w:tc>
              <w:tc>
                <w:tcPr>
                  <w:tcW w:w="722" w:type="pct"/>
                </w:tcPr>
                <w:p>
                  <w:pPr>
                    <w:pStyle w:val="53"/>
                    <w:spacing w:line="240" w:lineRule="auto"/>
                    <w:ind w:left="0" w:leftChars="0" w:firstLine="0" w:firstLineChars="0"/>
                    <w:jc w:val="center"/>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废气治理</w:t>
                  </w:r>
                </w:p>
              </w:tc>
              <w:tc>
                <w:tcPr>
                  <w:tcW w:w="619" w:type="pct"/>
                  <w:vAlign w:val="top"/>
                </w:tcPr>
                <w:p>
                  <w:pPr>
                    <w:pStyle w:val="53"/>
                    <w:spacing w:line="240" w:lineRule="auto"/>
                    <w:ind w:left="0" w:leftChars="0" w:firstLine="0" w:firstLineChars="0"/>
                    <w:jc w:val="center"/>
                    <w:rPr>
                      <w:rFonts w:hint="default" w:ascii="Times New Roman" w:cs="Times New Roman"/>
                      <w:sz w:val="21"/>
                      <w:szCs w:val="21"/>
                      <w:vertAlign w:val="baseline"/>
                      <w:lang w:val="en-US" w:eastAsia="zh-CN"/>
                    </w:rPr>
                  </w:pPr>
                  <w:r>
                    <w:rPr>
                      <w:rFonts w:hint="default" w:ascii="Times New Roman" w:cs="Times New Roman"/>
                      <w:sz w:val="21"/>
                      <w:szCs w:val="21"/>
                      <w:vertAlign w:val="baseline"/>
                      <w:lang w:val="en-US" w:eastAsia="zh-CN"/>
                    </w:rPr>
                    <w:t>施工期</w:t>
                  </w:r>
                </w:p>
              </w:tc>
              <w:tc>
                <w:tcPr>
                  <w:tcW w:w="875" w:type="pct"/>
                </w:tcPr>
                <w:p>
                  <w:pPr>
                    <w:pStyle w:val="53"/>
                    <w:spacing w:line="240" w:lineRule="auto"/>
                    <w:ind w:left="0" w:leftChars="0" w:firstLine="0" w:firstLineChars="0"/>
                    <w:jc w:val="center"/>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施工废气</w:t>
                  </w:r>
                </w:p>
              </w:tc>
              <w:tc>
                <w:tcPr>
                  <w:tcW w:w="1581" w:type="pct"/>
                </w:tcPr>
                <w:p>
                  <w:pPr>
                    <w:pStyle w:val="53"/>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vertAlign w:val="baseline"/>
                    </w:rPr>
                    <w:t>设置封闭围挡、施工场地定期洒水</w:t>
                  </w:r>
                </w:p>
              </w:tc>
              <w:tc>
                <w:tcPr>
                  <w:tcW w:w="773" w:type="pct"/>
                </w:tcPr>
                <w:p>
                  <w:pPr>
                    <w:pStyle w:val="53"/>
                    <w:spacing w:line="24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428" w:type="pct"/>
                </w:tcPr>
                <w:p>
                  <w:pPr>
                    <w:pStyle w:val="53"/>
                    <w:spacing w:line="240" w:lineRule="auto"/>
                    <w:ind w:left="0" w:leftChars="0" w:firstLine="0" w:firstLineChars="0"/>
                    <w:jc w:val="center"/>
                    <w:rPr>
                      <w:rFonts w:hint="eastAsia"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4</w:t>
                  </w:r>
                </w:p>
              </w:tc>
              <w:tc>
                <w:tcPr>
                  <w:tcW w:w="722" w:type="pct"/>
                </w:tcPr>
                <w:p>
                  <w:pPr>
                    <w:pStyle w:val="53"/>
                    <w:spacing w:line="240" w:lineRule="auto"/>
                    <w:ind w:left="0" w:leftChars="0" w:firstLine="0" w:firstLineChars="0"/>
                    <w:jc w:val="center"/>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噪声治理</w:t>
                  </w:r>
                </w:p>
              </w:tc>
              <w:tc>
                <w:tcPr>
                  <w:tcW w:w="619" w:type="pct"/>
                  <w:vAlign w:val="top"/>
                </w:tcPr>
                <w:p>
                  <w:pPr>
                    <w:pStyle w:val="53"/>
                    <w:spacing w:line="240" w:lineRule="auto"/>
                    <w:ind w:left="0" w:leftChars="0" w:firstLine="0" w:firstLineChars="0"/>
                    <w:jc w:val="center"/>
                    <w:rPr>
                      <w:rFonts w:hint="default" w:ascii="Times New Roman" w:cs="Times New Roman"/>
                      <w:sz w:val="21"/>
                      <w:szCs w:val="21"/>
                      <w:vertAlign w:val="baseline"/>
                      <w:lang w:val="en-US" w:eastAsia="zh-CN"/>
                    </w:rPr>
                  </w:pPr>
                  <w:r>
                    <w:rPr>
                      <w:rFonts w:hint="default" w:ascii="Times New Roman" w:cs="Times New Roman"/>
                      <w:sz w:val="21"/>
                      <w:szCs w:val="21"/>
                      <w:vertAlign w:val="baseline"/>
                      <w:lang w:val="en-US" w:eastAsia="zh-CN"/>
                    </w:rPr>
                    <w:t>施工期</w:t>
                  </w:r>
                </w:p>
              </w:tc>
              <w:tc>
                <w:tcPr>
                  <w:tcW w:w="875" w:type="pct"/>
                </w:tcPr>
                <w:p>
                  <w:pPr>
                    <w:pStyle w:val="53"/>
                    <w:spacing w:line="240" w:lineRule="auto"/>
                    <w:ind w:left="0" w:leftChars="0" w:firstLine="0" w:firstLineChars="0"/>
                    <w:jc w:val="center"/>
                    <w:rPr>
                      <w:rFonts w:hint="default" w:ascii="Times New Roman" w:cs="Times New Roman"/>
                      <w:sz w:val="21"/>
                      <w:szCs w:val="21"/>
                      <w:vertAlign w:val="baseline"/>
                      <w:lang w:val="en-US" w:eastAsia="zh-CN"/>
                    </w:rPr>
                  </w:pPr>
                  <w:r>
                    <w:rPr>
                      <w:rFonts w:hint="default" w:ascii="Times New Roman" w:cs="Times New Roman"/>
                      <w:sz w:val="21"/>
                      <w:szCs w:val="21"/>
                      <w:vertAlign w:val="baseline"/>
                      <w:lang w:val="en-US" w:eastAsia="zh-CN"/>
                    </w:rPr>
                    <w:t>施工机械</w:t>
                  </w:r>
                </w:p>
              </w:tc>
              <w:tc>
                <w:tcPr>
                  <w:tcW w:w="1581" w:type="pct"/>
                </w:tcPr>
                <w:p>
                  <w:pPr>
                    <w:pStyle w:val="53"/>
                    <w:spacing w:line="240" w:lineRule="auto"/>
                    <w:ind w:left="0" w:leftChars="0" w:firstLine="0" w:firstLineChars="0"/>
                    <w:jc w:val="center"/>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设置封闭围挡，禁止夜间施工</w:t>
                  </w:r>
                </w:p>
              </w:tc>
              <w:tc>
                <w:tcPr>
                  <w:tcW w:w="773" w:type="pct"/>
                </w:tcPr>
                <w:p>
                  <w:pPr>
                    <w:pStyle w:val="53"/>
                    <w:spacing w:line="240" w:lineRule="auto"/>
                    <w:ind w:left="0" w:leftChars="0" w:firstLine="0" w:firstLineChars="0"/>
                    <w:jc w:val="center"/>
                    <w:rPr>
                      <w:rFonts w:hint="eastAsia" w:ascii="Times New Roman" w:hAnsi="Times New Roman" w:cs="Times New Roman"/>
                      <w:sz w:val="21"/>
                      <w:szCs w:val="21"/>
                      <w:vertAlign w:val="baseline"/>
                      <w:lang w:val="en-US" w:eastAsia="zh-CN"/>
                    </w:rPr>
                  </w:pPr>
                  <w:r>
                    <w:rPr>
                      <w:rFonts w:hint="eastAsia" w:ascii="Times New Roman" w:cs="Times New Roman"/>
                      <w:sz w:val="21"/>
                      <w:szCs w:val="21"/>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tcPr>
                <w:p>
                  <w:pPr>
                    <w:pStyle w:val="53"/>
                    <w:spacing w:line="240" w:lineRule="auto"/>
                    <w:ind w:left="0" w:leftChars="0" w:firstLine="0" w:firstLineChars="0"/>
                    <w:jc w:val="center"/>
                    <w:rPr>
                      <w:rFonts w:hint="eastAsia"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5</w:t>
                  </w:r>
                </w:p>
              </w:tc>
              <w:tc>
                <w:tcPr>
                  <w:tcW w:w="722" w:type="pct"/>
                </w:tcPr>
                <w:p>
                  <w:pPr>
                    <w:pStyle w:val="53"/>
                    <w:spacing w:line="240" w:lineRule="auto"/>
                    <w:ind w:left="0" w:leftChars="0" w:firstLine="0" w:firstLineChars="0"/>
                    <w:jc w:val="center"/>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绿化</w:t>
                  </w:r>
                </w:p>
              </w:tc>
              <w:tc>
                <w:tcPr>
                  <w:tcW w:w="1494" w:type="pct"/>
                  <w:gridSpan w:val="2"/>
                </w:tcPr>
                <w:p>
                  <w:pPr>
                    <w:pStyle w:val="53"/>
                    <w:spacing w:line="240" w:lineRule="auto"/>
                    <w:ind w:left="0" w:leftChars="0" w:firstLine="0" w:firstLineChars="0"/>
                    <w:jc w:val="center"/>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渠道沿线</w:t>
                  </w:r>
                  <w:r>
                    <w:rPr>
                      <w:rFonts w:hint="default" w:ascii="Times New Roman" w:cs="Times New Roman"/>
                      <w:sz w:val="21"/>
                      <w:szCs w:val="21"/>
                      <w:vertAlign w:val="baseline"/>
                      <w:lang w:val="en-US" w:eastAsia="zh-CN"/>
                    </w:rPr>
                    <w:t>绿化</w:t>
                  </w:r>
                </w:p>
              </w:tc>
              <w:tc>
                <w:tcPr>
                  <w:tcW w:w="1581" w:type="pct"/>
                </w:tcPr>
                <w:p>
                  <w:pPr>
                    <w:pStyle w:val="53"/>
                    <w:spacing w:line="240" w:lineRule="auto"/>
                    <w:ind w:left="0" w:leftChars="0" w:firstLine="0" w:firstLineChars="0"/>
                    <w:jc w:val="center"/>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种植绿化树种</w:t>
                  </w:r>
                </w:p>
              </w:tc>
              <w:tc>
                <w:tcPr>
                  <w:tcW w:w="773" w:type="pct"/>
                </w:tcPr>
                <w:p>
                  <w:pPr>
                    <w:pStyle w:val="53"/>
                    <w:spacing w:line="24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restart"/>
                </w:tcPr>
                <w:p>
                  <w:pPr>
                    <w:pStyle w:val="53"/>
                    <w:spacing w:line="24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6</w:t>
                  </w:r>
                </w:p>
              </w:tc>
              <w:tc>
                <w:tcPr>
                  <w:tcW w:w="722" w:type="pct"/>
                  <w:vMerge w:val="restart"/>
                </w:tcPr>
                <w:p>
                  <w:pPr>
                    <w:pStyle w:val="53"/>
                    <w:spacing w:line="240" w:lineRule="auto"/>
                    <w:ind w:left="0" w:leftChars="0" w:firstLine="0" w:firstLineChars="0"/>
                    <w:jc w:val="center"/>
                    <w:rPr>
                      <w:rFonts w:hint="eastAsia" w:ascii="Times New Roman" w:hAnsi="Times New Roman" w:eastAsia="宋体" w:cs="Times New Roman"/>
                      <w:sz w:val="21"/>
                      <w:szCs w:val="21"/>
                      <w:vertAlign w:val="baseline"/>
                      <w:lang w:val="en-US" w:eastAsia="zh-CN"/>
                    </w:rPr>
                  </w:pPr>
                  <w:r>
                    <w:rPr>
                      <w:rFonts w:hint="eastAsia" w:ascii="Times New Roman" w:cs="Times New Roman"/>
                      <w:sz w:val="21"/>
                      <w:szCs w:val="21"/>
                      <w:vertAlign w:val="baseline"/>
                      <w:lang w:val="en-US" w:eastAsia="zh-CN"/>
                    </w:rPr>
                    <w:t>其他</w:t>
                  </w:r>
                </w:p>
              </w:tc>
              <w:tc>
                <w:tcPr>
                  <w:tcW w:w="3075" w:type="pct"/>
                  <w:gridSpan w:val="3"/>
                </w:tcPr>
                <w:p>
                  <w:pPr>
                    <w:pStyle w:val="53"/>
                    <w:spacing w:line="240" w:lineRule="auto"/>
                    <w:jc w:val="center"/>
                    <w:rPr>
                      <w:rFonts w:hint="eastAsia" w:ascii="Times New Roman" w:hAnsi="Times New Roman" w:eastAsia="宋体" w:cs="Times New Roman"/>
                      <w:sz w:val="21"/>
                      <w:szCs w:val="21"/>
                      <w:vertAlign w:val="baseline"/>
                      <w:lang w:eastAsia="zh-CN"/>
                    </w:rPr>
                  </w:pPr>
                  <w:r>
                    <w:rPr>
                      <w:rFonts w:hint="default" w:ascii="Times New Roman" w:cs="Times New Roman"/>
                      <w:sz w:val="21"/>
                      <w:szCs w:val="21"/>
                      <w:vertAlign w:val="baseline"/>
                      <w:lang w:val="en-US" w:eastAsia="zh-CN"/>
                    </w:rPr>
                    <w:t>环境管理费</w:t>
                  </w:r>
                </w:p>
              </w:tc>
              <w:tc>
                <w:tcPr>
                  <w:tcW w:w="773" w:type="pct"/>
                </w:tcPr>
                <w:p>
                  <w:pPr>
                    <w:pStyle w:val="53"/>
                    <w:spacing w:line="24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continue"/>
                </w:tcPr>
                <w:p>
                  <w:pPr>
                    <w:pStyle w:val="53"/>
                    <w:spacing w:line="240" w:lineRule="auto"/>
                    <w:jc w:val="center"/>
                    <w:rPr>
                      <w:rFonts w:hint="default" w:ascii="Times New Roman" w:hAnsi="Times New Roman" w:cs="Times New Roman"/>
                      <w:sz w:val="21"/>
                      <w:szCs w:val="21"/>
                      <w:vertAlign w:val="baseline"/>
                    </w:rPr>
                  </w:pPr>
                </w:p>
              </w:tc>
              <w:tc>
                <w:tcPr>
                  <w:tcW w:w="722" w:type="pct"/>
                  <w:vMerge w:val="continue"/>
                </w:tcPr>
                <w:p>
                  <w:pPr>
                    <w:pStyle w:val="53"/>
                    <w:spacing w:line="240" w:lineRule="auto"/>
                    <w:jc w:val="center"/>
                    <w:rPr>
                      <w:rFonts w:hint="default" w:ascii="Times New Roman" w:hAnsi="Times New Roman" w:cs="Times New Roman"/>
                      <w:sz w:val="21"/>
                      <w:szCs w:val="21"/>
                      <w:vertAlign w:val="baseline"/>
                    </w:rPr>
                  </w:pPr>
                </w:p>
              </w:tc>
              <w:tc>
                <w:tcPr>
                  <w:tcW w:w="3075" w:type="pct"/>
                  <w:gridSpan w:val="3"/>
                </w:tcPr>
                <w:p>
                  <w:pPr>
                    <w:pStyle w:val="53"/>
                    <w:spacing w:line="240" w:lineRule="auto"/>
                    <w:jc w:val="center"/>
                    <w:rPr>
                      <w:rFonts w:hint="default" w:ascii="Times New Roman" w:hAnsi="Times New Roman" w:cs="Times New Roman"/>
                      <w:sz w:val="21"/>
                      <w:szCs w:val="21"/>
                      <w:vertAlign w:val="baseline"/>
                    </w:rPr>
                  </w:pPr>
                  <w:r>
                    <w:rPr>
                      <w:rFonts w:hint="default" w:ascii="Times New Roman" w:cs="Times New Roman"/>
                      <w:sz w:val="21"/>
                      <w:szCs w:val="21"/>
                      <w:vertAlign w:val="baseline"/>
                      <w:lang w:val="en-US" w:eastAsia="zh-CN"/>
                    </w:rPr>
                    <w:t>竣工环境保护调查费</w:t>
                  </w:r>
                </w:p>
              </w:tc>
              <w:tc>
                <w:tcPr>
                  <w:tcW w:w="773" w:type="pct"/>
                </w:tcPr>
                <w:p>
                  <w:pPr>
                    <w:pStyle w:val="53"/>
                    <w:spacing w:line="24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6" w:type="pct"/>
                  <w:gridSpan w:val="5"/>
                  <w:vAlign w:val="top"/>
                </w:tcPr>
                <w:p>
                  <w:pPr>
                    <w:pStyle w:val="53"/>
                    <w:spacing w:line="240" w:lineRule="auto"/>
                    <w:ind w:firstLine="420" w:firstLineChars="200"/>
                    <w:jc w:val="center"/>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合计</w:t>
                  </w:r>
                </w:p>
              </w:tc>
              <w:tc>
                <w:tcPr>
                  <w:tcW w:w="773" w:type="pct"/>
                  <w:vAlign w:val="top"/>
                </w:tcPr>
                <w:p>
                  <w:pPr>
                    <w:pStyle w:val="53"/>
                    <w:spacing w:line="240" w:lineRule="auto"/>
                    <w:ind w:left="0" w:leftChars="0" w:firstLine="0" w:firstLineChars="0"/>
                    <w:jc w:val="center"/>
                    <w:rPr>
                      <w:rFonts w:hint="eastAsia" w:ascii="Times New Roman" w:cs="Times New Roman"/>
                      <w:sz w:val="21"/>
                      <w:szCs w:val="21"/>
                      <w:highlight w:val="none"/>
                      <w:vertAlign w:val="baseline"/>
                      <w:lang w:val="en-US" w:eastAsia="zh-CN"/>
                    </w:rPr>
                  </w:pPr>
                  <w:r>
                    <w:rPr>
                      <w:rFonts w:hint="eastAsia" w:ascii="Times New Roman" w:cs="Times New Roman"/>
                      <w:sz w:val="21"/>
                      <w:szCs w:val="21"/>
                      <w:highlight w:val="none"/>
                      <w:vertAlign w:val="baseline"/>
                      <w:lang w:val="en-US" w:eastAsia="zh-CN"/>
                    </w:rPr>
                    <w:t>100</w:t>
                  </w:r>
                </w:p>
              </w:tc>
            </w:tr>
          </w:tbl>
          <w:p>
            <w:pPr>
              <w:ind w:firstLine="0" w:firstLineChars="0"/>
            </w:pPr>
          </w:p>
        </w:tc>
      </w:tr>
    </w:tbl>
    <w:p>
      <w:pPr>
        <w:ind w:firstLine="31680"/>
        <w:rPr>
          <w:color w:val="FF0000"/>
        </w:rPr>
        <w:sectPr>
          <w:pgSz w:w="11907" w:h="16840"/>
          <w:pgMar w:top="1588" w:right="1559" w:bottom="1588" w:left="1559" w:header="851" w:footer="1077" w:gutter="0"/>
          <w:cols w:space="720" w:num="1"/>
          <w:docGrid w:linePitch="312" w:charSpace="0"/>
        </w:sectPr>
      </w:pPr>
    </w:p>
    <w:p>
      <w:pPr>
        <w:pStyle w:val="31"/>
        <w:tabs>
          <w:tab w:val="left" w:pos="6412"/>
        </w:tabs>
        <w:snapToGrid w:val="0"/>
        <w:spacing w:beforeAutospacing="0" w:afterLines="50" w:afterAutospacing="0" w:line="240" w:lineRule="auto"/>
        <w:ind w:firstLine="0" w:firstLineChars="0"/>
        <w:jc w:val="center"/>
        <w:outlineLvl w:val="0"/>
        <w:rPr>
          <w:rFonts w:hint="default" w:ascii="Times New Roman" w:hAnsi="Times New Roman" w:eastAsia="宋体" w:cs="Times New Roman"/>
          <w:b/>
          <w:bCs/>
          <w:snapToGrid w:val="0"/>
          <w:color w:val="000000"/>
          <w:sz w:val="30"/>
          <w:szCs w:val="30"/>
        </w:rPr>
      </w:pPr>
      <w:bookmarkStart w:id="14" w:name="_Toc108783490"/>
      <w:bookmarkStart w:id="15" w:name="_Toc2643"/>
      <w:bookmarkStart w:id="16" w:name="_Toc108783491"/>
      <w:r>
        <w:rPr>
          <w:rFonts w:hint="default" w:ascii="Times New Roman" w:hAnsi="Times New Roman" w:eastAsia="宋体" w:cs="Times New Roman"/>
          <w:b/>
          <w:bCs/>
          <w:snapToGrid w:val="0"/>
          <w:color w:val="000000"/>
          <w:sz w:val="30"/>
          <w:szCs w:val="30"/>
        </w:rPr>
        <w:t>六、生态环境保护措施监督检查清单</w:t>
      </w:r>
      <w:bookmarkEnd w:id="14"/>
      <w:bookmarkEnd w:id="15"/>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2545"/>
        <w:gridCol w:w="2005"/>
        <w:gridCol w:w="1693"/>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08" w:type="pct"/>
            <w:vMerge w:val="restart"/>
            <w:tcBorders>
              <w:tl2br w:val="single" w:color="auto" w:sz="4" w:space="0"/>
            </w:tcBorders>
            <w:vAlign w:val="center"/>
          </w:tcPr>
          <w:p>
            <w:pPr>
              <w:snapToGrid w:val="0"/>
              <w:spacing w:line="240" w:lineRule="auto"/>
              <w:ind w:left="31680" w:hanging="308" w:hangingChars="147"/>
              <w:jc w:val="center"/>
              <w:outlineLvl w:val="9"/>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 xml:space="preserve">   内容</w:t>
            </w:r>
          </w:p>
          <w:p>
            <w:pPr>
              <w:snapToGrid w:val="0"/>
              <w:spacing w:line="240" w:lineRule="auto"/>
              <w:ind w:firstLine="0" w:firstLineChars="0"/>
              <w:outlineLvl w:val="9"/>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要素</w:t>
            </w:r>
          </w:p>
        </w:tc>
        <w:tc>
          <w:tcPr>
            <w:tcW w:w="2526" w:type="pct"/>
            <w:gridSpan w:val="2"/>
            <w:vAlign w:val="center"/>
          </w:tcPr>
          <w:p>
            <w:pPr>
              <w:snapToGrid w:val="0"/>
              <w:spacing w:line="240" w:lineRule="auto"/>
              <w:ind w:firstLine="0" w:firstLineChars="0"/>
              <w:jc w:val="center"/>
              <w:outlineLvl w:val="9"/>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施工期</w:t>
            </w:r>
          </w:p>
        </w:tc>
        <w:tc>
          <w:tcPr>
            <w:tcW w:w="1965" w:type="pct"/>
            <w:gridSpan w:val="2"/>
            <w:vAlign w:val="center"/>
          </w:tcPr>
          <w:p>
            <w:pPr>
              <w:snapToGrid w:val="0"/>
              <w:spacing w:line="240" w:lineRule="auto"/>
              <w:ind w:firstLine="0" w:firstLineChars="0"/>
              <w:jc w:val="center"/>
              <w:outlineLvl w:val="9"/>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运营期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8" w:type="pct"/>
            <w:vMerge w:val="continue"/>
            <w:vAlign w:val="center"/>
          </w:tcPr>
          <w:p>
            <w:pPr>
              <w:snapToGrid w:val="0"/>
              <w:spacing w:line="240" w:lineRule="auto"/>
              <w:ind w:firstLine="31680"/>
              <w:jc w:val="center"/>
              <w:outlineLvl w:val="9"/>
              <w:rPr>
                <w:rFonts w:hint="default" w:ascii="Times New Roman" w:hAnsi="Times New Roman" w:eastAsia="宋体" w:cs="Times New Roman"/>
                <w:b w:val="0"/>
                <w:bCs/>
                <w:color w:val="000000"/>
                <w:sz w:val="21"/>
                <w:szCs w:val="21"/>
              </w:rPr>
            </w:pPr>
          </w:p>
        </w:tc>
        <w:tc>
          <w:tcPr>
            <w:tcW w:w="1413" w:type="pct"/>
            <w:vAlign w:val="center"/>
          </w:tcPr>
          <w:p>
            <w:pPr>
              <w:snapToGrid w:val="0"/>
              <w:spacing w:line="240" w:lineRule="auto"/>
              <w:ind w:firstLine="0" w:firstLineChars="0"/>
              <w:jc w:val="center"/>
              <w:outlineLvl w:val="9"/>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环境保护措施</w:t>
            </w:r>
          </w:p>
        </w:tc>
        <w:tc>
          <w:tcPr>
            <w:tcW w:w="1113" w:type="pct"/>
            <w:vAlign w:val="center"/>
          </w:tcPr>
          <w:p>
            <w:pPr>
              <w:snapToGrid w:val="0"/>
              <w:spacing w:line="240" w:lineRule="auto"/>
              <w:ind w:firstLine="0" w:firstLineChars="0"/>
              <w:jc w:val="center"/>
              <w:outlineLvl w:val="9"/>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验收要求</w:t>
            </w:r>
          </w:p>
        </w:tc>
        <w:tc>
          <w:tcPr>
            <w:tcW w:w="940" w:type="pct"/>
            <w:vAlign w:val="center"/>
          </w:tcPr>
          <w:p>
            <w:pPr>
              <w:snapToGrid w:val="0"/>
              <w:spacing w:line="240" w:lineRule="auto"/>
              <w:ind w:firstLine="0" w:firstLineChars="0"/>
              <w:jc w:val="center"/>
              <w:outlineLvl w:val="9"/>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环境保护措施</w:t>
            </w:r>
          </w:p>
        </w:tc>
        <w:tc>
          <w:tcPr>
            <w:tcW w:w="1025" w:type="pct"/>
            <w:vAlign w:val="center"/>
          </w:tcPr>
          <w:p>
            <w:pPr>
              <w:snapToGrid w:val="0"/>
              <w:spacing w:line="240" w:lineRule="auto"/>
              <w:ind w:firstLine="0" w:firstLineChars="0"/>
              <w:jc w:val="center"/>
              <w:outlineLvl w:val="9"/>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508" w:type="pct"/>
            <w:vAlign w:val="center"/>
          </w:tcPr>
          <w:p>
            <w:pPr>
              <w:adjustRightInd w:val="0"/>
              <w:snapToGrid w:val="0"/>
              <w:spacing w:line="240" w:lineRule="auto"/>
              <w:ind w:firstLine="0" w:firstLineChars="0"/>
              <w:jc w:val="center"/>
              <w:outlineLvl w:val="9"/>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陆生</w:t>
            </w:r>
          </w:p>
          <w:p>
            <w:pPr>
              <w:adjustRightInd w:val="0"/>
              <w:snapToGrid w:val="0"/>
              <w:spacing w:line="240" w:lineRule="auto"/>
              <w:ind w:firstLine="0" w:firstLineChars="0"/>
              <w:jc w:val="center"/>
              <w:outlineLvl w:val="9"/>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生态</w:t>
            </w:r>
          </w:p>
        </w:tc>
        <w:tc>
          <w:tcPr>
            <w:tcW w:w="1413" w:type="pct"/>
            <w:vAlign w:val="center"/>
          </w:tcPr>
          <w:p>
            <w:pPr>
              <w:adjustRightInd w:val="0"/>
              <w:snapToGrid w:val="0"/>
              <w:spacing w:line="240" w:lineRule="auto"/>
              <w:ind w:firstLine="0" w:firstLineChars="0"/>
              <w:jc w:val="center"/>
              <w:outlineLvl w:val="9"/>
              <w:rPr>
                <w:rFonts w:hint="eastAsia"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rPr>
              <w:t>表土剥离，堆料场周围设置围埝拦挡、临时排水沟、临时沉砂池、绿化覆盖等，施工期结束后及时对临时占地进行回填、生态恢复和绿化</w:t>
            </w:r>
            <w:r>
              <w:rPr>
                <w:rFonts w:hint="eastAsia" w:cs="Times New Roman"/>
                <w:b w:val="0"/>
                <w:bCs/>
                <w:color w:val="000000"/>
                <w:sz w:val="21"/>
                <w:szCs w:val="21"/>
                <w:lang w:eastAsia="zh-CN"/>
              </w:rPr>
              <w:t>。</w:t>
            </w:r>
          </w:p>
        </w:tc>
        <w:tc>
          <w:tcPr>
            <w:tcW w:w="1113" w:type="pct"/>
            <w:vAlign w:val="center"/>
          </w:tcPr>
          <w:p>
            <w:pPr>
              <w:adjustRightInd w:val="0"/>
              <w:snapToGrid w:val="0"/>
              <w:spacing w:line="240" w:lineRule="auto"/>
              <w:ind w:firstLine="0" w:firstLineChars="0"/>
              <w:jc w:val="center"/>
              <w:outlineLvl w:val="9"/>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按要求设置环境保护措施</w:t>
            </w:r>
          </w:p>
        </w:tc>
        <w:tc>
          <w:tcPr>
            <w:tcW w:w="940" w:type="pct"/>
            <w:vAlign w:val="center"/>
          </w:tcPr>
          <w:p>
            <w:pPr>
              <w:adjustRightInd w:val="0"/>
              <w:snapToGrid w:val="0"/>
              <w:spacing w:line="240" w:lineRule="auto"/>
              <w:ind w:firstLine="0" w:firstLineChars="0"/>
              <w:jc w:val="center"/>
              <w:outlineLvl w:val="9"/>
              <w:rPr>
                <w:rFonts w:hint="default" w:ascii="Times New Roman" w:hAnsi="Times New Roman" w:eastAsia="宋体" w:cs="Times New Roman"/>
                <w:b w:val="0"/>
                <w:bCs/>
                <w:color w:val="000000"/>
                <w:sz w:val="21"/>
                <w:szCs w:val="21"/>
                <w:lang w:eastAsia="zh-CN"/>
              </w:rPr>
            </w:pPr>
            <w:r>
              <w:rPr>
                <w:rFonts w:hint="default" w:ascii="Times New Roman" w:hAnsi="Times New Roman" w:eastAsia="宋体" w:cs="Times New Roman"/>
                <w:b w:val="0"/>
                <w:bCs/>
                <w:color w:val="000000"/>
                <w:sz w:val="21"/>
                <w:szCs w:val="21"/>
              </w:rPr>
              <w:t>强化生态环境保护意识；进、出库区道路的生态防护；野生动植物资源的保护</w:t>
            </w:r>
            <w:r>
              <w:rPr>
                <w:rFonts w:hint="default" w:ascii="Times New Roman" w:hAnsi="Times New Roman" w:cs="Times New Roman"/>
                <w:b w:val="0"/>
                <w:bCs/>
                <w:color w:val="000000"/>
                <w:sz w:val="21"/>
                <w:szCs w:val="21"/>
                <w:lang w:eastAsia="zh-CN"/>
              </w:rPr>
              <w:t>。</w:t>
            </w:r>
          </w:p>
        </w:tc>
        <w:tc>
          <w:tcPr>
            <w:tcW w:w="1025" w:type="pct"/>
            <w:vAlign w:val="center"/>
          </w:tcPr>
          <w:p>
            <w:pPr>
              <w:adjustRightInd w:val="0"/>
              <w:snapToGrid w:val="0"/>
              <w:spacing w:line="240" w:lineRule="auto"/>
              <w:ind w:firstLine="0" w:firstLineChars="0"/>
              <w:jc w:val="both"/>
              <w:outlineLvl w:val="9"/>
              <w:rPr>
                <w:rFonts w:hint="default" w:ascii="Times New Roman" w:hAnsi="Times New Roman" w:eastAsia="宋体" w:cs="Times New Roman"/>
                <w:b w:val="0"/>
                <w:bCs/>
                <w:color w:val="000000"/>
                <w:sz w:val="21"/>
                <w:szCs w:val="21"/>
                <w:lang w:eastAsia="zh-CN"/>
              </w:rPr>
            </w:pPr>
            <w:r>
              <w:rPr>
                <w:rFonts w:hint="default" w:ascii="Times New Roman" w:hAnsi="Times New Roman" w:eastAsia="宋体" w:cs="Times New Roman"/>
                <w:b w:val="0"/>
                <w:bCs/>
                <w:color w:val="000000"/>
                <w:sz w:val="21"/>
                <w:szCs w:val="21"/>
              </w:rPr>
              <w:t>减轻对区域生态环境的影响，对生态环境进行恢复，使区域生态环境得到逐步恢复</w:t>
            </w:r>
            <w:r>
              <w:rPr>
                <w:rFonts w:hint="default" w:ascii="Times New Roman" w:hAnsi="Times New Roman" w:cs="Times New Roman"/>
                <w:b w:val="0"/>
                <w:bCs/>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8" w:type="pct"/>
            <w:vAlign w:val="center"/>
          </w:tcPr>
          <w:p>
            <w:pPr>
              <w:adjustRightInd w:val="0"/>
              <w:snapToGrid w:val="0"/>
              <w:spacing w:line="240" w:lineRule="auto"/>
              <w:ind w:firstLine="0" w:firstLineChars="0"/>
              <w:jc w:val="center"/>
              <w:outlineLvl w:val="9"/>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水生</w:t>
            </w:r>
          </w:p>
          <w:p>
            <w:pPr>
              <w:adjustRightInd w:val="0"/>
              <w:snapToGrid w:val="0"/>
              <w:spacing w:line="240" w:lineRule="auto"/>
              <w:ind w:firstLine="0" w:firstLineChars="0"/>
              <w:jc w:val="center"/>
              <w:outlineLvl w:val="9"/>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生态</w:t>
            </w:r>
          </w:p>
        </w:tc>
        <w:tc>
          <w:tcPr>
            <w:tcW w:w="1413" w:type="pct"/>
            <w:vAlign w:val="center"/>
          </w:tcPr>
          <w:p>
            <w:pPr>
              <w:adjustRightInd w:val="0"/>
              <w:snapToGrid w:val="0"/>
              <w:spacing w:line="240" w:lineRule="auto"/>
              <w:ind w:firstLine="0" w:firstLineChars="0"/>
              <w:jc w:val="center"/>
              <w:outlineLvl w:val="9"/>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施工期间加强各类污水管理，避免污水的直接排放，减少水体污染。</w:t>
            </w:r>
          </w:p>
        </w:tc>
        <w:tc>
          <w:tcPr>
            <w:tcW w:w="1113" w:type="pct"/>
            <w:vAlign w:val="center"/>
          </w:tcPr>
          <w:p>
            <w:pPr>
              <w:adjustRightInd w:val="0"/>
              <w:snapToGrid w:val="0"/>
              <w:spacing w:line="240" w:lineRule="auto"/>
              <w:ind w:firstLine="0" w:firstLineChars="0"/>
              <w:jc w:val="both"/>
              <w:outlineLvl w:val="9"/>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落实相关措施，避免水生生态遭到破坏</w:t>
            </w:r>
          </w:p>
        </w:tc>
        <w:tc>
          <w:tcPr>
            <w:tcW w:w="940" w:type="pct"/>
            <w:vAlign w:val="center"/>
          </w:tcPr>
          <w:p>
            <w:pPr>
              <w:adjustRightInd w:val="0"/>
              <w:snapToGrid w:val="0"/>
              <w:spacing w:line="240" w:lineRule="auto"/>
              <w:ind w:firstLine="0" w:firstLineChars="0"/>
              <w:jc w:val="center"/>
              <w:outlineLvl w:val="9"/>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强化水生生态环</w:t>
            </w:r>
          </w:p>
          <w:p>
            <w:pPr>
              <w:adjustRightInd w:val="0"/>
              <w:snapToGrid w:val="0"/>
              <w:spacing w:line="240" w:lineRule="auto"/>
              <w:ind w:firstLine="0" w:firstLineChars="0"/>
              <w:jc w:val="center"/>
              <w:outlineLvl w:val="9"/>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境保护意识</w:t>
            </w:r>
          </w:p>
        </w:tc>
        <w:tc>
          <w:tcPr>
            <w:tcW w:w="1025" w:type="pct"/>
            <w:vAlign w:val="center"/>
          </w:tcPr>
          <w:p>
            <w:pPr>
              <w:adjustRightInd w:val="0"/>
              <w:snapToGrid w:val="0"/>
              <w:spacing w:line="240" w:lineRule="auto"/>
              <w:ind w:firstLine="0" w:firstLineChars="0"/>
              <w:jc w:val="center"/>
              <w:outlineLvl w:val="9"/>
              <w:rPr>
                <w:rFonts w:hint="default" w:ascii="Times New Roman" w:hAnsi="Times New Roman" w:eastAsia="宋体" w:cs="Times New Roman"/>
                <w:b w:val="0"/>
                <w:bCs/>
                <w:color w:val="000000"/>
                <w:sz w:val="21"/>
                <w:szCs w:val="21"/>
                <w:lang w:eastAsia="zh-CN"/>
              </w:rPr>
            </w:pPr>
            <w:r>
              <w:rPr>
                <w:rFonts w:hint="default" w:ascii="Times New Roman" w:hAnsi="Times New Roman" w:eastAsia="宋体" w:cs="Times New Roman"/>
                <w:b w:val="0"/>
                <w:bCs/>
                <w:color w:val="000000"/>
                <w:sz w:val="21"/>
                <w:szCs w:val="21"/>
              </w:rPr>
              <w:t>不会对</w:t>
            </w:r>
            <w:r>
              <w:rPr>
                <w:rFonts w:hint="default" w:ascii="Times New Roman" w:hAnsi="Times New Roman" w:cs="Times New Roman"/>
                <w:b w:val="0"/>
                <w:bCs/>
                <w:color w:val="000000"/>
                <w:sz w:val="21"/>
                <w:szCs w:val="21"/>
                <w:lang w:val="en-US" w:eastAsia="zh-CN"/>
              </w:rPr>
              <w:t>水</w:t>
            </w:r>
            <w:r>
              <w:rPr>
                <w:rFonts w:hint="eastAsia" w:cs="Times New Roman"/>
                <w:b w:val="0"/>
                <w:bCs/>
                <w:color w:val="000000"/>
                <w:sz w:val="21"/>
                <w:szCs w:val="21"/>
                <w:lang w:val="en-US" w:eastAsia="zh-CN"/>
              </w:rPr>
              <w:t>溪</w:t>
            </w:r>
            <w:r>
              <w:rPr>
                <w:rFonts w:hint="default" w:ascii="Times New Roman" w:hAnsi="Times New Roman" w:cs="Times New Roman"/>
                <w:b w:val="0"/>
                <w:bCs/>
                <w:color w:val="000000"/>
                <w:sz w:val="21"/>
                <w:szCs w:val="21"/>
                <w:lang w:val="en-US" w:eastAsia="zh-CN"/>
              </w:rPr>
              <w:t>沟</w:t>
            </w:r>
            <w:r>
              <w:rPr>
                <w:rFonts w:hint="default" w:ascii="Times New Roman" w:hAnsi="Times New Roman" w:eastAsia="宋体" w:cs="Times New Roman"/>
                <w:b w:val="0"/>
                <w:bCs/>
                <w:color w:val="000000"/>
                <w:sz w:val="21"/>
                <w:szCs w:val="21"/>
              </w:rPr>
              <w:t>造成不良影响</w:t>
            </w:r>
            <w:r>
              <w:rPr>
                <w:rFonts w:hint="default" w:ascii="Times New Roman" w:hAnsi="Times New Roman" w:cs="Times New Roman"/>
                <w:b w:val="0"/>
                <w:bCs/>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508" w:type="pct"/>
            <w:vAlign w:val="center"/>
          </w:tcPr>
          <w:p>
            <w:pPr>
              <w:adjustRightInd w:val="0"/>
              <w:snapToGrid w:val="0"/>
              <w:spacing w:line="240" w:lineRule="auto"/>
              <w:ind w:firstLine="0" w:firstLineChars="0"/>
              <w:jc w:val="center"/>
              <w:outlineLvl w:val="9"/>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地表水环境</w:t>
            </w:r>
          </w:p>
        </w:tc>
        <w:tc>
          <w:tcPr>
            <w:tcW w:w="1413" w:type="pct"/>
            <w:vAlign w:val="center"/>
          </w:tcPr>
          <w:p>
            <w:pPr>
              <w:adjustRightInd w:val="0"/>
              <w:snapToGrid w:val="0"/>
              <w:spacing w:line="240" w:lineRule="auto"/>
              <w:ind w:firstLine="0" w:firstLineChars="0"/>
              <w:jc w:val="center"/>
              <w:outlineLvl w:val="9"/>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混凝土养护废水自然蒸发消耗；</w:t>
            </w:r>
            <w:r>
              <w:rPr>
                <w:rFonts w:hint="eastAsia" w:ascii="Times New Roman" w:hAnsi="Times New Roman" w:eastAsia="宋体" w:cs="Times New Roman"/>
                <w:b w:val="0"/>
                <w:bCs/>
                <w:color w:val="000000"/>
                <w:kern w:val="2"/>
                <w:sz w:val="21"/>
                <w:szCs w:val="21"/>
                <w:lang w:val="en-US" w:eastAsia="zh-CN" w:bidi="ar-SA"/>
              </w:rPr>
              <w:t>产生的</w:t>
            </w:r>
            <w:r>
              <w:rPr>
                <w:rFonts w:hint="eastAsia" w:cs="Times New Roman"/>
                <w:sz w:val="21"/>
                <w:szCs w:val="21"/>
                <w:lang w:val="en-US" w:eastAsia="zh-CN"/>
              </w:rPr>
              <w:t>生活废水经化粪池处理后</w:t>
            </w:r>
            <w:r>
              <w:rPr>
                <w:rFonts w:hint="eastAsia"/>
                <w:sz w:val="21"/>
                <w:szCs w:val="21"/>
                <w:lang w:val="en-US" w:eastAsia="zh-CN"/>
              </w:rPr>
              <w:t>由吉木萨尔县环卫部门定期清运处置</w:t>
            </w:r>
            <w:r>
              <w:rPr>
                <w:rFonts w:hint="eastAsia" w:ascii="Times New Roman" w:hAnsi="Times New Roman" w:eastAsia="宋体" w:cs="Times New Roman"/>
                <w:b w:val="0"/>
                <w:bCs/>
                <w:color w:val="000000"/>
                <w:sz w:val="21"/>
                <w:szCs w:val="21"/>
                <w:lang w:val="en-US" w:eastAsia="zh-CN"/>
              </w:rPr>
              <w:t>，</w:t>
            </w:r>
            <w:r>
              <w:rPr>
                <w:rFonts w:hint="eastAsia" w:ascii="Times New Roman" w:hAnsi="Times New Roman" w:eastAsia="宋体" w:cs="Times New Roman"/>
                <w:b w:val="0"/>
                <w:bCs/>
                <w:color w:val="000000"/>
                <w:sz w:val="21"/>
                <w:szCs w:val="21"/>
              </w:rPr>
              <w:t>对周围水环境产生影响较小。</w:t>
            </w:r>
          </w:p>
        </w:tc>
        <w:tc>
          <w:tcPr>
            <w:tcW w:w="1113" w:type="pct"/>
            <w:vAlign w:val="center"/>
          </w:tcPr>
          <w:p>
            <w:pPr>
              <w:adjustRightInd w:val="0"/>
              <w:snapToGrid w:val="0"/>
              <w:spacing w:line="240" w:lineRule="auto"/>
              <w:ind w:firstLine="0" w:firstLineChars="0"/>
              <w:jc w:val="center"/>
              <w:outlineLvl w:val="9"/>
              <w:rPr>
                <w:rFonts w:hint="default" w:ascii="Times New Roman" w:hAnsi="Times New Roman" w:eastAsia="宋体" w:cs="Times New Roman"/>
                <w:b w:val="0"/>
                <w:bCs/>
                <w:color w:val="000000"/>
                <w:sz w:val="21"/>
                <w:szCs w:val="21"/>
                <w:lang w:val="en-US" w:eastAsia="zh-CN"/>
              </w:rPr>
            </w:pPr>
            <w:r>
              <w:rPr>
                <w:rFonts w:hint="default" w:ascii="Times New Roman" w:hAnsi="Times New Roman" w:cs="Times New Roman"/>
                <w:b w:val="0"/>
                <w:bCs/>
                <w:color w:val="000000"/>
                <w:sz w:val="21"/>
                <w:szCs w:val="21"/>
                <w:lang w:val="en-US" w:eastAsia="zh-CN"/>
              </w:rPr>
              <w:t>废水不排入地表水体中，不会对周围的水体环境产生影响。</w:t>
            </w:r>
          </w:p>
        </w:tc>
        <w:tc>
          <w:tcPr>
            <w:tcW w:w="940" w:type="pct"/>
            <w:vAlign w:val="center"/>
          </w:tcPr>
          <w:p>
            <w:pPr>
              <w:adjustRightInd w:val="0"/>
              <w:snapToGrid w:val="0"/>
              <w:spacing w:line="240" w:lineRule="auto"/>
              <w:ind w:firstLine="0" w:firstLineChars="0"/>
              <w:jc w:val="center"/>
              <w:outlineLvl w:val="9"/>
              <w:rPr>
                <w:rFonts w:hint="default" w:ascii="Times New Roman" w:hAnsi="Times New Roman" w:eastAsia="宋体" w:cs="Times New Roman"/>
                <w:b w:val="0"/>
                <w:bCs/>
                <w:color w:val="000000"/>
                <w:sz w:val="21"/>
                <w:szCs w:val="21"/>
                <w:lang w:val="en-US" w:eastAsia="zh-CN"/>
              </w:rPr>
            </w:pPr>
            <w:r>
              <w:rPr>
                <w:rFonts w:hint="default" w:ascii="Times New Roman" w:hAnsi="Times New Roman" w:cs="Times New Roman"/>
                <w:b w:val="0"/>
                <w:bCs/>
                <w:color w:val="000000"/>
                <w:sz w:val="21"/>
                <w:szCs w:val="21"/>
                <w:lang w:val="en-US" w:eastAsia="zh-CN"/>
              </w:rPr>
              <w:t>/</w:t>
            </w:r>
          </w:p>
        </w:tc>
        <w:tc>
          <w:tcPr>
            <w:tcW w:w="1025" w:type="pct"/>
            <w:vAlign w:val="center"/>
          </w:tcPr>
          <w:p>
            <w:pPr>
              <w:adjustRightInd w:val="0"/>
              <w:snapToGrid w:val="0"/>
              <w:spacing w:line="240" w:lineRule="auto"/>
              <w:ind w:firstLine="0" w:firstLineChars="0"/>
              <w:jc w:val="center"/>
              <w:outlineLvl w:val="9"/>
              <w:rPr>
                <w:rFonts w:hint="default" w:ascii="Times New Roman" w:hAnsi="Times New Roman" w:eastAsia="宋体" w:cs="Times New Roman"/>
                <w:b w:val="0"/>
                <w:bCs/>
                <w:color w:val="000000"/>
                <w:sz w:val="21"/>
                <w:szCs w:val="21"/>
                <w:lang w:val="en-US" w:eastAsia="zh-CN"/>
              </w:rPr>
            </w:pPr>
            <w:r>
              <w:rPr>
                <w:rFonts w:hint="default" w:ascii="Times New Roman" w:hAnsi="Times New Roman" w:cs="Times New Roman"/>
                <w:b w:val="0"/>
                <w:bCs/>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508" w:type="pct"/>
            <w:vAlign w:val="center"/>
          </w:tcPr>
          <w:p>
            <w:pPr>
              <w:adjustRightInd w:val="0"/>
              <w:snapToGrid w:val="0"/>
              <w:spacing w:line="240" w:lineRule="auto"/>
              <w:ind w:firstLine="0" w:firstLineChars="0"/>
              <w:jc w:val="center"/>
              <w:outlineLvl w:val="9"/>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地下水及土壤环境</w:t>
            </w:r>
          </w:p>
        </w:tc>
        <w:tc>
          <w:tcPr>
            <w:tcW w:w="1413" w:type="pct"/>
            <w:vAlign w:val="center"/>
          </w:tcPr>
          <w:p>
            <w:pPr>
              <w:adjustRightInd w:val="0"/>
              <w:snapToGrid w:val="0"/>
              <w:spacing w:line="240" w:lineRule="auto"/>
              <w:ind w:firstLine="420" w:firstLineChars="200"/>
              <w:jc w:val="center"/>
              <w:outlineLvl w:val="9"/>
              <w:rPr>
                <w:rFonts w:hint="default" w:ascii="Times New Roman" w:hAnsi="Times New Roman" w:eastAsia="宋体" w:cs="Times New Roman"/>
                <w:b w:val="0"/>
                <w:bCs/>
                <w:color w:val="000000"/>
                <w:sz w:val="21"/>
                <w:szCs w:val="21"/>
                <w:lang w:eastAsia="zh-CN"/>
              </w:rPr>
            </w:pPr>
            <w:r>
              <w:rPr>
                <w:rFonts w:hint="default" w:ascii="Times New Roman" w:hAnsi="Times New Roman" w:eastAsia="宋体" w:cs="Times New Roman"/>
                <w:b w:val="0"/>
                <w:bCs/>
                <w:color w:val="000000"/>
                <w:sz w:val="21"/>
                <w:szCs w:val="21"/>
              </w:rPr>
              <w:t>/</w:t>
            </w:r>
          </w:p>
        </w:tc>
        <w:tc>
          <w:tcPr>
            <w:tcW w:w="1113" w:type="pct"/>
            <w:vAlign w:val="center"/>
          </w:tcPr>
          <w:p>
            <w:pPr>
              <w:adjustRightInd w:val="0"/>
              <w:snapToGrid w:val="0"/>
              <w:spacing w:line="240" w:lineRule="auto"/>
              <w:ind w:firstLine="420" w:firstLineChars="200"/>
              <w:jc w:val="center"/>
              <w:outlineLvl w:val="9"/>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w:t>
            </w:r>
          </w:p>
        </w:tc>
        <w:tc>
          <w:tcPr>
            <w:tcW w:w="940" w:type="pct"/>
            <w:vAlign w:val="center"/>
          </w:tcPr>
          <w:p>
            <w:pPr>
              <w:adjustRightInd w:val="0"/>
              <w:snapToGrid w:val="0"/>
              <w:spacing w:line="240" w:lineRule="auto"/>
              <w:ind w:firstLine="0" w:firstLineChars="0"/>
              <w:jc w:val="center"/>
              <w:outlineLvl w:val="9"/>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w:t>
            </w:r>
          </w:p>
        </w:tc>
        <w:tc>
          <w:tcPr>
            <w:tcW w:w="1025" w:type="pct"/>
            <w:vAlign w:val="center"/>
          </w:tcPr>
          <w:p>
            <w:pPr>
              <w:adjustRightInd w:val="0"/>
              <w:snapToGrid w:val="0"/>
              <w:spacing w:line="240" w:lineRule="auto"/>
              <w:ind w:firstLine="0" w:firstLineChars="0"/>
              <w:jc w:val="center"/>
              <w:outlineLvl w:val="9"/>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508" w:type="pct"/>
            <w:vAlign w:val="center"/>
          </w:tcPr>
          <w:p>
            <w:pPr>
              <w:adjustRightInd w:val="0"/>
              <w:snapToGrid w:val="0"/>
              <w:spacing w:line="240" w:lineRule="auto"/>
              <w:ind w:firstLine="0" w:firstLineChars="0"/>
              <w:jc w:val="center"/>
              <w:outlineLvl w:val="9"/>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声环境</w:t>
            </w:r>
          </w:p>
        </w:tc>
        <w:tc>
          <w:tcPr>
            <w:tcW w:w="1413" w:type="pct"/>
            <w:vAlign w:val="center"/>
          </w:tcPr>
          <w:p>
            <w:pPr>
              <w:adjustRightInd w:val="0"/>
              <w:snapToGrid w:val="0"/>
              <w:spacing w:line="240" w:lineRule="auto"/>
              <w:ind w:firstLine="0" w:firstLineChars="0"/>
              <w:jc w:val="center"/>
              <w:outlineLvl w:val="9"/>
              <w:rPr>
                <w:rFonts w:hint="default" w:ascii="Times New Roman" w:hAnsi="Times New Roman" w:eastAsia="宋体" w:cs="Times New Roman"/>
                <w:b w:val="0"/>
                <w:bCs/>
                <w:color w:val="000000"/>
                <w:sz w:val="21"/>
                <w:szCs w:val="21"/>
                <w:lang w:eastAsia="zh-CN"/>
              </w:rPr>
            </w:pPr>
            <w:r>
              <w:rPr>
                <w:rFonts w:hint="default" w:ascii="Times New Roman" w:hAnsi="Times New Roman" w:eastAsia="宋体" w:cs="Times New Roman"/>
                <w:b w:val="0"/>
                <w:bCs/>
                <w:color w:val="000000"/>
                <w:kern w:val="2"/>
                <w:sz w:val="21"/>
                <w:szCs w:val="21"/>
                <w:lang w:val="en-US" w:eastAsia="zh-CN" w:bidi="ar-SA"/>
              </w:rPr>
              <w:t>采取低噪声设备、距离衰减、基础减震等措施。</w:t>
            </w:r>
          </w:p>
        </w:tc>
        <w:tc>
          <w:tcPr>
            <w:tcW w:w="1113" w:type="pct"/>
            <w:vAlign w:val="center"/>
          </w:tcPr>
          <w:p>
            <w:pPr>
              <w:adjustRightInd w:val="0"/>
              <w:snapToGrid w:val="0"/>
              <w:spacing w:line="240" w:lineRule="auto"/>
              <w:ind w:firstLine="0" w:firstLineChars="0"/>
              <w:jc w:val="both"/>
              <w:outlineLvl w:val="9"/>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达到《建筑施工场界环境噪声排放标准》（GB12523-2011</w:t>
            </w:r>
          </w:p>
          <w:p>
            <w:pPr>
              <w:adjustRightInd w:val="0"/>
              <w:snapToGrid w:val="0"/>
              <w:spacing w:line="240" w:lineRule="auto"/>
              <w:ind w:firstLine="0" w:firstLineChars="0"/>
              <w:jc w:val="center"/>
              <w:outlineLvl w:val="9"/>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）中标准限值要</w:t>
            </w:r>
          </w:p>
          <w:p>
            <w:pPr>
              <w:adjustRightInd w:val="0"/>
              <w:snapToGrid w:val="0"/>
              <w:spacing w:line="240" w:lineRule="auto"/>
              <w:ind w:firstLine="0" w:firstLineChars="0"/>
              <w:jc w:val="center"/>
              <w:outlineLvl w:val="9"/>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求</w:t>
            </w:r>
          </w:p>
        </w:tc>
        <w:tc>
          <w:tcPr>
            <w:tcW w:w="940" w:type="pct"/>
            <w:vAlign w:val="center"/>
          </w:tcPr>
          <w:p>
            <w:pPr>
              <w:adjustRightInd w:val="0"/>
              <w:snapToGrid w:val="0"/>
              <w:spacing w:line="240" w:lineRule="auto"/>
              <w:ind w:firstLine="0" w:firstLineChars="0"/>
              <w:jc w:val="center"/>
              <w:outlineLvl w:val="9"/>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w:t>
            </w:r>
          </w:p>
        </w:tc>
        <w:tc>
          <w:tcPr>
            <w:tcW w:w="1025" w:type="pct"/>
            <w:vAlign w:val="center"/>
          </w:tcPr>
          <w:p>
            <w:pPr>
              <w:adjustRightInd w:val="0"/>
              <w:snapToGrid w:val="0"/>
              <w:spacing w:line="240" w:lineRule="auto"/>
              <w:ind w:firstLine="0" w:firstLineChars="0"/>
              <w:jc w:val="center"/>
              <w:outlineLvl w:val="9"/>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08" w:type="pct"/>
            <w:vAlign w:val="center"/>
          </w:tcPr>
          <w:p>
            <w:pPr>
              <w:adjustRightInd w:val="0"/>
              <w:snapToGrid w:val="0"/>
              <w:spacing w:line="240" w:lineRule="auto"/>
              <w:ind w:firstLine="0" w:firstLineChars="0"/>
              <w:jc w:val="center"/>
              <w:outlineLvl w:val="9"/>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振动</w:t>
            </w:r>
          </w:p>
        </w:tc>
        <w:tc>
          <w:tcPr>
            <w:tcW w:w="1413" w:type="pct"/>
            <w:vAlign w:val="center"/>
          </w:tcPr>
          <w:p>
            <w:pPr>
              <w:adjustRightInd w:val="0"/>
              <w:snapToGrid w:val="0"/>
              <w:spacing w:line="240" w:lineRule="auto"/>
              <w:ind w:firstLine="420" w:firstLineChars="200"/>
              <w:jc w:val="center"/>
              <w:outlineLvl w:val="9"/>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w:t>
            </w:r>
          </w:p>
        </w:tc>
        <w:tc>
          <w:tcPr>
            <w:tcW w:w="1113" w:type="pct"/>
            <w:vAlign w:val="center"/>
          </w:tcPr>
          <w:p>
            <w:pPr>
              <w:adjustRightInd w:val="0"/>
              <w:snapToGrid w:val="0"/>
              <w:spacing w:line="240" w:lineRule="auto"/>
              <w:ind w:firstLine="420" w:firstLineChars="200"/>
              <w:jc w:val="center"/>
              <w:outlineLvl w:val="9"/>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w:t>
            </w:r>
          </w:p>
        </w:tc>
        <w:tc>
          <w:tcPr>
            <w:tcW w:w="940" w:type="pct"/>
            <w:vAlign w:val="center"/>
          </w:tcPr>
          <w:p>
            <w:pPr>
              <w:adjustRightInd w:val="0"/>
              <w:snapToGrid w:val="0"/>
              <w:spacing w:line="240" w:lineRule="auto"/>
              <w:ind w:firstLine="0" w:firstLineChars="0"/>
              <w:jc w:val="center"/>
              <w:outlineLvl w:val="9"/>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w:t>
            </w:r>
          </w:p>
        </w:tc>
        <w:tc>
          <w:tcPr>
            <w:tcW w:w="1025" w:type="pct"/>
            <w:vAlign w:val="center"/>
          </w:tcPr>
          <w:p>
            <w:pPr>
              <w:adjustRightInd w:val="0"/>
              <w:snapToGrid w:val="0"/>
              <w:spacing w:line="240" w:lineRule="auto"/>
              <w:ind w:firstLine="0" w:firstLineChars="0"/>
              <w:jc w:val="center"/>
              <w:outlineLvl w:val="9"/>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508" w:type="pct"/>
            <w:vAlign w:val="center"/>
          </w:tcPr>
          <w:p>
            <w:pPr>
              <w:adjustRightInd w:val="0"/>
              <w:snapToGrid w:val="0"/>
              <w:spacing w:line="240" w:lineRule="auto"/>
              <w:ind w:firstLine="0" w:firstLineChars="0"/>
              <w:jc w:val="center"/>
              <w:outlineLvl w:val="9"/>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大气环境</w:t>
            </w:r>
          </w:p>
        </w:tc>
        <w:tc>
          <w:tcPr>
            <w:tcW w:w="1413" w:type="pct"/>
            <w:vAlign w:val="center"/>
          </w:tcPr>
          <w:p>
            <w:pPr>
              <w:adjustRightInd w:val="0"/>
              <w:snapToGrid w:val="0"/>
              <w:spacing w:line="240" w:lineRule="auto"/>
              <w:ind w:firstLine="0" w:firstLineChars="0"/>
              <w:jc w:val="both"/>
              <w:outlineLvl w:val="9"/>
              <w:rPr>
                <w:rFonts w:hint="default" w:ascii="Times New Roman" w:hAnsi="Times New Roman" w:eastAsia="宋体" w:cs="Times New Roman"/>
                <w:b w:val="0"/>
                <w:bCs/>
                <w:color w:val="000000"/>
                <w:sz w:val="21"/>
                <w:szCs w:val="21"/>
                <w:lang w:eastAsia="zh-CN"/>
              </w:rPr>
            </w:pPr>
            <w:r>
              <w:rPr>
                <w:rFonts w:hint="default" w:ascii="Times New Roman" w:hAnsi="Times New Roman" w:eastAsia="宋体" w:cs="Times New Roman"/>
                <w:b w:val="0"/>
                <w:bCs/>
                <w:color w:val="000000"/>
                <w:sz w:val="21"/>
                <w:szCs w:val="21"/>
                <w:lang w:eastAsia="zh-CN"/>
              </w:rPr>
              <w:t>①施工现场实行围挡封闭，施工现场出入口道路配备车辆冲洗设施</w:t>
            </w:r>
            <w:r>
              <w:rPr>
                <w:rFonts w:hint="default" w:ascii="Times New Roman" w:hAnsi="Times New Roman" w:cs="Times New Roman"/>
                <w:b w:val="0"/>
                <w:bCs/>
                <w:color w:val="000000"/>
                <w:sz w:val="21"/>
                <w:szCs w:val="21"/>
                <w:lang w:eastAsia="zh-CN"/>
              </w:rPr>
              <w:t>，</w:t>
            </w:r>
            <w:r>
              <w:rPr>
                <w:rFonts w:hint="default" w:ascii="Times New Roman" w:hAnsi="Times New Roman" w:eastAsia="宋体" w:cs="Times New Roman"/>
                <w:b w:val="0"/>
                <w:bCs/>
                <w:color w:val="000000"/>
                <w:sz w:val="21"/>
                <w:szCs w:val="21"/>
                <w:lang w:eastAsia="zh-CN"/>
              </w:rPr>
              <w:t>对驶出施工现场的机动车辆冲洗干净，同时在施工现场设置洒水降尘设施，安排专人定时洒水降尘，每天洒水4-5次</w:t>
            </w:r>
            <w:r>
              <w:rPr>
                <w:rFonts w:hint="default" w:ascii="Times New Roman" w:hAnsi="Times New Roman" w:cs="Times New Roman"/>
                <w:b w:val="0"/>
                <w:bCs/>
                <w:color w:val="000000"/>
                <w:sz w:val="21"/>
                <w:szCs w:val="21"/>
                <w:lang w:eastAsia="zh-CN"/>
              </w:rPr>
              <w:t>。</w:t>
            </w:r>
          </w:p>
          <w:p>
            <w:pPr>
              <w:adjustRightInd w:val="0"/>
              <w:snapToGrid w:val="0"/>
              <w:spacing w:line="240" w:lineRule="auto"/>
              <w:ind w:firstLine="0" w:firstLineChars="0"/>
              <w:jc w:val="both"/>
              <w:outlineLvl w:val="9"/>
              <w:rPr>
                <w:rFonts w:hint="default"/>
                <w:lang w:eastAsia="zh-CN"/>
              </w:rPr>
            </w:pPr>
            <w:r>
              <w:rPr>
                <w:rFonts w:hint="default" w:ascii="Times New Roman" w:hAnsi="Times New Roman" w:eastAsia="宋体" w:cs="Times New Roman"/>
                <w:b w:val="0"/>
                <w:bCs/>
                <w:color w:val="000000"/>
                <w:sz w:val="21"/>
                <w:szCs w:val="21"/>
                <w:lang w:eastAsia="zh-CN"/>
              </w:rPr>
              <w:t>②施工现场场地清理、沉淀池开挖后土石方尽快完成回填，不能及时回填的场地，采取覆盖等降尘措施。③及时对因施工导致的裸露地面进行恢复绿化。④运出车辆应采取遮盖、密闭措施，不得超速，尽可能防止运输的物料洒</w:t>
            </w:r>
            <w:r>
              <w:rPr>
                <w:rFonts w:hint="eastAsia" w:ascii="Times New Roman" w:hAnsi="Times New Roman" w:eastAsia="宋体" w:cs="Times New Roman"/>
                <w:b w:val="0"/>
                <w:bCs/>
                <w:color w:val="000000"/>
                <w:sz w:val="21"/>
                <w:szCs w:val="21"/>
                <w:lang w:eastAsia="zh-CN"/>
              </w:rPr>
              <w:t>。</w:t>
            </w:r>
          </w:p>
        </w:tc>
        <w:tc>
          <w:tcPr>
            <w:tcW w:w="1113" w:type="pct"/>
            <w:vAlign w:val="center"/>
          </w:tcPr>
          <w:p>
            <w:pPr>
              <w:adjustRightInd w:val="0"/>
              <w:snapToGrid w:val="0"/>
              <w:spacing w:line="240" w:lineRule="auto"/>
              <w:ind w:firstLine="0" w:firstLineChars="0"/>
              <w:jc w:val="center"/>
              <w:outlineLvl w:val="9"/>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排放浓度满足《大气污染物综合排放标准》（GB16297-199</w:t>
            </w:r>
          </w:p>
          <w:p>
            <w:pPr>
              <w:adjustRightInd w:val="0"/>
              <w:snapToGrid w:val="0"/>
              <w:spacing w:line="240" w:lineRule="auto"/>
              <w:ind w:firstLine="0" w:firstLineChars="0"/>
              <w:jc w:val="center"/>
              <w:outlineLvl w:val="9"/>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6）表2排放无组</w:t>
            </w:r>
          </w:p>
          <w:p>
            <w:pPr>
              <w:adjustRightInd w:val="0"/>
              <w:snapToGrid w:val="0"/>
              <w:spacing w:line="240" w:lineRule="auto"/>
              <w:ind w:firstLine="0" w:firstLineChars="0"/>
              <w:jc w:val="center"/>
              <w:outlineLvl w:val="9"/>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织排放监控浓度要求</w:t>
            </w:r>
          </w:p>
        </w:tc>
        <w:tc>
          <w:tcPr>
            <w:tcW w:w="940" w:type="pct"/>
            <w:vAlign w:val="center"/>
          </w:tcPr>
          <w:p>
            <w:pPr>
              <w:adjustRightInd w:val="0"/>
              <w:snapToGrid w:val="0"/>
              <w:spacing w:line="240" w:lineRule="auto"/>
              <w:ind w:firstLine="0" w:firstLineChars="0"/>
              <w:jc w:val="center"/>
              <w:outlineLvl w:val="9"/>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w:t>
            </w:r>
          </w:p>
        </w:tc>
        <w:tc>
          <w:tcPr>
            <w:tcW w:w="1025" w:type="pct"/>
            <w:vAlign w:val="center"/>
          </w:tcPr>
          <w:p>
            <w:pPr>
              <w:adjustRightInd w:val="0"/>
              <w:snapToGrid w:val="0"/>
              <w:spacing w:line="240" w:lineRule="auto"/>
              <w:ind w:firstLine="0" w:firstLineChars="0"/>
              <w:jc w:val="center"/>
              <w:outlineLvl w:val="9"/>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508" w:type="pct"/>
            <w:vAlign w:val="center"/>
          </w:tcPr>
          <w:p>
            <w:pPr>
              <w:adjustRightInd w:val="0"/>
              <w:snapToGrid w:val="0"/>
              <w:spacing w:line="240" w:lineRule="auto"/>
              <w:ind w:firstLine="0" w:firstLineChars="0"/>
              <w:jc w:val="center"/>
              <w:outlineLvl w:val="9"/>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固体废物</w:t>
            </w:r>
          </w:p>
        </w:tc>
        <w:tc>
          <w:tcPr>
            <w:tcW w:w="1413" w:type="pct"/>
            <w:vAlign w:val="center"/>
          </w:tcPr>
          <w:p>
            <w:pPr>
              <w:adjustRightInd w:val="0"/>
              <w:snapToGrid w:val="0"/>
              <w:spacing w:line="240" w:lineRule="auto"/>
              <w:ind w:firstLine="0" w:firstLineChars="0"/>
              <w:jc w:val="both"/>
              <w:outlineLvl w:val="9"/>
              <w:rPr>
                <w:rFonts w:hint="default" w:ascii="Times New Roman" w:hAnsi="Times New Roman" w:eastAsia="宋体" w:cs="Times New Roman"/>
                <w:b w:val="0"/>
                <w:bCs/>
                <w:color w:val="FF0000"/>
                <w:sz w:val="21"/>
                <w:szCs w:val="21"/>
                <w:lang w:eastAsia="zh-CN"/>
              </w:rPr>
            </w:pPr>
            <w:r>
              <w:rPr>
                <w:rFonts w:hint="default" w:ascii="Times New Roman" w:hAnsi="Times New Roman" w:eastAsia="宋体" w:cs="Times New Roman"/>
                <w:b w:val="0"/>
                <w:bCs/>
                <w:color w:val="000000"/>
                <w:sz w:val="21"/>
                <w:szCs w:val="21"/>
                <w:lang w:eastAsia="zh-CN"/>
              </w:rPr>
              <w:t>施工期建筑垃圾应及时运至指定弃渣场堆放，生活垃圾收集后由当地环卫部门统</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一处置</w:t>
            </w:r>
          </w:p>
        </w:tc>
        <w:tc>
          <w:tcPr>
            <w:tcW w:w="1113" w:type="pct"/>
            <w:vAlign w:val="center"/>
          </w:tcPr>
          <w:p>
            <w:pPr>
              <w:adjustRightInd w:val="0"/>
              <w:snapToGrid w:val="0"/>
              <w:spacing w:line="240" w:lineRule="auto"/>
              <w:ind w:firstLine="0" w:firstLineChars="0"/>
              <w:jc w:val="center"/>
              <w:outlineLvl w:val="9"/>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按分类处置，无</w:t>
            </w:r>
          </w:p>
          <w:p>
            <w:pPr>
              <w:adjustRightInd w:val="0"/>
              <w:snapToGrid w:val="0"/>
              <w:spacing w:line="240" w:lineRule="auto"/>
              <w:ind w:firstLine="0" w:firstLineChars="0"/>
              <w:jc w:val="center"/>
              <w:outlineLvl w:val="9"/>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害化处理或综合利用</w:t>
            </w:r>
          </w:p>
        </w:tc>
        <w:tc>
          <w:tcPr>
            <w:tcW w:w="940" w:type="pct"/>
            <w:vAlign w:val="center"/>
          </w:tcPr>
          <w:p>
            <w:pPr>
              <w:adjustRightInd w:val="0"/>
              <w:snapToGrid w:val="0"/>
              <w:spacing w:line="240" w:lineRule="auto"/>
              <w:ind w:firstLine="0" w:firstLineChars="0"/>
              <w:jc w:val="center"/>
              <w:outlineLvl w:val="9"/>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rPr>
              <w:t>/</w:t>
            </w:r>
          </w:p>
        </w:tc>
        <w:tc>
          <w:tcPr>
            <w:tcW w:w="1025" w:type="pct"/>
            <w:vAlign w:val="center"/>
          </w:tcPr>
          <w:p>
            <w:pPr>
              <w:adjustRightInd w:val="0"/>
              <w:snapToGrid w:val="0"/>
              <w:spacing w:line="240" w:lineRule="auto"/>
              <w:ind w:firstLine="0" w:firstLineChars="0"/>
              <w:jc w:val="center"/>
              <w:outlineLvl w:val="9"/>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508" w:type="pct"/>
            <w:vAlign w:val="center"/>
          </w:tcPr>
          <w:p>
            <w:pPr>
              <w:adjustRightInd w:val="0"/>
              <w:snapToGrid w:val="0"/>
              <w:spacing w:line="240" w:lineRule="auto"/>
              <w:ind w:firstLine="0" w:firstLineChars="0"/>
              <w:jc w:val="center"/>
              <w:outlineLvl w:val="9"/>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电磁</w:t>
            </w:r>
          </w:p>
          <w:p>
            <w:pPr>
              <w:adjustRightInd w:val="0"/>
              <w:snapToGrid w:val="0"/>
              <w:spacing w:line="240" w:lineRule="auto"/>
              <w:ind w:firstLine="0" w:firstLineChars="0"/>
              <w:jc w:val="center"/>
              <w:outlineLvl w:val="9"/>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环境</w:t>
            </w:r>
          </w:p>
        </w:tc>
        <w:tc>
          <w:tcPr>
            <w:tcW w:w="1413" w:type="pct"/>
            <w:vAlign w:val="center"/>
          </w:tcPr>
          <w:p>
            <w:pPr>
              <w:adjustRightInd w:val="0"/>
              <w:snapToGrid w:val="0"/>
              <w:spacing w:line="240" w:lineRule="auto"/>
              <w:ind w:firstLine="0" w:firstLineChars="0"/>
              <w:jc w:val="center"/>
              <w:outlineLvl w:val="9"/>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w:t>
            </w:r>
          </w:p>
        </w:tc>
        <w:tc>
          <w:tcPr>
            <w:tcW w:w="1113" w:type="pct"/>
            <w:vAlign w:val="center"/>
          </w:tcPr>
          <w:p>
            <w:pPr>
              <w:adjustRightInd w:val="0"/>
              <w:snapToGrid w:val="0"/>
              <w:spacing w:line="240" w:lineRule="auto"/>
              <w:ind w:firstLine="0" w:firstLineChars="0"/>
              <w:jc w:val="center"/>
              <w:outlineLvl w:val="9"/>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w:t>
            </w:r>
          </w:p>
        </w:tc>
        <w:tc>
          <w:tcPr>
            <w:tcW w:w="940" w:type="pct"/>
            <w:vAlign w:val="center"/>
          </w:tcPr>
          <w:p>
            <w:pPr>
              <w:adjustRightInd w:val="0"/>
              <w:snapToGrid w:val="0"/>
              <w:spacing w:line="240" w:lineRule="auto"/>
              <w:ind w:firstLine="0" w:firstLineChars="0"/>
              <w:jc w:val="center"/>
              <w:outlineLvl w:val="9"/>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w:t>
            </w:r>
          </w:p>
        </w:tc>
        <w:tc>
          <w:tcPr>
            <w:tcW w:w="1025" w:type="pct"/>
            <w:vAlign w:val="center"/>
          </w:tcPr>
          <w:p>
            <w:pPr>
              <w:adjustRightInd w:val="0"/>
              <w:snapToGrid w:val="0"/>
              <w:spacing w:line="240" w:lineRule="auto"/>
              <w:ind w:firstLine="0" w:firstLineChars="0"/>
              <w:jc w:val="center"/>
              <w:outlineLvl w:val="9"/>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9" w:hRule="atLeast"/>
          <w:jc w:val="center"/>
        </w:trPr>
        <w:tc>
          <w:tcPr>
            <w:tcW w:w="508" w:type="pct"/>
            <w:vAlign w:val="center"/>
          </w:tcPr>
          <w:p>
            <w:pPr>
              <w:adjustRightInd w:val="0"/>
              <w:snapToGrid w:val="0"/>
              <w:spacing w:line="240" w:lineRule="auto"/>
              <w:ind w:firstLine="0" w:firstLineChars="0"/>
              <w:jc w:val="center"/>
              <w:outlineLvl w:val="9"/>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环境</w:t>
            </w:r>
          </w:p>
          <w:p>
            <w:pPr>
              <w:adjustRightInd w:val="0"/>
              <w:snapToGrid w:val="0"/>
              <w:spacing w:line="240" w:lineRule="auto"/>
              <w:ind w:firstLine="0" w:firstLineChars="0"/>
              <w:jc w:val="center"/>
              <w:outlineLvl w:val="9"/>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风险</w:t>
            </w:r>
          </w:p>
        </w:tc>
        <w:tc>
          <w:tcPr>
            <w:tcW w:w="1413" w:type="pct"/>
            <w:vAlign w:val="center"/>
          </w:tcPr>
          <w:p>
            <w:pPr>
              <w:adjustRightInd w:val="0"/>
              <w:snapToGrid w:val="0"/>
              <w:spacing w:line="240" w:lineRule="auto"/>
              <w:ind w:firstLine="0" w:firstLineChars="0"/>
              <w:jc w:val="both"/>
              <w:outlineLvl w:val="9"/>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①施工单位要实现规范化、制度化管理；②避免因废水处理设施故障等情况造成污水事故排放。③制定完善的《突发环境事故应急预案》，根据项目可能发生的环境风险事故，提出应急措施。</w:t>
            </w:r>
          </w:p>
        </w:tc>
        <w:tc>
          <w:tcPr>
            <w:tcW w:w="1113" w:type="pct"/>
            <w:vAlign w:val="center"/>
          </w:tcPr>
          <w:p>
            <w:pPr>
              <w:adjustRightInd w:val="0"/>
              <w:snapToGrid w:val="0"/>
              <w:spacing w:line="240" w:lineRule="auto"/>
              <w:ind w:firstLine="0" w:firstLineChars="0"/>
              <w:jc w:val="center"/>
              <w:outlineLvl w:val="9"/>
              <w:rPr>
                <w:rFonts w:hint="default" w:ascii="Times New Roman" w:hAnsi="Times New Roman" w:eastAsia="宋体" w:cs="Times New Roman"/>
                <w:b w:val="0"/>
                <w:bCs/>
                <w:color w:val="000000"/>
                <w:sz w:val="21"/>
                <w:szCs w:val="21"/>
                <w:lang w:val="en-US" w:eastAsia="zh-CN"/>
              </w:rPr>
            </w:pPr>
            <w:r>
              <w:rPr>
                <w:rFonts w:hint="default" w:ascii="Times New Roman" w:hAnsi="Times New Roman" w:cs="Times New Roman"/>
                <w:b w:val="0"/>
                <w:bCs/>
                <w:color w:val="000000"/>
                <w:sz w:val="21"/>
                <w:szCs w:val="21"/>
                <w:lang w:val="en-US" w:eastAsia="zh-CN"/>
              </w:rPr>
              <w:t>/</w:t>
            </w:r>
          </w:p>
        </w:tc>
        <w:tc>
          <w:tcPr>
            <w:tcW w:w="940" w:type="pct"/>
            <w:vAlign w:val="center"/>
          </w:tcPr>
          <w:p>
            <w:pPr>
              <w:adjustRightInd w:val="0"/>
              <w:snapToGrid w:val="0"/>
              <w:spacing w:line="240" w:lineRule="auto"/>
              <w:ind w:firstLine="0" w:firstLineChars="0"/>
              <w:jc w:val="center"/>
              <w:outlineLvl w:val="9"/>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w:t>
            </w:r>
          </w:p>
        </w:tc>
        <w:tc>
          <w:tcPr>
            <w:tcW w:w="1025" w:type="pct"/>
            <w:vAlign w:val="center"/>
          </w:tcPr>
          <w:p>
            <w:pPr>
              <w:adjustRightInd w:val="0"/>
              <w:snapToGrid w:val="0"/>
              <w:spacing w:line="240" w:lineRule="auto"/>
              <w:ind w:firstLine="0" w:firstLineChars="0"/>
              <w:jc w:val="center"/>
              <w:outlineLvl w:val="9"/>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508" w:type="pct"/>
            <w:vAlign w:val="center"/>
          </w:tcPr>
          <w:p>
            <w:pPr>
              <w:adjustRightInd w:val="0"/>
              <w:snapToGrid w:val="0"/>
              <w:spacing w:line="240" w:lineRule="auto"/>
              <w:ind w:firstLine="0" w:firstLineChars="0"/>
              <w:jc w:val="center"/>
              <w:outlineLvl w:val="9"/>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环境</w:t>
            </w:r>
          </w:p>
          <w:p>
            <w:pPr>
              <w:adjustRightInd w:val="0"/>
              <w:snapToGrid w:val="0"/>
              <w:spacing w:line="240" w:lineRule="auto"/>
              <w:ind w:firstLine="0" w:firstLineChars="0"/>
              <w:jc w:val="center"/>
              <w:outlineLvl w:val="9"/>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监测</w:t>
            </w:r>
          </w:p>
        </w:tc>
        <w:tc>
          <w:tcPr>
            <w:tcW w:w="1413" w:type="pct"/>
            <w:vAlign w:val="center"/>
          </w:tcPr>
          <w:p>
            <w:pPr>
              <w:adjustRightInd w:val="0"/>
              <w:snapToGrid w:val="0"/>
              <w:spacing w:line="240" w:lineRule="auto"/>
              <w:ind w:firstLine="0" w:firstLineChars="0"/>
              <w:jc w:val="center"/>
              <w:outlineLvl w:val="9"/>
              <w:rPr>
                <w:rFonts w:hint="default" w:ascii="Times New Roman" w:hAnsi="Times New Roman" w:eastAsia="宋体" w:cs="Times New Roman"/>
                <w:b w:val="0"/>
                <w:bCs/>
                <w:color w:val="000000"/>
                <w:sz w:val="21"/>
                <w:szCs w:val="21"/>
                <w:highlight w:val="yellow"/>
                <w:lang w:val="en-US" w:eastAsia="zh-CN"/>
              </w:rPr>
            </w:pPr>
            <w:r>
              <w:rPr>
                <w:rFonts w:hint="default" w:ascii="Times New Roman" w:hAnsi="Times New Roman" w:cs="Times New Roman"/>
                <w:b w:val="0"/>
                <w:bCs/>
                <w:color w:val="000000"/>
                <w:sz w:val="21"/>
                <w:szCs w:val="21"/>
              </w:rPr>
              <w:t>对施工期大气、噪声进行监测，另外开展施工区生态监测，调查植被覆盖率，植被种类及数量、调查施工结束后施工迹地恢复复垦情况，施工高峰期监测一次，施工结束后2个月一次</w:t>
            </w:r>
            <w:r>
              <w:rPr>
                <w:rFonts w:hint="default" w:ascii="Times New Roman" w:hAnsi="Times New Roman" w:cs="Times New Roman"/>
                <w:b w:val="0"/>
                <w:bCs/>
                <w:color w:val="000000"/>
                <w:sz w:val="21"/>
                <w:szCs w:val="21"/>
                <w:lang w:eastAsia="zh-CN"/>
              </w:rPr>
              <w:t>。</w:t>
            </w:r>
          </w:p>
        </w:tc>
        <w:tc>
          <w:tcPr>
            <w:tcW w:w="1113" w:type="pct"/>
            <w:vAlign w:val="center"/>
          </w:tcPr>
          <w:p>
            <w:pPr>
              <w:adjustRightInd w:val="0"/>
              <w:snapToGrid w:val="0"/>
              <w:spacing w:line="240" w:lineRule="auto"/>
              <w:ind w:firstLine="0" w:firstLineChars="0"/>
              <w:jc w:val="center"/>
              <w:outlineLvl w:val="9"/>
              <w:rPr>
                <w:rFonts w:hint="default" w:ascii="Times New Roman" w:hAnsi="Times New Roman" w:eastAsia="宋体" w:cs="Times New Roman"/>
                <w:b w:val="0"/>
                <w:bCs/>
                <w:color w:val="000000"/>
                <w:sz w:val="21"/>
                <w:szCs w:val="21"/>
                <w:highlight w:val="none"/>
              </w:rPr>
            </w:pPr>
            <w:r>
              <w:rPr>
                <w:rFonts w:hint="default" w:ascii="Times New Roman" w:hAnsi="Times New Roman" w:cs="Times New Roman"/>
                <w:b w:val="0"/>
                <w:bCs/>
                <w:color w:val="000000"/>
                <w:sz w:val="21"/>
                <w:szCs w:val="21"/>
              </w:rPr>
              <w:t>定期监测</w:t>
            </w:r>
          </w:p>
        </w:tc>
        <w:tc>
          <w:tcPr>
            <w:tcW w:w="940" w:type="pct"/>
            <w:vAlign w:val="center"/>
          </w:tcPr>
          <w:p>
            <w:pPr>
              <w:adjustRightInd w:val="0"/>
              <w:snapToGrid w:val="0"/>
              <w:spacing w:line="240" w:lineRule="auto"/>
              <w:ind w:firstLine="0" w:firstLineChars="0"/>
              <w:jc w:val="center"/>
              <w:outlineLvl w:val="9"/>
              <w:rPr>
                <w:rFonts w:hint="default" w:ascii="Times New Roman" w:hAnsi="Times New Roman" w:eastAsia="宋体" w:cs="Times New Roman"/>
                <w:b w:val="0"/>
                <w:bCs/>
                <w:color w:val="000000"/>
                <w:sz w:val="21"/>
                <w:szCs w:val="21"/>
                <w:highlight w:val="none"/>
              </w:rPr>
            </w:pPr>
            <w:r>
              <w:rPr>
                <w:rFonts w:hint="default" w:ascii="Times New Roman" w:hAnsi="Times New Roman" w:eastAsia="宋体" w:cs="Times New Roman"/>
                <w:b w:val="0"/>
                <w:bCs/>
                <w:color w:val="000000"/>
                <w:sz w:val="21"/>
                <w:szCs w:val="21"/>
              </w:rPr>
              <w:t>/</w:t>
            </w:r>
          </w:p>
        </w:tc>
        <w:tc>
          <w:tcPr>
            <w:tcW w:w="1025" w:type="pct"/>
            <w:vAlign w:val="center"/>
          </w:tcPr>
          <w:p>
            <w:pPr>
              <w:adjustRightInd w:val="0"/>
              <w:snapToGrid w:val="0"/>
              <w:spacing w:line="240" w:lineRule="auto"/>
              <w:ind w:firstLine="0" w:firstLineChars="0"/>
              <w:jc w:val="center"/>
              <w:outlineLvl w:val="9"/>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atLeast"/>
          <w:jc w:val="center"/>
        </w:trPr>
        <w:tc>
          <w:tcPr>
            <w:tcW w:w="508" w:type="pct"/>
            <w:vAlign w:val="center"/>
          </w:tcPr>
          <w:p>
            <w:pPr>
              <w:adjustRightInd w:val="0"/>
              <w:snapToGrid w:val="0"/>
              <w:spacing w:line="240" w:lineRule="auto"/>
              <w:ind w:firstLine="0" w:firstLineChars="0"/>
              <w:jc w:val="center"/>
              <w:outlineLvl w:val="9"/>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其他</w:t>
            </w:r>
          </w:p>
        </w:tc>
        <w:tc>
          <w:tcPr>
            <w:tcW w:w="1413" w:type="pct"/>
            <w:vAlign w:val="center"/>
          </w:tcPr>
          <w:p>
            <w:pPr>
              <w:adjustRightInd w:val="0"/>
              <w:snapToGrid w:val="0"/>
              <w:spacing w:line="240" w:lineRule="auto"/>
              <w:ind w:firstLine="0" w:firstLineChars="0"/>
              <w:jc w:val="center"/>
              <w:outlineLvl w:val="9"/>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w:t>
            </w:r>
          </w:p>
        </w:tc>
        <w:tc>
          <w:tcPr>
            <w:tcW w:w="1113" w:type="pct"/>
            <w:vAlign w:val="center"/>
          </w:tcPr>
          <w:p>
            <w:pPr>
              <w:adjustRightInd w:val="0"/>
              <w:snapToGrid w:val="0"/>
              <w:spacing w:line="240" w:lineRule="auto"/>
              <w:ind w:firstLine="0" w:firstLineChars="0"/>
              <w:jc w:val="center"/>
              <w:outlineLvl w:val="9"/>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w:t>
            </w:r>
          </w:p>
        </w:tc>
        <w:tc>
          <w:tcPr>
            <w:tcW w:w="940" w:type="pct"/>
            <w:vAlign w:val="center"/>
          </w:tcPr>
          <w:p>
            <w:pPr>
              <w:adjustRightInd w:val="0"/>
              <w:snapToGrid w:val="0"/>
              <w:spacing w:line="240" w:lineRule="auto"/>
              <w:ind w:firstLine="0" w:firstLineChars="0"/>
              <w:jc w:val="center"/>
              <w:outlineLvl w:val="9"/>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w:t>
            </w:r>
          </w:p>
        </w:tc>
        <w:tc>
          <w:tcPr>
            <w:tcW w:w="1025" w:type="pct"/>
            <w:vAlign w:val="center"/>
          </w:tcPr>
          <w:p>
            <w:pPr>
              <w:adjustRightInd w:val="0"/>
              <w:snapToGrid w:val="0"/>
              <w:spacing w:line="240" w:lineRule="auto"/>
              <w:ind w:firstLine="0" w:firstLineChars="0"/>
              <w:jc w:val="center"/>
              <w:outlineLvl w:val="9"/>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w:t>
            </w:r>
          </w:p>
        </w:tc>
      </w:tr>
    </w:tbl>
    <w:p>
      <w:pPr>
        <w:pStyle w:val="31"/>
        <w:tabs>
          <w:tab w:val="left" w:pos="6412"/>
        </w:tabs>
        <w:snapToGrid w:val="0"/>
        <w:spacing w:beforeAutospacing="0" w:afterLines="50" w:afterAutospacing="0" w:line="240" w:lineRule="auto"/>
        <w:ind w:firstLine="0" w:firstLineChars="0"/>
        <w:jc w:val="center"/>
        <w:outlineLvl w:val="9"/>
        <w:rPr>
          <w:rFonts w:hint="default" w:ascii="Times New Roman" w:hAnsi="Times New Roman" w:eastAsia="黑体" w:cs="Times New Roman"/>
          <w:snapToGrid w:val="0"/>
          <w:color w:val="000000"/>
          <w:sz w:val="30"/>
          <w:szCs w:val="30"/>
        </w:rPr>
      </w:pPr>
    </w:p>
    <w:p>
      <w:pPr>
        <w:pStyle w:val="31"/>
        <w:tabs>
          <w:tab w:val="left" w:pos="6412"/>
        </w:tabs>
        <w:snapToGrid w:val="0"/>
        <w:spacing w:beforeAutospacing="0" w:afterLines="50" w:afterAutospacing="0" w:line="240" w:lineRule="auto"/>
        <w:ind w:firstLine="0" w:firstLineChars="0"/>
        <w:jc w:val="center"/>
        <w:outlineLvl w:val="9"/>
        <w:rPr>
          <w:rFonts w:hint="default" w:ascii="Times New Roman" w:hAnsi="Times New Roman" w:eastAsia="黑体" w:cs="Times New Roman"/>
          <w:snapToGrid w:val="0"/>
          <w:color w:val="000000"/>
          <w:sz w:val="30"/>
          <w:szCs w:val="30"/>
        </w:rPr>
      </w:pPr>
    </w:p>
    <w:p>
      <w:pPr>
        <w:pStyle w:val="31"/>
        <w:tabs>
          <w:tab w:val="left" w:pos="6412"/>
        </w:tabs>
        <w:snapToGrid w:val="0"/>
        <w:spacing w:beforeAutospacing="0" w:afterLines="50" w:afterAutospacing="0" w:line="240" w:lineRule="auto"/>
        <w:ind w:firstLine="0" w:firstLineChars="0"/>
        <w:jc w:val="center"/>
        <w:outlineLvl w:val="9"/>
        <w:rPr>
          <w:rFonts w:hint="default" w:ascii="Times New Roman" w:hAnsi="Times New Roman" w:eastAsia="黑体" w:cs="Times New Roman"/>
          <w:snapToGrid w:val="0"/>
          <w:color w:val="000000"/>
          <w:sz w:val="30"/>
          <w:szCs w:val="30"/>
        </w:rPr>
      </w:pPr>
    </w:p>
    <w:p>
      <w:pPr>
        <w:pStyle w:val="31"/>
        <w:tabs>
          <w:tab w:val="left" w:pos="6412"/>
        </w:tabs>
        <w:snapToGrid w:val="0"/>
        <w:spacing w:beforeAutospacing="0" w:afterLines="50" w:afterAutospacing="0" w:line="240" w:lineRule="auto"/>
        <w:ind w:firstLine="0" w:firstLineChars="0"/>
        <w:jc w:val="center"/>
        <w:outlineLvl w:val="9"/>
        <w:rPr>
          <w:rFonts w:hint="default" w:ascii="Times New Roman" w:hAnsi="Times New Roman" w:eastAsia="黑体" w:cs="Times New Roman"/>
          <w:snapToGrid w:val="0"/>
          <w:color w:val="000000"/>
          <w:sz w:val="30"/>
          <w:szCs w:val="30"/>
        </w:rPr>
      </w:pPr>
    </w:p>
    <w:p>
      <w:pPr>
        <w:pStyle w:val="31"/>
        <w:tabs>
          <w:tab w:val="left" w:pos="6412"/>
        </w:tabs>
        <w:snapToGrid w:val="0"/>
        <w:spacing w:beforeAutospacing="0" w:afterLines="50" w:afterAutospacing="0" w:line="240" w:lineRule="auto"/>
        <w:ind w:firstLine="0" w:firstLineChars="0"/>
        <w:jc w:val="center"/>
        <w:outlineLvl w:val="0"/>
        <w:rPr>
          <w:rFonts w:hint="default" w:ascii="Times New Roman" w:hAnsi="Times New Roman" w:eastAsia="宋体" w:cs="Times New Roman"/>
          <w:snapToGrid w:val="0"/>
          <w:color w:val="000000"/>
          <w:sz w:val="30"/>
          <w:szCs w:val="30"/>
        </w:rPr>
      </w:pPr>
    </w:p>
    <w:p>
      <w:pPr>
        <w:pStyle w:val="31"/>
        <w:tabs>
          <w:tab w:val="left" w:pos="6412"/>
        </w:tabs>
        <w:snapToGrid w:val="0"/>
        <w:spacing w:beforeAutospacing="0" w:afterLines="50" w:afterAutospacing="0" w:line="240" w:lineRule="auto"/>
        <w:ind w:firstLine="0" w:firstLineChars="0"/>
        <w:jc w:val="center"/>
        <w:outlineLvl w:val="0"/>
        <w:rPr>
          <w:rFonts w:hint="default" w:ascii="Times New Roman" w:hAnsi="Times New Roman" w:eastAsia="宋体" w:cs="Times New Roman"/>
          <w:snapToGrid w:val="0"/>
          <w:color w:val="000000"/>
          <w:sz w:val="30"/>
          <w:szCs w:val="30"/>
        </w:rPr>
      </w:pPr>
    </w:p>
    <w:p>
      <w:pPr>
        <w:pStyle w:val="31"/>
        <w:tabs>
          <w:tab w:val="left" w:pos="6412"/>
        </w:tabs>
        <w:snapToGrid w:val="0"/>
        <w:spacing w:beforeAutospacing="0" w:afterLines="50" w:afterAutospacing="0" w:line="240" w:lineRule="auto"/>
        <w:ind w:firstLine="0" w:firstLineChars="0"/>
        <w:jc w:val="center"/>
        <w:outlineLvl w:val="0"/>
        <w:rPr>
          <w:rFonts w:hint="default" w:ascii="Times New Roman" w:hAnsi="Times New Roman" w:eastAsia="宋体" w:cs="Times New Roman"/>
          <w:b/>
          <w:bCs/>
          <w:snapToGrid w:val="0"/>
          <w:color w:val="000000"/>
          <w:sz w:val="30"/>
          <w:szCs w:val="30"/>
        </w:rPr>
      </w:pPr>
      <w:r>
        <w:rPr>
          <w:rFonts w:hint="default" w:ascii="Times New Roman" w:hAnsi="Times New Roman" w:eastAsia="宋体" w:cs="Times New Roman"/>
          <w:b/>
          <w:bCs/>
          <w:snapToGrid w:val="0"/>
          <w:color w:val="000000"/>
          <w:sz w:val="30"/>
          <w:szCs w:val="30"/>
        </w:rPr>
        <w:t>七、结论</w:t>
      </w:r>
      <w:bookmarkEnd w:id="16"/>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5" w:hRule="atLeast"/>
          <w:jc w:val="center"/>
        </w:trPr>
        <w:tc>
          <w:tcPr>
            <w:tcW w:w="5000" w:type="pct"/>
            <w:vAlign w:val="center"/>
          </w:tcPr>
          <w:p>
            <w:pPr>
              <w:keepNext w:val="0"/>
              <w:keepLines w:val="0"/>
              <w:widowControl/>
              <w:suppressLineNumbers w:val="0"/>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综上所述，本项目符合国家相关产业政策，项目选址可行，项目施工期在认真落实环评提出的生态环境保护和环境污染防治措施后，污染物可达标排放，不会降低评价区域环境质量现状</w:t>
            </w:r>
            <w:r>
              <w:rPr>
                <w:rFonts w:hint="eastAsia" w:ascii="宋体" w:hAnsi="宋体" w:eastAsia="宋体" w:cs="宋体"/>
                <w:color w:val="000000"/>
                <w:sz w:val="24"/>
                <w:lang w:eastAsia="zh-CN"/>
              </w:rPr>
              <w:t>，</w:t>
            </w:r>
            <w:r>
              <w:rPr>
                <w:rFonts w:hint="eastAsia" w:ascii="宋体" w:hAnsi="宋体" w:eastAsia="宋体" w:cs="宋体"/>
                <w:color w:val="000000"/>
                <w:sz w:val="24"/>
              </w:rPr>
              <w:t>因此，项目在严格执行“三同时”制度，切实落实各项污染防治措施的前提下，从环境保护角度分析，本项目建设是可行的。</w:t>
            </w:r>
          </w:p>
          <w:p>
            <w:pPr>
              <w:keepNext w:val="0"/>
              <w:keepLines w:val="0"/>
              <w:widowControl/>
              <w:suppressLineNumbers w:val="0"/>
              <w:spacing w:line="360" w:lineRule="auto"/>
              <w:jc w:val="left"/>
              <w:rPr>
                <w:rFonts w:hint="eastAsia" w:ascii="宋体" w:hAnsi="宋体" w:eastAsia="宋体" w:cs="宋体"/>
                <w:color w:val="000000"/>
                <w:sz w:val="24"/>
              </w:rPr>
            </w:pPr>
          </w:p>
          <w:p>
            <w:pPr>
              <w:keepNext w:val="0"/>
              <w:keepLines w:val="0"/>
              <w:widowControl/>
              <w:suppressLineNumbers w:val="0"/>
              <w:spacing w:line="360" w:lineRule="auto"/>
              <w:jc w:val="left"/>
              <w:rPr>
                <w:rFonts w:hint="eastAsia" w:ascii="宋体" w:hAnsi="宋体" w:eastAsia="宋体" w:cs="宋体"/>
                <w:color w:val="000000"/>
                <w:sz w:val="24"/>
              </w:rPr>
            </w:pPr>
          </w:p>
          <w:p>
            <w:pPr>
              <w:adjustRightInd w:val="0"/>
              <w:snapToGrid w:val="0"/>
              <w:ind w:firstLine="31680"/>
              <w:rPr>
                <w:rFonts w:ascii="宋体" w:cs="宋体"/>
                <w:color w:val="FF0000"/>
                <w:szCs w:val="21"/>
              </w:rPr>
            </w:pPr>
          </w:p>
          <w:p>
            <w:pPr>
              <w:adjustRightInd w:val="0"/>
              <w:snapToGrid w:val="0"/>
              <w:ind w:firstLine="31680"/>
              <w:rPr>
                <w:rFonts w:ascii="宋体" w:cs="宋体"/>
                <w:color w:val="FF0000"/>
                <w:szCs w:val="21"/>
              </w:rPr>
            </w:pPr>
          </w:p>
          <w:p>
            <w:pPr>
              <w:adjustRightInd w:val="0"/>
              <w:snapToGrid w:val="0"/>
              <w:ind w:firstLine="31680"/>
              <w:rPr>
                <w:rFonts w:ascii="宋体" w:cs="宋体"/>
                <w:color w:val="FF0000"/>
                <w:szCs w:val="21"/>
              </w:rPr>
            </w:pPr>
          </w:p>
          <w:p>
            <w:pPr>
              <w:adjustRightInd w:val="0"/>
              <w:snapToGrid w:val="0"/>
              <w:ind w:firstLine="31680"/>
              <w:rPr>
                <w:rFonts w:ascii="宋体" w:cs="宋体"/>
                <w:color w:val="FF0000"/>
                <w:szCs w:val="21"/>
              </w:rPr>
            </w:pPr>
          </w:p>
          <w:p>
            <w:pPr>
              <w:adjustRightInd w:val="0"/>
              <w:snapToGrid w:val="0"/>
              <w:ind w:firstLine="31680"/>
              <w:rPr>
                <w:rFonts w:ascii="宋体" w:cs="宋体"/>
                <w:color w:val="FF0000"/>
                <w:szCs w:val="21"/>
              </w:rPr>
            </w:pPr>
          </w:p>
          <w:p>
            <w:pPr>
              <w:adjustRightInd w:val="0"/>
              <w:snapToGrid w:val="0"/>
              <w:ind w:firstLine="31680"/>
              <w:rPr>
                <w:rFonts w:ascii="宋体" w:cs="宋体"/>
                <w:color w:val="FF0000"/>
                <w:szCs w:val="21"/>
              </w:rPr>
            </w:pPr>
          </w:p>
          <w:p>
            <w:pPr>
              <w:adjustRightInd w:val="0"/>
              <w:snapToGrid w:val="0"/>
              <w:ind w:firstLine="31680"/>
              <w:rPr>
                <w:rFonts w:ascii="宋体" w:cs="宋体"/>
                <w:color w:val="FF0000"/>
                <w:szCs w:val="21"/>
              </w:rPr>
            </w:pPr>
          </w:p>
          <w:p>
            <w:pPr>
              <w:adjustRightInd w:val="0"/>
              <w:snapToGrid w:val="0"/>
              <w:ind w:firstLine="31680"/>
              <w:rPr>
                <w:rFonts w:ascii="宋体" w:cs="宋体"/>
                <w:color w:val="FF0000"/>
                <w:szCs w:val="21"/>
              </w:rPr>
            </w:pPr>
          </w:p>
          <w:p>
            <w:pPr>
              <w:adjustRightInd w:val="0"/>
              <w:snapToGrid w:val="0"/>
              <w:ind w:firstLine="31680"/>
              <w:rPr>
                <w:rFonts w:ascii="宋体" w:cs="宋体"/>
                <w:color w:val="FF0000"/>
                <w:szCs w:val="21"/>
              </w:rPr>
            </w:pPr>
          </w:p>
          <w:p>
            <w:pPr>
              <w:adjustRightInd w:val="0"/>
              <w:snapToGrid w:val="0"/>
              <w:ind w:firstLine="31680"/>
              <w:rPr>
                <w:rFonts w:ascii="宋体" w:cs="宋体"/>
                <w:color w:val="FF0000"/>
                <w:szCs w:val="21"/>
              </w:rPr>
            </w:pPr>
          </w:p>
          <w:p>
            <w:pPr>
              <w:adjustRightInd w:val="0"/>
              <w:snapToGrid w:val="0"/>
              <w:ind w:firstLine="31680"/>
              <w:rPr>
                <w:rFonts w:ascii="宋体" w:cs="宋体"/>
                <w:color w:val="FF0000"/>
                <w:szCs w:val="21"/>
              </w:rPr>
            </w:pPr>
          </w:p>
          <w:p>
            <w:pPr>
              <w:adjustRightInd w:val="0"/>
              <w:snapToGrid w:val="0"/>
              <w:ind w:firstLine="31680"/>
              <w:rPr>
                <w:rFonts w:ascii="宋体" w:cs="宋体"/>
                <w:color w:val="FF0000"/>
                <w:szCs w:val="21"/>
              </w:rPr>
            </w:pPr>
          </w:p>
          <w:p>
            <w:pPr>
              <w:ind w:left="0" w:leftChars="0" w:firstLine="0" w:firstLineChars="0"/>
            </w:pPr>
          </w:p>
        </w:tc>
      </w:tr>
    </w:tbl>
    <w:p>
      <w:pPr>
        <w:ind w:left="0" w:leftChars="0" w:firstLine="0" w:firstLineChars="0"/>
      </w:pPr>
    </w:p>
    <w:p/>
    <w:p>
      <w:pPr>
        <w:ind w:firstLine="0" w:firstLineChars="0"/>
      </w:pPr>
    </w:p>
    <w:p/>
    <w:p/>
    <w:sectPr>
      <w:pgSz w:w="11906" w:h="16838"/>
      <w:pgMar w:top="1588" w:right="1559" w:bottom="1588" w:left="1559" w:header="851" w:footer="851"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Garamond">
    <w:panose1 w:val="02020404030301010803"/>
    <w:charset w:val="00"/>
    <w:family w:val="roman"/>
    <w:pitch w:val="default"/>
    <w:sig w:usb0="00000287" w:usb1="00000000" w:usb2="00000000" w:usb3="00000000" w:csb0="0000009F" w:csb1="DFD70000"/>
  </w:font>
  <w:font w:name="TimesNewRomanPSMT">
    <w:altName w:val="Times New Roman"/>
    <w:panose1 w:val="00000000000000000000"/>
    <w:charset w:val="00"/>
    <w:family w:val="roman"/>
    <w:pitch w:val="default"/>
    <w:sig w:usb0="00000000" w:usb1="00000000" w:usb2="00000000" w:usb3="00000000" w:csb0="00000001" w:csb1="00000000"/>
  </w:font>
  <w:font w:name="TimesNewRomanPS-BoldMT">
    <w:altName w:val="Times New Roman"/>
    <w:panose1 w:val="00000000000000000000"/>
    <w:charset w:val="00"/>
    <w:family w:val="roman"/>
    <w:pitch w:val="default"/>
    <w:sig w:usb0="00000000" w:usb1="00000000" w:usb2="00000000" w:usb3="00000000" w:csb0="00000001" w:csb1="00000000"/>
  </w:font>
  <w:font w:name="CambriaMath">
    <w:altName w:val="Times New Roman"/>
    <w:panose1 w:val="00000000000000000000"/>
    <w:charset w:val="00"/>
    <w:family w:val="roman"/>
    <w:pitch w:val="default"/>
    <w:sig w:usb0="00000000" w:usb1="00000000" w:usb2="00000000" w:usb3="00000000" w:csb0="00000001" w:csb1="00000000"/>
  </w:font>
  <w:font w:name="MingLiU">
    <w:altName w:val="PMingLiU-ExtB"/>
    <w:panose1 w:val="02020509000000000000"/>
    <w:charset w:val="88"/>
    <w:family w:val="modern"/>
    <w:pitch w:val="default"/>
    <w:sig w:usb0="00000000" w:usb1="00000000" w:usb2="00000016" w:usb3="00000000" w:csb0="00100001" w:csb1="00000000"/>
  </w:font>
  <w:font w:name="新宋体">
    <w:panose1 w:val="02010609030101010101"/>
    <w:charset w:val="86"/>
    <w:family w:val="modern"/>
    <w:pitch w:val="default"/>
    <w:sig w:usb0="00000203" w:usb1="288F0000" w:usb2="00000006" w:usb3="00000000" w:csb0="00040001" w:csb1="00000000"/>
  </w:font>
  <w:font w:name="方正书宋">
    <w:altName w:val="仿宋"/>
    <w:panose1 w:val="00000000000000000000"/>
    <w:charset w:val="86"/>
    <w:family w:val="script"/>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方正仿宋_GBK">
    <w:altName w:val="微软雅黑"/>
    <w:panose1 w:val="00000000000000000000"/>
    <w:charset w:val="86"/>
    <w:family w:val="script"/>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firstLine="3168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ind w:firstLine="31680"/>
                            <w:rPr>
                              <w:rStyle w:val="41"/>
                              <w:sz w:val="21"/>
                              <w:szCs w:val="21"/>
                            </w:rPr>
                          </w:pPr>
                          <w:r>
                            <w:rPr>
                              <w:rStyle w:val="41"/>
                              <w:sz w:val="21"/>
                              <w:szCs w:val="21"/>
                            </w:rPr>
                            <w:t>—</w:t>
                          </w:r>
                          <w:r>
                            <w:rPr>
                              <w:rStyle w:val="41"/>
                              <w:sz w:val="21"/>
                              <w:szCs w:val="21"/>
                            </w:rPr>
                            <w:fldChar w:fldCharType="begin"/>
                          </w:r>
                          <w:r>
                            <w:rPr>
                              <w:rStyle w:val="41"/>
                              <w:sz w:val="21"/>
                              <w:szCs w:val="21"/>
                            </w:rPr>
                            <w:instrText xml:space="preserve">PAGE  </w:instrText>
                          </w:r>
                          <w:r>
                            <w:rPr>
                              <w:rStyle w:val="41"/>
                              <w:sz w:val="21"/>
                              <w:szCs w:val="21"/>
                            </w:rPr>
                            <w:fldChar w:fldCharType="separate"/>
                          </w:r>
                          <w:r>
                            <w:rPr>
                              <w:rStyle w:val="41"/>
                              <w:sz w:val="21"/>
                              <w:szCs w:val="21"/>
                            </w:rPr>
                            <w:t>1</w:t>
                          </w:r>
                          <w:r>
                            <w:rPr>
                              <w:rStyle w:val="41"/>
                              <w:sz w:val="21"/>
                              <w:szCs w:val="21"/>
                            </w:rPr>
                            <w:fldChar w:fldCharType="end"/>
                          </w:r>
                          <w:r>
                            <w:rPr>
                              <w:rStyle w:val="41"/>
                              <w:sz w:val="21"/>
                              <w:szCs w:val="21"/>
                            </w:rPr>
                            <w:t>—</w:t>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n9vjn0QEAAKMDAAAOAAAAAAAAAAEAIAAAAB8BAABk&#10;cnMvZTJvRG9jLnhtbFBLBQYAAAAABgAGAFkBAABiBQAAAAA=&#10;">
              <v:fill on="f" focussize="0,0"/>
              <v:stroke on="f" weight="0.5pt"/>
              <v:imagedata o:title=""/>
              <o:lock v:ext="edit" aspectratio="f"/>
              <v:textbox inset="0mm,0mm,0mm,0mm" style="mso-fit-shape-to-text:t;">
                <w:txbxContent>
                  <w:p>
                    <w:pPr>
                      <w:pStyle w:val="22"/>
                      <w:ind w:firstLine="31680"/>
                      <w:rPr>
                        <w:rStyle w:val="41"/>
                        <w:sz w:val="21"/>
                        <w:szCs w:val="21"/>
                      </w:rPr>
                    </w:pPr>
                    <w:r>
                      <w:rPr>
                        <w:rStyle w:val="41"/>
                        <w:sz w:val="21"/>
                        <w:szCs w:val="21"/>
                      </w:rPr>
                      <w:t>—</w:t>
                    </w:r>
                    <w:r>
                      <w:rPr>
                        <w:rStyle w:val="41"/>
                        <w:sz w:val="21"/>
                        <w:szCs w:val="21"/>
                      </w:rPr>
                      <w:fldChar w:fldCharType="begin"/>
                    </w:r>
                    <w:r>
                      <w:rPr>
                        <w:rStyle w:val="41"/>
                        <w:sz w:val="21"/>
                        <w:szCs w:val="21"/>
                      </w:rPr>
                      <w:instrText xml:space="preserve">PAGE  </w:instrText>
                    </w:r>
                    <w:r>
                      <w:rPr>
                        <w:rStyle w:val="41"/>
                        <w:sz w:val="21"/>
                        <w:szCs w:val="21"/>
                      </w:rPr>
                      <w:fldChar w:fldCharType="separate"/>
                    </w:r>
                    <w:r>
                      <w:rPr>
                        <w:rStyle w:val="41"/>
                        <w:sz w:val="21"/>
                        <w:szCs w:val="21"/>
                      </w:rPr>
                      <w:t>1</w:t>
                    </w:r>
                    <w:r>
                      <w:rPr>
                        <w:rStyle w:val="41"/>
                        <w:sz w:val="21"/>
                        <w:szCs w:val="21"/>
                      </w:rPr>
                      <w:fldChar w:fldCharType="end"/>
                    </w:r>
                    <w:r>
                      <w:rPr>
                        <w:rStyle w:val="41"/>
                        <w:sz w:val="21"/>
                        <w:szCs w:val="21"/>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rightChars="150" w:firstLine="3168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ind w:firstLine="31680"/>
                            <w:rPr>
                              <w:rStyle w:val="41"/>
                              <w:sz w:val="21"/>
                              <w:szCs w:val="21"/>
                            </w:rPr>
                          </w:pPr>
                          <w:r>
                            <w:rPr>
                              <w:rStyle w:val="41"/>
                              <w:sz w:val="21"/>
                              <w:szCs w:val="21"/>
                            </w:rPr>
                            <w:t>—</w:t>
                          </w:r>
                          <w:r>
                            <w:rPr>
                              <w:rStyle w:val="41"/>
                              <w:sz w:val="21"/>
                              <w:szCs w:val="21"/>
                            </w:rPr>
                            <w:fldChar w:fldCharType="begin"/>
                          </w:r>
                          <w:r>
                            <w:rPr>
                              <w:rStyle w:val="41"/>
                              <w:sz w:val="21"/>
                              <w:szCs w:val="21"/>
                            </w:rPr>
                            <w:instrText xml:space="preserve">PAGE  </w:instrText>
                          </w:r>
                          <w:r>
                            <w:rPr>
                              <w:rStyle w:val="41"/>
                              <w:sz w:val="21"/>
                              <w:szCs w:val="21"/>
                            </w:rPr>
                            <w:fldChar w:fldCharType="separate"/>
                          </w:r>
                          <w:r>
                            <w:rPr>
                              <w:rStyle w:val="41"/>
                              <w:sz w:val="21"/>
                              <w:szCs w:val="21"/>
                            </w:rPr>
                            <w:t>60</w:t>
                          </w:r>
                          <w:r>
                            <w:rPr>
                              <w:rStyle w:val="41"/>
                              <w:sz w:val="21"/>
                              <w:szCs w:val="21"/>
                            </w:rPr>
                            <w:fldChar w:fldCharType="end"/>
                          </w:r>
                          <w:r>
                            <w:rPr>
                              <w:rStyle w:val="41"/>
                              <w:sz w:val="21"/>
                              <w:szCs w:val="21"/>
                            </w:rPr>
                            <w:t>—</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X+hpd0QEAAKIDAAAOAAAAAAAAAAEAIAAAAB8BAABk&#10;cnMvZTJvRG9jLnhtbFBLBQYAAAAABgAGAFkBAABiBQAAAAA=&#10;">
              <v:fill on="f" focussize="0,0"/>
              <v:stroke on="f" weight="0.5pt"/>
              <v:imagedata o:title=""/>
              <o:lock v:ext="edit" aspectratio="f"/>
              <v:textbox inset="0mm,0mm,0mm,0mm" style="mso-fit-shape-to-text:t;">
                <w:txbxContent>
                  <w:p>
                    <w:pPr>
                      <w:pStyle w:val="22"/>
                      <w:ind w:firstLine="31680"/>
                      <w:rPr>
                        <w:rStyle w:val="41"/>
                        <w:sz w:val="21"/>
                        <w:szCs w:val="21"/>
                      </w:rPr>
                    </w:pPr>
                    <w:r>
                      <w:rPr>
                        <w:rStyle w:val="41"/>
                        <w:sz w:val="21"/>
                        <w:szCs w:val="21"/>
                      </w:rPr>
                      <w:t>—</w:t>
                    </w:r>
                    <w:r>
                      <w:rPr>
                        <w:rStyle w:val="41"/>
                        <w:sz w:val="21"/>
                        <w:szCs w:val="21"/>
                      </w:rPr>
                      <w:fldChar w:fldCharType="begin"/>
                    </w:r>
                    <w:r>
                      <w:rPr>
                        <w:rStyle w:val="41"/>
                        <w:sz w:val="21"/>
                        <w:szCs w:val="21"/>
                      </w:rPr>
                      <w:instrText xml:space="preserve">PAGE  </w:instrText>
                    </w:r>
                    <w:r>
                      <w:rPr>
                        <w:rStyle w:val="41"/>
                        <w:sz w:val="21"/>
                        <w:szCs w:val="21"/>
                      </w:rPr>
                      <w:fldChar w:fldCharType="separate"/>
                    </w:r>
                    <w:r>
                      <w:rPr>
                        <w:rStyle w:val="41"/>
                        <w:sz w:val="21"/>
                        <w:szCs w:val="21"/>
                      </w:rPr>
                      <w:t>60</w:t>
                    </w:r>
                    <w:r>
                      <w:rPr>
                        <w:rStyle w:val="41"/>
                        <w:sz w:val="21"/>
                        <w:szCs w:val="21"/>
                      </w:rPr>
                      <w:fldChar w:fldCharType="end"/>
                    </w:r>
                    <w:r>
                      <w:rPr>
                        <w:rStyle w:val="41"/>
                        <w:sz w:val="21"/>
                        <w:szCs w:val="21"/>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none" w:color="auto" w:sz="0" w:space="0"/>
        <w:left w:val="none" w:color="auto" w:sz="0" w:space="0"/>
        <w:bottom w:val="none" w:color="auto" w:sz="0" w:space="0"/>
        <w:right w:val="none" w:color="auto" w:sz="0" w:space="0"/>
      </w:pBdr>
      <w:ind w:firstLine="316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decimal"/>
      <w:pStyle w:val="50"/>
      <w:lvlText w:val="%1."/>
      <w:lvlJc w:val="left"/>
      <w:pPr>
        <w:tabs>
          <w:tab w:val="left" w:pos="2040"/>
        </w:tabs>
        <w:ind w:left="2040" w:hanging="360"/>
      </w:pPr>
    </w:lvl>
  </w:abstractNum>
  <w:abstractNum w:abstractNumId="1">
    <w:nsid w:val="5876961C"/>
    <w:multiLevelType w:val="singleLevel"/>
    <w:tmpl w:val="5876961C"/>
    <w:lvl w:ilvl="0" w:tentative="0">
      <w:start w:val="1"/>
      <w:numFmt w:val="bullet"/>
      <w:pStyle w:val="18"/>
      <w:lvlText w:val=""/>
      <w:lvlJc w:val="left"/>
      <w:pPr>
        <w:tabs>
          <w:tab w:val="left" w:pos="2040"/>
        </w:tabs>
        <w:ind w:left="204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iMWU4NjE2ZThjZWFmNTIyNjY1N2Y2MGM4NGU0YzgifQ=="/>
    <w:docVar w:name="KSO_WPS_MARK_KEY" w:val="f2e9f3f6-9445-4b5d-9905-f5c975b72ae9"/>
  </w:docVars>
  <w:rsids>
    <w:rsidRoot w:val="00172A27"/>
    <w:rsid w:val="00002CC2"/>
    <w:rsid w:val="0000462E"/>
    <w:rsid w:val="00006FF3"/>
    <w:rsid w:val="0000731E"/>
    <w:rsid w:val="00014E94"/>
    <w:rsid w:val="00016E4F"/>
    <w:rsid w:val="00023538"/>
    <w:rsid w:val="0003225D"/>
    <w:rsid w:val="000357EC"/>
    <w:rsid w:val="000424CA"/>
    <w:rsid w:val="000533A3"/>
    <w:rsid w:val="00056185"/>
    <w:rsid w:val="00060CE2"/>
    <w:rsid w:val="00062905"/>
    <w:rsid w:val="00062AA0"/>
    <w:rsid w:val="000662DF"/>
    <w:rsid w:val="00066535"/>
    <w:rsid w:val="00066F3B"/>
    <w:rsid w:val="00067B52"/>
    <w:rsid w:val="00070B89"/>
    <w:rsid w:val="00091423"/>
    <w:rsid w:val="000944CA"/>
    <w:rsid w:val="000953E4"/>
    <w:rsid w:val="000A2D16"/>
    <w:rsid w:val="000A76EA"/>
    <w:rsid w:val="000A7FD4"/>
    <w:rsid w:val="000B220F"/>
    <w:rsid w:val="000B67CD"/>
    <w:rsid w:val="000B6C81"/>
    <w:rsid w:val="000C0F8A"/>
    <w:rsid w:val="000C1EBE"/>
    <w:rsid w:val="000C2501"/>
    <w:rsid w:val="000C41F7"/>
    <w:rsid w:val="000D1991"/>
    <w:rsid w:val="000D1D82"/>
    <w:rsid w:val="000D2B74"/>
    <w:rsid w:val="000D3F96"/>
    <w:rsid w:val="000E5AE2"/>
    <w:rsid w:val="000F09E2"/>
    <w:rsid w:val="000F7EC7"/>
    <w:rsid w:val="001028A7"/>
    <w:rsid w:val="00113D28"/>
    <w:rsid w:val="00114D37"/>
    <w:rsid w:val="00124245"/>
    <w:rsid w:val="0012546F"/>
    <w:rsid w:val="00127D47"/>
    <w:rsid w:val="001314DA"/>
    <w:rsid w:val="00134FE1"/>
    <w:rsid w:val="001413E9"/>
    <w:rsid w:val="00143D4B"/>
    <w:rsid w:val="00145B1E"/>
    <w:rsid w:val="00150DD6"/>
    <w:rsid w:val="00156AE5"/>
    <w:rsid w:val="00162521"/>
    <w:rsid w:val="00162C39"/>
    <w:rsid w:val="0016498E"/>
    <w:rsid w:val="00167BB9"/>
    <w:rsid w:val="00167D3A"/>
    <w:rsid w:val="00172A27"/>
    <w:rsid w:val="00176671"/>
    <w:rsid w:val="001814AA"/>
    <w:rsid w:val="001858BB"/>
    <w:rsid w:val="0019260E"/>
    <w:rsid w:val="00195583"/>
    <w:rsid w:val="001A14EA"/>
    <w:rsid w:val="001A1878"/>
    <w:rsid w:val="001A5C7C"/>
    <w:rsid w:val="001B25AF"/>
    <w:rsid w:val="001B39DE"/>
    <w:rsid w:val="001B65B9"/>
    <w:rsid w:val="001C33FD"/>
    <w:rsid w:val="001C3DB4"/>
    <w:rsid w:val="001D0231"/>
    <w:rsid w:val="001D18DD"/>
    <w:rsid w:val="001D248E"/>
    <w:rsid w:val="001D459F"/>
    <w:rsid w:val="001E67BA"/>
    <w:rsid w:val="001E7388"/>
    <w:rsid w:val="001F0BF7"/>
    <w:rsid w:val="001F3700"/>
    <w:rsid w:val="001F3BE6"/>
    <w:rsid w:val="001F666F"/>
    <w:rsid w:val="0020341F"/>
    <w:rsid w:val="00204BDF"/>
    <w:rsid w:val="00217739"/>
    <w:rsid w:val="0022007B"/>
    <w:rsid w:val="00223EB9"/>
    <w:rsid w:val="002264EE"/>
    <w:rsid w:val="0023111E"/>
    <w:rsid w:val="00231350"/>
    <w:rsid w:val="0023203D"/>
    <w:rsid w:val="00237989"/>
    <w:rsid w:val="002475C8"/>
    <w:rsid w:val="00247954"/>
    <w:rsid w:val="0025267A"/>
    <w:rsid w:val="0025380B"/>
    <w:rsid w:val="00261651"/>
    <w:rsid w:val="00262E4D"/>
    <w:rsid w:val="00266BBF"/>
    <w:rsid w:val="0026716B"/>
    <w:rsid w:val="00275E27"/>
    <w:rsid w:val="00277530"/>
    <w:rsid w:val="00280BE5"/>
    <w:rsid w:val="00284147"/>
    <w:rsid w:val="002848CE"/>
    <w:rsid w:val="00285BF8"/>
    <w:rsid w:val="002A249F"/>
    <w:rsid w:val="002A3BEE"/>
    <w:rsid w:val="002A4A2C"/>
    <w:rsid w:val="002B0085"/>
    <w:rsid w:val="002B57C9"/>
    <w:rsid w:val="002B6A5C"/>
    <w:rsid w:val="002B78EF"/>
    <w:rsid w:val="002B7FEE"/>
    <w:rsid w:val="002C2FCD"/>
    <w:rsid w:val="002C62D0"/>
    <w:rsid w:val="002D2977"/>
    <w:rsid w:val="002D34CE"/>
    <w:rsid w:val="002D4917"/>
    <w:rsid w:val="002E066D"/>
    <w:rsid w:val="002E491C"/>
    <w:rsid w:val="002F01C0"/>
    <w:rsid w:val="002F3D11"/>
    <w:rsid w:val="002F5855"/>
    <w:rsid w:val="002F65E2"/>
    <w:rsid w:val="002F75FA"/>
    <w:rsid w:val="002F7FF9"/>
    <w:rsid w:val="00300C10"/>
    <w:rsid w:val="003048A5"/>
    <w:rsid w:val="003052B8"/>
    <w:rsid w:val="00306E1D"/>
    <w:rsid w:val="00310C3D"/>
    <w:rsid w:val="0031100C"/>
    <w:rsid w:val="003112BB"/>
    <w:rsid w:val="003155FC"/>
    <w:rsid w:val="0032128B"/>
    <w:rsid w:val="00322ED3"/>
    <w:rsid w:val="00326CC5"/>
    <w:rsid w:val="00327F9E"/>
    <w:rsid w:val="0033349D"/>
    <w:rsid w:val="003338FF"/>
    <w:rsid w:val="00334392"/>
    <w:rsid w:val="00334FE2"/>
    <w:rsid w:val="00337F4B"/>
    <w:rsid w:val="003415F3"/>
    <w:rsid w:val="00345959"/>
    <w:rsid w:val="003463F9"/>
    <w:rsid w:val="00351C5E"/>
    <w:rsid w:val="00351F5D"/>
    <w:rsid w:val="0035322E"/>
    <w:rsid w:val="0035522B"/>
    <w:rsid w:val="0035665A"/>
    <w:rsid w:val="003570EF"/>
    <w:rsid w:val="003601D9"/>
    <w:rsid w:val="00360809"/>
    <w:rsid w:val="0036286D"/>
    <w:rsid w:val="00362A78"/>
    <w:rsid w:val="00370B21"/>
    <w:rsid w:val="0037601C"/>
    <w:rsid w:val="003762A3"/>
    <w:rsid w:val="003765D7"/>
    <w:rsid w:val="00377F6D"/>
    <w:rsid w:val="0038069B"/>
    <w:rsid w:val="00381488"/>
    <w:rsid w:val="00386EE7"/>
    <w:rsid w:val="003A1012"/>
    <w:rsid w:val="003A2CA6"/>
    <w:rsid w:val="003A350F"/>
    <w:rsid w:val="003A4A34"/>
    <w:rsid w:val="003A66D2"/>
    <w:rsid w:val="003A7421"/>
    <w:rsid w:val="003A7B7D"/>
    <w:rsid w:val="003B2A55"/>
    <w:rsid w:val="003B6A75"/>
    <w:rsid w:val="003B717C"/>
    <w:rsid w:val="003C3AF6"/>
    <w:rsid w:val="003C786D"/>
    <w:rsid w:val="003D07CC"/>
    <w:rsid w:val="003D2698"/>
    <w:rsid w:val="003D2E99"/>
    <w:rsid w:val="003D47FF"/>
    <w:rsid w:val="003D4F30"/>
    <w:rsid w:val="003E0BAD"/>
    <w:rsid w:val="003E6A54"/>
    <w:rsid w:val="003F09C2"/>
    <w:rsid w:val="003F7406"/>
    <w:rsid w:val="003F7DCF"/>
    <w:rsid w:val="004018EE"/>
    <w:rsid w:val="0040308D"/>
    <w:rsid w:val="004041F5"/>
    <w:rsid w:val="00413789"/>
    <w:rsid w:val="00415BA5"/>
    <w:rsid w:val="0041712D"/>
    <w:rsid w:val="0042478E"/>
    <w:rsid w:val="0042549A"/>
    <w:rsid w:val="004312EA"/>
    <w:rsid w:val="00432434"/>
    <w:rsid w:val="00432C48"/>
    <w:rsid w:val="00433EB7"/>
    <w:rsid w:val="00434070"/>
    <w:rsid w:val="00436483"/>
    <w:rsid w:val="004369F6"/>
    <w:rsid w:val="00443753"/>
    <w:rsid w:val="00443E76"/>
    <w:rsid w:val="0044679A"/>
    <w:rsid w:val="0045097A"/>
    <w:rsid w:val="00450EB1"/>
    <w:rsid w:val="0045666F"/>
    <w:rsid w:val="00456FE1"/>
    <w:rsid w:val="004574E8"/>
    <w:rsid w:val="004575C0"/>
    <w:rsid w:val="00461430"/>
    <w:rsid w:val="00472D63"/>
    <w:rsid w:val="0047300D"/>
    <w:rsid w:val="00473E2F"/>
    <w:rsid w:val="00474845"/>
    <w:rsid w:val="0047517B"/>
    <w:rsid w:val="00480148"/>
    <w:rsid w:val="004855FF"/>
    <w:rsid w:val="0049625C"/>
    <w:rsid w:val="004A15A8"/>
    <w:rsid w:val="004A2691"/>
    <w:rsid w:val="004A26A9"/>
    <w:rsid w:val="004A3D99"/>
    <w:rsid w:val="004A76AF"/>
    <w:rsid w:val="004B1606"/>
    <w:rsid w:val="004B2714"/>
    <w:rsid w:val="004B3494"/>
    <w:rsid w:val="004B6AF3"/>
    <w:rsid w:val="004C2222"/>
    <w:rsid w:val="004C31BD"/>
    <w:rsid w:val="004D01D6"/>
    <w:rsid w:val="004D519D"/>
    <w:rsid w:val="004D5AF0"/>
    <w:rsid w:val="004D6BED"/>
    <w:rsid w:val="004D7736"/>
    <w:rsid w:val="004E0859"/>
    <w:rsid w:val="004E1610"/>
    <w:rsid w:val="004E3154"/>
    <w:rsid w:val="004E3818"/>
    <w:rsid w:val="004E3C90"/>
    <w:rsid w:val="004E4ED6"/>
    <w:rsid w:val="004E71E1"/>
    <w:rsid w:val="004F07D7"/>
    <w:rsid w:val="004F0DA7"/>
    <w:rsid w:val="004F5F71"/>
    <w:rsid w:val="004F68D2"/>
    <w:rsid w:val="00500977"/>
    <w:rsid w:val="00500B83"/>
    <w:rsid w:val="005123A4"/>
    <w:rsid w:val="005126B2"/>
    <w:rsid w:val="00516BC9"/>
    <w:rsid w:val="00516C8F"/>
    <w:rsid w:val="00516E81"/>
    <w:rsid w:val="005211FB"/>
    <w:rsid w:val="00526621"/>
    <w:rsid w:val="005272B8"/>
    <w:rsid w:val="00527535"/>
    <w:rsid w:val="0053044E"/>
    <w:rsid w:val="00532749"/>
    <w:rsid w:val="0053675A"/>
    <w:rsid w:val="00536A47"/>
    <w:rsid w:val="00536F0A"/>
    <w:rsid w:val="005415E1"/>
    <w:rsid w:val="00541B16"/>
    <w:rsid w:val="00551EE8"/>
    <w:rsid w:val="00563D59"/>
    <w:rsid w:val="005642D7"/>
    <w:rsid w:val="00565CEB"/>
    <w:rsid w:val="00567278"/>
    <w:rsid w:val="00570BC7"/>
    <w:rsid w:val="00573CA3"/>
    <w:rsid w:val="00582073"/>
    <w:rsid w:val="0058603B"/>
    <w:rsid w:val="00590A51"/>
    <w:rsid w:val="005929E2"/>
    <w:rsid w:val="00595658"/>
    <w:rsid w:val="005A568B"/>
    <w:rsid w:val="005A6611"/>
    <w:rsid w:val="005A726C"/>
    <w:rsid w:val="005C1A4B"/>
    <w:rsid w:val="005C1F72"/>
    <w:rsid w:val="005C516A"/>
    <w:rsid w:val="005C65BA"/>
    <w:rsid w:val="005C7CC8"/>
    <w:rsid w:val="005D066D"/>
    <w:rsid w:val="005D3EB1"/>
    <w:rsid w:val="005D5258"/>
    <w:rsid w:val="005D6999"/>
    <w:rsid w:val="005E51D2"/>
    <w:rsid w:val="005E6D45"/>
    <w:rsid w:val="005F2E16"/>
    <w:rsid w:val="005F3CE5"/>
    <w:rsid w:val="005F58C8"/>
    <w:rsid w:val="006012C7"/>
    <w:rsid w:val="00603DE5"/>
    <w:rsid w:val="006046AB"/>
    <w:rsid w:val="00604E90"/>
    <w:rsid w:val="00612A27"/>
    <w:rsid w:val="00620EAA"/>
    <w:rsid w:val="00621A90"/>
    <w:rsid w:val="0062222A"/>
    <w:rsid w:val="00622888"/>
    <w:rsid w:val="0062414D"/>
    <w:rsid w:val="00630A60"/>
    <w:rsid w:val="00633A47"/>
    <w:rsid w:val="00641FA3"/>
    <w:rsid w:val="00642789"/>
    <w:rsid w:val="006451F7"/>
    <w:rsid w:val="006506FA"/>
    <w:rsid w:val="006528F4"/>
    <w:rsid w:val="00653313"/>
    <w:rsid w:val="00655C90"/>
    <w:rsid w:val="00661EB0"/>
    <w:rsid w:val="00664E92"/>
    <w:rsid w:val="00665009"/>
    <w:rsid w:val="0067212D"/>
    <w:rsid w:val="006812FF"/>
    <w:rsid w:val="00683500"/>
    <w:rsid w:val="006846D9"/>
    <w:rsid w:val="006921AC"/>
    <w:rsid w:val="00694732"/>
    <w:rsid w:val="006A094B"/>
    <w:rsid w:val="006A10DE"/>
    <w:rsid w:val="006A33C8"/>
    <w:rsid w:val="006A3ACA"/>
    <w:rsid w:val="006A4D8D"/>
    <w:rsid w:val="006A57B5"/>
    <w:rsid w:val="006A6902"/>
    <w:rsid w:val="006B1F33"/>
    <w:rsid w:val="006B5DB5"/>
    <w:rsid w:val="006B6FEB"/>
    <w:rsid w:val="006C153C"/>
    <w:rsid w:val="006C4188"/>
    <w:rsid w:val="006C7913"/>
    <w:rsid w:val="006D1D48"/>
    <w:rsid w:val="006D2A56"/>
    <w:rsid w:val="006D3DB7"/>
    <w:rsid w:val="006D7804"/>
    <w:rsid w:val="006E10A8"/>
    <w:rsid w:val="006E38FB"/>
    <w:rsid w:val="006F1B7A"/>
    <w:rsid w:val="006F3E92"/>
    <w:rsid w:val="00702779"/>
    <w:rsid w:val="00705897"/>
    <w:rsid w:val="00705CCE"/>
    <w:rsid w:val="00706B17"/>
    <w:rsid w:val="00712F59"/>
    <w:rsid w:val="007154CB"/>
    <w:rsid w:val="00717CE2"/>
    <w:rsid w:val="0072054A"/>
    <w:rsid w:val="00721305"/>
    <w:rsid w:val="00721CC2"/>
    <w:rsid w:val="00721EF5"/>
    <w:rsid w:val="00724401"/>
    <w:rsid w:val="007257E5"/>
    <w:rsid w:val="00730C46"/>
    <w:rsid w:val="00731F1C"/>
    <w:rsid w:val="007360EF"/>
    <w:rsid w:val="00740469"/>
    <w:rsid w:val="00740B9B"/>
    <w:rsid w:val="0074233A"/>
    <w:rsid w:val="00747ADF"/>
    <w:rsid w:val="00751117"/>
    <w:rsid w:val="007607B9"/>
    <w:rsid w:val="00762F3F"/>
    <w:rsid w:val="0076416A"/>
    <w:rsid w:val="00767FB6"/>
    <w:rsid w:val="007770DA"/>
    <w:rsid w:val="00786C3A"/>
    <w:rsid w:val="00790178"/>
    <w:rsid w:val="00790FDD"/>
    <w:rsid w:val="007961F5"/>
    <w:rsid w:val="00796A3F"/>
    <w:rsid w:val="007A060A"/>
    <w:rsid w:val="007A46CA"/>
    <w:rsid w:val="007A7C65"/>
    <w:rsid w:val="007B00A8"/>
    <w:rsid w:val="007B153B"/>
    <w:rsid w:val="007B2247"/>
    <w:rsid w:val="007B5B12"/>
    <w:rsid w:val="007C0387"/>
    <w:rsid w:val="007C5697"/>
    <w:rsid w:val="007C6BD5"/>
    <w:rsid w:val="007D080E"/>
    <w:rsid w:val="007E31FA"/>
    <w:rsid w:val="007F0799"/>
    <w:rsid w:val="007F0DF4"/>
    <w:rsid w:val="007F49D5"/>
    <w:rsid w:val="007F52D2"/>
    <w:rsid w:val="00801A97"/>
    <w:rsid w:val="00804B54"/>
    <w:rsid w:val="00812481"/>
    <w:rsid w:val="008127C5"/>
    <w:rsid w:val="00812A70"/>
    <w:rsid w:val="008143E3"/>
    <w:rsid w:val="00822929"/>
    <w:rsid w:val="0082628E"/>
    <w:rsid w:val="00826340"/>
    <w:rsid w:val="008300EB"/>
    <w:rsid w:val="008302DD"/>
    <w:rsid w:val="00831F80"/>
    <w:rsid w:val="00834BC4"/>
    <w:rsid w:val="00847ECF"/>
    <w:rsid w:val="00850865"/>
    <w:rsid w:val="0085143B"/>
    <w:rsid w:val="00852DC9"/>
    <w:rsid w:val="00853A78"/>
    <w:rsid w:val="00854CAE"/>
    <w:rsid w:val="00860199"/>
    <w:rsid w:val="00863ADF"/>
    <w:rsid w:val="00863E36"/>
    <w:rsid w:val="00866876"/>
    <w:rsid w:val="00866B13"/>
    <w:rsid w:val="00866E76"/>
    <w:rsid w:val="008703D9"/>
    <w:rsid w:val="00873858"/>
    <w:rsid w:val="00880103"/>
    <w:rsid w:val="008835FB"/>
    <w:rsid w:val="00887C5F"/>
    <w:rsid w:val="00891C5B"/>
    <w:rsid w:val="008943EF"/>
    <w:rsid w:val="00895A6B"/>
    <w:rsid w:val="008A00BF"/>
    <w:rsid w:val="008A1E75"/>
    <w:rsid w:val="008A5B58"/>
    <w:rsid w:val="008A76D3"/>
    <w:rsid w:val="008A7C93"/>
    <w:rsid w:val="008B40CC"/>
    <w:rsid w:val="008B670D"/>
    <w:rsid w:val="008B68D2"/>
    <w:rsid w:val="008B6BA4"/>
    <w:rsid w:val="008B7A5D"/>
    <w:rsid w:val="008B7C85"/>
    <w:rsid w:val="008C0781"/>
    <w:rsid w:val="008C7858"/>
    <w:rsid w:val="008D1EB1"/>
    <w:rsid w:val="008E27FE"/>
    <w:rsid w:val="008E2E94"/>
    <w:rsid w:val="008E5E20"/>
    <w:rsid w:val="008E6DE2"/>
    <w:rsid w:val="008F0DE6"/>
    <w:rsid w:val="008F4A2B"/>
    <w:rsid w:val="00900644"/>
    <w:rsid w:val="00903F40"/>
    <w:rsid w:val="009066AC"/>
    <w:rsid w:val="009078A2"/>
    <w:rsid w:val="00912BD0"/>
    <w:rsid w:val="00914D9E"/>
    <w:rsid w:val="00914E2A"/>
    <w:rsid w:val="00914F85"/>
    <w:rsid w:val="009209DD"/>
    <w:rsid w:val="00921BCE"/>
    <w:rsid w:val="0092343F"/>
    <w:rsid w:val="009240A4"/>
    <w:rsid w:val="00925E95"/>
    <w:rsid w:val="00927C50"/>
    <w:rsid w:val="00930194"/>
    <w:rsid w:val="009356B6"/>
    <w:rsid w:val="00937054"/>
    <w:rsid w:val="009454AA"/>
    <w:rsid w:val="009467E6"/>
    <w:rsid w:val="00953C0A"/>
    <w:rsid w:val="00957F2A"/>
    <w:rsid w:val="00960E5D"/>
    <w:rsid w:val="0096144A"/>
    <w:rsid w:val="00962E75"/>
    <w:rsid w:val="009645C2"/>
    <w:rsid w:val="009709C4"/>
    <w:rsid w:val="009818C4"/>
    <w:rsid w:val="00982B2D"/>
    <w:rsid w:val="009862FC"/>
    <w:rsid w:val="00990B3D"/>
    <w:rsid w:val="009911F4"/>
    <w:rsid w:val="009917D8"/>
    <w:rsid w:val="00991DE3"/>
    <w:rsid w:val="00993B26"/>
    <w:rsid w:val="009B09D4"/>
    <w:rsid w:val="009B2415"/>
    <w:rsid w:val="009B3AAB"/>
    <w:rsid w:val="009B3BB8"/>
    <w:rsid w:val="009B4130"/>
    <w:rsid w:val="009B7B28"/>
    <w:rsid w:val="009C2073"/>
    <w:rsid w:val="009C27B3"/>
    <w:rsid w:val="009C42E0"/>
    <w:rsid w:val="009C7ADB"/>
    <w:rsid w:val="009D7042"/>
    <w:rsid w:val="009D7AD7"/>
    <w:rsid w:val="009E2879"/>
    <w:rsid w:val="009E2D6F"/>
    <w:rsid w:val="009E5375"/>
    <w:rsid w:val="009E615A"/>
    <w:rsid w:val="009F1A67"/>
    <w:rsid w:val="009F292C"/>
    <w:rsid w:val="009F40E2"/>
    <w:rsid w:val="009F7D2B"/>
    <w:rsid w:val="00A00FB6"/>
    <w:rsid w:val="00A012F2"/>
    <w:rsid w:val="00A05CFD"/>
    <w:rsid w:val="00A202BB"/>
    <w:rsid w:val="00A2475F"/>
    <w:rsid w:val="00A25995"/>
    <w:rsid w:val="00A25A21"/>
    <w:rsid w:val="00A31221"/>
    <w:rsid w:val="00A31A7A"/>
    <w:rsid w:val="00A40FDA"/>
    <w:rsid w:val="00A42273"/>
    <w:rsid w:val="00A476CA"/>
    <w:rsid w:val="00A54C14"/>
    <w:rsid w:val="00A56030"/>
    <w:rsid w:val="00A56AF6"/>
    <w:rsid w:val="00A751BE"/>
    <w:rsid w:val="00A80E8E"/>
    <w:rsid w:val="00A81C12"/>
    <w:rsid w:val="00A91862"/>
    <w:rsid w:val="00A97172"/>
    <w:rsid w:val="00A97A8A"/>
    <w:rsid w:val="00AA15FB"/>
    <w:rsid w:val="00AA253F"/>
    <w:rsid w:val="00AA28EA"/>
    <w:rsid w:val="00AA43D4"/>
    <w:rsid w:val="00AA5C7A"/>
    <w:rsid w:val="00AB4330"/>
    <w:rsid w:val="00AC08A3"/>
    <w:rsid w:val="00AC0A8A"/>
    <w:rsid w:val="00AC2472"/>
    <w:rsid w:val="00AC3B41"/>
    <w:rsid w:val="00AC6140"/>
    <w:rsid w:val="00AC67FF"/>
    <w:rsid w:val="00AD3936"/>
    <w:rsid w:val="00AD4298"/>
    <w:rsid w:val="00AD5FE7"/>
    <w:rsid w:val="00AD65C2"/>
    <w:rsid w:val="00AE2D9B"/>
    <w:rsid w:val="00AE567B"/>
    <w:rsid w:val="00AE6F0A"/>
    <w:rsid w:val="00AF6D60"/>
    <w:rsid w:val="00B01A46"/>
    <w:rsid w:val="00B01BCA"/>
    <w:rsid w:val="00B02928"/>
    <w:rsid w:val="00B02EF6"/>
    <w:rsid w:val="00B050E1"/>
    <w:rsid w:val="00B0752F"/>
    <w:rsid w:val="00B128EA"/>
    <w:rsid w:val="00B13392"/>
    <w:rsid w:val="00B13C1A"/>
    <w:rsid w:val="00B1435F"/>
    <w:rsid w:val="00B23A9F"/>
    <w:rsid w:val="00B36CF0"/>
    <w:rsid w:val="00B40C76"/>
    <w:rsid w:val="00B46533"/>
    <w:rsid w:val="00B525A0"/>
    <w:rsid w:val="00B53AFB"/>
    <w:rsid w:val="00B632AA"/>
    <w:rsid w:val="00B642D0"/>
    <w:rsid w:val="00B650E4"/>
    <w:rsid w:val="00B65AE1"/>
    <w:rsid w:val="00B8274B"/>
    <w:rsid w:val="00B83D4E"/>
    <w:rsid w:val="00B91921"/>
    <w:rsid w:val="00B964D9"/>
    <w:rsid w:val="00BA1785"/>
    <w:rsid w:val="00BA4C4A"/>
    <w:rsid w:val="00BA6F7A"/>
    <w:rsid w:val="00BA75DE"/>
    <w:rsid w:val="00BB49BB"/>
    <w:rsid w:val="00BC1311"/>
    <w:rsid w:val="00BC27F6"/>
    <w:rsid w:val="00BC2B94"/>
    <w:rsid w:val="00BC5579"/>
    <w:rsid w:val="00BD1C15"/>
    <w:rsid w:val="00BD2F54"/>
    <w:rsid w:val="00BD3F7D"/>
    <w:rsid w:val="00BD4902"/>
    <w:rsid w:val="00BD54F4"/>
    <w:rsid w:val="00BD7E53"/>
    <w:rsid w:val="00BE080C"/>
    <w:rsid w:val="00BE31AA"/>
    <w:rsid w:val="00BE50C5"/>
    <w:rsid w:val="00BE7CA3"/>
    <w:rsid w:val="00BF0652"/>
    <w:rsid w:val="00BF578B"/>
    <w:rsid w:val="00C01025"/>
    <w:rsid w:val="00C0153A"/>
    <w:rsid w:val="00C027A9"/>
    <w:rsid w:val="00C03D06"/>
    <w:rsid w:val="00C04879"/>
    <w:rsid w:val="00C04B72"/>
    <w:rsid w:val="00C04BF9"/>
    <w:rsid w:val="00C07FF1"/>
    <w:rsid w:val="00C134A9"/>
    <w:rsid w:val="00C141A0"/>
    <w:rsid w:val="00C213D8"/>
    <w:rsid w:val="00C21A9C"/>
    <w:rsid w:val="00C22494"/>
    <w:rsid w:val="00C24986"/>
    <w:rsid w:val="00C300AF"/>
    <w:rsid w:val="00C3215F"/>
    <w:rsid w:val="00C338C8"/>
    <w:rsid w:val="00C345A6"/>
    <w:rsid w:val="00C35344"/>
    <w:rsid w:val="00C36B11"/>
    <w:rsid w:val="00C4057C"/>
    <w:rsid w:val="00C41E89"/>
    <w:rsid w:val="00C47D5E"/>
    <w:rsid w:val="00C54622"/>
    <w:rsid w:val="00C6087F"/>
    <w:rsid w:val="00C6221C"/>
    <w:rsid w:val="00C641FD"/>
    <w:rsid w:val="00C66B84"/>
    <w:rsid w:val="00C67B42"/>
    <w:rsid w:val="00C77D63"/>
    <w:rsid w:val="00C805A5"/>
    <w:rsid w:val="00C8212A"/>
    <w:rsid w:val="00C82E4C"/>
    <w:rsid w:val="00C84480"/>
    <w:rsid w:val="00C847B4"/>
    <w:rsid w:val="00C847DB"/>
    <w:rsid w:val="00C94289"/>
    <w:rsid w:val="00C950B9"/>
    <w:rsid w:val="00CA0504"/>
    <w:rsid w:val="00CA1151"/>
    <w:rsid w:val="00CA1B99"/>
    <w:rsid w:val="00CA22DD"/>
    <w:rsid w:val="00CA237A"/>
    <w:rsid w:val="00CA2CED"/>
    <w:rsid w:val="00CA3F51"/>
    <w:rsid w:val="00CB021A"/>
    <w:rsid w:val="00CB30B9"/>
    <w:rsid w:val="00CB3764"/>
    <w:rsid w:val="00CB3B29"/>
    <w:rsid w:val="00CC21AA"/>
    <w:rsid w:val="00CC44D6"/>
    <w:rsid w:val="00CC5AC2"/>
    <w:rsid w:val="00CC5C99"/>
    <w:rsid w:val="00CD1B5E"/>
    <w:rsid w:val="00CD42F9"/>
    <w:rsid w:val="00CE0578"/>
    <w:rsid w:val="00CE1F8B"/>
    <w:rsid w:val="00CE7C42"/>
    <w:rsid w:val="00CF1537"/>
    <w:rsid w:val="00CF2A6F"/>
    <w:rsid w:val="00CF2DAF"/>
    <w:rsid w:val="00CF3994"/>
    <w:rsid w:val="00CF39E5"/>
    <w:rsid w:val="00D032C1"/>
    <w:rsid w:val="00D0388E"/>
    <w:rsid w:val="00D05E70"/>
    <w:rsid w:val="00D07252"/>
    <w:rsid w:val="00D14357"/>
    <w:rsid w:val="00D15BE5"/>
    <w:rsid w:val="00D20835"/>
    <w:rsid w:val="00D21A50"/>
    <w:rsid w:val="00D31850"/>
    <w:rsid w:val="00D336E3"/>
    <w:rsid w:val="00D4123C"/>
    <w:rsid w:val="00D430BE"/>
    <w:rsid w:val="00D44267"/>
    <w:rsid w:val="00D47AD8"/>
    <w:rsid w:val="00D51C1C"/>
    <w:rsid w:val="00D522EE"/>
    <w:rsid w:val="00D53F0B"/>
    <w:rsid w:val="00D546EF"/>
    <w:rsid w:val="00D563D0"/>
    <w:rsid w:val="00D572F0"/>
    <w:rsid w:val="00D67520"/>
    <w:rsid w:val="00D7404F"/>
    <w:rsid w:val="00D75110"/>
    <w:rsid w:val="00D945E9"/>
    <w:rsid w:val="00D948F6"/>
    <w:rsid w:val="00D9697B"/>
    <w:rsid w:val="00DA3469"/>
    <w:rsid w:val="00DA3A94"/>
    <w:rsid w:val="00DA3B07"/>
    <w:rsid w:val="00DA3C7E"/>
    <w:rsid w:val="00DB317A"/>
    <w:rsid w:val="00DB4C0B"/>
    <w:rsid w:val="00DB57CA"/>
    <w:rsid w:val="00DB69ED"/>
    <w:rsid w:val="00DB7BE4"/>
    <w:rsid w:val="00DC111B"/>
    <w:rsid w:val="00DC6DF9"/>
    <w:rsid w:val="00DD59C7"/>
    <w:rsid w:val="00DD6F28"/>
    <w:rsid w:val="00DE3409"/>
    <w:rsid w:val="00DE4B14"/>
    <w:rsid w:val="00DE6D5E"/>
    <w:rsid w:val="00DF72A3"/>
    <w:rsid w:val="00E00EF2"/>
    <w:rsid w:val="00E03C08"/>
    <w:rsid w:val="00E10196"/>
    <w:rsid w:val="00E11090"/>
    <w:rsid w:val="00E1173F"/>
    <w:rsid w:val="00E13E26"/>
    <w:rsid w:val="00E20ABC"/>
    <w:rsid w:val="00E25A35"/>
    <w:rsid w:val="00E323B0"/>
    <w:rsid w:val="00E341CF"/>
    <w:rsid w:val="00E34224"/>
    <w:rsid w:val="00E371FE"/>
    <w:rsid w:val="00E41AB8"/>
    <w:rsid w:val="00E43AB9"/>
    <w:rsid w:val="00E60310"/>
    <w:rsid w:val="00E6128A"/>
    <w:rsid w:val="00E61CBD"/>
    <w:rsid w:val="00E6270B"/>
    <w:rsid w:val="00E73F31"/>
    <w:rsid w:val="00E74BB8"/>
    <w:rsid w:val="00E76EEC"/>
    <w:rsid w:val="00E7730D"/>
    <w:rsid w:val="00E77356"/>
    <w:rsid w:val="00E85B00"/>
    <w:rsid w:val="00E9105E"/>
    <w:rsid w:val="00E96B4E"/>
    <w:rsid w:val="00EA08F7"/>
    <w:rsid w:val="00EA192F"/>
    <w:rsid w:val="00EA3150"/>
    <w:rsid w:val="00EA4553"/>
    <w:rsid w:val="00EA523B"/>
    <w:rsid w:val="00EA56B7"/>
    <w:rsid w:val="00EA7C2C"/>
    <w:rsid w:val="00EB31B6"/>
    <w:rsid w:val="00EB39C7"/>
    <w:rsid w:val="00EB56CE"/>
    <w:rsid w:val="00EC235A"/>
    <w:rsid w:val="00EC2C56"/>
    <w:rsid w:val="00EC4EB3"/>
    <w:rsid w:val="00EC5702"/>
    <w:rsid w:val="00EC5FD8"/>
    <w:rsid w:val="00EC77CF"/>
    <w:rsid w:val="00ED11CA"/>
    <w:rsid w:val="00EE6F60"/>
    <w:rsid w:val="00EF494F"/>
    <w:rsid w:val="00F04A0F"/>
    <w:rsid w:val="00F05434"/>
    <w:rsid w:val="00F058DB"/>
    <w:rsid w:val="00F073D9"/>
    <w:rsid w:val="00F13257"/>
    <w:rsid w:val="00F14796"/>
    <w:rsid w:val="00F14F27"/>
    <w:rsid w:val="00F232D1"/>
    <w:rsid w:val="00F24315"/>
    <w:rsid w:val="00F2756B"/>
    <w:rsid w:val="00F3151B"/>
    <w:rsid w:val="00F368C1"/>
    <w:rsid w:val="00F37544"/>
    <w:rsid w:val="00F41228"/>
    <w:rsid w:val="00F43473"/>
    <w:rsid w:val="00F5417C"/>
    <w:rsid w:val="00F544ED"/>
    <w:rsid w:val="00F54D0A"/>
    <w:rsid w:val="00F55EAA"/>
    <w:rsid w:val="00F56911"/>
    <w:rsid w:val="00F609E5"/>
    <w:rsid w:val="00F611EC"/>
    <w:rsid w:val="00F61341"/>
    <w:rsid w:val="00F62B2A"/>
    <w:rsid w:val="00F64D13"/>
    <w:rsid w:val="00F653CF"/>
    <w:rsid w:val="00F707BC"/>
    <w:rsid w:val="00F72171"/>
    <w:rsid w:val="00F7410E"/>
    <w:rsid w:val="00F754A5"/>
    <w:rsid w:val="00F76E40"/>
    <w:rsid w:val="00F77483"/>
    <w:rsid w:val="00F86F2D"/>
    <w:rsid w:val="00F938D3"/>
    <w:rsid w:val="00F93B26"/>
    <w:rsid w:val="00FA06B2"/>
    <w:rsid w:val="00FA13AD"/>
    <w:rsid w:val="00FA371D"/>
    <w:rsid w:val="00FA3724"/>
    <w:rsid w:val="00FA4181"/>
    <w:rsid w:val="00FA60A8"/>
    <w:rsid w:val="00FA77A1"/>
    <w:rsid w:val="00FB0850"/>
    <w:rsid w:val="00FB1964"/>
    <w:rsid w:val="00FB7029"/>
    <w:rsid w:val="00FB72B8"/>
    <w:rsid w:val="00FB7D17"/>
    <w:rsid w:val="00FC1F22"/>
    <w:rsid w:val="00FC7C21"/>
    <w:rsid w:val="00FE2374"/>
    <w:rsid w:val="00FE48F9"/>
    <w:rsid w:val="00FF06C0"/>
    <w:rsid w:val="00FF1B86"/>
    <w:rsid w:val="00FF2DC3"/>
    <w:rsid w:val="00FF3E5F"/>
    <w:rsid w:val="00FF5B31"/>
    <w:rsid w:val="00FF7755"/>
    <w:rsid w:val="010C0923"/>
    <w:rsid w:val="012A61F9"/>
    <w:rsid w:val="012E64F9"/>
    <w:rsid w:val="01361EB4"/>
    <w:rsid w:val="016B7935"/>
    <w:rsid w:val="0177379E"/>
    <w:rsid w:val="01791450"/>
    <w:rsid w:val="017E4157"/>
    <w:rsid w:val="018E0D25"/>
    <w:rsid w:val="01927A1A"/>
    <w:rsid w:val="019E22CC"/>
    <w:rsid w:val="01A1598D"/>
    <w:rsid w:val="01A21DAD"/>
    <w:rsid w:val="01B6133C"/>
    <w:rsid w:val="01BB23E6"/>
    <w:rsid w:val="01BC657B"/>
    <w:rsid w:val="01D86637"/>
    <w:rsid w:val="01DB0ABD"/>
    <w:rsid w:val="01DF6C5E"/>
    <w:rsid w:val="01F67632"/>
    <w:rsid w:val="01FB677C"/>
    <w:rsid w:val="01FD3E3D"/>
    <w:rsid w:val="01FE3676"/>
    <w:rsid w:val="02077CBC"/>
    <w:rsid w:val="020E02AA"/>
    <w:rsid w:val="022841F2"/>
    <w:rsid w:val="024E4C78"/>
    <w:rsid w:val="02571A93"/>
    <w:rsid w:val="027348C7"/>
    <w:rsid w:val="02810A7C"/>
    <w:rsid w:val="02B62EF1"/>
    <w:rsid w:val="02C060B9"/>
    <w:rsid w:val="02C448A4"/>
    <w:rsid w:val="02FA0525"/>
    <w:rsid w:val="03012073"/>
    <w:rsid w:val="03087555"/>
    <w:rsid w:val="031324F1"/>
    <w:rsid w:val="032F673F"/>
    <w:rsid w:val="033855CC"/>
    <w:rsid w:val="036B099E"/>
    <w:rsid w:val="039E633B"/>
    <w:rsid w:val="03A17EDC"/>
    <w:rsid w:val="03A25A9B"/>
    <w:rsid w:val="03BA08C0"/>
    <w:rsid w:val="03BF19BC"/>
    <w:rsid w:val="03C84C16"/>
    <w:rsid w:val="03C95A0C"/>
    <w:rsid w:val="03CE2B77"/>
    <w:rsid w:val="040E79F6"/>
    <w:rsid w:val="0424176F"/>
    <w:rsid w:val="042F26AE"/>
    <w:rsid w:val="04343C09"/>
    <w:rsid w:val="043828A7"/>
    <w:rsid w:val="045C05A4"/>
    <w:rsid w:val="04637BB8"/>
    <w:rsid w:val="04646D42"/>
    <w:rsid w:val="04657D52"/>
    <w:rsid w:val="048840C4"/>
    <w:rsid w:val="048B0E5D"/>
    <w:rsid w:val="04902626"/>
    <w:rsid w:val="049B2DF7"/>
    <w:rsid w:val="049D7063"/>
    <w:rsid w:val="04AB3B8E"/>
    <w:rsid w:val="04B00875"/>
    <w:rsid w:val="04B141E6"/>
    <w:rsid w:val="04B3652C"/>
    <w:rsid w:val="04B7446D"/>
    <w:rsid w:val="04C0220F"/>
    <w:rsid w:val="04D85C2F"/>
    <w:rsid w:val="04EC458F"/>
    <w:rsid w:val="04F62572"/>
    <w:rsid w:val="04FE4F32"/>
    <w:rsid w:val="051313FD"/>
    <w:rsid w:val="05245293"/>
    <w:rsid w:val="05253E90"/>
    <w:rsid w:val="05391FF9"/>
    <w:rsid w:val="05991082"/>
    <w:rsid w:val="059E69EA"/>
    <w:rsid w:val="05B83AC3"/>
    <w:rsid w:val="05DD5F51"/>
    <w:rsid w:val="05E40E09"/>
    <w:rsid w:val="05FE25AD"/>
    <w:rsid w:val="0605072F"/>
    <w:rsid w:val="0614238D"/>
    <w:rsid w:val="061E1326"/>
    <w:rsid w:val="062E067F"/>
    <w:rsid w:val="06826CEB"/>
    <w:rsid w:val="069427DE"/>
    <w:rsid w:val="06986394"/>
    <w:rsid w:val="069E6C4A"/>
    <w:rsid w:val="06AE264D"/>
    <w:rsid w:val="06C43EDA"/>
    <w:rsid w:val="06E72BFC"/>
    <w:rsid w:val="070B4DB8"/>
    <w:rsid w:val="071414F8"/>
    <w:rsid w:val="07181F63"/>
    <w:rsid w:val="071E4D80"/>
    <w:rsid w:val="072049E9"/>
    <w:rsid w:val="07392881"/>
    <w:rsid w:val="07401962"/>
    <w:rsid w:val="07473636"/>
    <w:rsid w:val="074F6344"/>
    <w:rsid w:val="07524B3F"/>
    <w:rsid w:val="07566E07"/>
    <w:rsid w:val="07610556"/>
    <w:rsid w:val="0777297F"/>
    <w:rsid w:val="077B271F"/>
    <w:rsid w:val="078F4FB2"/>
    <w:rsid w:val="07B70A9C"/>
    <w:rsid w:val="07C764D4"/>
    <w:rsid w:val="07F27D26"/>
    <w:rsid w:val="07FE491D"/>
    <w:rsid w:val="081544AB"/>
    <w:rsid w:val="081C10BC"/>
    <w:rsid w:val="082038B5"/>
    <w:rsid w:val="082D6FCF"/>
    <w:rsid w:val="08423ACE"/>
    <w:rsid w:val="084D579A"/>
    <w:rsid w:val="08507B91"/>
    <w:rsid w:val="086A6639"/>
    <w:rsid w:val="08723B08"/>
    <w:rsid w:val="088F5575"/>
    <w:rsid w:val="08CE154B"/>
    <w:rsid w:val="08DB07BA"/>
    <w:rsid w:val="08E60C68"/>
    <w:rsid w:val="08E6448C"/>
    <w:rsid w:val="08FB753F"/>
    <w:rsid w:val="09104A98"/>
    <w:rsid w:val="093E3FE2"/>
    <w:rsid w:val="097053A7"/>
    <w:rsid w:val="097C3D4B"/>
    <w:rsid w:val="09984DDC"/>
    <w:rsid w:val="09AA6B0A"/>
    <w:rsid w:val="09B90977"/>
    <w:rsid w:val="09CA440C"/>
    <w:rsid w:val="09D14BDB"/>
    <w:rsid w:val="09ED682E"/>
    <w:rsid w:val="09F23C5B"/>
    <w:rsid w:val="0A006F98"/>
    <w:rsid w:val="0A032426"/>
    <w:rsid w:val="0A0D268E"/>
    <w:rsid w:val="0A5E31FC"/>
    <w:rsid w:val="0A650C83"/>
    <w:rsid w:val="0A74151A"/>
    <w:rsid w:val="0A86042B"/>
    <w:rsid w:val="0A876C58"/>
    <w:rsid w:val="0A8F5D00"/>
    <w:rsid w:val="0A9E3CB0"/>
    <w:rsid w:val="0AA417AC"/>
    <w:rsid w:val="0AB072C7"/>
    <w:rsid w:val="0AB716C4"/>
    <w:rsid w:val="0AC85B62"/>
    <w:rsid w:val="0AE76FE3"/>
    <w:rsid w:val="0AF128D8"/>
    <w:rsid w:val="0B094BE4"/>
    <w:rsid w:val="0B0E4FAD"/>
    <w:rsid w:val="0B1713D5"/>
    <w:rsid w:val="0B3A5BDB"/>
    <w:rsid w:val="0B3E17B7"/>
    <w:rsid w:val="0B4C6FE5"/>
    <w:rsid w:val="0B5759DC"/>
    <w:rsid w:val="0B6F39DD"/>
    <w:rsid w:val="0B7C7996"/>
    <w:rsid w:val="0B8A2414"/>
    <w:rsid w:val="0B8C4D4F"/>
    <w:rsid w:val="0BA17532"/>
    <w:rsid w:val="0BA777A2"/>
    <w:rsid w:val="0BA83AD7"/>
    <w:rsid w:val="0BAC32EE"/>
    <w:rsid w:val="0BD279F0"/>
    <w:rsid w:val="0BDA073E"/>
    <w:rsid w:val="0BFA1670"/>
    <w:rsid w:val="0C345E3E"/>
    <w:rsid w:val="0C351AD9"/>
    <w:rsid w:val="0C4E2EE2"/>
    <w:rsid w:val="0C8D42C5"/>
    <w:rsid w:val="0C96186F"/>
    <w:rsid w:val="0C9C77AA"/>
    <w:rsid w:val="0CA92F95"/>
    <w:rsid w:val="0CAE417B"/>
    <w:rsid w:val="0CCA1705"/>
    <w:rsid w:val="0CD50A3D"/>
    <w:rsid w:val="0CDE0823"/>
    <w:rsid w:val="0CF57EC5"/>
    <w:rsid w:val="0CF87B8D"/>
    <w:rsid w:val="0D020A0B"/>
    <w:rsid w:val="0D03275E"/>
    <w:rsid w:val="0D0D6C8F"/>
    <w:rsid w:val="0D2F4130"/>
    <w:rsid w:val="0D336184"/>
    <w:rsid w:val="0D454208"/>
    <w:rsid w:val="0D4B53CE"/>
    <w:rsid w:val="0D4D29A0"/>
    <w:rsid w:val="0D520B1E"/>
    <w:rsid w:val="0D551022"/>
    <w:rsid w:val="0D6346CC"/>
    <w:rsid w:val="0D782A7C"/>
    <w:rsid w:val="0D894C89"/>
    <w:rsid w:val="0D902034"/>
    <w:rsid w:val="0DA421C7"/>
    <w:rsid w:val="0DC760A7"/>
    <w:rsid w:val="0DF224B0"/>
    <w:rsid w:val="0DF63728"/>
    <w:rsid w:val="0E394083"/>
    <w:rsid w:val="0E416C87"/>
    <w:rsid w:val="0E817E58"/>
    <w:rsid w:val="0E904057"/>
    <w:rsid w:val="0EC464FD"/>
    <w:rsid w:val="0EDB287C"/>
    <w:rsid w:val="0EDF7E43"/>
    <w:rsid w:val="0F0B10B0"/>
    <w:rsid w:val="0F2714E2"/>
    <w:rsid w:val="0F3437EF"/>
    <w:rsid w:val="0F3B146F"/>
    <w:rsid w:val="0F41277F"/>
    <w:rsid w:val="0F4B4E3B"/>
    <w:rsid w:val="0F5A325C"/>
    <w:rsid w:val="0F703A10"/>
    <w:rsid w:val="0F7F4554"/>
    <w:rsid w:val="0F84500E"/>
    <w:rsid w:val="0FA704BD"/>
    <w:rsid w:val="0FBC1886"/>
    <w:rsid w:val="0FDE5D1E"/>
    <w:rsid w:val="0FDE737A"/>
    <w:rsid w:val="0FF64325"/>
    <w:rsid w:val="102F364F"/>
    <w:rsid w:val="10500337"/>
    <w:rsid w:val="107F03DA"/>
    <w:rsid w:val="108005C5"/>
    <w:rsid w:val="109F5420"/>
    <w:rsid w:val="10D301C5"/>
    <w:rsid w:val="10DD79E1"/>
    <w:rsid w:val="11183FB0"/>
    <w:rsid w:val="11284C69"/>
    <w:rsid w:val="114C5CC7"/>
    <w:rsid w:val="115B17B2"/>
    <w:rsid w:val="115D3387"/>
    <w:rsid w:val="11663AB5"/>
    <w:rsid w:val="1167463A"/>
    <w:rsid w:val="1172330C"/>
    <w:rsid w:val="11C230E4"/>
    <w:rsid w:val="11C42D1C"/>
    <w:rsid w:val="11C85D84"/>
    <w:rsid w:val="11CA5025"/>
    <w:rsid w:val="11DF131B"/>
    <w:rsid w:val="11F5024A"/>
    <w:rsid w:val="11F76B69"/>
    <w:rsid w:val="12374CB3"/>
    <w:rsid w:val="12387E2F"/>
    <w:rsid w:val="123E4E8A"/>
    <w:rsid w:val="12720942"/>
    <w:rsid w:val="12796230"/>
    <w:rsid w:val="127C1676"/>
    <w:rsid w:val="128243D0"/>
    <w:rsid w:val="129E4459"/>
    <w:rsid w:val="12CE50D5"/>
    <w:rsid w:val="12DD3D8F"/>
    <w:rsid w:val="12EF558E"/>
    <w:rsid w:val="130748C2"/>
    <w:rsid w:val="13077BBF"/>
    <w:rsid w:val="13196FCE"/>
    <w:rsid w:val="131E75C6"/>
    <w:rsid w:val="1324792E"/>
    <w:rsid w:val="13441E91"/>
    <w:rsid w:val="135B5D42"/>
    <w:rsid w:val="1374226A"/>
    <w:rsid w:val="1382307A"/>
    <w:rsid w:val="1385012B"/>
    <w:rsid w:val="138A28DE"/>
    <w:rsid w:val="13915039"/>
    <w:rsid w:val="13A65E03"/>
    <w:rsid w:val="13AC4CC3"/>
    <w:rsid w:val="13B76275"/>
    <w:rsid w:val="13C23380"/>
    <w:rsid w:val="13C43422"/>
    <w:rsid w:val="13CE5D19"/>
    <w:rsid w:val="13D10933"/>
    <w:rsid w:val="13D6435C"/>
    <w:rsid w:val="13E0059E"/>
    <w:rsid w:val="13E41260"/>
    <w:rsid w:val="13F26FDB"/>
    <w:rsid w:val="13FB2881"/>
    <w:rsid w:val="14246760"/>
    <w:rsid w:val="143C0D00"/>
    <w:rsid w:val="143D057B"/>
    <w:rsid w:val="144B7B95"/>
    <w:rsid w:val="14587236"/>
    <w:rsid w:val="146401FE"/>
    <w:rsid w:val="14731246"/>
    <w:rsid w:val="14AB0A62"/>
    <w:rsid w:val="14C53AED"/>
    <w:rsid w:val="14C64F25"/>
    <w:rsid w:val="14D233B9"/>
    <w:rsid w:val="14FE553C"/>
    <w:rsid w:val="14FF27F7"/>
    <w:rsid w:val="15261C8E"/>
    <w:rsid w:val="152B1B0C"/>
    <w:rsid w:val="153175C1"/>
    <w:rsid w:val="15334554"/>
    <w:rsid w:val="153F4B54"/>
    <w:rsid w:val="154F7972"/>
    <w:rsid w:val="155345FE"/>
    <w:rsid w:val="155774AB"/>
    <w:rsid w:val="155827BE"/>
    <w:rsid w:val="15751070"/>
    <w:rsid w:val="15A53D2F"/>
    <w:rsid w:val="15A80030"/>
    <w:rsid w:val="15B55D35"/>
    <w:rsid w:val="15C12DE8"/>
    <w:rsid w:val="15D979F6"/>
    <w:rsid w:val="15DF3CE3"/>
    <w:rsid w:val="15F50214"/>
    <w:rsid w:val="15F51E19"/>
    <w:rsid w:val="15F873C3"/>
    <w:rsid w:val="15FB473D"/>
    <w:rsid w:val="16125C47"/>
    <w:rsid w:val="1620698D"/>
    <w:rsid w:val="162B7790"/>
    <w:rsid w:val="162D70B8"/>
    <w:rsid w:val="163E446D"/>
    <w:rsid w:val="16462C73"/>
    <w:rsid w:val="166E30E7"/>
    <w:rsid w:val="1672090C"/>
    <w:rsid w:val="16785C2A"/>
    <w:rsid w:val="16AE58B2"/>
    <w:rsid w:val="16BD2FFA"/>
    <w:rsid w:val="16D27BE2"/>
    <w:rsid w:val="16E01DBD"/>
    <w:rsid w:val="16EB3960"/>
    <w:rsid w:val="16EF08D9"/>
    <w:rsid w:val="16FD7BD7"/>
    <w:rsid w:val="170603BA"/>
    <w:rsid w:val="17152ACB"/>
    <w:rsid w:val="173207AB"/>
    <w:rsid w:val="1752680F"/>
    <w:rsid w:val="176321A0"/>
    <w:rsid w:val="176F6C9D"/>
    <w:rsid w:val="178A0EFE"/>
    <w:rsid w:val="178E1A8F"/>
    <w:rsid w:val="17A046EE"/>
    <w:rsid w:val="17E04EDB"/>
    <w:rsid w:val="17E570DA"/>
    <w:rsid w:val="180E78A8"/>
    <w:rsid w:val="181B1D9C"/>
    <w:rsid w:val="182F46E8"/>
    <w:rsid w:val="183902B6"/>
    <w:rsid w:val="18526118"/>
    <w:rsid w:val="185276DF"/>
    <w:rsid w:val="185764FB"/>
    <w:rsid w:val="185A6035"/>
    <w:rsid w:val="185A794E"/>
    <w:rsid w:val="187B2813"/>
    <w:rsid w:val="18870B44"/>
    <w:rsid w:val="189E3436"/>
    <w:rsid w:val="18A37B0A"/>
    <w:rsid w:val="18AD0384"/>
    <w:rsid w:val="18BD6127"/>
    <w:rsid w:val="18C25D92"/>
    <w:rsid w:val="18C8472D"/>
    <w:rsid w:val="18DA17E7"/>
    <w:rsid w:val="18DE0EDA"/>
    <w:rsid w:val="18E63044"/>
    <w:rsid w:val="18E752D5"/>
    <w:rsid w:val="18F56FCE"/>
    <w:rsid w:val="190317D8"/>
    <w:rsid w:val="19435E6A"/>
    <w:rsid w:val="194A79C2"/>
    <w:rsid w:val="195957BE"/>
    <w:rsid w:val="195F5917"/>
    <w:rsid w:val="196F6596"/>
    <w:rsid w:val="19782558"/>
    <w:rsid w:val="199B560C"/>
    <w:rsid w:val="199E4C8B"/>
    <w:rsid w:val="19A911CF"/>
    <w:rsid w:val="19C87788"/>
    <w:rsid w:val="19DB40C1"/>
    <w:rsid w:val="19E27C6F"/>
    <w:rsid w:val="19E72D9B"/>
    <w:rsid w:val="19E868F3"/>
    <w:rsid w:val="19EA2004"/>
    <w:rsid w:val="19FC31B8"/>
    <w:rsid w:val="1A086BCF"/>
    <w:rsid w:val="1A350525"/>
    <w:rsid w:val="1A446BE7"/>
    <w:rsid w:val="1A583636"/>
    <w:rsid w:val="1A5F0B2B"/>
    <w:rsid w:val="1A7171D0"/>
    <w:rsid w:val="1A85190B"/>
    <w:rsid w:val="1A8B4952"/>
    <w:rsid w:val="1A8E78C8"/>
    <w:rsid w:val="1A8F7668"/>
    <w:rsid w:val="1A995CAE"/>
    <w:rsid w:val="1AA74203"/>
    <w:rsid w:val="1AAB7D59"/>
    <w:rsid w:val="1AB02ADC"/>
    <w:rsid w:val="1AB55B4A"/>
    <w:rsid w:val="1AD92873"/>
    <w:rsid w:val="1AEB063E"/>
    <w:rsid w:val="1AEC3CC1"/>
    <w:rsid w:val="1B0251FA"/>
    <w:rsid w:val="1B0E0D63"/>
    <w:rsid w:val="1B0F0EC3"/>
    <w:rsid w:val="1B136899"/>
    <w:rsid w:val="1B14507D"/>
    <w:rsid w:val="1B146CB3"/>
    <w:rsid w:val="1B366DE8"/>
    <w:rsid w:val="1B4576E5"/>
    <w:rsid w:val="1B4F0695"/>
    <w:rsid w:val="1B7A31E4"/>
    <w:rsid w:val="1BA07D6D"/>
    <w:rsid w:val="1BA7748C"/>
    <w:rsid w:val="1BAE7B31"/>
    <w:rsid w:val="1BB12580"/>
    <w:rsid w:val="1BC0791E"/>
    <w:rsid w:val="1BC7200E"/>
    <w:rsid w:val="1BCA18BD"/>
    <w:rsid w:val="1BD71A74"/>
    <w:rsid w:val="1BEB4480"/>
    <w:rsid w:val="1BF3662A"/>
    <w:rsid w:val="1BF84BA4"/>
    <w:rsid w:val="1C177456"/>
    <w:rsid w:val="1C295FB5"/>
    <w:rsid w:val="1C343B42"/>
    <w:rsid w:val="1C697E53"/>
    <w:rsid w:val="1CA5559E"/>
    <w:rsid w:val="1CB278B3"/>
    <w:rsid w:val="1CB71D82"/>
    <w:rsid w:val="1CC647CD"/>
    <w:rsid w:val="1CDB29C2"/>
    <w:rsid w:val="1CE71497"/>
    <w:rsid w:val="1CF917A7"/>
    <w:rsid w:val="1D0511DA"/>
    <w:rsid w:val="1D0E3992"/>
    <w:rsid w:val="1D252D28"/>
    <w:rsid w:val="1D290C9C"/>
    <w:rsid w:val="1D3B29EA"/>
    <w:rsid w:val="1D456945"/>
    <w:rsid w:val="1D482734"/>
    <w:rsid w:val="1D4D68F3"/>
    <w:rsid w:val="1D5E2B68"/>
    <w:rsid w:val="1D6829C2"/>
    <w:rsid w:val="1D6B2A12"/>
    <w:rsid w:val="1D7160DC"/>
    <w:rsid w:val="1D8446E0"/>
    <w:rsid w:val="1D984893"/>
    <w:rsid w:val="1DA1116D"/>
    <w:rsid w:val="1DA154DA"/>
    <w:rsid w:val="1DAC49A6"/>
    <w:rsid w:val="1DCE59D1"/>
    <w:rsid w:val="1DD42DD9"/>
    <w:rsid w:val="1DDB4E68"/>
    <w:rsid w:val="1DE71678"/>
    <w:rsid w:val="1DFF2B48"/>
    <w:rsid w:val="1E0B0BB8"/>
    <w:rsid w:val="1E203C38"/>
    <w:rsid w:val="1E2E0E69"/>
    <w:rsid w:val="1E321C18"/>
    <w:rsid w:val="1E347943"/>
    <w:rsid w:val="1E3646E4"/>
    <w:rsid w:val="1E4C1D9B"/>
    <w:rsid w:val="1E5074B6"/>
    <w:rsid w:val="1E5550D1"/>
    <w:rsid w:val="1E5E606E"/>
    <w:rsid w:val="1E875361"/>
    <w:rsid w:val="1E8C28F1"/>
    <w:rsid w:val="1E98786B"/>
    <w:rsid w:val="1EA02B87"/>
    <w:rsid w:val="1EA8520C"/>
    <w:rsid w:val="1EC37A6B"/>
    <w:rsid w:val="1EE53AB7"/>
    <w:rsid w:val="1EF451F3"/>
    <w:rsid w:val="1F356C44"/>
    <w:rsid w:val="1F386A5D"/>
    <w:rsid w:val="1F420A72"/>
    <w:rsid w:val="1F47444E"/>
    <w:rsid w:val="1F60453B"/>
    <w:rsid w:val="1F6D0E63"/>
    <w:rsid w:val="1F930BDA"/>
    <w:rsid w:val="1FC11F70"/>
    <w:rsid w:val="1FE67D19"/>
    <w:rsid w:val="200C0C2B"/>
    <w:rsid w:val="20144A0C"/>
    <w:rsid w:val="201E4CCA"/>
    <w:rsid w:val="202C4F37"/>
    <w:rsid w:val="202D1F13"/>
    <w:rsid w:val="20306DA0"/>
    <w:rsid w:val="2035036D"/>
    <w:rsid w:val="20351650"/>
    <w:rsid w:val="20475B53"/>
    <w:rsid w:val="204B03A0"/>
    <w:rsid w:val="207A2622"/>
    <w:rsid w:val="20932D1B"/>
    <w:rsid w:val="209964C7"/>
    <w:rsid w:val="209B7852"/>
    <w:rsid w:val="20B425E8"/>
    <w:rsid w:val="20B661BC"/>
    <w:rsid w:val="20D22906"/>
    <w:rsid w:val="20E24984"/>
    <w:rsid w:val="20F82103"/>
    <w:rsid w:val="210007F3"/>
    <w:rsid w:val="210D1AAA"/>
    <w:rsid w:val="2114194C"/>
    <w:rsid w:val="21186ABB"/>
    <w:rsid w:val="212925B3"/>
    <w:rsid w:val="212F25DB"/>
    <w:rsid w:val="214542D9"/>
    <w:rsid w:val="214D0133"/>
    <w:rsid w:val="215E465C"/>
    <w:rsid w:val="2163722A"/>
    <w:rsid w:val="216730C6"/>
    <w:rsid w:val="21855735"/>
    <w:rsid w:val="2194104C"/>
    <w:rsid w:val="21986EA5"/>
    <w:rsid w:val="219F1AD8"/>
    <w:rsid w:val="21C10A3D"/>
    <w:rsid w:val="21CA7BA5"/>
    <w:rsid w:val="21D963B6"/>
    <w:rsid w:val="21DF1970"/>
    <w:rsid w:val="21EC5FD9"/>
    <w:rsid w:val="21F67B10"/>
    <w:rsid w:val="22035817"/>
    <w:rsid w:val="22117FD6"/>
    <w:rsid w:val="221E6403"/>
    <w:rsid w:val="22244596"/>
    <w:rsid w:val="223C27A3"/>
    <w:rsid w:val="223E00B3"/>
    <w:rsid w:val="22425881"/>
    <w:rsid w:val="2246271F"/>
    <w:rsid w:val="22462C2D"/>
    <w:rsid w:val="224723E4"/>
    <w:rsid w:val="224A7721"/>
    <w:rsid w:val="22555E11"/>
    <w:rsid w:val="226118D9"/>
    <w:rsid w:val="2268485E"/>
    <w:rsid w:val="2299073E"/>
    <w:rsid w:val="229B7761"/>
    <w:rsid w:val="229E7B72"/>
    <w:rsid w:val="229F6DC3"/>
    <w:rsid w:val="22A632A8"/>
    <w:rsid w:val="22BA22E8"/>
    <w:rsid w:val="22BC193E"/>
    <w:rsid w:val="22BD1B84"/>
    <w:rsid w:val="22C23FC8"/>
    <w:rsid w:val="22EE1C3B"/>
    <w:rsid w:val="22FC75D9"/>
    <w:rsid w:val="230D773A"/>
    <w:rsid w:val="23110D84"/>
    <w:rsid w:val="23212296"/>
    <w:rsid w:val="23453655"/>
    <w:rsid w:val="23641680"/>
    <w:rsid w:val="237933F7"/>
    <w:rsid w:val="237A25A7"/>
    <w:rsid w:val="237D4AC4"/>
    <w:rsid w:val="23902DCF"/>
    <w:rsid w:val="23A16EA8"/>
    <w:rsid w:val="23A76E77"/>
    <w:rsid w:val="23B2301F"/>
    <w:rsid w:val="23B37294"/>
    <w:rsid w:val="23B5351F"/>
    <w:rsid w:val="23BC6746"/>
    <w:rsid w:val="23C15745"/>
    <w:rsid w:val="23C463ED"/>
    <w:rsid w:val="23D1749D"/>
    <w:rsid w:val="23FF54DF"/>
    <w:rsid w:val="24083164"/>
    <w:rsid w:val="24151A02"/>
    <w:rsid w:val="241D415D"/>
    <w:rsid w:val="24415459"/>
    <w:rsid w:val="24431BDE"/>
    <w:rsid w:val="246C40E2"/>
    <w:rsid w:val="247E22C2"/>
    <w:rsid w:val="248713E3"/>
    <w:rsid w:val="248A65BE"/>
    <w:rsid w:val="24AF6151"/>
    <w:rsid w:val="24C56B8E"/>
    <w:rsid w:val="24C90D56"/>
    <w:rsid w:val="24DE4EE1"/>
    <w:rsid w:val="24FA1FE5"/>
    <w:rsid w:val="25062803"/>
    <w:rsid w:val="250A1034"/>
    <w:rsid w:val="253D483E"/>
    <w:rsid w:val="254944BC"/>
    <w:rsid w:val="25656D93"/>
    <w:rsid w:val="25663F19"/>
    <w:rsid w:val="257053CC"/>
    <w:rsid w:val="25972AEB"/>
    <w:rsid w:val="25A541D5"/>
    <w:rsid w:val="25D84B52"/>
    <w:rsid w:val="25E42AD2"/>
    <w:rsid w:val="25F70DEC"/>
    <w:rsid w:val="25F85162"/>
    <w:rsid w:val="25FC06CC"/>
    <w:rsid w:val="260F621B"/>
    <w:rsid w:val="261C01C5"/>
    <w:rsid w:val="262250F4"/>
    <w:rsid w:val="262D082E"/>
    <w:rsid w:val="26395B62"/>
    <w:rsid w:val="265A3A90"/>
    <w:rsid w:val="265B48A0"/>
    <w:rsid w:val="26622C7C"/>
    <w:rsid w:val="267C448A"/>
    <w:rsid w:val="268370F6"/>
    <w:rsid w:val="268846B0"/>
    <w:rsid w:val="26947431"/>
    <w:rsid w:val="269D6920"/>
    <w:rsid w:val="26BB19FC"/>
    <w:rsid w:val="26CA258B"/>
    <w:rsid w:val="270760E1"/>
    <w:rsid w:val="271B6913"/>
    <w:rsid w:val="27335F39"/>
    <w:rsid w:val="2734789D"/>
    <w:rsid w:val="273D750A"/>
    <w:rsid w:val="2741739E"/>
    <w:rsid w:val="278F2706"/>
    <w:rsid w:val="27B74DC0"/>
    <w:rsid w:val="27BC0B0B"/>
    <w:rsid w:val="27DC1F8E"/>
    <w:rsid w:val="27F47E57"/>
    <w:rsid w:val="28112030"/>
    <w:rsid w:val="282026E8"/>
    <w:rsid w:val="28254857"/>
    <w:rsid w:val="2827007B"/>
    <w:rsid w:val="282D0BDB"/>
    <w:rsid w:val="28363F72"/>
    <w:rsid w:val="283D6E3E"/>
    <w:rsid w:val="283E74D1"/>
    <w:rsid w:val="283F1F87"/>
    <w:rsid w:val="284826A7"/>
    <w:rsid w:val="286B4638"/>
    <w:rsid w:val="28923B61"/>
    <w:rsid w:val="28994116"/>
    <w:rsid w:val="28A6480D"/>
    <w:rsid w:val="28D01566"/>
    <w:rsid w:val="29017BE6"/>
    <w:rsid w:val="290E46F4"/>
    <w:rsid w:val="29144040"/>
    <w:rsid w:val="291A3BBF"/>
    <w:rsid w:val="292272DC"/>
    <w:rsid w:val="293C7985"/>
    <w:rsid w:val="294D3CC2"/>
    <w:rsid w:val="2951456F"/>
    <w:rsid w:val="295D01F8"/>
    <w:rsid w:val="29604A07"/>
    <w:rsid w:val="29632CA9"/>
    <w:rsid w:val="296D7FF9"/>
    <w:rsid w:val="29852BC4"/>
    <w:rsid w:val="2987252D"/>
    <w:rsid w:val="29975D0C"/>
    <w:rsid w:val="299E17DD"/>
    <w:rsid w:val="29AC1FD3"/>
    <w:rsid w:val="29D45023"/>
    <w:rsid w:val="29D569C8"/>
    <w:rsid w:val="29FD4A95"/>
    <w:rsid w:val="2A146E5F"/>
    <w:rsid w:val="2A1B2E40"/>
    <w:rsid w:val="2A1D06E6"/>
    <w:rsid w:val="2A28184E"/>
    <w:rsid w:val="2A3153B0"/>
    <w:rsid w:val="2A527462"/>
    <w:rsid w:val="2A564F1C"/>
    <w:rsid w:val="2A92634D"/>
    <w:rsid w:val="2A9A4710"/>
    <w:rsid w:val="2A9B249C"/>
    <w:rsid w:val="2AA267B9"/>
    <w:rsid w:val="2AA35AC5"/>
    <w:rsid w:val="2AAA78FF"/>
    <w:rsid w:val="2AAB35B1"/>
    <w:rsid w:val="2AB63FD6"/>
    <w:rsid w:val="2ABE1FBE"/>
    <w:rsid w:val="2ACA03C4"/>
    <w:rsid w:val="2AD1445C"/>
    <w:rsid w:val="2AD741FF"/>
    <w:rsid w:val="2AF61BF1"/>
    <w:rsid w:val="2B161A0E"/>
    <w:rsid w:val="2B2745DE"/>
    <w:rsid w:val="2B2B4C60"/>
    <w:rsid w:val="2B4E6D6B"/>
    <w:rsid w:val="2B5868B0"/>
    <w:rsid w:val="2B613ADD"/>
    <w:rsid w:val="2B636AE4"/>
    <w:rsid w:val="2B822FEC"/>
    <w:rsid w:val="2B9F1B40"/>
    <w:rsid w:val="2BA108B0"/>
    <w:rsid w:val="2BB11A44"/>
    <w:rsid w:val="2BC73190"/>
    <w:rsid w:val="2BDA2A15"/>
    <w:rsid w:val="2BDD477B"/>
    <w:rsid w:val="2BFD7BFA"/>
    <w:rsid w:val="2C1700BA"/>
    <w:rsid w:val="2C2428A1"/>
    <w:rsid w:val="2C444745"/>
    <w:rsid w:val="2C575A56"/>
    <w:rsid w:val="2C5A7D17"/>
    <w:rsid w:val="2C5F50DB"/>
    <w:rsid w:val="2C63407C"/>
    <w:rsid w:val="2C721DD4"/>
    <w:rsid w:val="2C7A4CA2"/>
    <w:rsid w:val="2C8E6F44"/>
    <w:rsid w:val="2C920674"/>
    <w:rsid w:val="2CA1566E"/>
    <w:rsid w:val="2CA61215"/>
    <w:rsid w:val="2D215C4E"/>
    <w:rsid w:val="2D2533FF"/>
    <w:rsid w:val="2D4875A2"/>
    <w:rsid w:val="2D7B1BDE"/>
    <w:rsid w:val="2D80355B"/>
    <w:rsid w:val="2D8D11E8"/>
    <w:rsid w:val="2DAF718D"/>
    <w:rsid w:val="2DB8061D"/>
    <w:rsid w:val="2DBA66B8"/>
    <w:rsid w:val="2DCA072C"/>
    <w:rsid w:val="2DF431C5"/>
    <w:rsid w:val="2DF648DF"/>
    <w:rsid w:val="2E0205B9"/>
    <w:rsid w:val="2E063F8E"/>
    <w:rsid w:val="2E0A4A29"/>
    <w:rsid w:val="2E0D2AEF"/>
    <w:rsid w:val="2E1F41A7"/>
    <w:rsid w:val="2E366C04"/>
    <w:rsid w:val="2E47051C"/>
    <w:rsid w:val="2E4D2D09"/>
    <w:rsid w:val="2E4E7857"/>
    <w:rsid w:val="2E5B014B"/>
    <w:rsid w:val="2E5B76C0"/>
    <w:rsid w:val="2E7332B5"/>
    <w:rsid w:val="2E755EFB"/>
    <w:rsid w:val="2E775838"/>
    <w:rsid w:val="2E811DE7"/>
    <w:rsid w:val="2E9B083F"/>
    <w:rsid w:val="2E9E6E04"/>
    <w:rsid w:val="2EA73FE3"/>
    <w:rsid w:val="2EB178EA"/>
    <w:rsid w:val="2EB43EE7"/>
    <w:rsid w:val="2EC844E6"/>
    <w:rsid w:val="2ECA6E12"/>
    <w:rsid w:val="2ECF4658"/>
    <w:rsid w:val="2EDC4140"/>
    <w:rsid w:val="2EF040C9"/>
    <w:rsid w:val="2F0778CB"/>
    <w:rsid w:val="2F0F1AB5"/>
    <w:rsid w:val="2F1321AD"/>
    <w:rsid w:val="2F20344C"/>
    <w:rsid w:val="2F211B9B"/>
    <w:rsid w:val="2F404D28"/>
    <w:rsid w:val="2F647B10"/>
    <w:rsid w:val="2F71411D"/>
    <w:rsid w:val="2F72455D"/>
    <w:rsid w:val="2F7E6C94"/>
    <w:rsid w:val="2F8F131A"/>
    <w:rsid w:val="2FB4008A"/>
    <w:rsid w:val="2FBC1615"/>
    <w:rsid w:val="2FD63D85"/>
    <w:rsid w:val="2FE84E84"/>
    <w:rsid w:val="30214229"/>
    <w:rsid w:val="30736266"/>
    <w:rsid w:val="3085324C"/>
    <w:rsid w:val="30915D14"/>
    <w:rsid w:val="309A0583"/>
    <w:rsid w:val="309C68A7"/>
    <w:rsid w:val="30AB14B4"/>
    <w:rsid w:val="30D02199"/>
    <w:rsid w:val="30D36566"/>
    <w:rsid w:val="30F57DBC"/>
    <w:rsid w:val="30FF797F"/>
    <w:rsid w:val="31086DB8"/>
    <w:rsid w:val="31286AF6"/>
    <w:rsid w:val="31362FEF"/>
    <w:rsid w:val="31413290"/>
    <w:rsid w:val="3142785E"/>
    <w:rsid w:val="3143068C"/>
    <w:rsid w:val="314B1C20"/>
    <w:rsid w:val="314F5F82"/>
    <w:rsid w:val="31536B23"/>
    <w:rsid w:val="315D0E30"/>
    <w:rsid w:val="316A1CEE"/>
    <w:rsid w:val="317539DD"/>
    <w:rsid w:val="317A4765"/>
    <w:rsid w:val="319344A8"/>
    <w:rsid w:val="31A517E2"/>
    <w:rsid w:val="31A675CB"/>
    <w:rsid w:val="31B72718"/>
    <w:rsid w:val="31C776CF"/>
    <w:rsid w:val="31CF1598"/>
    <w:rsid w:val="31EA2AB1"/>
    <w:rsid w:val="31F72321"/>
    <w:rsid w:val="32060284"/>
    <w:rsid w:val="32155574"/>
    <w:rsid w:val="321A52A2"/>
    <w:rsid w:val="32275B38"/>
    <w:rsid w:val="323B0659"/>
    <w:rsid w:val="323B0C99"/>
    <w:rsid w:val="323C116D"/>
    <w:rsid w:val="3241298F"/>
    <w:rsid w:val="32427031"/>
    <w:rsid w:val="324971F4"/>
    <w:rsid w:val="32560CAC"/>
    <w:rsid w:val="325F0DF7"/>
    <w:rsid w:val="326A6587"/>
    <w:rsid w:val="327B6888"/>
    <w:rsid w:val="328665B3"/>
    <w:rsid w:val="32926621"/>
    <w:rsid w:val="32936D51"/>
    <w:rsid w:val="32B34CEF"/>
    <w:rsid w:val="32C13B42"/>
    <w:rsid w:val="32C87497"/>
    <w:rsid w:val="32E15982"/>
    <w:rsid w:val="32F11143"/>
    <w:rsid w:val="32F474B9"/>
    <w:rsid w:val="32F77716"/>
    <w:rsid w:val="330E33B7"/>
    <w:rsid w:val="332D6558"/>
    <w:rsid w:val="335B1351"/>
    <w:rsid w:val="335B2408"/>
    <w:rsid w:val="33735FF2"/>
    <w:rsid w:val="33974CF3"/>
    <w:rsid w:val="33C9078A"/>
    <w:rsid w:val="33CD3272"/>
    <w:rsid w:val="33CE43FC"/>
    <w:rsid w:val="33D676C5"/>
    <w:rsid w:val="33F22CD8"/>
    <w:rsid w:val="33F56865"/>
    <w:rsid w:val="3402498B"/>
    <w:rsid w:val="34055253"/>
    <w:rsid w:val="34163DE0"/>
    <w:rsid w:val="34353B60"/>
    <w:rsid w:val="34393127"/>
    <w:rsid w:val="34447998"/>
    <w:rsid w:val="346D76AC"/>
    <w:rsid w:val="34737AD5"/>
    <w:rsid w:val="34884436"/>
    <w:rsid w:val="348C27EA"/>
    <w:rsid w:val="3492016D"/>
    <w:rsid w:val="3497009C"/>
    <w:rsid w:val="34A47165"/>
    <w:rsid w:val="34A76609"/>
    <w:rsid w:val="34C13400"/>
    <w:rsid w:val="34C208FD"/>
    <w:rsid w:val="350161B0"/>
    <w:rsid w:val="350B71CF"/>
    <w:rsid w:val="35227C9A"/>
    <w:rsid w:val="3558373D"/>
    <w:rsid w:val="355C0E24"/>
    <w:rsid w:val="35700359"/>
    <w:rsid w:val="359636EF"/>
    <w:rsid w:val="359D20C3"/>
    <w:rsid w:val="35A74A00"/>
    <w:rsid w:val="35AB313F"/>
    <w:rsid w:val="35C357C5"/>
    <w:rsid w:val="35DC12F4"/>
    <w:rsid w:val="35E10B8E"/>
    <w:rsid w:val="35ED6B2A"/>
    <w:rsid w:val="35F4499B"/>
    <w:rsid w:val="36071AF1"/>
    <w:rsid w:val="363C0F60"/>
    <w:rsid w:val="3651623A"/>
    <w:rsid w:val="365442A8"/>
    <w:rsid w:val="365A1EC0"/>
    <w:rsid w:val="366D4898"/>
    <w:rsid w:val="3680256D"/>
    <w:rsid w:val="36842191"/>
    <w:rsid w:val="36891A1C"/>
    <w:rsid w:val="36A65774"/>
    <w:rsid w:val="36AB4E48"/>
    <w:rsid w:val="36D527D4"/>
    <w:rsid w:val="36DC3539"/>
    <w:rsid w:val="36E673E2"/>
    <w:rsid w:val="37012888"/>
    <w:rsid w:val="37032A6D"/>
    <w:rsid w:val="3705096F"/>
    <w:rsid w:val="37256588"/>
    <w:rsid w:val="372F131D"/>
    <w:rsid w:val="375A7F6A"/>
    <w:rsid w:val="37723387"/>
    <w:rsid w:val="37895702"/>
    <w:rsid w:val="37AA5DB1"/>
    <w:rsid w:val="37AA72D4"/>
    <w:rsid w:val="37B2536C"/>
    <w:rsid w:val="37CD4981"/>
    <w:rsid w:val="37D500D8"/>
    <w:rsid w:val="37F54414"/>
    <w:rsid w:val="37FF34B9"/>
    <w:rsid w:val="38060B00"/>
    <w:rsid w:val="380F7C75"/>
    <w:rsid w:val="382220C9"/>
    <w:rsid w:val="38442273"/>
    <w:rsid w:val="384D1477"/>
    <w:rsid w:val="385860DB"/>
    <w:rsid w:val="38602788"/>
    <w:rsid w:val="38605C29"/>
    <w:rsid w:val="38825EF2"/>
    <w:rsid w:val="38C74BA9"/>
    <w:rsid w:val="38DF5979"/>
    <w:rsid w:val="38E12537"/>
    <w:rsid w:val="38F55A41"/>
    <w:rsid w:val="38F90C25"/>
    <w:rsid w:val="38F92413"/>
    <w:rsid w:val="38FB618B"/>
    <w:rsid w:val="38FD6EBD"/>
    <w:rsid w:val="39066314"/>
    <w:rsid w:val="391061F6"/>
    <w:rsid w:val="391159AF"/>
    <w:rsid w:val="39180743"/>
    <w:rsid w:val="39250FCE"/>
    <w:rsid w:val="39282959"/>
    <w:rsid w:val="39376AA0"/>
    <w:rsid w:val="3940793E"/>
    <w:rsid w:val="396D7300"/>
    <w:rsid w:val="39981916"/>
    <w:rsid w:val="39A83C71"/>
    <w:rsid w:val="39C672B7"/>
    <w:rsid w:val="39E42618"/>
    <w:rsid w:val="39F25771"/>
    <w:rsid w:val="3A0B5E9B"/>
    <w:rsid w:val="3A106CA3"/>
    <w:rsid w:val="3A192D6D"/>
    <w:rsid w:val="3A2E499F"/>
    <w:rsid w:val="3A3E0A25"/>
    <w:rsid w:val="3A514441"/>
    <w:rsid w:val="3A62110D"/>
    <w:rsid w:val="3A7C7083"/>
    <w:rsid w:val="3A8550FF"/>
    <w:rsid w:val="3A91182C"/>
    <w:rsid w:val="3AA462B0"/>
    <w:rsid w:val="3AA95102"/>
    <w:rsid w:val="3AAA7E69"/>
    <w:rsid w:val="3AAF22FB"/>
    <w:rsid w:val="3AB875E3"/>
    <w:rsid w:val="3ABA3E46"/>
    <w:rsid w:val="3ABF6C5F"/>
    <w:rsid w:val="3AC313C7"/>
    <w:rsid w:val="3AC763CF"/>
    <w:rsid w:val="3ACC532D"/>
    <w:rsid w:val="3ACD2E07"/>
    <w:rsid w:val="3AFF1953"/>
    <w:rsid w:val="3B171ECA"/>
    <w:rsid w:val="3B4723E0"/>
    <w:rsid w:val="3B5065FA"/>
    <w:rsid w:val="3B5E28C6"/>
    <w:rsid w:val="3B6D220D"/>
    <w:rsid w:val="3B8A1254"/>
    <w:rsid w:val="3B8E778B"/>
    <w:rsid w:val="3B936B4F"/>
    <w:rsid w:val="3B97489E"/>
    <w:rsid w:val="3B9B2772"/>
    <w:rsid w:val="3BB10F59"/>
    <w:rsid w:val="3BB238A0"/>
    <w:rsid w:val="3BDA1D84"/>
    <w:rsid w:val="3BF01693"/>
    <w:rsid w:val="3C061639"/>
    <w:rsid w:val="3C082FB5"/>
    <w:rsid w:val="3C1131D2"/>
    <w:rsid w:val="3C193F7B"/>
    <w:rsid w:val="3C351DF3"/>
    <w:rsid w:val="3C674EB4"/>
    <w:rsid w:val="3C74275D"/>
    <w:rsid w:val="3C9B1B38"/>
    <w:rsid w:val="3CA579B0"/>
    <w:rsid w:val="3CB007F8"/>
    <w:rsid w:val="3CB808E0"/>
    <w:rsid w:val="3CBA0CB4"/>
    <w:rsid w:val="3CBD7976"/>
    <w:rsid w:val="3CC935E0"/>
    <w:rsid w:val="3CCD6303"/>
    <w:rsid w:val="3CCE25A0"/>
    <w:rsid w:val="3CD6055E"/>
    <w:rsid w:val="3CF34D92"/>
    <w:rsid w:val="3D132550"/>
    <w:rsid w:val="3D195C71"/>
    <w:rsid w:val="3D25660B"/>
    <w:rsid w:val="3D364657"/>
    <w:rsid w:val="3D400E20"/>
    <w:rsid w:val="3D4072AC"/>
    <w:rsid w:val="3D4D4DB9"/>
    <w:rsid w:val="3D4E5DA2"/>
    <w:rsid w:val="3D527569"/>
    <w:rsid w:val="3D5516DF"/>
    <w:rsid w:val="3D637585"/>
    <w:rsid w:val="3D704A53"/>
    <w:rsid w:val="3D895A20"/>
    <w:rsid w:val="3D985750"/>
    <w:rsid w:val="3DA43295"/>
    <w:rsid w:val="3DAD2116"/>
    <w:rsid w:val="3DAE15B5"/>
    <w:rsid w:val="3DC10D0A"/>
    <w:rsid w:val="3DEE08F9"/>
    <w:rsid w:val="3DF00E70"/>
    <w:rsid w:val="3DFD2C31"/>
    <w:rsid w:val="3E0004C1"/>
    <w:rsid w:val="3E045BB6"/>
    <w:rsid w:val="3E0C4997"/>
    <w:rsid w:val="3E0F5C32"/>
    <w:rsid w:val="3E1675C3"/>
    <w:rsid w:val="3E336B09"/>
    <w:rsid w:val="3E725142"/>
    <w:rsid w:val="3EA651B0"/>
    <w:rsid w:val="3EB07E0A"/>
    <w:rsid w:val="3EC139D3"/>
    <w:rsid w:val="3EE612C1"/>
    <w:rsid w:val="3EEA117C"/>
    <w:rsid w:val="3EF70A02"/>
    <w:rsid w:val="3F0607D0"/>
    <w:rsid w:val="3F2C7009"/>
    <w:rsid w:val="3F3A6931"/>
    <w:rsid w:val="3F3F1694"/>
    <w:rsid w:val="3F484CFB"/>
    <w:rsid w:val="3F666E13"/>
    <w:rsid w:val="3F7C320E"/>
    <w:rsid w:val="3FA51FB0"/>
    <w:rsid w:val="3FAA090B"/>
    <w:rsid w:val="3FB32F49"/>
    <w:rsid w:val="3FB53AF3"/>
    <w:rsid w:val="3FC17C7A"/>
    <w:rsid w:val="3FFE749E"/>
    <w:rsid w:val="400A390D"/>
    <w:rsid w:val="401C41D4"/>
    <w:rsid w:val="401D424B"/>
    <w:rsid w:val="4028784E"/>
    <w:rsid w:val="402A14C3"/>
    <w:rsid w:val="40353CFA"/>
    <w:rsid w:val="40383B92"/>
    <w:rsid w:val="407529FD"/>
    <w:rsid w:val="40891DCE"/>
    <w:rsid w:val="40A5396E"/>
    <w:rsid w:val="40BD744D"/>
    <w:rsid w:val="40CA1443"/>
    <w:rsid w:val="40D36B79"/>
    <w:rsid w:val="40D735C1"/>
    <w:rsid w:val="40DA2FC9"/>
    <w:rsid w:val="40E41474"/>
    <w:rsid w:val="40F31E7C"/>
    <w:rsid w:val="40F63393"/>
    <w:rsid w:val="4113229E"/>
    <w:rsid w:val="41382DB5"/>
    <w:rsid w:val="413F5EE3"/>
    <w:rsid w:val="4140573F"/>
    <w:rsid w:val="41455C40"/>
    <w:rsid w:val="414E771A"/>
    <w:rsid w:val="41591676"/>
    <w:rsid w:val="41710F9B"/>
    <w:rsid w:val="41865203"/>
    <w:rsid w:val="418666BD"/>
    <w:rsid w:val="4192477A"/>
    <w:rsid w:val="419531C7"/>
    <w:rsid w:val="41B01021"/>
    <w:rsid w:val="41B902DF"/>
    <w:rsid w:val="41DA610B"/>
    <w:rsid w:val="41EA63A4"/>
    <w:rsid w:val="41F673DE"/>
    <w:rsid w:val="42021C48"/>
    <w:rsid w:val="42050927"/>
    <w:rsid w:val="42213A90"/>
    <w:rsid w:val="423A6C5E"/>
    <w:rsid w:val="4246780D"/>
    <w:rsid w:val="425F68B8"/>
    <w:rsid w:val="426E4AEA"/>
    <w:rsid w:val="428C55A6"/>
    <w:rsid w:val="428E107E"/>
    <w:rsid w:val="429D2FC6"/>
    <w:rsid w:val="42A3157C"/>
    <w:rsid w:val="42B2779B"/>
    <w:rsid w:val="42BA458C"/>
    <w:rsid w:val="42D4708E"/>
    <w:rsid w:val="42DB1728"/>
    <w:rsid w:val="42EE410D"/>
    <w:rsid w:val="430335F6"/>
    <w:rsid w:val="43125D22"/>
    <w:rsid w:val="431451BB"/>
    <w:rsid w:val="431840E5"/>
    <w:rsid w:val="433125CD"/>
    <w:rsid w:val="433E56B4"/>
    <w:rsid w:val="4345757C"/>
    <w:rsid w:val="434F051D"/>
    <w:rsid w:val="43543566"/>
    <w:rsid w:val="435B60A4"/>
    <w:rsid w:val="435E6750"/>
    <w:rsid w:val="436D44B2"/>
    <w:rsid w:val="437A2E40"/>
    <w:rsid w:val="438457A6"/>
    <w:rsid w:val="43A062AD"/>
    <w:rsid w:val="43D8753E"/>
    <w:rsid w:val="44170407"/>
    <w:rsid w:val="443A4092"/>
    <w:rsid w:val="4443670B"/>
    <w:rsid w:val="446A7B59"/>
    <w:rsid w:val="447F5986"/>
    <w:rsid w:val="448036DD"/>
    <w:rsid w:val="448B2403"/>
    <w:rsid w:val="44E31282"/>
    <w:rsid w:val="45091C30"/>
    <w:rsid w:val="452840C0"/>
    <w:rsid w:val="453328A2"/>
    <w:rsid w:val="453F3821"/>
    <w:rsid w:val="45474E5C"/>
    <w:rsid w:val="454B75D9"/>
    <w:rsid w:val="45563514"/>
    <w:rsid w:val="455F19D3"/>
    <w:rsid w:val="456A65CD"/>
    <w:rsid w:val="45744489"/>
    <w:rsid w:val="458138DD"/>
    <w:rsid w:val="458B6288"/>
    <w:rsid w:val="458D6FC1"/>
    <w:rsid w:val="45AD515B"/>
    <w:rsid w:val="45BF146D"/>
    <w:rsid w:val="45EB0387"/>
    <w:rsid w:val="45F80193"/>
    <w:rsid w:val="46056F63"/>
    <w:rsid w:val="46062C07"/>
    <w:rsid w:val="461E757B"/>
    <w:rsid w:val="462D0FD2"/>
    <w:rsid w:val="462E6545"/>
    <w:rsid w:val="46665DEC"/>
    <w:rsid w:val="466A4DD4"/>
    <w:rsid w:val="468123C6"/>
    <w:rsid w:val="469F0A9E"/>
    <w:rsid w:val="46AB2A0A"/>
    <w:rsid w:val="46AF1DBE"/>
    <w:rsid w:val="46B4220E"/>
    <w:rsid w:val="46C270FB"/>
    <w:rsid w:val="46D0716A"/>
    <w:rsid w:val="46D9170E"/>
    <w:rsid w:val="46EA0502"/>
    <w:rsid w:val="46EB0349"/>
    <w:rsid w:val="46ED1F0F"/>
    <w:rsid w:val="46FC3148"/>
    <w:rsid w:val="46FF4582"/>
    <w:rsid w:val="470751E3"/>
    <w:rsid w:val="472B52A5"/>
    <w:rsid w:val="473D3E13"/>
    <w:rsid w:val="47783C39"/>
    <w:rsid w:val="47977C5C"/>
    <w:rsid w:val="47A91720"/>
    <w:rsid w:val="47CF40C9"/>
    <w:rsid w:val="47D46AAB"/>
    <w:rsid w:val="47DB2F07"/>
    <w:rsid w:val="47DE3671"/>
    <w:rsid w:val="47F22CD6"/>
    <w:rsid w:val="47F82FEE"/>
    <w:rsid w:val="4806077F"/>
    <w:rsid w:val="481007C0"/>
    <w:rsid w:val="48141C6D"/>
    <w:rsid w:val="481D08F9"/>
    <w:rsid w:val="482D4AFC"/>
    <w:rsid w:val="483A0EFD"/>
    <w:rsid w:val="483D6EE9"/>
    <w:rsid w:val="484D0BA9"/>
    <w:rsid w:val="484F32C8"/>
    <w:rsid w:val="48575C62"/>
    <w:rsid w:val="485A37B1"/>
    <w:rsid w:val="485F6343"/>
    <w:rsid w:val="486232EE"/>
    <w:rsid w:val="48642F3D"/>
    <w:rsid w:val="4870748E"/>
    <w:rsid w:val="487F4A93"/>
    <w:rsid w:val="48AC4C78"/>
    <w:rsid w:val="48BB43EF"/>
    <w:rsid w:val="48C05297"/>
    <w:rsid w:val="48C934ED"/>
    <w:rsid w:val="48D658CA"/>
    <w:rsid w:val="48F511F4"/>
    <w:rsid w:val="48FA1700"/>
    <w:rsid w:val="493556E9"/>
    <w:rsid w:val="49454E2A"/>
    <w:rsid w:val="49462189"/>
    <w:rsid w:val="49482592"/>
    <w:rsid w:val="496C1952"/>
    <w:rsid w:val="49775AF8"/>
    <w:rsid w:val="498A15D2"/>
    <w:rsid w:val="499222F6"/>
    <w:rsid w:val="499B539A"/>
    <w:rsid w:val="49A42EC1"/>
    <w:rsid w:val="49AD3FE9"/>
    <w:rsid w:val="49E33B35"/>
    <w:rsid w:val="49E72EB5"/>
    <w:rsid w:val="4A04542B"/>
    <w:rsid w:val="4A113BB4"/>
    <w:rsid w:val="4A49713F"/>
    <w:rsid w:val="4A4C5BCF"/>
    <w:rsid w:val="4A5448ED"/>
    <w:rsid w:val="4A59707B"/>
    <w:rsid w:val="4A67726F"/>
    <w:rsid w:val="4A8B4D8A"/>
    <w:rsid w:val="4AB05B2F"/>
    <w:rsid w:val="4AC261BA"/>
    <w:rsid w:val="4AC6522D"/>
    <w:rsid w:val="4AD76A0F"/>
    <w:rsid w:val="4AE4493A"/>
    <w:rsid w:val="4AF66534"/>
    <w:rsid w:val="4AF84C20"/>
    <w:rsid w:val="4AFA40BA"/>
    <w:rsid w:val="4AFC7BF7"/>
    <w:rsid w:val="4B0A08D4"/>
    <w:rsid w:val="4B115B10"/>
    <w:rsid w:val="4B2E3259"/>
    <w:rsid w:val="4B3774F7"/>
    <w:rsid w:val="4B5E24D5"/>
    <w:rsid w:val="4B7E7CCC"/>
    <w:rsid w:val="4B942600"/>
    <w:rsid w:val="4BBB3FA1"/>
    <w:rsid w:val="4BFF6D4C"/>
    <w:rsid w:val="4C0109F7"/>
    <w:rsid w:val="4C0B35DF"/>
    <w:rsid w:val="4C194D3A"/>
    <w:rsid w:val="4C215AB1"/>
    <w:rsid w:val="4C381A32"/>
    <w:rsid w:val="4C3C27C6"/>
    <w:rsid w:val="4C5475DD"/>
    <w:rsid w:val="4C5F4E73"/>
    <w:rsid w:val="4C696B2F"/>
    <w:rsid w:val="4C7C718B"/>
    <w:rsid w:val="4C954F21"/>
    <w:rsid w:val="4C9E6445"/>
    <w:rsid w:val="4CAC7339"/>
    <w:rsid w:val="4CB67F43"/>
    <w:rsid w:val="4CC36C12"/>
    <w:rsid w:val="4CF65053"/>
    <w:rsid w:val="4D0C3A17"/>
    <w:rsid w:val="4D192251"/>
    <w:rsid w:val="4D1C5128"/>
    <w:rsid w:val="4D252C37"/>
    <w:rsid w:val="4D3266EB"/>
    <w:rsid w:val="4D356269"/>
    <w:rsid w:val="4D383B92"/>
    <w:rsid w:val="4D3E395A"/>
    <w:rsid w:val="4D4B174C"/>
    <w:rsid w:val="4D5B7EF6"/>
    <w:rsid w:val="4D655D2A"/>
    <w:rsid w:val="4D6B5914"/>
    <w:rsid w:val="4D707462"/>
    <w:rsid w:val="4D8217C7"/>
    <w:rsid w:val="4D8A1C42"/>
    <w:rsid w:val="4D8A53F6"/>
    <w:rsid w:val="4DAE45B4"/>
    <w:rsid w:val="4DB80469"/>
    <w:rsid w:val="4DBF1555"/>
    <w:rsid w:val="4DC33D85"/>
    <w:rsid w:val="4DD42502"/>
    <w:rsid w:val="4DD93D50"/>
    <w:rsid w:val="4DDA4AA3"/>
    <w:rsid w:val="4DF87158"/>
    <w:rsid w:val="4E1B5D16"/>
    <w:rsid w:val="4E4738C0"/>
    <w:rsid w:val="4E733B95"/>
    <w:rsid w:val="4E7938D3"/>
    <w:rsid w:val="4E7D5076"/>
    <w:rsid w:val="4E7F2E01"/>
    <w:rsid w:val="4E821CAE"/>
    <w:rsid w:val="4E835D45"/>
    <w:rsid w:val="4E8E7664"/>
    <w:rsid w:val="4E94692B"/>
    <w:rsid w:val="4E997A8D"/>
    <w:rsid w:val="4E9B70C6"/>
    <w:rsid w:val="4EA50722"/>
    <w:rsid w:val="4EAB488F"/>
    <w:rsid w:val="4EAD044A"/>
    <w:rsid w:val="4EE57C02"/>
    <w:rsid w:val="4EEC02D5"/>
    <w:rsid w:val="4EEC742B"/>
    <w:rsid w:val="4EF96CC3"/>
    <w:rsid w:val="4F06254F"/>
    <w:rsid w:val="4F135D0B"/>
    <w:rsid w:val="4F2D2387"/>
    <w:rsid w:val="4F420B08"/>
    <w:rsid w:val="4F7040E0"/>
    <w:rsid w:val="4F711D21"/>
    <w:rsid w:val="4F854D3B"/>
    <w:rsid w:val="4F8820C3"/>
    <w:rsid w:val="4F8E5B2B"/>
    <w:rsid w:val="4FA56EF7"/>
    <w:rsid w:val="4FC04A4D"/>
    <w:rsid w:val="4FCD6E5C"/>
    <w:rsid w:val="4FD40A19"/>
    <w:rsid w:val="4FDC7693"/>
    <w:rsid w:val="4FE86DA1"/>
    <w:rsid w:val="4FF62BDE"/>
    <w:rsid w:val="50044F80"/>
    <w:rsid w:val="500A2850"/>
    <w:rsid w:val="500E435E"/>
    <w:rsid w:val="502637ED"/>
    <w:rsid w:val="502D14DE"/>
    <w:rsid w:val="50424608"/>
    <w:rsid w:val="50545620"/>
    <w:rsid w:val="505C355C"/>
    <w:rsid w:val="505F1DB4"/>
    <w:rsid w:val="50CE3A67"/>
    <w:rsid w:val="50CF4561"/>
    <w:rsid w:val="50D66EF3"/>
    <w:rsid w:val="50EC62C7"/>
    <w:rsid w:val="50FF5E76"/>
    <w:rsid w:val="51085492"/>
    <w:rsid w:val="512D64A3"/>
    <w:rsid w:val="51384FBE"/>
    <w:rsid w:val="51601255"/>
    <w:rsid w:val="518B0FFB"/>
    <w:rsid w:val="51915211"/>
    <w:rsid w:val="51976126"/>
    <w:rsid w:val="51BB7195"/>
    <w:rsid w:val="51C10464"/>
    <w:rsid w:val="51CE2237"/>
    <w:rsid w:val="51D30137"/>
    <w:rsid w:val="51DE26C4"/>
    <w:rsid w:val="51E711A6"/>
    <w:rsid w:val="51E73A6E"/>
    <w:rsid w:val="51F82001"/>
    <w:rsid w:val="52046900"/>
    <w:rsid w:val="522060FD"/>
    <w:rsid w:val="52411557"/>
    <w:rsid w:val="5245699D"/>
    <w:rsid w:val="52524AE4"/>
    <w:rsid w:val="52546CFC"/>
    <w:rsid w:val="525E1FE6"/>
    <w:rsid w:val="525E4064"/>
    <w:rsid w:val="526159EA"/>
    <w:rsid w:val="527C6C93"/>
    <w:rsid w:val="528751E9"/>
    <w:rsid w:val="528D1673"/>
    <w:rsid w:val="52C31DD2"/>
    <w:rsid w:val="52D6334B"/>
    <w:rsid w:val="52DA1EC9"/>
    <w:rsid w:val="52E36965"/>
    <w:rsid w:val="52E50E66"/>
    <w:rsid w:val="52ED1657"/>
    <w:rsid w:val="53000A97"/>
    <w:rsid w:val="5304519B"/>
    <w:rsid w:val="5318233C"/>
    <w:rsid w:val="531C3B06"/>
    <w:rsid w:val="532F32A1"/>
    <w:rsid w:val="533E159A"/>
    <w:rsid w:val="537D3988"/>
    <w:rsid w:val="5383409D"/>
    <w:rsid w:val="538F16BA"/>
    <w:rsid w:val="539D2957"/>
    <w:rsid w:val="53A62AFC"/>
    <w:rsid w:val="53BA2875"/>
    <w:rsid w:val="53CA50EA"/>
    <w:rsid w:val="53EA468D"/>
    <w:rsid w:val="53F303BA"/>
    <w:rsid w:val="53F50F05"/>
    <w:rsid w:val="540903CE"/>
    <w:rsid w:val="54097A6F"/>
    <w:rsid w:val="541521D8"/>
    <w:rsid w:val="541E2C15"/>
    <w:rsid w:val="542823D3"/>
    <w:rsid w:val="542C527D"/>
    <w:rsid w:val="5434440E"/>
    <w:rsid w:val="54412A02"/>
    <w:rsid w:val="54522561"/>
    <w:rsid w:val="545C0325"/>
    <w:rsid w:val="5472792D"/>
    <w:rsid w:val="54815BFC"/>
    <w:rsid w:val="54C73908"/>
    <w:rsid w:val="54D620C6"/>
    <w:rsid w:val="54E449C6"/>
    <w:rsid w:val="54F30A12"/>
    <w:rsid w:val="55014E1D"/>
    <w:rsid w:val="5516576C"/>
    <w:rsid w:val="551F155B"/>
    <w:rsid w:val="5531427C"/>
    <w:rsid w:val="55356EAB"/>
    <w:rsid w:val="55454074"/>
    <w:rsid w:val="559E7870"/>
    <w:rsid w:val="55AA5D58"/>
    <w:rsid w:val="55C32C7C"/>
    <w:rsid w:val="55C74E79"/>
    <w:rsid w:val="55CF0A6B"/>
    <w:rsid w:val="55EB2E50"/>
    <w:rsid w:val="55F45E62"/>
    <w:rsid w:val="55FA3FD2"/>
    <w:rsid w:val="55FB2A4A"/>
    <w:rsid w:val="55FF0679"/>
    <w:rsid w:val="5603520B"/>
    <w:rsid w:val="560E6D65"/>
    <w:rsid w:val="56111A30"/>
    <w:rsid w:val="561D553B"/>
    <w:rsid w:val="56334CC9"/>
    <w:rsid w:val="56487863"/>
    <w:rsid w:val="56493A39"/>
    <w:rsid w:val="565C6CA5"/>
    <w:rsid w:val="56610A15"/>
    <w:rsid w:val="56770117"/>
    <w:rsid w:val="56795950"/>
    <w:rsid w:val="567E463C"/>
    <w:rsid w:val="569156D5"/>
    <w:rsid w:val="56A5017F"/>
    <w:rsid w:val="56A7724E"/>
    <w:rsid w:val="56A9531B"/>
    <w:rsid w:val="56AE707B"/>
    <w:rsid w:val="56C32880"/>
    <w:rsid w:val="56C561DE"/>
    <w:rsid w:val="56C77608"/>
    <w:rsid w:val="56C836F9"/>
    <w:rsid w:val="56D11576"/>
    <w:rsid w:val="57035629"/>
    <w:rsid w:val="57100CE9"/>
    <w:rsid w:val="57250C25"/>
    <w:rsid w:val="574F5777"/>
    <w:rsid w:val="57676FB7"/>
    <w:rsid w:val="57690D4E"/>
    <w:rsid w:val="576E4363"/>
    <w:rsid w:val="57794C20"/>
    <w:rsid w:val="57985481"/>
    <w:rsid w:val="579D32B8"/>
    <w:rsid w:val="57B258B6"/>
    <w:rsid w:val="57B64B98"/>
    <w:rsid w:val="57B91DA5"/>
    <w:rsid w:val="57C65CAE"/>
    <w:rsid w:val="57CE0771"/>
    <w:rsid w:val="57D21E28"/>
    <w:rsid w:val="58175E7E"/>
    <w:rsid w:val="581D6138"/>
    <w:rsid w:val="581D725C"/>
    <w:rsid w:val="58242DCD"/>
    <w:rsid w:val="583027D8"/>
    <w:rsid w:val="584335DA"/>
    <w:rsid w:val="585672AC"/>
    <w:rsid w:val="58580DA9"/>
    <w:rsid w:val="586E09F4"/>
    <w:rsid w:val="588C3CE6"/>
    <w:rsid w:val="58C95AC4"/>
    <w:rsid w:val="58CB177F"/>
    <w:rsid w:val="58CF0D57"/>
    <w:rsid w:val="58D70AC0"/>
    <w:rsid w:val="58DF3E21"/>
    <w:rsid w:val="58E95F87"/>
    <w:rsid w:val="590F3861"/>
    <w:rsid w:val="59203C3B"/>
    <w:rsid w:val="592F4DEF"/>
    <w:rsid w:val="593E5073"/>
    <w:rsid w:val="5940123A"/>
    <w:rsid w:val="594049A4"/>
    <w:rsid w:val="594D5691"/>
    <w:rsid w:val="596040BD"/>
    <w:rsid w:val="5968756D"/>
    <w:rsid w:val="59786A6E"/>
    <w:rsid w:val="5980650D"/>
    <w:rsid w:val="599F6B35"/>
    <w:rsid w:val="59A90C4B"/>
    <w:rsid w:val="59DB2486"/>
    <w:rsid w:val="59F13E41"/>
    <w:rsid w:val="59F47AE4"/>
    <w:rsid w:val="59FC3E1A"/>
    <w:rsid w:val="5A017A7D"/>
    <w:rsid w:val="5A203C86"/>
    <w:rsid w:val="5A225816"/>
    <w:rsid w:val="5A29149F"/>
    <w:rsid w:val="5A2E01B0"/>
    <w:rsid w:val="5A3E5CBE"/>
    <w:rsid w:val="5A435583"/>
    <w:rsid w:val="5A4A5512"/>
    <w:rsid w:val="5A604569"/>
    <w:rsid w:val="5A942964"/>
    <w:rsid w:val="5A990844"/>
    <w:rsid w:val="5A9A17B4"/>
    <w:rsid w:val="5A9F0C15"/>
    <w:rsid w:val="5AB72074"/>
    <w:rsid w:val="5AC62347"/>
    <w:rsid w:val="5AC90F48"/>
    <w:rsid w:val="5ACD66ED"/>
    <w:rsid w:val="5AEC08C1"/>
    <w:rsid w:val="5AEE349D"/>
    <w:rsid w:val="5AFB13A2"/>
    <w:rsid w:val="5B0448E5"/>
    <w:rsid w:val="5B045144"/>
    <w:rsid w:val="5B092B25"/>
    <w:rsid w:val="5B122ECF"/>
    <w:rsid w:val="5B150ED7"/>
    <w:rsid w:val="5B1D224B"/>
    <w:rsid w:val="5B215672"/>
    <w:rsid w:val="5B3B4532"/>
    <w:rsid w:val="5B3C3714"/>
    <w:rsid w:val="5B4F12FD"/>
    <w:rsid w:val="5B4F5059"/>
    <w:rsid w:val="5B5063B8"/>
    <w:rsid w:val="5B5F4B50"/>
    <w:rsid w:val="5B616565"/>
    <w:rsid w:val="5B665937"/>
    <w:rsid w:val="5B6A47EA"/>
    <w:rsid w:val="5B726C82"/>
    <w:rsid w:val="5B907326"/>
    <w:rsid w:val="5B942953"/>
    <w:rsid w:val="5B9621A7"/>
    <w:rsid w:val="5BA26FE2"/>
    <w:rsid w:val="5BB43DE4"/>
    <w:rsid w:val="5BBA34DE"/>
    <w:rsid w:val="5BC20D5D"/>
    <w:rsid w:val="5BC53CA4"/>
    <w:rsid w:val="5BCA3A6F"/>
    <w:rsid w:val="5BCF0436"/>
    <w:rsid w:val="5BE417F7"/>
    <w:rsid w:val="5BFE219A"/>
    <w:rsid w:val="5C1949F7"/>
    <w:rsid w:val="5C1E13B2"/>
    <w:rsid w:val="5C265620"/>
    <w:rsid w:val="5C2F11CB"/>
    <w:rsid w:val="5C5356DD"/>
    <w:rsid w:val="5C636BAC"/>
    <w:rsid w:val="5C6F3105"/>
    <w:rsid w:val="5C754DFB"/>
    <w:rsid w:val="5C9F6CAA"/>
    <w:rsid w:val="5CAA1B60"/>
    <w:rsid w:val="5CAA564F"/>
    <w:rsid w:val="5CB07109"/>
    <w:rsid w:val="5CDC04ED"/>
    <w:rsid w:val="5CDD418E"/>
    <w:rsid w:val="5CF25791"/>
    <w:rsid w:val="5D213064"/>
    <w:rsid w:val="5D2B6F5F"/>
    <w:rsid w:val="5D306727"/>
    <w:rsid w:val="5D634B73"/>
    <w:rsid w:val="5D845405"/>
    <w:rsid w:val="5DA12EF6"/>
    <w:rsid w:val="5DAF340B"/>
    <w:rsid w:val="5DB50E8B"/>
    <w:rsid w:val="5DC4007C"/>
    <w:rsid w:val="5DC6470A"/>
    <w:rsid w:val="5DCE22AC"/>
    <w:rsid w:val="5DFC68F7"/>
    <w:rsid w:val="5E172CE0"/>
    <w:rsid w:val="5E1A35CF"/>
    <w:rsid w:val="5E1D4234"/>
    <w:rsid w:val="5E3C52E2"/>
    <w:rsid w:val="5E612C1A"/>
    <w:rsid w:val="5E7E7283"/>
    <w:rsid w:val="5E7F4FE5"/>
    <w:rsid w:val="5E8647A8"/>
    <w:rsid w:val="5EB35D99"/>
    <w:rsid w:val="5EF534F9"/>
    <w:rsid w:val="5EFA7FD2"/>
    <w:rsid w:val="5F055CAC"/>
    <w:rsid w:val="5F0C0349"/>
    <w:rsid w:val="5F220E3F"/>
    <w:rsid w:val="5F265461"/>
    <w:rsid w:val="5F291E99"/>
    <w:rsid w:val="5F2D005F"/>
    <w:rsid w:val="5F3467C7"/>
    <w:rsid w:val="5F3B4639"/>
    <w:rsid w:val="5F454934"/>
    <w:rsid w:val="5F885FF2"/>
    <w:rsid w:val="5F8F14D4"/>
    <w:rsid w:val="5FB45E22"/>
    <w:rsid w:val="5FC47C57"/>
    <w:rsid w:val="5FE44F80"/>
    <w:rsid w:val="5FF14F7D"/>
    <w:rsid w:val="5FF85648"/>
    <w:rsid w:val="600E729D"/>
    <w:rsid w:val="603A5C1E"/>
    <w:rsid w:val="603D3EBB"/>
    <w:rsid w:val="604005D6"/>
    <w:rsid w:val="607408A0"/>
    <w:rsid w:val="60811C92"/>
    <w:rsid w:val="609A237A"/>
    <w:rsid w:val="609E14E4"/>
    <w:rsid w:val="609E7554"/>
    <w:rsid w:val="60A0558C"/>
    <w:rsid w:val="60A70822"/>
    <w:rsid w:val="60B924C1"/>
    <w:rsid w:val="60BB412A"/>
    <w:rsid w:val="60BC02E3"/>
    <w:rsid w:val="60C258A6"/>
    <w:rsid w:val="60D019CB"/>
    <w:rsid w:val="610E535D"/>
    <w:rsid w:val="61366B30"/>
    <w:rsid w:val="61504A17"/>
    <w:rsid w:val="61572249"/>
    <w:rsid w:val="615F79E0"/>
    <w:rsid w:val="616D7CD4"/>
    <w:rsid w:val="618609A8"/>
    <w:rsid w:val="618678BE"/>
    <w:rsid w:val="619012B7"/>
    <w:rsid w:val="61A63738"/>
    <w:rsid w:val="61D22E64"/>
    <w:rsid w:val="61D75E21"/>
    <w:rsid w:val="61D82A32"/>
    <w:rsid w:val="61DE1558"/>
    <w:rsid w:val="61E1074C"/>
    <w:rsid w:val="62007982"/>
    <w:rsid w:val="62041452"/>
    <w:rsid w:val="62044C6F"/>
    <w:rsid w:val="62081602"/>
    <w:rsid w:val="621F229B"/>
    <w:rsid w:val="62453290"/>
    <w:rsid w:val="624855B0"/>
    <w:rsid w:val="624B6B75"/>
    <w:rsid w:val="624D1156"/>
    <w:rsid w:val="625961B3"/>
    <w:rsid w:val="62671DAA"/>
    <w:rsid w:val="62716F1F"/>
    <w:rsid w:val="627E6991"/>
    <w:rsid w:val="629C0C28"/>
    <w:rsid w:val="62A52B40"/>
    <w:rsid w:val="62AD1066"/>
    <w:rsid w:val="62C25C0C"/>
    <w:rsid w:val="62E418BB"/>
    <w:rsid w:val="62E50687"/>
    <w:rsid w:val="62E84C9B"/>
    <w:rsid w:val="62E8541A"/>
    <w:rsid w:val="62EA0E9B"/>
    <w:rsid w:val="62F722AD"/>
    <w:rsid w:val="62F90612"/>
    <w:rsid w:val="630217D7"/>
    <w:rsid w:val="63037A68"/>
    <w:rsid w:val="631230E6"/>
    <w:rsid w:val="632222BA"/>
    <w:rsid w:val="63400B38"/>
    <w:rsid w:val="63435BFE"/>
    <w:rsid w:val="634E71DD"/>
    <w:rsid w:val="635E10C5"/>
    <w:rsid w:val="635E7B59"/>
    <w:rsid w:val="6369528B"/>
    <w:rsid w:val="63725E0A"/>
    <w:rsid w:val="63832D48"/>
    <w:rsid w:val="63B92966"/>
    <w:rsid w:val="63F97C41"/>
    <w:rsid w:val="63FB1984"/>
    <w:rsid w:val="63FE188D"/>
    <w:rsid w:val="64153CF6"/>
    <w:rsid w:val="641752DA"/>
    <w:rsid w:val="642459F2"/>
    <w:rsid w:val="64245FC4"/>
    <w:rsid w:val="64350940"/>
    <w:rsid w:val="64377F2C"/>
    <w:rsid w:val="644233D7"/>
    <w:rsid w:val="644A0021"/>
    <w:rsid w:val="645475F0"/>
    <w:rsid w:val="645C1D5E"/>
    <w:rsid w:val="645F063B"/>
    <w:rsid w:val="64924695"/>
    <w:rsid w:val="649A6843"/>
    <w:rsid w:val="64A87BFB"/>
    <w:rsid w:val="64C25BFE"/>
    <w:rsid w:val="64C52ABF"/>
    <w:rsid w:val="64CE4656"/>
    <w:rsid w:val="64DD7271"/>
    <w:rsid w:val="64EA2B99"/>
    <w:rsid w:val="650676CE"/>
    <w:rsid w:val="650D5260"/>
    <w:rsid w:val="651A52D6"/>
    <w:rsid w:val="652E3C0F"/>
    <w:rsid w:val="6546685C"/>
    <w:rsid w:val="654A79CF"/>
    <w:rsid w:val="65626C50"/>
    <w:rsid w:val="656644ED"/>
    <w:rsid w:val="65674A25"/>
    <w:rsid w:val="656D531F"/>
    <w:rsid w:val="6571677F"/>
    <w:rsid w:val="657C502B"/>
    <w:rsid w:val="657F6AF5"/>
    <w:rsid w:val="6582360D"/>
    <w:rsid w:val="659248D7"/>
    <w:rsid w:val="66245681"/>
    <w:rsid w:val="66362E6D"/>
    <w:rsid w:val="663D2E33"/>
    <w:rsid w:val="66406B23"/>
    <w:rsid w:val="665B5039"/>
    <w:rsid w:val="666D3936"/>
    <w:rsid w:val="667629E4"/>
    <w:rsid w:val="6687759B"/>
    <w:rsid w:val="66D83EE4"/>
    <w:rsid w:val="66DE5247"/>
    <w:rsid w:val="66DF7CFA"/>
    <w:rsid w:val="66E26F24"/>
    <w:rsid w:val="67095D94"/>
    <w:rsid w:val="67195EB8"/>
    <w:rsid w:val="67277BAF"/>
    <w:rsid w:val="672F06E5"/>
    <w:rsid w:val="672F0C42"/>
    <w:rsid w:val="67486435"/>
    <w:rsid w:val="674E48F9"/>
    <w:rsid w:val="675453C8"/>
    <w:rsid w:val="676A4358"/>
    <w:rsid w:val="67971638"/>
    <w:rsid w:val="679B329A"/>
    <w:rsid w:val="679E32F4"/>
    <w:rsid w:val="67B359AC"/>
    <w:rsid w:val="67B76864"/>
    <w:rsid w:val="67CA3779"/>
    <w:rsid w:val="67E41396"/>
    <w:rsid w:val="67E4410B"/>
    <w:rsid w:val="67E5630D"/>
    <w:rsid w:val="67E91721"/>
    <w:rsid w:val="67F4310E"/>
    <w:rsid w:val="67F63DC6"/>
    <w:rsid w:val="67F87657"/>
    <w:rsid w:val="6809591F"/>
    <w:rsid w:val="68097770"/>
    <w:rsid w:val="68103A13"/>
    <w:rsid w:val="681E4CE0"/>
    <w:rsid w:val="68596B1A"/>
    <w:rsid w:val="687C4A49"/>
    <w:rsid w:val="687F4190"/>
    <w:rsid w:val="688318F3"/>
    <w:rsid w:val="68892179"/>
    <w:rsid w:val="689277F1"/>
    <w:rsid w:val="68BA116D"/>
    <w:rsid w:val="68CC48F2"/>
    <w:rsid w:val="68E249B9"/>
    <w:rsid w:val="68E42840"/>
    <w:rsid w:val="68E63A64"/>
    <w:rsid w:val="68EB69CB"/>
    <w:rsid w:val="68EC7FA5"/>
    <w:rsid w:val="68F83C54"/>
    <w:rsid w:val="68FC7A46"/>
    <w:rsid w:val="691112E5"/>
    <w:rsid w:val="69120AF3"/>
    <w:rsid w:val="691E5FFB"/>
    <w:rsid w:val="692C48AA"/>
    <w:rsid w:val="692D52E5"/>
    <w:rsid w:val="6968506D"/>
    <w:rsid w:val="697266A0"/>
    <w:rsid w:val="69806B3E"/>
    <w:rsid w:val="69820A13"/>
    <w:rsid w:val="699B2EEF"/>
    <w:rsid w:val="699E5E58"/>
    <w:rsid w:val="69BD5DBB"/>
    <w:rsid w:val="69FA624E"/>
    <w:rsid w:val="69FB7DAD"/>
    <w:rsid w:val="69FF7759"/>
    <w:rsid w:val="6A0D2F24"/>
    <w:rsid w:val="6A1D3904"/>
    <w:rsid w:val="6A657E01"/>
    <w:rsid w:val="6A9317DE"/>
    <w:rsid w:val="6A941D60"/>
    <w:rsid w:val="6A9D59E5"/>
    <w:rsid w:val="6A9E78F6"/>
    <w:rsid w:val="6AAE2CBA"/>
    <w:rsid w:val="6ABB104F"/>
    <w:rsid w:val="6ABC7366"/>
    <w:rsid w:val="6AC36824"/>
    <w:rsid w:val="6AC9176D"/>
    <w:rsid w:val="6AD36262"/>
    <w:rsid w:val="6AE127F5"/>
    <w:rsid w:val="6AF50C7B"/>
    <w:rsid w:val="6B0D2E65"/>
    <w:rsid w:val="6B0E5081"/>
    <w:rsid w:val="6B11562C"/>
    <w:rsid w:val="6B385B00"/>
    <w:rsid w:val="6B48580C"/>
    <w:rsid w:val="6B554428"/>
    <w:rsid w:val="6B5640D7"/>
    <w:rsid w:val="6B844BF0"/>
    <w:rsid w:val="6B866E00"/>
    <w:rsid w:val="6B923E7E"/>
    <w:rsid w:val="6B926770"/>
    <w:rsid w:val="6B9C07BC"/>
    <w:rsid w:val="6BA771FF"/>
    <w:rsid w:val="6BC37D13"/>
    <w:rsid w:val="6BCC522F"/>
    <w:rsid w:val="6BE71018"/>
    <w:rsid w:val="6BF11573"/>
    <w:rsid w:val="6C0210DC"/>
    <w:rsid w:val="6C1D0BC0"/>
    <w:rsid w:val="6C2E0892"/>
    <w:rsid w:val="6C326A9A"/>
    <w:rsid w:val="6C3E15BE"/>
    <w:rsid w:val="6C4258A4"/>
    <w:rsid w:val="6C5F4375"/>
    <w:rsid w:val="6C685300"/>
    <w:rsid w:val="6C69753A"/>
    <w:rsid w:val="6C7218C1"/>
    <w:rsid w:val="6C7A18DA"/>
    <w:rsid w:val="6C985F86"/>
    <w:rsid w:val="6CB73167"/>
    <w:rsid w:val="6CD42656"/>
    <w:rsid w:val="6CE02CFC"/>
    <w:rsid w:val="6CED3FF7"/>
    <w:rsid w:val="6D17288C"/>
    <w:rsid w:val="6D1D1AA3"/>
    <w:rsid w:val="6D1D46A7"/>
    <w:rsid w:val="6D202A88"/>
    <w:rsid w:val="6D341690"/>
    <w:rsid w:val="6D3A08A5"/>
    <w:rsid w:val="6D4C0F66"/>
    <w:rsid w:val="6D4C31C0"/>
    <w:rsid w:val="6D4D7806"/>
    <w:rsid w:val="6D63151F"/>
    <w:rsid w:val="6D8D528C"/>
    <w:rsid w:val="6D9165A6"/>
    <w:rsid w:val="6D9C172B"/>
    <w:rsid w:val="6DA56DDA"/>
    <w:rsid w:val="6DC57110"/>
    <w:rsid w:val="6DE452D5"/>
    <w:rsid w:val="6DEA355E"/>
    <w:rsid w:val="6DEE3826"/>
    <w:rsid w:val="6DEE5F30"/>
    <w:rsid w:val="6E2579F9"/>
    <w:rsid w:val="6E282B0B"/>
    <w:rsid w:val="6E3C476A"/>
    <w:rsid w:val="6E583156"/>
    <w:rsid w:val="6E6A3C10"/>
    <w:rsid w:val="6E974DC1"/>
    <w:rsid w:val="6EB3447F"/>
    <w:rsid w:val="6ED26B6F"/>
    <w:rsid w:val="6ED92F4C"/>
    <w:rsid w:val="6EE90259"/>
    <w:rsid w:val="6EED1D68"/>
    <w:rsid w:val="6EF12CDA"/>
    <w:rsid w:val="6EF60D36"/>
    <w:rsid w:val="6F1648CC"/>
    <w:rsid w:val="6F3A465D"/>
    <w:rsid w:val="6F3B4F58"/>
    <w:rsid w:val="6F4044CB"/>
    <w:rsid w:val="6F5369CF"/>
    <w:rsid w:val="6F5A55DC"/>
    <w:rsid w:val="6F6A7CDC"/>
    <w:rsid w:val="6F6C5930"/>
    <w:rsid w:val="6F704424"/>
    <w:rsid w:val="6F8E61CC"/>
    <w:rsid w:val="6F9065D5"/>
    <w:rsid w:val="6FBB335D"/>
    <w:rsid w:val="6FE34F11"/>
    <w:rsid w:val="6FF807CA"/>
    <w:rsid w:val="700E38C4"/>
    <w:rsid w:val="70103F5A"/>
    <w:rsid w:val="70180EAF"/>
    <w:rsid w:val="701E2843"/>
    <w:rsid w:val="70251949"/>
    <w:rsid w:val="70297AED"/>
    <w:rsid w:val="702F6BEE"/>
    <w:rsid w:val="703C20AC"/>
    <w:rsid w:val="70476C47"/>
    <w:rsid w:val="70785B24"/>
    <w:rsid w:val="707B7726"/>
    <w:rsid w:val="709E387E"/>
    <w:rsid w:val="70B14E63"/>
    <w:rsid w:val="70C251BD"/>
    <w:rsid w:val="70DE382D"/>
    <w:rsid w:val="70E81CF8"/>
    <w:rsid w:val="71155631"/>
    <w:rsid w:val="711B0CD1"/>
    <w:rsid w:val="712427AD"/>
    <w:rsid w:val="7126791A"/>
    <w:rsid w:val="71332393"/>
    <w:rsid w:val="713C5910"/>
    <w:rsid w:val="713D7EAD"/>
    <w:rsid w:val="71675208"/>
    <w:rsid w:val="7179329F"/>
    <w:rsid w:val="717B5924"/>
    <w:rsid w:val="717B6FE6"/>
    <w:rsid w:val="71A75CDD"/>
    <w:rsid w:val="71AA2EE0"/>
    <w:rsid w:val="71CC426C"/>
    <w:rsid w:val="71ED0161"/>
    <w:rsid w:val="71F907B3"/>
    <w:rsid w:val="72062189"/>
    <w:rsid w:val="720810EC"/>
    <w:rsid w:val="72274724"/>
    <w:rsid w:val="722809B6"/>
    <w:rsid w:val="722C7A25"/>
    <w:rsid w:val="723F590B"/>
    <w:rsid w:val="724C2A7F"/>
    <w:rsid w:val="72501339"/>
    <w:rsid w:val="72591B45"/>
    <w:rsid w:val="726148AD"/>
    <w:rsid w:val="72703CD8"/>
    <w:rsid w:val="72783D76"/>
    <w:rsid w:val="727A47D9"/>
    <w:rsid w:val="727C199C"/>
    <w:rsid w:val="729354DF"/>
    <w:rsid w:val="72992C59"/>
    <w:rsid w:val="72AB79C6"/>
    <w:rsid w:val="72B345F3"/>
    <w:rsid w:val="72B6482F"/>
    <w:rsid w:val="72C40116"/>
    <w:rsid w:val="72C41074"/>
    <w:rsid w:val="72CB0BFF"/>
    <w:rsid w:val="72EA2AB9"/>
    <w:rsid w:val="73032243"/>
    <w:rsid w:val="73142A60"/>
    <w:rsid w:val="731966BE"/>
    <w:rsid w:val="731A34F6"/>
    <w:rsid w:val="732D5BF6"/>
    <w:rsid w:val="732E1F5A"/>
    <w:rsid w:val="734C246B"/>
    <w:rsid w:val="737C5435"/>
    <w:rsid w:val="73916EE0"/>
    <w:rsid w:val="73A00677"/>
    <w:rsid w:val="73AF2722"/>
    <w:rsid w:val="73B009E4"/>
    <w:rsid w:val="73BD2740"/>
    <w:rsid w:val="73C3376E"/>
    <w:rsid w:val="73CB1CED"/>
    <w:rsid w:val="73E536E4"/>
    <w:rsid w:val="73EE1665"/>
    <w:rsid w:val="73F2766C"/>
    <w:rsid w:val="73F837B7"/>
    <w:rsid w:val="73FC2A52"/>
    <w:rsid w:val="74095D8A"/>
    <w:rsid w:val="74100435"/>
    <w:rsid w:val="74153015"/>
    <w:rsid w:val="74640AAD"/>
    <w:rsid w:val="74643291"/>
    <w:rsid w:val="74867791"/>
    <w:rsid w:val="74A154DF"/>
    <w:rsid w:val="74BA5BB7"/>
    <w:rsid w:val="74C57B62"/>
    <w:rsid w:val="74D06EA1"/>
    <w:rsid w:val="74E9264A"/>
    <w:rsid w:val="74FB4262"/>
    <w:rsid w:val="74FD3142"/>
    <w:rsid w:val="7500007B"/>
    <w:rsid w:val="75024F63"/>
    <w:rsid w:val="750312F5"/>
    <w:rsid w:val="751B2D8A"/>
    <w:rsid w:val="751C6C75"/>
    <w:rsid w:val="75300D4C"/>
    <w:rsid w:val="7538531C"/>
    <w:rsid w:val="754E0E15"/>
    <w:rsid w:val="755B3B1B"/>
    <w:rsid w:val="756D6E94"/>
    <w:rsid w:val="7575742F"/>
    <w:rsid w:val="75825236"/>
    <w:rsid w:val="75AB6D3B"/>
    <w:rsid w:val="75E71A21"/>
    <w:rsid w:val="760D57DB"/>
    <w:rsid w:val="760F6C17"/>
    <w:rsid w:val="7613626B"/>
    <w:rsid w:val="76202483"/>
    <w:rsid w:val="76260AAC"/>
    <w:rsid w:val="764A459F"/>
    <w:rsid w:val="764C73C6"/>
    <w:rsid w:val="76692538"/>
    <w:rsid w:val="76AC6547"/>
    <w:rsid w:val="76AF7CC3"/>
    <w:rsid w:val="76BE1A04"/>
    <w:rsid w:val="76D21D73"/>
    <w:rsid w:val="76D84D7F"/>
    <w:rsid w:val="76DB72DA"/>
    <w:rsid w:val="76F046E8"/>
    <w:rsid w:val="770E4CD5"/>
    <w:rsid w:val="77274907"/>
    <w:rsid w:val="77275DC2"/>
    <w:rsid w:val="774D70A1"/>
    <w:rsid w:val="776326AC"/>
    <w:rsid w:val="77793B58"/>
    <w:rsid w:val="778814F5"/>
    <w:rsid w:val="77A95B5D"/>
    <w:rsid w:val="77AB56C5"/>
    <w:rsid w:val="77AF3BEF"/>
    <w:rsid w:val="77AF5656"/>
    <w:rsid w:val="77B823E2"/>
    <w:rsid w:val="77CF3EFD"/>
    <w:rsid w:val="77E441F4"/>
    <w:rsid w:val="77E839E4"/>
    <w:rsid w:val="77EB1A25"/>
    <w:rsid w:val="77F155D3"/>
    <w:rsid w:val="77F74C66"/>
    <w:rsid w:val="77F86242"/>
    <w:rsid w:val="77F9150C"/>
    <w:rsid w:val="77FB6308"/>
    <w:rsid w:val="78101D81"/>
    <w:rsid w:val="784673EB"/>
    <w:rsid w:val="785C2253"/>
    <w:rsid w:val="786335BE"/>
    <w:rsid w:val="78A37B4D"/>
    <w:rsid w:val="78B707B2"/>
    <w:rsid w:val="78DC628C"/>
    <w:rsid w:val="78E8332F"/>
    <w:rsid w:val="78F16688"/>
    <w:rsid w:val="79030F3A"/>
    <w:rsid w:val="791968BD"/>
    <w:rsid w:val="791B54B2"/>
    <w:rsid w:val="793370DB"/>
    <w:rsid w:val="79491EE0"/>
    <w:rsid w:val="795A57DC"/>
    <w:rsid w:val="79811468"/>
    <w:rsid w:val="798B3A31"/>
    <w:rsid w:val="799A605F"/>
    <w:rsid w:val="79A25C86"/>
    <w:rsid w:val="79B902A9"/>
    <w:rsid w:val="79E03C69"/>
    <w:rsid w:val="79E20408"/>
    <w:rsid w:val="79E42528"/>
    <w:rsid w:val="79E521CE"/>
    <w:rsid w:val="79EB6BD5"/>
    <w:rsid w:val="79ED2C49"/>
    <w:rsid w:val="7A01351B"/>
    <w:rsid w:val="7A1E34AC"/>
    <w:rsid w:val="7A33682E"/>
    <w:rsid w:val="7A392FBB"/>
    <w:rsid w:val="7A405108"/>
    <w:rsid w:val="7A47673F"/>
    <w:rsid w:val="7A594899"/>
    <w:rsid w:val="7A98721E"/>
    <w:rsid w:val="7ABC3BA9"/>
    <w:rsid w:val="7ACC7F92"/>
    <w:rsid w:val="7ADC0F2F"/>
    <w:rsid w:val="7B1C5512"/>
    <w:rsid w:val="7B2A2214"/>
    <w:rsid w:val="7B350833"/>
    <w:rsid w:val="7B3B1088"/>
    <w:rsid w:val="7B4666BA"/>
    <w:rsid w:val="7B5609CD"/>
    <w:rsid w:val="7B56229E"/>
    <w:rsid w:val="7B5B023D"/>
    <w:rsid w:val="7B6B623C"/>
    <w:rsid w:val="7B80385A"/>
    <w:rsid w:val="7B9D3AD4"/>
    <w:rsid w:val="7BA413D6"/>
    <w:rsid w:val="7BB86CD1"/>
    <w:rsid w:val="7BBF0DCC"/>
    <w:rsid w:val="7BDC476E"/>
    <w:rsid w:val="7BE66BCD"/>
    <w:rsid w:val="7BE677C4"/>
    <w:rsid w:val="7BEC3607"/>
    <w:rsid w:val="7BED60A8"/>
    <w:rsid w:val="7BF13F8D"/>
    <w:rsid w:val="7BFF1130"/>
    <w:rsid w:val="7C1118EB"/>
    <w:rsid w:val="7C181F36"/>
    <w:rsid w:val="7C353E49"/>
    <w:rsid w:val="7C777E09"/>
    <w:rsid w:val="7C7B0EF7"/>
    <w:rsid w:val="7C84240C"/>
    <w:rsid w:val="7C8D6582"/>
    <w:rsid w:val="7CB51C83"/>
    <w:rsid w:val="7CBD6499"/>
    <w:rsid w:val="7CC512AA"/>
    <w:rsid w:val="7CDC2565"/>
    <w:rsid w:val="7CE23BAF"/>
    <w:rsid w:val="7CE65EFE"/>
    <w:rsid w:val="7D0C2803"/>
    <w:rsid w:val="7D1F4538"/>
    <w:rsid w:val="7D2704F7"/>
    <w:rsid w:val="7D3A2A21"/>
    <w:rsid w:val="7D443CC9"/>
    <w:rsid w:val="7D594D74"/>
    <w:rsid w:val="7D86200D"/>
    <w:rsid w:val="7D95751E"/>
    <w:rsid w:val="7D9677FD"/>
    <w:rsid w:val="7DAD0EF2"/>
    <w:rsid w:val="7DBF41DB"/>
    <w:rsid w:val="7DD3057F"/>
    <w:rsid w:val="7DDD71DA"/>
    <w:rsid w:val="7E232311"/>
    <w:rsid w:val="7E264C1C"/>
    <w:rsid w:val="7E291770"/>
    <w:rsid w:val="7E2B5DCB"/>
    <w:rsid w:val="7E317FCB"/>
    <w:rsid w:val="7E3F0E27"/>
    <w:rsid w:val="7E4E1E86"/>
    <w:rsid w:val="7E5971A9"/>
    <w:rsid w:val="7E60089C"/>
    <w:rsid w:val="7E6A318E"/>
    <w:rsid w:val="7E702648"/>
    <w:rsid w:val="7E755F9B"/>
    <w:rsid w:val="7EB46D21"/>
    <w:rsid w:val="7ECF28EB"/>
    <w:rsid w:val="7EF85E73"/>
    <w:rsid w:val="7F2B7F16"/>
    <w:rsid w:val="7F3E2A62"/>
    <w:rsid w:val="7F54171E"/>
    <w:rsid w:val="7F565921"/>
    <w:rsid w:val="7F5C1AA4"/>
    <w:rsid w:val="7F5E74FD"/>
    <w:rsid w:val="7F78149D"/>
    <w:rsid w:val="7F7F453B"/>
    <w:rsid w:val="7F87730A"/>
    <w:rsid w:val="7FA60E27"/>
    <w:rsid w:val="7FAF7F7F"/>
    <w:rsid w:val="7FBB3986"/>
    <w:rsid w:val="7FD6594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ocked="1"/>
    <w:lsdException w:qFormat="1" w:unhideWhenUsed="0" w:uiPriority="99" w:semiHidden="0" w:name="heading 8" w:locked="1"/>
    <w:lsdException w:qFormat="1" w:unhideWhenUsed="0" w:uiPriority="99"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qFormat="1" w:unhideWhenUsed="0" w:uiPriority="99" w:semiHidden="0" w:name="List Bullet 5"/>
    <w:lsdException w:uiPriority="99" w:name="List Number 2" w:locked="1"/>
    <w:lsdException w:uiPriority="99" w:name="List Number 3" w:locked="1"/>
    <w:lsdException w:uiPriority="99" w:name="List Number 4" w:locked="1"/>
    <w:lsdException w:qFormat="1" w:unhideWhenUsed="0" w:uiPriority="99" w:semiHidden="0" w:name="List Number 5"/>
    <w:lsdException w:qFormat="1" w:unhideWhenUsed="0" w:uiPriority="0"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0" w:name="Body Text Indent"/>
    <w:lsdException w:uiPriority="99" w:name="List Continue" w:locked="1"/>
    <w:lsdException w:uiPriority="99" w:name="List Continue 2" w:locked="1"/>
    <w:lsdException w:qFormat="1" w:unhideWhenUsed="0" w:uiPriority="99" w:semiHidden="0"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ocked="1"/>
    <w:lsdException w:qFormat="1" w:unhideWhenUsed="0" w:uiPriority="99" w:semiHidden="0" w:name="Body Text First Indent"/>
    <w:lsdException w:qFormat="1" w:unhideWhenUsed="0" w:uiPriority="0" w:semiHidden="0" w:name="Body Text First Indent 2"/>
    <w:lsdException w:uiPriority="99" w:name="Note Heading" w:locked="1"/>
    <w:lsdException w:qFormat="1" w:unhideWhenUsed="0" w:uiPriority="99" w:semiHidden="0" w:name="Body Text 2"/>
    <w:lsdException w:qFormat="1" w:unhideWhenUsed="0" w:uiPriority="99" w:semiHidden="0" w:name="Body Text 3" w:locked="1"/>
    <w:lsdException w:qFormat="1" w:unhideWhenUsed="0" w:uiPriority="99" w:semiHidden="0" w:name="Body Text Indent 2"/>
    <w:lsdException w:qFormat="1" w:unhideWhenUsed="0" w:uiPriority="99" w:semiHidden="0" w:name="Body Text Indent 3" w:locked="1"/>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ocked="1"/>
    <w:lsdException w:qFormat="1" w:unhideWhenUsed="0" w:uiPriority="99"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72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55"/>
    <w:autoRedefine/>
    <w:qFormat/>
    <w:uiPriority w:val="99"/>
    <w:pPr>
      <w:ind w:firstLine="0" w:firstLineChars="0"/>
      <w:jc w:val="center"/>
      <w:outlineLvl w:val="0"/>
    </w:pPr>
    <w:rPr>
      <w:b/>
      <w:bCs/>
      <w:sz w:val="44"/>
      <w:szCs w:val="44"/>
    </w:rPr>
  </w:style>
  <w:style w:type="paragraph" w:styleId="3">
    <w:name w:val="heading 2"/>
    <w:basedOn w:val="1"/>
    <w:next w:val="1"/>
    <w:link w:val="56"/>
    <w:autoRedefine/>
    <w:qFormat/>
    <w:uiPriority w:val="99"/>
    <w:pPr>
      <w:keepNext/>
      <w:keepLines/>
      <w:ind w:firstLine="0" w:firstLineChars="0"/>
      <w:outlineLvl w:val="1"/>
    </w:pPr>
    <w:rPr>
      <w:b/>
      <w:kern w:val="0"/>
      <w:sz w:val="32"/>
      <w:szCs w:val="32"/>
    </w:rPr>
  </w:style>
  <w:style w:type="paragraph" w:styleId="4">
    <w:name w:val="heading 3"/>
    <w:basedOn w:val="1"/>
    <w:next w:val="1"/>
    <w:link w:val="57"/>
    <w:autoRedefine/>
    <w:qFormat/>
    <w:uiPriority w:val="99"/>
    <w:pPr>
      <w:keepNext/>
      <w:keepLines/>
      <w:ind w:firstLine="0" w:firstLineChars="0"/>
      <w:outlineLvl w:val="2"/>
    </w:pPr>
    <w:rPr>
      <w:b/>
      <w:bCs/>
      <w:kern w:val="0"/>
      <w:sz w:val="30"/>
      <w:szCs w:val="30"/>
    </w:rPr>
  </w:style>
  <w:style w:type="paragraph" w:styleId="5">
    <w:name w:val="heading 4"/>
    <w:basedOn w:val="1"/>
    <w:next w:val="1"/>
    <w:link w:val="58"/>
    <w:autoRedefine/>
    <w:qFormat/>
    <w:uiPriority w:val="99"/>
    <w:pPr>
      <w:keepNext/>
      <w:keepLines/>
      <w:ind w:firstLine="643"/>
      <w:outlineLvl w:val="3"/>
    </w:pPr>
    <w:rPr>
      <w:b/>
      <w:kern w:val="0"/>
      <w:sz w:val="28"/>
      <w:szCs w:val="28"/>
    </w:rPr>
  </w:style>
  <w:style w:type="paragraph" w:styleId="6">
    <w:name w:val="heading 5"/>
    <w:basedOn w:val="1"/>
    <w:next w:val="1"/>
    <w:link w:val="59"/>
    <w:autoRedefine/>
    <w:qFormat/>
    <w:uiPriority w:val="99"/>
    <w:pPr>
      <w:keepNext/>
      <w:keepLines/>
      <w:outlineLvl w:val="4"/>
    </w:pPr>
    <w:rPr>
      <w:b/>
      <w:bCs/>
    </w:rPr>
  </w:style>
  <w:style w:type="paragraph" w:styleId="7">
    <w:name w:val="heading 6"/>
    <w:basedOn w:val="1"/>
    <w:next w:val="1"/>
    <w:link w:val="60"/>
    <w:autoRedefine/>
    <w:qFormat/>
    <w:uiPriority w:val="99"/>
    <w:pPr>
      <w:keepNext/>
      <w:keepLines/>
      <w:outlineLvl w:val="5"/>
    </w:pPr>
    <w:rPr>
      <w:b/>
    </w:rPr>
  </w:style>
  <w:style w:type="paragraph" w:styleId="8">
    <w:name w:val="heading 7"/>
    <w:basedOn w:val="1"/>
    <w:next w:val="1"/>
    <w:link w:val="61"/>
    <w:autoRedefine/>
    <w:qFormat/>
    <w:locked/>
    <w:uiPriority w:val="99"/>
    <w:pPr>
      <w:keepNext/>
      <w:keepLines/>
      <w:tabs>
        <w:tab w:val="left" w:pos="2040"/>
      </w:tabs>
      <w:topLinePunct/>
      <w:adjustRightInd w:val="0"/>
      <w:snapToGrid w:val="0"/>
      <w:spacing w:before="240" w:after="64" w:line="320" w:lineRule="auto"/>
      <w:ind w:left="2040" w:firstLine="0" w:firstLineChars="0"/>
      <w:outlineLvl w:val="6"/>
    </w:pPr>
    <w:rPr>
      <w:rFonts w:eastAsia="仿宋"/>
      <w:b/>
      <w:bCs/>
      <w:kern w:val="0"/>
    </w:rPr>
  </w:style>
  <w:style w:type="paragraph" w:styleId="9">
    <w:name w:val="heading 8"/>
    <w:basedOn w:val="1"/>
    <w:next w:val="1"/>
    <w:link w:val="62"/>
    <w:autoRedefine/>
    <w:qFormat/>
    <w:locked/>
    <w:uiPriority w:val="99"/>
    <w:pPr>
      <w:keepNext/>
      <w:keepLines/>
      <w:spacing w:before="240" w:after="64" w:line="320" w:lineRule="auto"/>
      <w:outlineLvl w:val="7"/>
    </w:pPr>
    <w:rPr>
      <w:rFonts w:ascii="Cambria" w:hAnsi="Cambria"/>
    </w:rPr>
  </w:style>
  <w:style w:type="paragraph" w:styleId="10">
    <w:name w:val="heading 9"/>
    <w:basedOn w:val="1"/>
    <w:next w:val="1"/>
    <w:link w:val="63"/>
    <w:autoRedefine/>
    <w:qFormat/>
    <w:locked/>
    <w:uiPriority w:val="99"/>
    <w:pPr>
      <w:keepNext/>
      <w:keepLines/>
      <w:tabs>
        <w:tab w:val="left" w:pos="2040"/>
      </w:tabs>
      <w:topLinePunct/>
      <w:adjustRightInd w:val="0"/>
      <w:snapToGrid w:val="0"/>
      <w:spacing w:before="240" w:after="64" w:line="320" w:lineRule="auto"/>
      <w:ind w:left="2040" w:firstLine="0" w:firstLineChars="0"/>
      <w:outlineLvl w:val="8"/>
    </w:pPr>
    <w:rPr>
      <w:rFonts w:ascii="Cambria" w:hAnsi="Cambria" w:eastAsia="仿宋"/>
      <w:kern w:val="0"/>
      <w:sz w:val="21"/>
    </w:rPr>
  </w:style>
  <w:style w:type="character" w:default="1" w:styleId="39">
    <w:name w:val="Default Paragraph Font"/>
    <w:autoRedefine/>
    <w:semiHidden/>
    <w:qFormat/>
    <w:uiPriority w:val="99"/>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link w:val="130"/>
    <w:autoRedefine/>
    <w:qFormat/>
    <w:uiPriority w:val="99"/>
    <w:pPr>
      <w:ind w:firstLine="420"/>
    </w:pPr>
    <w:rPr>
      <w:szCs w:val="20"/>
    </w:rPr>
  </w:style>
  <w:style w:type="paragraph" w:styleId="12">
    <w:name w:val="caption"/>
    <w:basedOn w:val="1"/>
    <w:next w:val="1"/>
    <w:link w:val="161"/>
    <w:autoRedefine/>
    <w:qFormat/>
    <w:uiPriority w:val="99"/>
    <w:rPr>
      <w:rFonts w:ascii="Arial" w:hAnsi="Arial" w:eastAsia="黑体"/>
      <w:kern w:val="0"/>
      <w:szCs w:val="20"/>
    </w:rPr>
  </w:style>
  <w:style w:type="paragraph" w:styleId="13">
    <w:name w:val="annotation text"/>
    <w:basedOn w:val="1"/>
    <w:link w:val="64"/>
    <w:autoRedefine/>
    <w:qFormat/>
    <w:uiPriority w:val="99"/>
    <w:pPr>
      <w:jc w:val="left"/>
    </w:pPr>
  </w:style>
  <w:style w:type="paragraph" w:styleId="14">
    <w:name w:val="Body Text 3"/>
    <w:basedOn w:val="1"/>
    <w:link w:val="162"/>
    <w:autoRedefine/>
    <w:qFormat/>
    <w:locked/>
    <w:uiPriority w:val="99"/>
    <w:pPr>
      <w:spacing w:after="120" w:line="240" w:lineRule="auto"/>
      <w:ind w:firstLine="0" w:firstLineChars="0"/>
    </w:pPr>
    <w:rPr>
      <w:sz w:val="16"/>
      <w:szCs w:val="16"/>
    </w:rPr>
  </w:style>
  <w:style w:type="paragraph" w:styleId="15">
    <w:name w:val="Body Text"/>
    <w:basedOn w:val="1"/>
    <w:link w:val="65"/>
    <w:autoRedefine/>
    <w:qFormat/>
    <w:uiPriority w:val="99"/>
    <w:pPr>
      <w:autoSpaceDE w:val="0"/>
      <w:autoSpaceDN w:val="0"/>
      <w:spacing w:before="213"/>
      <w:ind w:left="219"/>
      <w:jc w:val="left"/>
    </w:pPr>
    <w:rPr>
      <w:rFonts w:ascii="宋体" w:hAnsi="宋体"/>
      <w:kern w:val="0"/>
      <w:sz w:val="28"/>
      <w:szCs w:val="28"/>
    </w:rPr>
  </w:style>
  <w:style w:type="paragraph" w:styleId="16">
    <w:name w:val="Body Text Indent"/>
    <w:basedOn w:val="1"/>
    <w:autoRedefine/>
    <w:semiHidden/>
    <w:qFormat/>
    <w:uiPriority w:val="0"/>
    <w:pPr>
      <w:spacing w:after="120"/>
      <w:ind w:left="420" w:leftChars="200"/>
    </w:pPr>
  </w:style>
  <w:style w:type="paragraph" w:styleId="17">
    <w:name w:val="Block Text"/>
    <w:basedOn w:val="1"/>
    <w:autoRedefine/>
    <w:qFormat/>
    <w:uiPriority w:val="99"/>
    <w:pPr>
      <w:spacing w:line="480" w:lineRule="exact"/>
      <w:ind w:left="-125" w:right="-56" w:firstLine="570"/>
    </w:pPr>
    <w:rPr>
      <w:sz w:val="28"/>
    </w:rPr>
  </w:style>
  <w:style w:type="paragraph" w:styleId="18">
    <w:name w:val="List Bullet 5"/>
    <w:basedOn w:val="1"/>
    <w:autoRedefine/>
    <w:qFormat/>
    <w:uiPriority w:val="99"/>
    <w:pPr>
      <w:numPr>
        <w:ilvl w:val="0"/>
        <w:numId w:val="1"/>
      </w:numPr>
    </w:pPr>
  </w:style>
  <w:style w:type="paragraph" w:styleId="19">
    <w:name w:val="Date"/>
    <w:basedOn w:val="1"/>
    <w:next w:val="1"/>
    <w:link w:val="163"/>
    <w:autoRedefine/>
    <w:qFormat/>
    <w:locked/>
    <w:uiPriority w:val="99"/>
    <w:pPr>
      <w:spacing w:line="240" w:lineRule="auto"/>
      <w:ind w:left="100" w:leftChars="2500" w:firstLine="0" w:firstLineChars="0"/>
    </w:pPr>
    <w:rPr>
      <w:kern w:val="0"/>
      <w:szCs w:val="20"/>
    </w:rPr>
  </w:style>
  <w:style w:type="paragraph" w:styleId="20">
    <w:name w:val="Body Text Indent 2"/>
    <w:basedOn w:val="1"/>
    <w:link w:val="69"/>
    <w:autoRedefine/>
    <w:qFormat/>
    <w:uiPriority w:val="99"/>
    <w:pPr>
      <w:ind w:firstLine="573"/>
    </w:pPr>
    <w:rPr>
      <w:rFonts w:ascii="宋体" w:hAnsi="宋体"/>
      <w:sz w:val="28"/>
      <w:szCs w:val="28"/>
    </w:rPr>
  </w:style>
  <w:style w:type="paragraph" w:styleId="21">
    <w:name w:val="Balloon Text"/>
    <w:basedOn w:val="1"/>
    <w:link w:val="121"/>
    <w:autoRedefine/>
    <w:qFormat/>
    <w:uiPriority w:val="99"/>
    <w:pPr>
      <w:spacing w:line="240" w:lineRule="auto"/>
    </w:pPr>
    <w:rPr>
      <w:sz w:val="18"/>
      <w:szCs w:val="18"/>
    </w:rPr>
  </w:style>
  <w:style w:type="paragraph" w:styleId="22">
    <w:name w:val="footer"/>
    <w:basedOn w:val="1"/>
    <w:link w:val="70"/>
    <w:autoRedefine/>
    <w:qFormat/>
    <w:uiPriority w:val="99"/>
    <w:pPr>
      <w:tabs>
        <w:tab w:val="center" w:pos="4153"/>
        <w:tab w:val="right" w:pos="8306"/>
      </w:tabs>
      <w:snapToGrid w:val="0"/>
      <w:jc w:val="left"/>
    </w:pPr>
    <w:rPr>
      <w:kern w:val="0"/>
      <w:sz w:val="18"/>
      <w:szCs w:val="20"/>
    </w:rPr>
  </w:style>
  <w:style w:type="paragraph" w:styleId="23">
    <w:name w:val="header"/>
    <w:basedOn w:val="1"/>
    <w:next w:val="24"/>
    <w:link w:val="267"/>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customStyle="1" w:styleId="24">
    <w:name w:val="样式5"/>
    <w:basedOn w:val="25"/>
    <w:autoRedefine/>
    <w:qFormat/>
    <w:uiPriority w:val="99"/>
    <w:pPr>
      <w:spacing w:beforeLines="20" w:afterLines="20" w:line="480" w:lineRule="exact"/>
      <w:ind w:firstLine="523" w:firstLineChars="218"/>
      <w:jc w:val="both"/>
    </w:pPr>
    <w:rPr>
      <w:i/>
      <w:iCs/>
      <w:kern w:val="2"/>
    </w:rPr>
  </w:style>
  <w:style w:type="paragraph" w:customStyle="1" w:styleId="25">
    <w:name w:val="正文1"/>
    <w:basedOn w:val="11"/>
    <w:next w:val="1"/>
    <w:link w:val="132"/>
    <w:autoRedefine/>
    <w:qFormat/>
    <w:uiPriority w:val="99"/>
    <w:pPr>
      <w:snapToGrid w:val="0"/>
      <w:spacing w:line="270" w:lineRule="exact"/>
      <w:jc w:val="center"/>
    </w:pPr>
    <w:rPr>
      <w:spacing w:val="8"/>
      <w:kern w:val="21"/>
    </w:rPr>
  </w:style>
  <w:style w:type="paragraph" w:styleId="26">
    <w:name w:val="toc 1"/>
    <w:basedOn w:val="1"/>
    <w:next w:val="1"/>
    <w:autoRedefine/>
    <w:qFormat/>
    <w:uiPriority w:val="99"/>
  </w:style>
  <w:style w:type="paragraph" w:styleId="27">
    <w:name w:val="List"/>
    <w:basedOn w:val="1"/>
    <w:next w:val="1"/>
    <w:autoRedefine/>
    <w:qFormat/>
    <w:uiPriority w:val="99"/>
    <w:pPr>
      <w:ind w:left="200" w:hanging="200" w:hangingChars="200"/>
    </w:pPr>
  </w:style>
  <w:style w:type="paragraph" w:styleId="28">
    <w:name w:val="Body Text Indent 3"/>
    <w:basedOn w:val="1"/>
    <w:link w:val="164"/>
    <w:autoRedefine/>
    <w:qFormat/>
    <w:locked/>
    <w:uiPriority w:val="99"/>
    <w:pPr>
      <w:spacing w:after="120" w:line="240" w:lineRule="auto"/>
      <w:ind w:left="420" w:leftChars="200" w:firstLine="0" w:firstLineChars="0"/>
    </w:pPr>
    <w:rPr>
      <w:sz w:val="16"/>
      <w:szCs w:val="16"/>
    </w:rPr>
  </w:style>
  <w:style w:type="paragraph" w:styleId="29">
    <w:name w:val="toc 2"/>
    <w:basedOn w:val="1"/>
    <w:next w:val="1"/>
    <w:autoRedefine/>
    <w:qFormat/>
    <w:uiPriority w:val="99"/>
    <w:pPr>
      <w:spacing w:before="120"/>
      <w:ind w:left="210"/>
      <w:jc w:val="left"/>
    </w:pPr>
    <w:rPr>
      <w:rFonts w:ascii="Calibri" w:hAnsi="Calibri" w:cs="Calibri"/>
      <w:i/>
      <w:iCs/>
      <w:sz w:val="20"/>
    </w:rPr>
  </w:style>
  <w:style w:type="paragraph" w:styleId="30">
    <w:name w:val="Body Text 2"/>
    <w:basedOn w:val="1"/>
    <w:link w:val="71"/>
    <w:autoRedefine/>
    <w:qFormat/>
    <w:uiPriority w:val="99"/>
    <w:rPr>
      <w:sz w:val="18"/>
    </w:rPr>
  </w:style>
  <w:style w:type="paragraph" w:styleId="31">
    <w:name w:val="Normal (Web)"/>
    <w:basedOn w:val="1"/>
    <w:link w:val="141"/>
    <w:autoRedefine/>
    <w:qFormat/>
    <w:uiPriority w:val="99"/>
    <w:pPr>
      <w:widowControl/>
      <w:spacing w:beforeAutospacing="1" w:afterAutospacing="1"/>
      <w:jc w:val="left"/>
    </w:pPr>
    <w:rPr>
      <w:rFonts w:ascii="宋体"/>
      <w:kern w:val="0"/>
      <w:szCs w:val="20"/>
    </w:rPr>
  </w:style>
  <w:style w:type="paragraph" w:styleId="32">
    <w:name w:val="List Continue 3"/>
    <w:basedOn w:val="1"/>
    <w:autoRedefine/>
    <w:qFormat/>
    <w:locked/>
    <w:uiPriority w:val="99"/>
    <w:pPr>
      <w:spacing w:after="120" w:line="240" w:lineRule="auto"/>
      <w:ind w:left="1260" w:leftChars="600" w:firstLine="0" w:firstLineChars="0"/>
      <w:contextualSpacing/>
    </w:pPr>
    <w:rPr>
      <w:sz w:val="21"/>
      <w:szCs w:val="20"/>
    </w:rPr>
  </w:style>
  <w:style w:type="paragraph" w:styleId="33">
    <w:name w:val="annotation subject"/>
    <w:basedOn w:val="13"/>
    <w:next w:val="13"/>
    <w:link w:val="165"/>
    <w:autoRedefine/>
    <w:semiHidden/>
    <w:qFormat/>
    <w:locked/>
    <w:uiPriority w:val="99"/>
    <w:pPr>
      <w:spacing w:line="240" w:lineRule="auto"/>
      <w:ind w:firstLine="0" w:firstLineChars="0"/>
    </w:pPr>
    <w:rPr>
      <w:b/>
      <w:bCs/>
    </w:rPr>
  </w:style>
  <w:style w:type="paragraph" w:styleId="34">
    <w:name w:val="Body Text First Indent"/>
    <w:basedOn w:val="15"/>
    <w:link w:val="72"/>
    <w:autoRedefine/>
    <w:qFormat/>
    <w:uiPriority w:val="99"/>
    <w:pPr>
      <w:ind w:firstLine="420" w:firstLineChars="100"/>
      <w:jc w:val="both"/>
    </w:pPr>
    <w:rPr>
      <w:rFonts w:ascii="Times New Roman" w:hAnsi="Times New Roman"/>
      <w:kern w:val="2"/>
      <w:sz w:val="21"/>
      <w:szCs w:val="21"/>
    </w:rPr>
  </w:style>
  <w:style w:type="paragraph" w:styleId="35">
    <w:name w:val="Body Text First Indent 2"/>
    <w:basedOn w:val="16"/>
    <w:next w:val="1"/>
    <w:autoRedefine/>
    <w:qFormat/>
    <w:uiPriority w:val="0"/>
    <w:pPr>
      <w:ind w:firstLine="420"/>
    </w:pPr>
  </w:style>
  <w:style w:type="table" w:styleId="37">
    <w:name w:val="Table Grid"/>
    <w:basedOn w:val="36"/>
    <w:autoRedefine/>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styleId="38">
    <w:name w:val="Table Elegant"/>
    <w:basedOn w:val="36"/>
    <w:autoRedefine/>
    <w:qFormat/>
    <w:locked/>
    <w:uiPriority w:val="99"/>
    <w:pPr>
      <w:widowControl w:val="0"/>
      <w:jc w:val="both"/>
    </w:pPr>
    <w:rPr>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caps/>
        <w:color w:val="auto"/>
      </w:rPr>
      <w:tblPr/>
      <w:tcPr>
        <w:tcBorders>
          <w:top w:val="nil"/>
          <w:left w:val="nil"/>
          <w:bottom w:val="nil"/>
          <w:right w:val="nil"/>
          <w:insideH w:val="nil"/>
          <w:insideV w:val="nil"/>
          <w:tl2br w:val="nil"/>
          <w:tr2bl w:val="nil"/>
        </w:tcBorders>
      </w:tcPr>
    </w:tblStylePr>
  </w:style>
  <w:style w:type="character" w:styleId="40">
    <w:name w:val="Strong"/>
    <w:basedOn w:val="39"/>
    <w:autoRedefine/>
    <w:qFormat/>
    <w:locked/>
    <w:uiPriority w:val="99"/>
    <w:rPr>
      <w:rFonts w:cs="Times New Roman"/>
      <w:b/>
    </w:rPr>
  </w:style>
  <w:style w:type="character" w:styleId="41">
    <w:name w:val="page number"/>
    <w:basedOn w:val="39"/>
    <w:autoRedefine/>
    <w:qFormat/>
    <w:uiPriority w:val="99"/>
    <w:rPr>
      <w:rFonts w:cs="Times New Roman"/>
    </w:rPr>
  </w:style>
  <w:style w:type="character" w:styleId="42">
    <w:name w:val="FollowedHyperlink"/>
    <w:basedOn w:val="39"/>
    <w:autoRedefine/>
    <w:qFormat/>
    <w:uiPriority w:val="99"/>
    <w:rPr>
      <w:rFonts w:cs="Times New Roman"/>
      <w:color w:val="800080"/>
      <w:u w:val="none"/>
    </w:rPr>
  </w:style>
  <w:style w:type="character" w:styleId="43">
    <w:name w:val="Emphasis"/>
    <w:basedOn w:val="39"/>
    <w:autoRedefine/>
    <w:qFormat/>
    <w:uiPriority w:val="99"/>
    <w:rPr>
      <w:rFonts w:cs="Times New Roman"/>
    </w:rPr>
  </w:style>
  <w:style w:type="character" w:styleId="44">
    <w:name w:val="Hyperlink"/>
    <w:basedOn w:val="39"/>
    <w:autoRedefine/>
    <w:qFormat/>
    <w:uiPriority w:val="99"/>
    <w:rPr>
      <w:rFonts w:cs="Times New Roman"/>
      <w:color w:val="0000FF"/>
      <w:u w:val="single"/>
    </w:rPr>
  </w:style>
  <w:style w:type="character" w:styleId="45">
    <w:name w:val="annotation reference"/>
    <w:basedOn w:val="39"/>
    <w:autoRedefine/>
    <w:qFormat/>
    <w:uiPriority w:val="99"/>
    <w:rPr>
      <w:rFonts w:cs="Times New Roman"/>
      <w:sz w:val="21"/>
    </w:rPr>
  </w:style>
  <w:style w:type="paragraph" w:customStyle="1" w:styleId="46">
    <w:name w:val="xl27"/>
    <w:basedOn w:val="1"/>
    <w:autoRedefine/>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customStyle="1" w:styleId="47">
    <w:name w:val="Body Text First Indent 21"/>
    <w:basedOn w:val="48"/>
    <w:next w:val="49"/>
    <w:autoRedefine/>
    <w:qFormat/>
    <w:uiPriority w:val="0"/>
    <w:pPr>
      <w:spacing w:line="240" w:lineRule="auto"/>
      <w:ind w:firstLine="420"/>
    </w:pPr>
    <w:rPr>
      <w:rFonts w:eastAsia="仿宋_GB2312"/>
      <w:kern w:val="2"/>
      <w:sz w:val="32"/>
      <w:szCs w:val="24"/>
    </w:rPr>
  </w:style>
  <w:style w:type="paragraph" w:customStyle="1" w:styleId="48">
    <w:name w:val="Body Text Indent1"/>
    <w:basedOn w:val="1"/>
    <w:autoRedefine/>
    <w:qFormat/>
    <w:uiPriority w:val="0"/>
    <w:pPr>
      <w:spacing w:after="120" w:afterLines="0"/>
      <w:ind w:left="420" w:leftChars="200"/>
    </w:pPr>
    <w:rPr>
      <w:rFonts w:eastAsia="楷体_GB2312"/>
      <w:kern w:val="2"/>
      <w:sz w:val="32"/>
      <w:szCs w:val="24"/>
    </w:rPr>
  </w:style>
  <w:style w:type="paragraph" w:customStyle="1" w:styleId="49">
    <w:name w:val="Plain Text1"/>
    <w:basedOn w:val="1"/>
    <w:next w:val="50"/>
    <w:autoRedefine/>
    <w:qFormat/>
    <w:uiPriority w:val="0"/>
    <w:rPr>
      <w:rFonts w:ascii="宋体" w:eastAsia="宋体" w:cs="Courier New"/>
      <w:szCs w:val="21"/>
    </w:rPr>
  </w:style>
  <w:style w:type="paragraph" w:customStyle="1" w:styleId="50">
    <w:name w:val="List Number 51"/>
    <w:basedOn w:val="1"/>
    <w:autoRedefine/>
    <w:qFormat/>
    <w:uiPriority w:val="0"/>
    <w:pPr>
      <w:numPr>
        <w:ilvl w:val="0"/>
        <w:numId w:val="2"/>
      </w:numPr>
    </w:pPr>
  </w:style>
  <w:style w:type="paragraph" w:customStyle="1" w:styleId="51">
    <w:name w:val="正文 首行缩进:  2 字符"/>
    <w:basedOn w:val="1"/>
    <w:autoRedefine/>
    <w:qFormat/>
    <w:uiPriority w:val="0"/>
    <w:pPr>
      <w:adjustRightInd w:val="0"/>
      <w:snapToGrid w:val="0"/>
      <w:spacing w:line="500" w:lineRule="exact"/>
      <w:ind w:firstLine="480"/>
    </w:pPr>
    <w:rPr>
      <w:rFonts w:eastAsia="楷体_GB2312"/>
      <w:lang w:val="zh-CN"/>
    </w:rPr>
  </w:style>
  <w:style w:type="paragraph" w:customStyle="1" w:styleId="52">
    <w:name w:val="Heading2"/>
    <w:next w:val="1"/>
    <w:autoRedefine/>
    <w:qFormat/>
    <w:uiPriority w:val="0"/>
    <w:pPr>
      <w:keepNext/>
      <w:keepLines/>
      <w:widowControl w:val="0"/>
      <w:spacing w:before="260" w:after="260" w:line="416" w:lineRule="auto"/>
      <w:jc w:val="both"/>
    </w:pPr>
    <w:rPr>
      <w:rFonts w:ascii="Cambria" w:hAnsi="Cambria" w:eastAsia="宋体" w:cs="Times New Roman"/>
      <w:b/>
      <w:bCs/>
      <w:kern w:val="2"/>
      <w:sz w:val="32"/>
      <w:szCs w:val="32"/>
      <w:lang w:val="en-US" w:eastAsia="zh-CN" w:bidi="ar-SA"/>
    </w:rPr>
  </w:style>
  <w:style w:type="paragraph" w:customStyle="1" w:styleId="53">
    <w:name w:val="Default"/>
    <w:basedOn w:val="54"/>
    <w:next w:val="1"/>
    <w:link w:val="140"/>
    <w:autoRedefine/>
    <w:qFormat/>
    <w:uiPriority w:val="99"/>
    <w:pPr>
      <w:autoSpaceDE w:val="0"/>
      <w:autoSpaceDN w:val="0"/>
      <w:jc w:val="left"/>
    </w:pPr>
    <w:rPr>
      <w:rFonts w:hAnsi="Times New Roman" w:cs="Times New Roman"/>
      <w:color w:val="000000"/>
      <w:kern w:val="0"/>
      <w:szCs w:val="20"/>
    </w:rPr>
  </w:style>
  <w:style w:type="paragraph" w:customStyle="1" w:styleId="54">
    <w:name w:val="纯文本1"/>
    <w:basedOn w:val="1"/>
    <w:autoRedefine/>
    <w:qFormat/>
    <w:uiPriority w:val="99"/>
    <w:rPr>
      <w:rFonts w:ascii="宋体" w:hAnsi="Courier New" w:cs="Courier New"/>
      <w:szCs w:val="21"/>
    </w:rPr>
  </w:style>
  <w:style w:type="character" w:customStyle="1" w:styleId="55">
    <w:name w:val="Heading 1 Char"/>
    <w:basedOn w:val="39"/>
    <w:link w:val="2"/>
    <w:autoRedefine/>
    <w:qFormat/>
    <w:locked/>
    <w:uiPriority w:val="99"/>
    <w:rPr>
      <w:rFonts w:ascii="Times New Roman" w:hAnsi="Times New Roman" w:eastAsia="宋体" w:cs="Times New Roman"/>
      <w:b/>
      <w:kern w:val="2"/>
      <w:sz w:val="44"/>
      <w:szCs w:val="44"/>
      <w:lang w:val="en-US" w:eastAsia="zh-CN" w:bidi="ar-SA"/>
    </w:rPr>
  </w:style>
  <w:style w:type="character" w:customStyle="1" w:styleId="56">
    <w:name w:val="Heading 2 Char"/>
    <w:basedOn w:val="39"/>
    <w:link w:val="3"/>
    <w:autoRedefine/>
    <w:qFormat/>
    <w:locked/>
    <w:uiPriority w:val="99"/>
    <w:rPr>
      <w:rFonts w:ascii="Times New Roman" w:hAnsi="Times New Roman" w:eastAsia="宋体" w:cs="Times New Roman"/>
      <w:b/>
      <w:sz w:val="32"/>
    </w:rPr>
  </w:style>
  <w:style w:type="character" w:customStyle="1" w:styleId="57">
    <w:name w:val="Heading 3 Char"/>
    <w:basedOn w:val="39"/>
    <w:link w:val="4"/>
    <w:autoRedefine/>
    <w:qFormat/>
    <w:locked/>
    <w:uiPriority w:val="99"/>
    <w:rPr>
      <w:rFonts w:ascii="Times New Roman" w:hAnsi="Times New Roman" w:eastAsia="宋体" w:cs="Times New Roman"/>
      <w:b/>
      <w:sz w:val="30"/>
    </w:rPr>
  </w:style>
  <w:style w:type="character" w:customStyle="1" w:styleId="58">
    <w:name w:val="Heading 4 Char"/>
    <w:basedOn w:val="39"/>
    <w:link w:val="5"/>
    <w:autoRedefine/>
    <w:qFormat/>
    <w:locked/>
    <w:uiPriority w:val="99"/>
    <w:rPr>
      <w:rFonts w:ascii="Times New Roman" w:hAnsi="Times New Roman" w:eastAsia="宋体" w:cs="Times New Roman"/>
      <w:b/>
      <w:sz w:val="28"/>
    </w:rPr>
  </w:style>
  <w:style w:type="character" w:customStyle="1" w:styleId="59">
    <w:name w:val="Heading 5 Char"/>
    <w:basedOn w:val="39"/>
    <w:link w:val="6"/>
    <w:autoRedefine/>
    <w:qFormat/>
    <w:locked/>
    <w:uiPriority w:val="99"/>
    <w:rPr>
      <w:rFonts w:cs="Times New Roman"/>
      <w:b/>
      <w:bCs/>
      <w:sz w:val="28"/>
      <w:szCs w:val="28"/>
    </w:rPr>
  </w:style>
  <w:style w:type="character" w:customStyle="1" w:styleId="60">
    <w:name w:val="Heading 6 Char"/>
    <w:basedOn w:val="39"/>
    <w:link w:val="7"/>
    <w:autoRedefine/>
    <w:qFormat/>
    <w:locked/>
    <w:uiPriority w:val="99"/>
    <w:rPr>
      <w:rFonts w:ascii="Cambria" w:hAnsi="Cambria" w:eastAsia="宋体" w:cs="Times New Roman"/>
      <w:b/>
      <w:bCs/>
      <w:sz w:val="24"/>
      <w:szCs w:val="24"/>
    </w:rPr>
  </w:style>
  <w:style w:type="character" w:customStyle="1" w:styleId="61">
    <w:name w:val="Heading 7 Char"/>
    <w:basedOn w:val="39"/>
    <w:link w:val="8"/>
    <w:autoRedefine/>
    <w:qFormat/>
    <w:locked/>
    <w:uiPriority w:val="99"/>
    <w:rPr>
      <w:rFonts w:eastAsia="仿宋" w:cs="Times New Roman"/>
      <w:b/>
      <w:bCs/>
      <w:kern w:val="0"/>
      <w:sz w:val="24"/>
      <w:szCs w:val="24"/>
    </w:rPr>
  </w:style>
  <w:style w:type="character" w:customStyle="1" w:styleId="62">
    <w:name w:val="Heading 8 Char"/>
    <w:basedOn w:val="39"/>
    <w:link w:val="9"/>
    <w:autoRedefine/>
    <w:qFormat/>
    <w:locked/>
    <w:uiPriority w:val="99"/>
    <w:rPr>
      <w:rFonts w:ascii="Cambria" w:hAnsi="Cambria" w:eastAsia="宋体" w:cs="Times New Roman"/>
      <w:sz w:val="24"/>
      <w:szCs w:val="24"/>
    </w:rPr>
  </w:style>
  <w:style w:type="character" w:customStyle="1" w:styleId="63">
    <w:name w:val="Heading 9 Char"/>
    <w:basedOn w:val="39"/>
    <w:link w:val="10"/>
    <w:autoRedefine/>
    <w:qFormat/>
    <w:locked/>
    <w:uiPriority w:val="99"/>
    <w:rPr>
      <w:rFonts w:ascii="Cambria" w:hAnsi="Cambria" w:eastAsia="仿宋" w:cs="Times New Roman"/>
      <w:kern w:val="0"/>
      <w:sz w:val="24"/>
      <w:szCs w:val="24"/>
    </w:rPr>
  </w:style>
  <w:style w:type="character" w:customStyle="1" w:styleId="64">
    <w:name w:val="Comment Text Char"/>
    <w:basedOn w:val="39"/>
    <w:link w:val="13"/>
    <w:autoRedefine/>
    <w:qFormat/>
    <w:locked/>
    <w:uiPriority w:val="99"/>
    <w:rPr>
      <w:rFonts w:cs="Times New Roman"/>
      <w:sz w:val="24"/>
      <w:szCs w:val="24"/>
    </w:rPr>
  </w:style>
  <w:style w:type="character" w:customStyle="1" w:styleId="65">
    <w:name w:val="Body Text Char"/>
    <w:basedOn w:val="39"/>
    <w:link w:val="15"/>
    <w:autoRedefine/>
    <w:qFormat/>
    <w:locked/>
    <w:uiPriority w:val="99"/>
    <w:rPr>
      <w:rFonts w:cs="Times New Roman"/>
      <w:sz w:val="24"/>
      <w:szCs w:val="24"/>
    </w:rPr>
  </w:style>
  <w:style w:type="character" w:customStyle="1" w:styleId="66">
    <w:name w:val="Body Text Indent Char"/>
    <w:basedOn w:val="39"/>
    <w:autoRedefine/>
    <w:qFormat/>
    <w:locked/>
    <w:uiPriority w:val="99"/>
    <w:rPr>
      <w:rFonts w:cs="Times New Roman"/>
      <w:sz w:val="24"/>
      <w:szCs w:val="24"/>
    </w:rPr>
  </w:style>
  <w:style w:type="character" w:customStyle="1" w:styleId="67">
    <w:name w:val="Header Char"/>
    <w:basedOn w:val="39"/>
    <w:link w:val="23"/>
    <w:autoRedefine/>
    <w:qFormat/>
    <w:locked/>
    <w:uiPriority w:val="99"/>
    <w:rPr>
      <w:rFonts w:cs="Times New Roman"/>
      <w:sz w:val="18"/>
      <w:szCs w:val="18"/>
    </w:rPr>
  </w:style>
  <w:style w:type="character" w:customStyle="1" w:styleId="68">
    <w:name w:val="Plain Text Char"/>
    <w:basedOn w:val="39"/>
    <w:autoRedefine/>
    <w:qFormat/>
    <w:locked/>
    <w:uiPriority w:val="99"/>
    <w:rPr>
      <w:rFonts w:ascii="宋体" w:hAnsi="Courier New" w:eastAsia="仿宋_GB2312" w:cs="Times New Roman"/>
      <w:kern w:val="2"/>
      <w:sz w:val="24"/>
      <w:szCs w:val="24"/>
    </w:rPr>
  </w:style>
  <w:style w:type="character" w:customStyle="1" w:styleId="69">
    <w:name w:val="Body Text Indent 2 Char"/>
    <w:basedOn w:val="39"/>
    <w:link w:val="20"/>
    <w:autoRedefine/>
    <w:qFormat/>
    <w:locked/>
    <w:uiPriority w:val="99"/>
    <w:rPr>
      <w:rFonts w:cs="Times New Roman"/>
      <w:sz w:val="24"/>
      <w:szCs w:val="24"/>
    </w:rPr>
  </w:style>
  <w:style w:type="character" w:customStyle="1" w:styleId="70">
    <w:name w:val="Footer Char"/>
    <w:basedOn w:val="39"/>
    <w:link w:val="22"/>
    <w:autoRedefine/>
    <w:qFormat/>
    <w:locked/>
    <w:uiPriority w:val="99"/>
    <w:rPr>
      <w:rFonts w:cs="Times New Roman"/>
      <w:sz w:val="18"/>
      <w:szCs w:val="18"/>
    </w:rPr>
  </w:style>
  <w:style w:type="character" w:customStyle="1" w:styleId="71">
    <w:name w:val="Body Text 2 Char"/>
    <w:basedOn w:val="39"/>
    <w:link w:val="30"/>
    <w:autoRedefine/>
    <w:qFormat/>
    <w:locked/>
    <w:uiPriority w:val="99"/>
    <w:rPr>
      <w:rFonts w:cs="Times New Roman"/>
      <w:sz w:val="24"/>
      <w:szCs w:val="24"/>
    </w:rPr>
  </w:style>
  <w:style w:type="character" w:customStyle="1" w:styleId="72">
    <w:name w:val="Body Text First Indent Char"/>
    <w:basedOn w:val="65"/>
    <w:link w:val="34"/>
    <w:autoRedefine/>
    <w:qFormat/>
    <w:locked/>
    <w:uiPriority w:val="99"/>
  </w:style>
  <w:style w:type="character" w:customStyle="1" w:styleId="73">
    <w:name w:val="Body Text First Indent 2 Char"/>
    <w:basedOn w:val="66"/>
    <w:autoRedefine/>
    <w:qFormat/>
    <w:locked/>
    <w:uiPriority w:val="99"/>
  </w:style>
  <w:style w:type="paragraph" w:customStyle="1" w:styleId="74">
    <w:name w:val="Char Char Char Char Char Char Char Char Char Char Char Char Char Char Char Char Char Char"/>
    <w:basedOn w:val="1"/>
    <w:autoRedefine/>
    <w:qFormat/>
    <w:uiPriority w:val="99"/>
  </w:style>
  <w:style w:type="paragraph" w:customStyle="1" w:styleId="75">
    <w:name w:val="正文(首行缩进)"/>
    <w:basedOn w:val="1"/>
    <w:next w:val="1"/>
    <w:link w:val="177"/>
    <w:autoRedefine/>
    <w:qFormat/>
    <w:uiPriority w:val="99"/>
    <w:pPr>
      <w:ind w:firstLine="540" w:firstLineChars="225"/>
    </w:pPr>
    <w:rPr>
      <w:color w:val="000000"/>
      <w:kern w:val="0"/>
      <w:szCs w:val="20"/>
    </w:rPr>
  </w:style>
  <w:style w:type="paragraph" w:customStyle="1" w:styleId="76">
    <w:name w:val="正文（居中）"/>
    <w:basedOn w:val="1"/>
    <w:autoRedefine/>
    <w:qFormat/>
    <w:uiPriority w:val="99"/>
    <w:pPr>
      <w:spacing w:line="240" w:lineRule="auto"/>
      <w:ind w:firstLine="0" w:firstLineChars="0"/>
      <w:jc w:val="center"/>
    </w:pPr>
  </w:style>
  <w:style w:type="paragraph" w:customStyle="1" w:styleId="77">
    <w:name w:val="表格"/>
    <w:basedOn w:val="27"/>
    <w:next w:val="1"/>
    <w:link w:val="127"/>
    <w:autoRedefine/>
    <w:qFormat/>
    <w:uiPriority w:val="99"/>
    <w:pPr>
      <w:spacing w:line="240" w:lineRule="auto"/>
      <w:ind w:left="0" w:firstLine="0" w:firstLineChars="0"/>
      <w:jc w:val="center"/>
    </w:pPr>
    <w:rPr>
      <w:sz w:val="21"/>
      <w:szCs w:val="20"/>
    </w:rPr>
  </w:style>
  <w:style w:type="paragraph" w:customStyle="1" w:styleId="78">
    <w:name w:val="正文（无缩进）"/>
    <w:basedOn w:val="1"/>
    <w:autoRedefine/>
    <w:qFormat/>
    <w:uiPriority w:val="99"/>
    <w:pPr>
      <w:spacing w:line="240" w:lineRule="auto"/>
      <w:ind w:firstLine="0" w:firstLineChars="0"/>
      <w:jc w:val="center"/>
    </w:pPr>
  </w:style>
  <w:style w:type="paragraph" w:customStyle="1" w:styleId="79">
    <w:name w:val="表格文字"/>
    <w:basedOn w:val="80"/>
    <w:next w:val="1"/>
    <w:link w:val="178"/>
    <w:autoRedefine/>
    <w:qFormat/>
    <w:uiPriority w:val="99"/>
    <w:pPr>
      <w:autoSpaceDE w:val="0"/>
      <w:autoSpaceDN w:val="0"/>
      <w:adjustRightInd w:val="0"/>
      <w:textAlignment w:val="baseline"/>
    </w:pPr>
    <w:rPr>
      <w:rFonts w:ascii="宋体"/>
      <w:color w:val="000000"/>
      <w:kern w:val="0"/>
      <w:sz w:val="24"/>
      <w:szCs w:val="20"/>
    </w:rPr>
  </w:style>
  <w:style w:type="paragraph" w:customStyle="1" w:styleId="80">
    <w:name w:val="表外"/>
    <w:basedOn w:val="1"/>
    <w:autoRedefine/>
    <w:qFormat/>
    <w:uiPriority w:val="99"/>
    <w:pPr>
      <w:ind w:firstLine="0" w:firstLineChars="0"/>
    </w:pPr>
    <w:rPr>
      <w:b/>
      <w:sz w:val="32"/>
    </w:rPr>
  </w:style>
  <w:style w:type="paragraph" w:customStyle="1" w:styleId="81">
    <w:name w:val="WY表格"/>
    <w:basedOn w:val="1"/>
    <w:autoRedefine/>
    <w:qFormat/>
    <w:uiPriority w:val="99"/>
    <w:pPr>
      <w:spacing w:line="240" w:lineRule="atLeast"/>
      <w:jc w:val="center"/>
    </w:pPr>
    <w:rPr>
      <w:rFonts w:ascii="Calibri" w:hAnsi="Calibri"/>
      <w:szCs w:val="21"/>
    </w:rPr>
  </w:style>
  <w:style w:type="character" w:customStyle="1" w:styleId="82">
    <w:name w:val="15"/>
    <w:basedOn w:val="39"/>
    <w:autoRedefine/>
    <w:qFormat/>
    <w:uiPriority w:val="99"/>
    <w:rPr>
      <w:rFonts w:ascii="Times New Roman" w:hAnsi="Times New Roman" w:cs="Times New Roman"/>
      <w:color w:val="CC0000"/>
      <w:sz w:val="24"/>
      <w:szCs w:val="24"/>
    </w:rPr>
  </w:style>
  <w:style w:type="character" w:customStyle="1" w:styleId="83">
    <w:name w:val="16"/>
    <w:basedOn w:val="39"/>
    <w:autoRedefine/>
    <w:qFormat/>
    <w:uiPriority w:val="99"/>
    <w:rPr>
      <w:rFonts w:ascii="Times New Roman" w:hAnsi="Times New Roman" w:eastAsia="仿宋_GB2312" w:cs="Times New Roman"/>
      <w:sz w:val="21"/>
      <w:szCs w:val="21"/>
    </w:rPr>
  </w:style>
  <w:style w:type="paragraph" w:customStyle="1" w:styleId="84">
    <w:name w:val="文本"/>
    <w:basedOn w:val="1"/>
    <w:autoRedefine/>
    <w:qFormat/>
    <w:uiPriority w:val="99"/>
    <w:pPr>
      <w:adjustRightInd w:val="0"/>
      <w:snapToGrid w:val="0"/>
      <w:ind w:firstLine="480"/>
      <w:jc w:val="left"/>
    </w:pPr>
  </w:style>
  <w:style w:type="paragraph" w:customStyle="1" w:styleId="85">
    <w:name w:val="111111"/>
    <w:basedOn w:val="1"/>
    <w:autoRedefine/>
    <w:qFormat/>
    <w:uiPriority w:val="99"/>
    <w:pPr>
      <w:jc w:val="left"/>
    </w:pPr>
    <w:rPr>
      <w:b/>
      <w:sz w:val="28"/>
    </w:rPr>
  </w:style>
  <w:style w:type="paragraph" w:customStyle="1" w:styleId="86">
    <w:name w:val="YJ正文*"/>
    <w:basedOn w:val="1"/>
    <w:link w:val="212"/>
    <w:autoRedefine/>
    <w:qFormat/>
    <w:uiPriority w:val="99"/>
    <w:pPr>
      <w:spacing w:line="500" w:lineRule="exact"/>
      <w:ind w:firstLine="200"/>
    </w:pPr>
    <w:rPr>
      <w:rFonts w:ascii="等线" w:eastAsia="等线"/>
      <w:kern w:val="0"/>
      <w:szCs w:val="20"/>
    </w:rPr>
  </w:style>
  <w:style w:type="paragraph" w:customStyle="1" w:styleId="87">
    <w:name w:val="段落1"/>
    <w:basedOn w:val="1"/>
    <w:autoRedefine/>
    <w:qFormat/>
    <w:uiPriority w:val="99"/>
    <w:pPr>
      <w:spacing w:line="480" w:lineRule="exact"/>
      <w:ind w:firstLine="584"/>
    </w:pPr>
    <w:rPr>
      <w:spacing w:val="6"/>
      <w:sz w:val="28"/>
    </w:rPr>
  </w:style>
  <w:style w:type="paragraph" w:customStyle="1" w:styleId="88">
    <w:name w:val="段落"/>
    <w:basedOn w:val="1"/>
    <w:autoRedefine/>
    <w:qFormat/>
    <w:uiPriority w:val="99"/>
    <w:pPr>
      <w:tabs>
        <w:tab w:val="left" w:pos="1021"/>
      </w:tabs>
      <w:adjustRightInd w:val="0"/>
      <w:ind w:firstLine="500"/>
    </w:pPr>
    <w:rPr>
      <w:kern w:val="24"/>
    </w:rPr>
  </w:style>
  <w:style w:type="paragraph" w:customStyle="1" w:styleId="89">
    <w:name w:val="表头"/>
    <w:basedOn w:val="90"/>
    <w:next w:val="15"/>
    <w:link w:val="128"/>
    <w:autoRedefine/>
    <w:qFormat/>
    <w:uiPriority w:val="99"/>
    <w:pPr>
      <w:overflowPunct w:val="0"/>
      <w:snapToGrid w:val="0"/>
      <w:ind w:firstLine="200" w:firstLineChars="200"/>
    </w:pPr>
    <w:rPr>
      <w:sz w:val="24"/>
      <w:szCs w:val="20"/>
    </w:rPr>
  </w:style>
  <w:style w:type="paragraph" w:customStyle="1" w:styleId="90">
    <w:name w:val="报告表格"/>
    <w:basedOn w:val="1"/>
    <w:autoRedefine/>
    <w:qFormat/>
    <w:uiPriority w:val="0"/>
    <w:pPr>
      <w:autoSpaceDE w:val="0"/>
      <w:autoSpaceDN w:val="0"/>
      <w:adjustRightInd w:val="0"/>
      <w:spacing w:line="240" w:lineRule="auto"/>
      <w:ind w:firstLine="0" w:firstLineChars="0"/>
      <w:jc w:val="center"/>
      <w:textAlignment w:val="baseline"/>
    </w:pPr>
    <w:rPr>
      <w:kern w:val="0"/>
      <w:sz w:val="21"/>
      <w:szCs w:val="20"/>
    </w:rPr>
  </w:style>
  <w:style w:type="paragraph" w:customStyle="1" w:styleId="91">
    <w:name w:val="Char"/>
    <w:basedOn w:val="1"/>
    <w:autoRedefine/>
    <w:qFormat/>
    <w:uiPriority w:val="99"/>
    <w:rPr>
      <w:rFonts w:ascii="宋体"/>
      <w:szCs w:val="28"/>
    </w:rPr>
  </w:style>
  <w:style w:type="character" w:customStyle="1" w:styleId="92">
    <w:name w:val="10"/>
    <w:basedOn w:val="39"/>
    <w:autoRedefine/>
    <w:qFormat/>
    <w:uiPriority w:val="99"/>
    <w:rPr>
      <w:rFonts w:ascii="Times New Roman" w:hAnsi="Times New Roman" w:cs="Times New Roman"/>
    </w:rPr>
  </w:style>
  <w:style w:type="paragraph" w:styleId="93">
    <w:name w:val="List Paragraph"/>
    <w:basedOn w:val="1"/>
    <w:autoRedefine/>
    <w:qFormat/>
    <w:uiPriority w:val="99"/>
    <w:pPr>
      <w:ind w:left="1280" w:hanging="790"/>
    </w:pPr>
    <w:rPr>
      <w:rFonts w:ascii="宋体" w:hAnsi="宋体" w:cs="宋体"/>
      <w:lang w:val="zh-CN"/>
    </w:rPr>
  </w:style>
  <w:style w:type="paragraph" w:customStyle="1" w:styleId="94">
    <w:name w:val="Table Paragraph"/>
    <w:basedOn w:val="1"/>
    <w:autoRedefine/>
    <w:qFormat/>
    <w:uiPriority w:val="99"/>
    <w:rPr>
      <w:rFonts w:ascii="宋体" w:hAnsi="宋体" w:cs="宋体"/>
      <w:lang w:val="zh-CN"/>
    </w:rPr>
  </w:style>
  <w:style w:type="paragraph" w:customStyle="1" w:styleId="95">
    <w:name w:val="表格内容"/>
    <w:basedOn w:val="96"/>
    <w:next w:val="1"/>
    <w:autoRedefine/>
    <w:qFormat/>
    <w:uiPriority w:val="99"/>
    <w:pPr>
      <w:adjustRightInd w:val="0"/>
      <w:snapToGrid w:val="0"/>
      <w:spacing w:line="280" w:lineRule="exact"/>
      <w:ind w:left="-31" w:leftChars="-15" w:right="-31" w:rightChars="-15"/>
      <w:jc w:val="center"/>
    </w:pPr>
    <w:rPr>
      <w:color w:val="000000"/>
      <w:sz w:val="18"/>
      <w:szCs w:val="18"/>
    </w:rPr>
  </w:style>
  <w:style w:type="paragraph" w:customStyle="1" w:styleId="96">
    <w:name w:val="表格标题"/>
    <w:basedOn w:val="12"/>
    <w:next w:val="1"/>
    <w:autoRedefine/>
    <w:qFormat/>
    <w:uiPriority w:val="99"/>
    <w:pPr>
      <w:autoSpaceDE w:val="0"/>
      <w:autoSpaceDN w:val="0"/>
      <w:adjustRightInd w:val="0"/>
      <w:snapToGrid w:val="0"/>
      <w:spacing w:line="324" w:lineRule="auto"/>
      <w:ind w:firstLine="422"/>
      <w:jc w:val="center"/>
    </w:pPr>
    <w:rPr>
      <w:rFonts w:ascii="宋体" w:hAnsi="宋体"/>
      <w:b/>
      <w:lang w:val="zh-CN"/>
    </w:rPr>
  </w:style>
  <w:style w:type="paragraph" w:customStyle="1" w:styleId="97">
    <w:name w:val="小表头"/>
    <w:basedOn w:val="1"/>
    <w:autoRedefine/>
    <w:qFormat/>
    <w:uiPriority w:val="99"/>
    <w:pPr>
      <w:wordWrap w:val="0"/>
      <w:spacing w:line="400" w:lineRule="exact"/>
      <w:ind w:firstLine="0" w:firstLineChars="0"/>
      <w:jc w:val="right"/>
    </w:pPr>
    <w:rPr>
      <w:rFonts w:ascii="宋体"/>
      <w:b/>
    </w:rPr>
  </w:style>
  <w:style w:type="paragraph" w:customStyle="1" w:styleId="98">
    <w:name w:val="小表内容"/>
    <w:basedOn w:val="1"/>
    <w:autoRedefine/>
    <w:qFormat/>
    <w:uiPriority w:val="99"/>
    <w:pPr>
      <w:wordWrap w:val="0"/>
      <w:spacing w:line="240" w:lineRule="exact"/>
      <w:ind w:firstLine="0" w:firstLineChars="0"/>
      <w:jc w:val="center"/>
    </w:pPr>
    <w:rPr>
      <w:rFonts w:ascii="宋体" w:hAnsi="宋体"/>
      <w:sz w:val="18"/>
      <w:szCs w:val="21"/>
    </w:rPr>
  </w:style>
  <w:style w:type="paragraph" w:customStyle="1" w:styleId="99">
    <w:name w:val="font11"/>
    <w:basedOn w:val="1"/>
    <w:autoRedefine/>
    <w:qFormat/>
    <w:uiPriority w:val="99"/>
    <w:pPr>
      <w:widowControl/>
      <w:spacing w:before="100" w:beforeAutospacing="1" w:after="100" w:afterAutospacing="1"/>
      <w:jc w:val="left"/>
    </w:pPr>
    <w:rPr>
      <w:rFonts w:ascii="宋体" w:hAnsi="宋体"/>
      <w:kern w:val="0"/>
      <w:sz w:val="18"/>
      <w:szCs w:val="18"/>
    </w:rPr>
  </w:style>
  <w:style w:type="paragraph" w:customStyle="1" w:styleId="100">
    <w:name w:val="报告书正文"/>
    <w:basedOn w:val="1"/>
    <w:link w:val="263"/>
    <w:autoRedefine/>
    <w:qFormat/>
    <w:uiPriority w:val="99"/>
    <w:pPr>
      <w:spacing w:line="300" w:lineRule="auto"/>
      <w:ind w:firstLine="200"/>
    </w:pPr>
    <w:rPr>
      <w:kern w:val="0"/>
      <w:szCs w:val="20"/>
    </w:rPr>
  </w:style>
  <w:style w:type="paragraph" w:customStyle="1" w:styleId="101">
    <w:name w:val="缩进"/>
    <w:basedOn w:val="1"/>
    <w:autoRedefine/>
    <w:qFormat/>
    <w:uiPriority w:val="99"/>
    <w:pPr>
      <w:ind w:firstLine="200"/>
    </w:pPr>
  </w:style>
  <w:style w:type="paragraph" w:customStyle="1" w:styleId="102">
    <w:name w:val="表+五号"/>
    <w:basedOn w:val="1"/>
    <w:autoRedefine/>
    <w:qFormat/>
    <w:uiPriority w:val="99"/>
    <w:rPr>
      <w:szCs w:val="28"/>
    </w:rPr>
  </w:style>
  <w:style w:type="paragraph" w:customStyle="1" w:styleId="103">
    <w:name w:val="Other|1"/>
    <w:basedOn w:val="1"/>
    <w:autoRedefine/>
    <w:qFormat/>
    <w:uiPriority w:val="99"/>
    <w:pPr>
      <w:jc w:val="center"/>
    </w:pPr>
    <w:rPr>
      <w:sz w:val="20"/>
      <w:szCs w:val="20"/>
    </w:rPr>
  </w:style>
  <w:style w:type="paragraph" w:customStyle="1" w:styleId="104">
    <w:name w:val="Body text|1"/>
    <w:basedOn w:val="1"/>
    <w:autoRedefine/>
    <w:qFormat/>
    <w:uiPriority w:val="99"/>
    <w:pPr>
      <w:spacing w:after="340"/>
      <w:ind w:firstLine="140"/>
    </w:pPr>
    <w:rPr>
      <w:rFonts w:ascii="宋体" w:hAnsi="宋体" w:cs="宋体"/>
      <w:sz w:val="44"/>
      <w:szCs w:val="44"/>
      <w:lang w:val="zh-TW" w:eastAsia="zh-TW"/>
    </w:rPr>
  </w:style>
  <w:style w:type="paragraph" w:customStyle="1" w:styleId="105">
    <w:name w:val="样式1"/>
    <w:basedOn w:val="1"/>
    <w:autoRedefine/>
    <w:qFormat/>
    <w:uiPriority w:val="99"/>
    <w:pPr>
      <w:spacing w:line="300" w:lineRule="atLeast"/>
      <w:jc w:val="center"/>
      <w:outlineLvl w:val="2"/>
    </w:pPr>
    <w:rPr>
      <w:rFonts w:eastAsia="楷体_GB2312"/>
    </w:rPr>
  </w:style>
  <w:style w:type="paragraph" w:customStyle="1" w:styleId="106">
    <w:name w:val="正文111"/>
    <w:basedOn w:val="1"/>
    <w:autoRedefine/>
    <w:qFormat/>
    <w:uiPriority w:val="99"/>
    <w:pPr>
      <w:spacing w:line="500" w:lineRule="exact"/>
      <w:ind w:firstLine="200"/>
      <w:jc w:val="left"/>
    </w:pPr>
    <w:rPr>
      <w:rFonts w:eastAsia="华文中宋"/>
      <w:color w:val="FF00FF"/>
    </w:rPr>
  </w:style>
  <w:style w:type="paragraph" w:customStyle="1" w:styleId="107">
    <w:name w:val="标题c"/>
    <w:basedOn w:val="4"/>
    <w:autoRedefine/>
    <w:qFormat/>
    <w:uiPriority w:val="99"/>
    <w:rPr>
      <w:rFonts w:ascii="黑体" w:hAnsi="宋体" w:eastAsia="黑体"/>
      <w:bCs w:val="0"/>
      <w:sz w:val="28"/>
      <w:szCs w:val="20"/>
    </w:rPr>
  </w:style>
  <w:style w:type="paragraph" w:customStyle="1" w:styleId="108">
    <w:name w:val="表"/>
    <w:basedOn w:val="1"/>
    <w:autoRedefine/>
    <w:qFormat/>
    <w:uiPriority w:val="99"/>
    <w:pPr>
      <w:spacing w:line="240" w:lineRule="auto"/>
      <w:ind w:firstLine="0" w:firstLineChars="0"/>
      <w:jc w:val="center"/>
    </w:pPr>
    <w:rPr>
      <w:kern w:val="0"/>
      <w:sz w:val="21"/>
      <w:szCs w:val="21"/>
    </w:rPr>
  </w:style>
  <w:style w:type="paragraph" w:customStyle="1" w:styleId="109">
    <w:name w:val="Default1"/>
    <w:autoRedefine/>
    <w:qFormat/>
    <w:uiPriority w:val="99"/>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110">
    <w:name w:val="font41"/>
    <w:basedOn w:val="39"/>
    <w:autoRedefine/>
    <w:qFormat/>
    <w:uiPriority w:val="99"/>
    <w:rPr>
      <w:rFonts w:ascii="Times New Roman" w:hAnsi="Times New Roman" w:cs="Times New Roman"/>
      <w:color w:val="000000"/>
      <w:sz w:val="24"/>
      <w:szCs w:val="24"/>
      <w:u w:val="none"/>
    </w:rPr>
  </w:style>
  <w:style w:type="character" w:customStyle="1" w:styleId="111">
    <w:name w:val="font31"/>
    <w:basedOn w:val="39"/>
    <w:autoRedefine/>
    <w:qFormat/>
    <w:uiPriority w:val="99"/>
    <w:rPr>
      <w:rFonts w:ascii="Times New Roman" w:hAnsi="Times New Roman" w:cs="Times New Roman"/>
      <w:color w:val="000000"/>
      <w:sz w:val="24"/>
      <w:szCs w:val="24"/>
      <w:u w:val="none"/>
      <w:vertAlign w:val="superscript"/>
    </w:rPr>
  </w:style>
  <w:style w:type="character" w:customStyle="1" w:styleId="112">
    <w:name w:val="font21"/>
    <w:basedOn w:val="39"/>
    <w:autoRedefine/>
    <w:qFormat/>
    <w:uiPriority w:val="99"/>
    <w:rPr>
      <w:rFonts w:ascii="Times New Roman" w:hAnsi="Times New Roman" w:cs="Times New Roman"/>
      <w:color w:val="000000"/>
      <w:sz w:val="24"/>
      <w:szCs w:val="24"/>
      <w:u w:val="none"/>
      <w:vertAlign w:val="superscript"/>
    </w:rPr>
  </w:style>
  <w:style w:type="character" w:customStyle="1" w:styleId="113">
    <w:name w:val="font01"/>
    <w:basedOn w:val="39"/>
    <w:autoRedefine/>
    <w:qFormat/>
    <w:uiPriority w:val="99"/>
    <w:rPr>
      <w:rFonts w:ascii="宋体" w:hAnsi="宋体" w:eastAsia="宋体" w:cs="宋体"/>
      <w:color w:val="000000"/>
      <w:sz w:val="24"/>
      <w:szCs w:val="24"/>
      <w:u w:val="none"/>
    </w:rPr>
  </w:style>
  <w:style w:type="paragraph" w:customStyle="1" w:styleId="114">
    <w:name w:val="正文和昊"/>
    <w:basedOn w:val="1"/>
    <w:autoRedefine/>
    <w:qFormat/>
    <w:uiPriority w:val="99"/>
  </w:style>
  <w:style w:type="paragraph" w:customStyle="1" w:styleId="115">
    <w:name w:val="p0"/>
    <w:basedOn w:val="1"/>
    <w:autoRedefine/>
    <w:qFormat/>
    <w:uiPriority w:val="99"/>
    <w:pPr>
      <w:widowControl/>
    </w:pPr>
    <w:rPr>
      <w:kern w:val="0"/>
      <w:szCs w:val="21"/>
    </w:rPr>
  </w:style>
  <w:style w:type="paragraph" w:customStyle="1" w:styleId="116">
    <w:name w:val="Table caption|1"/>
    <w:basedOn w:val="1"/>
    <w:autoRedefine/>
    <w:qFormat/>
    <w:uiPriority w:val="99"/>
    <w:rPr>
      <w:rFonts w:ascii="宋体" w:hAnsi="宋体" w:cs="宋体"/>
      <w:lang w:val="zh-TW" w:eastAsia="zh-TW"/>
    </w:rPr>
  </w:style>
  <w:style w:type="paragraph" w:customStyle="1" w:styleId="117">
    <w:name w:val="Header or footer|1"/>
    <w:basedOn w:val="1"/>
    <w:autoRedefine/>
    <w:qFormat/>
    <w:uiPriority w:val="99"/>
    <w:rPr>
      <w:sz w:val="26"/>
      <w:szCs w:val="26"/>
      <w:lang w:val="zh-TW" w:eastAsia="zh-TW"/>
    </w:rPr>
  </w:style>
  <w:style w:type="paragraph" w:customStyle="1" w:styleId="118">
    <w:name w:val="表内文字"/>
    <w:basedOn w:val="1"/>
    <w:autoRedefine/>
    <w:qFormat/>
    <w:uiPriority w:val="99"/>
    <w:pPr>
      <w:spacing w:line="240" w:lineRule="auto"/>
      <w:ind w:firstLine="0" w:firstLineChars="0"/>
      <w:jc w:val="center"/>
    </w:pPr>
    <w:rPr>
      <w:sz w:val="21"/>
      <w:szCs w:val="21"/>
    </w:rPr>
  </w:style>
  <w:style w:type="character" w:customStyle="1" w:styleId="119">
    <w:name w:val="disabled"/>
    <w:basedOn w:val="39"/>
    <w:autoRedefine/>
    <w:qFormat/>
    <w:uiPriority w:val="99"/>
    <w:rPr>
      <w:rFonts w:cs="Times New Roman"/>
      <w:vanish/>
    </w:rPr>
  </w:style>
  <w:style w:type="character" w:customStyle="1" w:styleId="120">
    <w:name w:val="znspantitle"/>
    <w:basedOn w:val="39"/>
    <w:autoRedefine/>
    <w:qFormat/>
    <w:uiPriority w:val="99"/>
    <w:rPr>
      <w:rFonts w:cs="Times New Roman"/>
      <w:b/>
      <w:bCs/>
      <w:color w:val="333333"/>
    </w:rPr>
  </w:style>
  <w:style w:type="character" w:customStyle="1" w:styleId="121">
    <w:name w:val="Balloon Text Char"/>
    <w:basedOn w:val="39"/>
    <w:link w:val="21"/>
    <w:autoRedefine/>
    <w:qFormat/>
    <w:locked/>
    <w:uiPriority w:val="99"/>
    <w:rPr>
      <w:rFonts w:cs="Times New Roman"/>
      <w:kern w:val="2"/>
      <w:sz w:val="18"/>
      <w:szCs w:val="18"/>
    </w:rPr>
  </w:style>
  <w:style w:type="paragraph" w:customStyle="1" w:styleId="122">
    <w:name w:val="WPSOffice手动目录 1"/>
    <w:autoRedefine/>
    <w:qFormat/>
    <w:uiPriority w:val="99"/>
    <w:rPr>
      <w:rFonts w:ascii="Calibri" w:hAnsi="Calibri" w:eastAsia="宋体" w:cs="Times New Roman"/>
      <w:kern w:val="0"/>
      <w:sz w:val="20"/>
      <w:szCs w:val="20"/>
      <w:lang w:val="en-US" w:eastAsia="zh-CN" w:bidi="ar-SA"/>
    </w:rPr>
  </w:style>
  <w:style w:type="paragraph" w:customStyle="1" w:styleId="123">
    <w:name w:val="表字"/>
    <w:basedOn w:val="1"/>
    <w:autoRedefine/>
    <w:qFormat/>
    <w:uiPriority w:val="99"/>
    <w:pPr>
      <w:spacing w:line="240" w:lineRule="auto"/>
      <w:ind w:firstLine="0" w:firstLineChars="0"/>
      <w:jc w:val="center"/>
    </w:pPr>
    <w:rPr>
      <w:rFonts w:ascii="宋体"/>
      <w:kern w:val="0"/>
      <w:szCs w:val="20"/>
    </w:rPr>
  </w:style>
  <w:style w:type="paragraph" w:customStyle="1" w:styleId="124">
    <w:name w:val="正文_SSTC"/>
    <w:basedOn w:val="1"/>
    <w:autoRedefine/>
    <w:qFormat/>
    <w:uiPriority w:val="99"/>
    <w:pPr>
      <w:widowControl/>
      <w:wordWrap w:val="0"/>
      <w:adjustRightInd w:val="0"/>
      <w:snapToGrid w:val="0"/>
      <w:spacing w:line="331" w:lineRule="auto"/>
      <w:ind w:firstLine="200"/>
      <w:contextualSpacing/>
    </w:pPr>
    <w:rPr>
      <w:rFonts w:ascii="宋体"/>
      <w:kern w:val="0"/>
      <w:szCs w:val="20"/>
    </w:rPr>
  </w:style>
  <w:style w:type="character" w:customStyle="1" w:styleId="125">
    <w:name w:val="fontstyle01"/>
    <w:autoRedefine/>
    <w:qFormat/>
    <w:uiPriority w:val="99"/>
    <w:rPr>
      <w:rFonts w:ascii="宋体" w:hAnsi="宋体" w:eastAsia="宋体"/>
      <w:color w:val="000000"/>
      <w:sz w:val="24"/>
    </w:rPr>
  </w:style>
  <w:style w:type="paragraph" w:customStyle="1" w:styleId="126">
    <w:name w:val="邓表格文字"/>
    <w:basedOn w:val="1"/>
    <w:autoRedefine/>
    <w:qFormat/>
    <w:uiPriority w:val="99"/>
    <w:pPr>
      <w:widowControl/>
      <w:adjustRightInd w:val="0"/>
      <w:spacing w:line="240" w:lineRule="exact"/>
      <w:ind w:firstLine="883"/>
      <w:jc w:val="center"/>
    </w:pPr>
    <w:rPr>
      <w:rFonts w:cs="Arial"/>
      <w:sz w:val="18"/>
      <w:szCs w:val="18"/>
    </w:rPr>
  </w:style>
  <w:style w:type="character" w:customStyle="1" w:styleId="127">
    <w:name w:val="表格 Char"/>
    <w:link w:val="77"/>
    <w:autoRedefine/>
    <w:qFormat/>
    <w:locked/>
    <w:uiPriority w:val="99"/>
    <w:rPr>
      <w:kern w:val="2"/>
      <w:sz w:val="21"/>
    </w:rPr>
  </w:style>
  <w:style w:type="character" w:customStyle="1" w:styleId="128">
    <w:name w:val="表头 Char"/>
    <w:link w:val="89"/>
    <w:autoRedefine/>
    <w:qFormat/>
    <w:locked/>
    <w:uiPriority w:val="99"/>
    <w:rPr>
      <w:b/>
      <w:kern w:val="2"/>
      <w:sz w:val="24"/>
    </w:rPr>
  </w:style>
  <w:style w:type="paragraph" w:customStyle="1" w:styleId="129">
    <w:name w:val="邓表头标题"/>
    <w:basedOn w:val="1"/>
    <w:autoRedefine/>
    <w:qFormat/>
    <w:uiPriority w:val="99"/>
    <w:pPr>
      <w:adjustRightInd w:val="0"/>
      <w:spacing w:line="240" w:lineRule="auto"/>
      <w:ind w:firstLine="883"/>
      <w:jc w:val="center"/>
    </w:pPr>
    <w:rPr>
      <w:b/>
      <w:bCs/>
      <w:kern w:val="18"/>
      <w:szCs w:val="21"/>
    </w:rPr>
  </w:style>
  <w:style w:type="character" w:customStyle="1" w:styleId="130">
    <w:name w:val="Normal Indent Char"/>
    <w:link w:val="11"/>
    <w:autoRedefine/>
    <w:qFormat/>
    <w:locked/>
    <w:uiPriority w:val="99"/>
    <w:rPr>
      <w:kern w:val="2"/>
      <w:sz w:val="24"/>
    </w:rPr>
  </w:style>
  <w:style w:type="character" w:customStyle="1" w:styleId="131">
    <w:name w:val="纯文本 Char1"/>
    <w:basedOn w:val="39"/>
    <w:autoRedefine/>
    <w:qFormat/>
    <w:uiPriority w:val="99"/>
    <w:rPr>
      <w:rFonts w:ascii="宋体" w:hAnsi="Courier New" w:eastAsia="仿宋_GB2312" w:cs="Times New Roman"/>
      <w:kern w:val="2"/>
      <w:sz w:val="28"/>
    </w:rPr>
  </w:style>
  <w:style w:type="character" w:customStyle="1" w:styleId="132">
    <w:name w:val="正文1 字符"/>
    <w:basedOn w:val="39"/>
    <w:link w:val="25"/>
    <w:autoRedefine/>
    <w:qFormat/>
    <w:locked/>
    <w:uiPriority w:val="99"/>
    <w:rPr>
      <w:rFonts w:cs="Times New Roman"/>
      <w:spacing w:val="8"/>
      <w:kern w:val="21"/>
      <w:sz w:val="24"/>
    </w:rPr>
  </w:style>
  <w:style w:type="paragraph" w:customStyle="1" w:styleId="133">
    <w:name w:val="正文格式"/>
    <w:basedOn w:val="1"/>
    <w:next w:val="1"/>
    <w:link w:val="134"/>
    <w:autoRedefine/>
    <w:qFormat/>
    <w:uiPriority w:val="99"/>
    <w:pPr>
      <w:ind w:firstLine="200"/>
    </w:pPr>
    <w:rPr>
      <w:rFonts w:ascii="宋体"/>
      <w:szCs w:val="20"/>
    </w:rPr>
  </w:style>
  <w:style w:type="character" w:customStyle="1" w:styleId="134">
    <w:name w:val="正文格式 Char Char"/>
    <w:link w:val="133"/>
    <w:autoRedefine/>
    <w:qFormat/>
    <w:locked/>
    <w:uiPriority w:val="99"/>
    <w:rPr>
      <w:rFonts w:ascii="宋体"/>
      <w:kern w:val="2"/>
      <w:sz w:val="24"/>
    </w:rPr>
  </w:style>
  <w:style w:type="paragraph" w:customStyle="1" w:styleId="135">
    <w:name w:val="正文缩进_01"/>
    <w:autoRedefine/>
    <w:qFormat/>
    <w:uiPriority w:val="99"/>
    <w:pPr>
      <w:tabs>
        <w:tab w:val="left" w:pos="2126"/>
      </w:tabs>
      <w:adjustRightInd w:val="0"/>
      <w:snapToGrid w:val="0"/>
      <w:spacing w:line="360" w:lineRule="auto"/>
      <w:ind w:firstLine="2100" w:firstLineChars="750"/>
    </w:pPr>
    <w:rPr>
      <w:rFonts w:ascii="Garamond" w:hAnsi="Garamond" w:eastAsia="宋体" w:cs="Times New Roman"/>
      <w:kern w:val="0"/>
      <w:sz w:val="28"/>
      <w:szCs w:val="20"/>
      <w:lang w:val="en-US" w:eastAsia="zh-CN" w:bidi="ar-SA"/>
    </w:rPr>
  </w:style>
  <w:style w:type="paragraph" w:customStyle="1" w:styleId="136">
    <w:name w:val="报告书三级标题"/>
    <w:basedOn w:val="1"/>
    <w:autoRedefine/>
    <w:qFormat/>
    <w:uiPriority w:val="99"/>
    <w:pPr>
      <w:spacing w:line="420" w:lineRule="exact"/>
      <w:ind w:firstLine="0" w:firstLineChars="0"/>
      <w:jc w:val="left"/>
    </w:pPr>
    <w:rPr>
      <w:b/>
      <w:sz w:val="21"/>
      <w:szCs w:val="21"/>
    </w:rPr>
  </w:style>
  <w:style w:type="paragraph" w:customStyle="1" w:styleId="137">
    <w:name w:val="表题"/>
    <w:basedOn w:val="11"/>
    <w:autoRedefine/>
    <w:qFormat/>
    <w:uiPriority w:val="99"/>
    <w:pPr>
      <w:adjustRightInd w:val="0"/>
      <w:snapToGrid w:val="0"/>
      <w:spacing w:line="300" w:lineRule="auto"/>
      <w:ind w:firstLine="0"/>
    </w:pPr>
    <w:rPr>
      <w:rFonts w:ascii="仿宋_GB2312" w:eastAsia="仿宋_GB2312"/>
      <w:color w:val="000000"/>
      <w:kern w:val="0"/>
      <w:sz w:val="28"/>
      <w:szCs w:val="24"/>
    </w:rPr>
  </w:style>
  <w:style w:type="paragraph" w:customStyle="1" w:styleId="138">
    <w:name w:val="D正文"/>
    <w:basedOn w:val="1"/>
    <w:autoRedefine/>
    <w:qFormat/>
    <w:uiPriority w:val="99"/>
    <w:pPr>
      <w:widowControl/>
      <w:spacing w:before="100" w:beforeAutospacing="1" w:after="100" w:afterAutospacing="1"/>
      <w:ind w:firstLine="480"/>
    </w:pPr>
    <w:rPr>
      <w:kern w:val="0"/>
    </w:rPr>
  </w:style>
  <w:style w:type="paragraph" w:customStyle="1" w:styleId="139">
    <w:name w:val="样式 正文缩进正文缩进2正文缩进 Char Char正文缩进 Char Char Char Char正文缩进 Char ..."/>
    <w:basedOn w:val="11"/>
    <w:autoRedefine/>
    <w:qFormat/>
    <w:uiPriority w:val="99"/>
    <w:pPr>
      <w:adjustRightInd w:val="0"/>
      <w:snapToGrid w:val="0"/>
      <w:ind w:firstLine="200"/>
    </w:pPr>
    <w:rPr>
      <w:rFonts w:ascii="仿宋_GB2312" w:eastAsia="仿宋_GB2312" w:cs="宋体"/>
      <w:color w:val="000000"/>
      <w:szCs w:val="24"/>
    </w:rPr>
  </w:style>
  <w:style w:type="character" w:customStyle="1" w:styleId="140">
    <w:name w:val="Default Char"/>
    <w:link w:val="53"/>
    <w:autoRedefine/>
    <w:qFormat/>
    <w:locked/>
    <w:uiPriority w:val="99"/>
    <w:rPr>
      <w:rFonts w:ascii="宋体"/>
      <w:color w:val="000000"/>
      <w:kern w:val="0"/>
      <w:sz w:val="24"/>
    </w:rPr>
  </w:style>
  <w:style w:type="character" w:customStyle="1" w:styleId="141">
    <w:name w:val="Normal (Web) Char"/>
    <w:link w:val="31"/>
    <w:autoRedefine/>
    <w:qFormat/>
    <w:locked/>
    <w:uiPriority w:val="99"/>
    <w:rPr>
      <w:rFonts w:ascii="宋体" w:eastAsia="宋体"/>
      <w:kern w:val="0"/>
      <w:sz w:val="24"/>
    </w:rPr>
  </w:style>
  <w:style w:type="character" w:customStyle="1" w:styleId="142">
    <w:name w:val="正文（文字） Char"/>
    <w:link w:val="143"/>
    <w:autoRedefine/>
    <w:qFormat/>
    <w:locked/>
    <w:uiPriority w:val="99"/>
    <w:rPr>
      <w:sz w:val="24"/>
    </w:rPr>
  </w:style>
  <w:style w:type="paragraph" w:customStyle="1" w:styleId="143">
    <w:name w:val="正文（文字）"/>
    <w:basedOn w:val="1"/>
    <w:link w:val="142"/>
    <w:autoRedefine/>
    <w:qFormat/>
    <w:uiPriority w:val="99"/>
    <w:pPr>
      <w:widowControl/>
      <w:adjustRightInd w:val="0"/>
      <w:snapToGrid w:val="0"/>
      <w:ind w:firstLine="480"/>
    </w:pPr>
    <w:rPr>
      <w:kern w:val="0"/>
      <w:szCs w:val="20"/>
    </w:rPr>
  </w:style>
  <w:style w:type="paragraph" w:customStyle="1" w:styleId="144">
    <w:name w:val="Char Char Char Char Char Char Char Char Char Char Char Char Char Char Char Char2"/>
    <w:basedOn w:val="1"/>
    <w:autoRedefine/>
    <w:qFormat/>
    <w:uiPriority w:val="99"/>
    <w:pPr>
      <w:spacing w:line="240" w:lineRule="auto"/>
      <w:ind w:firstLine="0" w:firstLineChars="0"/>
    </w:pPr>
    <w:rPr>
      <w:sz w:val="21"/>
      <w:szCs w:val="20"/>
    </w:rPr>
  </w:style>
  <w:style w:type="character" w:customStyle="1" w:styleId="145">
    <w:name w:val="fontstyle21"/>
    <w:basedOn w:val="39"/>
    <w:autoRedefine/>
    <w:qFormat/>
    <w:uiPriority w:val="99"/>
    <w:rPr>
      <w:rFonts w:ascii="TimesNewRomanPSMT" w:hAnsi="TimesNewRomanPSMT" w:cs="Times New Roman"/>
      <w:color w:val="000000"/>
      <w:sz w:val="22"/>
      <w:szCs w:val="22"/>
    </w:rPr>
  </w:style>
  <w:style w:type="paragraph" w:customStyle="1" w:styleId="146">
    <w:name w:val="正"/>
    <w:basedOn w:val="1"/>
    <w:autoRedefine/>
    <w:qFormat/>
    <w:uiPriority w:val="99"/>
    <w:pPr>
      <w:spacing w:line="240" w:lineRule="auto"/>
      <w:ind w:firstLine="200"/>
    </w:pPr>
    <w:rPr>
      <w:szCs w:val="20"/>
    </w:rPr>
  </w:style>
  <w:style w:type="paragraph" w:customStyle="1" w:styleId="147">
    <w:name w:val="B正文"/>
    <w:basedOn w:val="1"/>
    <w:autoRedefine/>
    <w:qFormat/>
    <w:uiPriority w:val="99"/>
    <w:pPr>
      <w:ind w:firstLine="200"/>
    </w:pPr>
    <w:rPr>
      <w:kern w:val="0"/>
    </w:rPr>
  </w:style>
  <w:style w:type="character" w:customStyle="1" w:styleId="148">
    <w:name w:val="fontstyle11"/>
    <w:basedOn w:val="39"/>
    <w:autoRedefine/>
    <w:qFormat/>
    <w:uiPriority w:val="99"/>
    <w:rPr>
      <w:rFonts w:ascii="TimesNewRomanPSMT" w:hAnsi="TimesNewRomanPSMT" w:cs="Times New Roman"/>
      <w:color w:val="000000"/>
      <w:sz w:val="24"/>
      <w:szCs w:val="24"/>
    </w:rPr>
  </w:style>
  <w:style w:type="character" w:customStyle="1" w:styleId="149">
    <w:name w:val="fontstyle31"/>
    <w:basedOn w:val="39"/>
    <w:autoRedefine/>
    <w:qFormat/>
    <w:uiPriority w:val="99"/>
    <w:rPr>
      <w:rFonts w:ascii="TimesNewRomanPS-BoldMT" w:hAnsi="TimesNewRomanPS-BoldMT" w:cs="Times New Roman"/>
      <w:b/>
      <w:bCs/>
      <w:color w:val="000000"/>
      <w:sz w:val="24"/>
      <w:szCs w:val="24"/>
    </w:rPr>
  </w:style>
  <w:style w:type="paragraph" w:customStyle="1" w:styleId="150">
    <w:name w:val="表文"/>
    <w:basedOn w:val="1"/>
    <w:autoRedefine/>
    <w:qFormat/>
    <w:uiPriority w:val="99"/>
    <w:pPr>
      <w:spacing w:line="312" w:lineRule="auto"/>
      <w:ind w:left="51" w:right="51" w:firstLine="0" w:firstLineChars="0"/>
      <w:jc w:val="center"/>
    </w:pPr>
    <w:rPr>
      <w:szCs w:val="22"/>
    </w:rPr>
  </w:style>
  <w:style w:type="character" w:customStyle="1" w:styleId="151">
    <w:name w:val="B表内 Char"/>
    <w:link w:val="152"/>
    <w:autoRedefine/>
    <w:qFormat/>
    <w:locked/>
    <w:uiPriority w:val="99"/>
  </w:style>
  <w:style w:type="paragraph" w:customStyle="1" w:styleId="152">
    <w:name w:val="B表内"/>
    <w:basedOn w:val="1"/>
    <w:link w:val="151"/>
    <w:autoRedefine/>
    <w:qFormat/>
    <w:uiPriority w:val="99"/>
    <w:pPr>
      <w:spacing w:line="240" w:lineRule="atLeast"/>
      <w:ind w:firstLine="0" w:firstLineChars="0"/>
      <w:jc w:val="center"/>
    </w:pPr>
    <w:rPr>
      <w:sz w:val="21"/>
      <w:szCs w:val="22"/>
    </w:rPr>
  </w:style>
  <w:style w:type="character" w:customStyle="1" w:styleId="153">
    <w:name w:val="批注文字 字符1"/>
    <w:autoRedefine/>
    <w:semiHidden/>
    <w:qFormat/>
    <w:uiPriority w:val="99"/>
    <w:rPr>
      <w:rFonts w:ascii="Times New Roman" w:hAnsi="Times New Roman" w:eastAsia="宋体"/>
      <w:sz w:val="24"/>
    </w:rPr>
  </w:style>
  <w:style w:type="character" w:customStyle="1" w:styleId="154">
    <w:name w:val="普通(网站) Char1"/>
    <w:autoRedefine/>
    <w:qFormat/>
    <w:locked/>
    <w:uiPriority w:val="99"/>
    <w:rPr>
      <w:rFonts w:ascii="宋体" w:hAnsi="宋体" w:eastAsia="宋体"/>
      <w:sz w:val="24"/>
    </w:rPr>
  </w:style>
  <w:style w:type="paragraph" w:customStyle="1" w:styleId="155">
    <w:name w:val="报告表正文"/>
    <w:basedOn w:val="1"/>
    <w:link w:val="156"/>
    <w:autoRedefine/>
    <w:qFormat/>
    <w:uiPriority w:val="99"/>
    <w:pPr>
      <w:adjustRightInd w:val="0"/>
      <w:spacing w:line="312" w:lineRule="auto"/>
      <w:ind w:left="113" w:right="113" w:firstLine="482" w:firstLineChars="0"/>
      <w:jc w:val="left"/>
      <w:textAlignment w:val="baseline"/>
    </w:pPr>
    <w:rPr>
      <w:kern w:val="0"/>
      <w:sz w:val="20"/>
      <w:szCs w:val="20"/>
    </w:rPr>
  </w:style>
  <w:style w:type="character" w:customStyle="1" w:styleId="156">
    <w:name w:val="报告表正文 Char"/>
    <w:link w:val="155"/>
    <w:autoRedefine/>
    <w:qFormat/>
    <w:locked/>
    <w:uiPriority w:val="99"/>
    <w:rPr>
      <w:kern w:val="0"/>
      <w:sz w:val="20"/>
    </w:rPr>
  </w:style>
  <w:style w:type="character" w:customStyle="1" w:styleId="157">
    <w:name w:val="3博创正文 Char"/>
    <w:link w:val="158"/>
    <w:autoRedefine/>
    <w:qFormat/>
    <w:locked/>
    <w:uiPriority w:val="99"/>
    <w:rPr>
      <w:rFonts w:ascii="宋体" w:eastAsia="宋体"/>
      <w:sz w:val="24"/>
    </w:rPr>
  </w:style>
  <w:style w:type="paragraph" w:customStyle="1" w:styleId="158">
    <w:name w:val="3博创正文"/>
    <w:basedOn w:val="1"/>
    <w:link w:val="157"/>
    <w:autoRedefine/>
    <w:qFormat/>
    <w:uiPriority w:val="99"/>
    <w:pPr>
      <w:spacing w:line="240" w:lineRule="auto"/>
      <w:ind w:firstLine="0" w:firstLineChars="0"/>
    </w:pPr>
    <w:rPr>
      <w:rFonts w:ascii="宋体"/>
      <w:kern w:val="0"/>
      <w:szCs w:val="20"/>
    </w:rPr>
  </w:style>
  <w:style w:type="character" w:customStyle="1" w:styleId="159">
    <w:name w:val="正文 小四 行距: 1.5 倍行距 Char"/>
    <w:link w:val="160"/>
    <w:autoRedefine/>
    <w:qFormat/>
    <w:locked/>
    <w:uiPriority w:val="99"/>
    <w:rPr>
      <w:rFonts w:ascii="宋体" w:eastAsia="宋体"/>
      <w:sz w:val="24"/>
    </w:rPr>
  </w:style>
  <w:style w:type="paragraph" w:customStyle="1" w:styleId="160">
    <w:name w:val="正文 小四 行距: 1.5 倍行距"/>
    <w:basedOn w:val="1"/>
    <w:link w:val="159"/>
    <w:autoRedefine/>
    <w:qFormat/>
    <w:uiPriority w:val="99"/>
    <w:pPr>
      <w:ind w:firstLine="480"/>
    </w:pPr>
    <w:rPr>
      <w:rFonts w:ascii="宋体"/>
      <w:kern w:val="0"/>
      <w:szCs w:val="20"/>
    </w:rPr>
  </w:style>
  <w:style w:type="character" w:customStyle="1" w:styleId="161">
    <w:name w:val="Caption Char"/>
    <w:link w:val="12"/>
    <w:autoRedefine/>
    <w:qFormat/>
    <w:locked/>
    <w:uiPriority w:val="99"/>
    <w:rPr>
      <w:rFonts w:ascii="Arial" w:hAnsi="Arial" w:eastAsia="黑体"/>
      <w:sz w:val="24"/>
    </w:rPr>
  </w:style>
  <w:style w:type="character" w:customStyle="1" w:styleId="162">
    <w:name w:val="Body Text 3 Char"/>
    <w:basedOn w:val="39"/>
    <w:link w:val="14"/>
    <w:autoRedefine/>
    <w:qFormat/>
    <w:locked/>
    <w:uiPriority w:val="99"/>
    <w:rPr>
      <w:rFonts w:cs="Times New Roman"/>
      <w:sz w:val="16"/>
      <w:szCs w:val="16"/>
    </w:rPr>
  </w:style>
  <w:style w:type="character" w:customStyle="1" w:styleId="163">
    <w:name w:val="Date Char"/>
    <w:basedOn w:val="39"/>
    <w:link w:val="19"/>
    <w:autoRedefine/>
    <w:qFormat/>
    <w:locked/>
    <w:uiPriority w:val="99"/>
    <w:rPr>
      <w:rFonts w:cs="Times New Roman"/>
      <w:kern w:val="0"/>
      <w:sz w:val="20"/>
      <w:szCs w:val="20"/>
    </w:rPr>
  </w:style>
  <w:style w:type="character" w:customStyle="1" w:styleId="164">
    <w:name w:val="Body Text Indent 3 Char"/>
    <w:basedOn w:val="39"/>
    <w:link w:val="28"/>
    <w:autoRedefine/>
    <w:qFormat/>
    <w:locked/>
    <w:uiPriority w:val="99"/>
    <w:rPr>
      <w:rFonts w:cs="Times New Roman"/>
      <w:sz w:val="16"/>
      <w:szCs w:val="16"/>
    </w:rPr>
  </w:style>
  <w:style w:type="character" w:customStyle="1" w:styleId="165">
    <w:name w:val="Comment Subject Char"/>
    <w:basedOn w:val="64"/>
    <w:link w:val="33"/>
    <w:autoRedefine/>
    <w:semiHidden/>
    <w:qFormat/>
    <w:locked/>
    <w:uiPriority w:val="99"/>
    <w:rPr>
      <w:b/>
      <w:bCs/>
    </w:rPr>
  </w:style>
  <w:style w:type="character" w:customStyle="1" w:styleId="166">
    <w:name w:val="正文26 字符"/>
    <w:link w:val="167"/>
    <w:autoRedefine/>
    <w:qFormat/>
    <w:locked/>
    <w:uiPriority w:val="99"/>
    <w:rPr>
      <w:rFonts w:ascii="宋体" w:eastAsia="宋体"/>
      <w:snapToGrid w:val="0"/>
      <w:sz w:val="24"/>
    </w:rPr>
  </w:style>
  <w:style w:type="paragraph" w:customStyle="1" w:styleId="167">
    <w:name w:val="正文26"/>
    <w:basedOn w:val="1"/>
    <w:link w:val="166"/>
    <w:autoRedefine/>
    <w:qFormat/>
    <w:uiPriority w:val="99"/>
    <w:pPr>
      <w:adjustRightInd w:val="0"/>
      <w:snapToGrid w:val="0"/>
      <w:spacing w:line="520" w:lineRule="exact"/>
      <w:ind w:firstLine="480"/>
      <w:textAlignment w:val="baseline"/>
    </w:pPr>
    <w:rPr>
      <w:rFonts w:ascii="宋体"/>
      <w:kern w:val="0"/>
      <w:szCs w:val="20"/>
    </w:rPr>
  </w:style>
  <w:style w:type="character" w:customStyle="1" w:styleId="168">
    <w:name w:val="正文文本 字符1"/>
    <w:autoRedefine/>
    <w:semiHidden/>
    <w:qFormat/>
    <w:uiPriority w:val="99"/>
    <w:rPr>
      <w:rFonts w:ascii="Times New Roman" w:hAnsi="Times New Roman" w:eastAsia="宋体"/>
      <w:sz w:val="24"/>
    </w:rPr>
  </w:style>
  <w:style w:type="character" w:customStyle="1" w:styleId="169">
    <w:name w:val="fontstyle41"/>
    <w:autoRedefine/>
    <w:qFormat/>
    <w:uiPriority w:val="99"/>
    <w:rPr>
      <w:rFonts w:ascii="CambriaMath" w:hAnsi="CambriaMath"/>
      <w:color w:val="000000"/>
      <w:sz w:val="24"/>
    </w:rPr>
  </w:style>
  <w:style w:type="character" w:customStyle="1" w:styleId="170">
    <w:name w:val="页脚 字符"/>
    <w:basedOn w:val="39"/>
    <w:autoRedefine/>
    <w:qFormat/>
    <w:uiPriority w:val="99"/>
    <w:rPr>
      <w:rFonts w:cs="Times New Roman"/>
    </w:rPr>
  </w:style>
  <w:style w:type="character" w:customStyle="1" w:styleId="171">
    <w:name w:val="正文文本_"/>
    <w:link w:val="172"/>
    <w:autoRedefine/>
    <w:qFormat/>
    <w:locked/>
    <w:uiPriority w:val="99"/>
    <w:rPr>
      <w:rFonts w:ascii="宋体" w:eastAsia="宋体"/>
      <w:sz w:val="22"/>
      <w:shd w:val="clear" w:color="auto" w:fill="FFFFFF"/>
    </w:rPr>
  </w:style>
  <w:style w:type="paragraph" w:customStyle="1" w:styleId="172">
    <w:name w:val="正文文本[858D7CFB-ED40-4347-BF05-701D383B685F][858D7CFB-ED40-4347-BF05-701D383B685F]"/>
    <w:basedOn w:val="1"/>
    <w:link w:val="171"/>
    <w:autoRedefine/>
    <w:qFormat/>
    <w:uiPriority w:val="99"/>
    <w:pPr>
      <w:widowControl/>
      <w:shd w:val="clear" w:color="auto" w:fill="FFFFFF"/>
      <w:spacing w:before="360" w:after="180" w:line="240" w:lineRule="atLeast"/>
      <w:ind w:hanging="1040" w:firstLineChars="0"/>
      <w:jc w:val="left"/>
    </w:pPr>
    <w:rPr>
      <w:rFonts w:ascii="宋体"/>
      <w:kern w:val="0"/>
      <w:sz w:val="22"/>
      <w:szCs w:val="20"/>
    </w:rPr>
  </w:style>
  <w:style w:type="character" w:customStyle="1" w:styleId="173">
    <w:name w:val="表内容 Char"/>
    <w:link w:val="174"/>
    <w:autoRedefine/>
    <w:qFormat/>
    <w:locked/>
    <w:uiPriority w:val="99"/>
  </w:style>
  <w:style w:type="paragraph" w:customStyle="1" w:styleId="174">
    <w:name w:val="表内容"/>
    <w:basedOn w:val="1"/>
    <w:next w:val="1"/>
    <w:link w:val="173"/>
    <w:autoRedefine/>
    <w:qFormat/>
    <w:uiPriority w:val="99"/>
    <w:pPr>
      <w:spacing w:line="320" w:lineRule="exact"/>
      <w:ind w:firstLine="0" w:firstLineChars="0"/>
      <w:jc w:val="center"/>
    </w:pPr>
    <w:rPr>
      <w:sz w:val="21"/>
      <w:szCs w:val="22"/>
    </w:rPr>
  </w:style>
  <w:style w:type="character" w:customStyle="1" w:styleId="175">
    <w:name w:val="默认段落 Char"/>
    <w:link w:val="176"/>
    <w:autoRedefine/>
    <w:qFormat/>
    <w:locked/>
    <w:uiPriority w:val="99"/>
    <w:rPr>
      <w:sz w:val="24"/>
    </w:rPr>
  </w:style>
  <w:style w:type="paragraph" w:customStyle="1" w:styleId="176">
    <w:name w:val="默认段落"/>
    <w:basedOn w:val="1"/>
    <w:link w:val="175"/>
    <w:autoRedefine/>
    <w:qFormat/>
    <w:uiPriority w:val="99"/>
    <w:pPr>
      <w:topLinePunct/>
      <w:adjustRightInd w:val="0"/>
      <w:snapToGrid w:val="0"/>
      <w:ind w:firstLine="200"/>
    </w:pPr>
    <w:rPr>
      <w:kern w:val="0"/>
      <w:szCs w:val="20"/>
    </w:rPr>
  </w:style>
  <w:style w:type="character" w:customStyle="1" w:styleId="177">
    <w:name w:val="正文(首行缩进) Char1"/>
    <w:link w:val="75"/>
    <w:autoRedefine/>
    <w:qFormat/>
    <w:locked/>
    <w:uiPriority w:val="99"/>
    <w:rPr>
      <w:color w:val="000000"/>
      <w:sz w:val="24"/>
    </w:rPr>
  </w:style>
  <w:style w:type="character" w:customStyle="1" w:styleId="178">
    <w:name w:val="表格文字 Char"/>
    <w:link w:val="79"/>
    <w:autoRedefine/>
    <w:qFormat/>
    <w:locked/>
    <w:uiPriority w:val="99"/>
    <w:rPr>
      <w:rFonts w:ascii="宋体"/>
      <w:b/>
      <w:color w:val="000000"/>
      <w:sz w:val="24"/>
    </w:rPr>
  </w:style>
  <w:style w:type="character" w:customStyle="1" w:styleId="179">
    <w:name w:val="表格内容1 字符"/>
    <w:link w:val="180"/>
    <w:autoRedefine/>
    <w:qFormat/>
    <w:locked/>
    <w:uiPriority w:val="99"/>
    <w:rPr>
      <w:sz w:val="21"/>
      <w:lang w:eastAsia="en-US"/>
    </w:rPr>
  </w:style>
  <w:style w:type="paragraph" w:customStyle="1" w:styleId="180">
    <w:name w:val="表格内容1"/>
    <w:basedOn w:val="1"/>
    <w:link w:val="179"/>
    <w:autoRedefine/>
    <w:qFormat/>
    <w:uiPriority w:val="99"/>
    <w:pPr>
      <w:widowControl/>
      <w:spacing w:line="300" w:lineRule="exact"/>
      <w:ind w:firstLine="0" w:firstLineChars="0"/>
      <w:jc w:val="center"/>
    </w:pPr>
    <w:rPr>
      <w:kern w:val="0"/>
      <w:sz w:val="21"/>
      <w:szCs w:val="20"/>
      <w:lang w:eastAsia="en-US"/>
    </w:rPr>
  </w:style>
  <w:style w:type="character" w:customStyle="1" w:styleId="181">
    <w:name w:val="c-gap-right-small2"/>
    <w:autoRedefine/>
    <w:qFormat/>
    <w:uiPriority w:val="99"/>
  </w:style>
  <w:style w:type="character" w:customStyle="1" w:styleId="182">
    <w:name w:val="正文文本 (2) Exact"/>
    <w:autoRedefine/>
    <w:qFormat/>
    <w:uiPriority w:val="99"/>
    <w:rPr>
      <w:rFonts w:ascii="MingLiU" w:hAnsi="MingLiU" w:eastAsia="MingLiU"/>
      <w:sz w:val="34"/>
    </w:rPr>
  </w:style>
  <w:style w:type="character" w:customStyle="1" w:styleId="183">
    <w:name w:val="apple-converted-space"/>
    <w:basedOn w:val="39"/>
    <w:autoRedefine/>
    <w:qFormat/>
    <w:uiPriority w:val="99"/>
    <w:rPr>
      <w:rFonts w:cs="Times New Roman"/>
    </w:rPr>
  </w:style>
  <w:style w:type="character" w:customStyle="1" w:styleId="184">
    <w:name w:val="正文文本缩进 2 Char1"/>
    <w:autoRedefine/>
    <w:qFormat/>
    <w:uiPriority w:val="99"/>
    <w:rPr>
      <w:kern w:val="2"/>
      <w:sz w:val="24"/>
    </w:rPr>
  </w:style>
  <w:style w:type="character" w:customStyle="1" w:styleId="185">
    <w:name w:val="正文文本缩进 3 Char1"/>
    <w:autoRedefine/>
    <w:qFormat/>
    <w:uiPriority w:val="99"/>
    <w:rPr>
      <w:kern w:val="2"/>
      <w:sz w:val="16"/>
    </w:rPr>
  </w:style>
  <w:style w:type="character" w:customStyle="1" w:styleId="186">
    <w:name w:val="样式 (符号) 宋体 小四"/>
    <w:autoRedefine/>
    <w:qFormat/>
    <w:uiPriority w:val="99"/>
    <w:rPr>
      <w:rFonts w:ascii="Times New Roman" w:hAnsi="Times New Roman"/>
      <w:sz w:val="24"/>
    </w:rPr>
  </w:style>
  <w:style w:type="character" w:customStyle="1" w:styleId="187">
    <w:name w:val="3zw1"/>
    <w:autoRedefine/>
    <w:qFormat/>
    <w:uiPriority w:val="99"/>
    <w:rPr>
      <w:color w:val="000000"/>
      <w:sz w:val="21"/>
    </w:rPr>
  </w:style>
  <w:style w:type="character" w:customStyle="1" w:styleId="188">
    <w:name w:val="正文首行缩进 Char1"/>
    <w:autoRedefine/>
    <w:qFormat/>
    <w:uiPriority w:val="99"/>
    <w:rPr>
      <w:kern w:val="2"/>
      <w:sz w:val="24"/>
    </w:rPr>
  </w:style>
  <w:style w:type="character" w:customStyle="1" w:styleId="189">
    <w:name w:val="Char Char"/>
    <w:autoRedefine/>
    <w:qFormat/>
    <w:uiPriority w:val="99"/>
    <w:rPr>
      <w:rFonts w:ascii="宋体" w:hAnsi="Courier New"/>
      <w:kern w:val="2"/>
      <w:sz w:val="21"/>
    </w:rPr>
  </w:style>
  <w:style w:type="character" w:customStyle="1" w:styleId="190">
    <w:name w:val="日期 字符"/>
    <w:autoRedefine/>
    <w:semiHidden/>
    <w:qFormat/>
    <w:uiPriority w:val="99"/>
    <w:rPr>
      <w:rFonts w:ascii="Times New Roman" w:hAnsi="Times New Roman" w:eastAsia="宋体"/>
      <w:sz w:val="24"/>
    </w:rPr>
  </w:style>
  <w:style w:type="character" w:customStyle="1" w:styleId="191">
    <w:name w:val="正文01 Char"/>
    <w:link w:val="192"/>
    <w:autoRedefine/>
    <w:qFormat/>
    <w:locked/>
    <w:uiPriority w:val="99"/>
    <w:rPr>
      <w:sz w:val="24"/>
    </w:rPr>
  </w:style>
  <w:style w:type="paragraph" w:customStyle="1" w:styleId="192">
    <w:name w:val="正文01"/>
    <w:basedOn w:val="1"/>
    <w:link w:val="191"/>
    <w:autoRedefine/>
    <w:qFormat/>
    <w:uiPriority w:val="99"/>
    <w:pPr>
      <w:spacing w:before="60" w:line="460" w:lineRule="exact"/>
      <w:ind w:firstLine="539" w:firstLineChars="0"/>
    </w:pPr>
    <w:rPr>
      <w:kern w:val="0"/>
      <w:szCs w:val="20"/>
    </w:rPr>
  </w:style>
  <w:style w:type="character" w:customStyle="1" w:styleId="193">
    <w:name w:val="正文（L） Char Char"/>
    <w:link w:val="194"/>
    <w:autoRedefine/>
    <w:qFormat/>
    <w:locked/>
    <w:uiPriority w:val="99"/>
    <w:rPr>
      <w:rFonts w:eastAsia="华文中宋"/>
      <w:color w:val="993366"/>
      <w:kern w:val="2"/>
      <w:sz w:val="22"/>
      <w:lang w:val="en-US" w:eastAsia="zh-CN"/>
    </w:rPr>
  </w:style>
  <w:style w:type="paragraph" w:customStyle="1" w:styleId="194">
    <w:name w:val="正文（L）"/>
    <w:link w:val="193"/>
    <w:autoRedefine/>
    <w:qFormat/>
    <w:uiPriority w:val="99"/>
    <w:pPr>
      <w:widowControl w:val="0"/>
      <w:spacing w:line="500" w:lineRule="exact"/>
      <w:ind w:firstLine="200" w:firstLineChars="200"/>
    </w:pPr>
    <w:rPr>
      <w:rFonts w:ascii="Times New Roman" w:hAnsi="Times New Roman" w:eastAsia="华文中宋" w:cs="Times New Roman"/>
      <w:color w:val="993366"/>
      <w:kern w:val="2"/>
      <w:sz w:val="24"/>
      <w:szCs w:val="22"/>
      <w:lang w:val="en-US" w:eastAsia="zh-CN" w:bidi="ar-SA"/>
    </w:rPr>
  </w:style>
  <w:style w:type="character" w:customStyle="1" w:styleId="195">
    <w:name w:val="正文缩进 Char1"/>
    <w:autoRedefine/>
    <w:qFormat/>
    <w:locked/>
    <w:uiPriority w:val="99"/>
    <w:rPr>
      <w:rFonts w:eastAsia="宋体"/>
      <w:kern w:val="2"/>
      <w:sz w:val="21"/>
      <w:lang w:val="en-US" w:eastAsia="zh-CN"/>
    </w:rPr>
  </w:style>
  <w:style w:type="character" w:customStyle="1" w:styleId="196">
    <w:name w:val="表格正文 Char"/>
    <w:link w:val="197"/>
    <w:autoRedefine/>
    <w:qFormat/>
    <w:locked/>
    <w:uiPriority w:val="99"/>
    <w:rPr>
      <w:rFonts w:eastAsia="仿宋_GB2312"/>
      <w:color w:val="000000"/>
      <w:kern w:val="2"/>
      <w:sz w:val="22"/>
      <w:lang w:val="en-US" w:eastAsia="zh-CN"/>
    </w:rPr>
  </w:style>
  <w:style w:type="paragraph" w:customStyle="1" w:styleId="197">
    <w:name w:val="表格正文"/>
    <w:link w:val="196"/>
    <w:autoRedefine/>
    <w:qFormat/>
    <w:uiPriority w:val="99"/>
    <w:pPr>
      <w:keepNext/>
      <w:spacing w:line="360" w:lineRule="auto"/>
      <w:jc w:val="both"/>
    </w:pPr>
    <w:rPr>
      <w:rFonts w:ascii="Times New Roman" w:hAnsi="Times New Roman" w:eastAsia="仿宋_GB2312" w:cs="Times New Roman"/>
      <w:color w:val="000000"/>
      <w:kern w:val="2"/>
      <w:sz w:val="21"/>
      <w:szCs w:val="22"/>
      <w:lang w:val="en-US" w:eastAsia="zh-CN" w:bidi="ar-SA"/>
    </w:rPr>
  </w:style>
  <w:style w:type="character" w:customStyle="1" w:styleId="198">
    <w:name w:val="正文格式 Char"/>
    <w:autoRedefine/>
    <w:qFormat/>
    <w:uiPriority w:val="99"/>
    <w:rPr>
      <w:kern w:val="2"/>
      <w:sz w:val="24"/>
    </w:rPr>
  </w:style>
  <w:style w:type="character" w:customStyle="1" w:styleId="199">
    <w:name w:val="标题 3 Char1"/>
    <w:autoRedefine/>
    <w:qFormat/>
    <w:uiPriority w:val="99"/>
    <w:rPr>
      <w:rFonts w:ascii="Arial" w:hAnsi="Arial" w:eastAsia="黑体"/>
      <w:kern w:val="2"/>
      <w:sz w:val="28"/>
      <w:lang w:val="en-US" w:eastAsia="zh-CN"/>
    </w:rPr>
  </w:style>
  <w:style w:type="character" w:customStyle="1" w:styleId="200">
    <w:name w:val="表格题目1 字符"/>
    <w:link w:val="201"/>
    <w:autoRedefine/>
    <w:qFormat/>
    <w:locked/>
    <w:uiPriority w:val="99"/>
    <w:rPr>
      <w:rFonts w:eastAsia="黑体"/>
      <w:sz w:val="24"/>
    </w:rPr>
  </w:style>
  <w:style w:type="paragraph" w:customStyle="1" w:styleId="201">
    <w:name w:val="表格题目1"/>
    <w:basedOn w:val="1"/>
    <w:link w:val="200"/>
    <w:autoRedefine/>
    <w:qFormat/>
    <w:uiPriority w:val="99"/>
    <w:pPr>
      <w:spacing w:beforeLines="50" w:line="240" w:lineRule="auto"/>
      <w:ind w:firstLine="525" w:firstLineChars="250"/>
      <w:jc w:val="left"/>
    </w:pPr>
    <w:rPr>
      <w:rFonts w:eastAsia="黑体"/>
      <w:kern w:val="0"/>
      <w:szCs w:val="20"/>
    </w:rPr>
  </w:style>
  <w:style w:type="character" w:customStyle="1" w:styleId="202">
    <w:name w:val="正文文本 2 Char1"/>
    <w:autoRedefine/>
    <w:qFormat/>
    <w:uiPriority w:val="99"/>
    <w:rPr>
      <w:kern w:val="2"/>
      <w:sz w:val="24"/>
    </w:rPr>
  </w:style>
  <w:style w:type="character" w:customStyle="1" w:styleId="203">
    <w:name w:val="YJ-正文 Char"/>
    <w:link w:val="204"/>
    <w:autoRedefine/>
    <w:qFormat/>
    <w:locked/>
    <w:uiPriority w:val="99"/>
    <w:rPr>
      <w:rFonts w:ascii="宋体" w:eastAsia="宋体"/>
      <w:sz w:val="24"/>
    </w:rPr>
  </w:style>
  <w:style w:type="paragraph" w:customStyle="1" w:styleId="204">
    <w:name w:val="YJ-正文"/>
    <w:basedOn w:val="1"/>
    <w:link w:val="203"/>
    <w:autoRedefine/>
    <w:qFormat/>
    <w:uiPriority w:val="99"/>
    <w:pPr>
      <w:widowControl/>
      <w:spacing w:line="500" w:lineRule="exact"/>
      <w:ind w:firstLine="200"/>
    </w:pPr>
    <w:rPr>
      <w:rFonts w:ascii="宋体"/>
      <w:kern w:val="0"/>
      <w:szCs w:val="20"/>
    </w:rPr>
  </w:style>
  <w:style w:type="character" w:customStyle="1" w:styleId="205">
    <w:name w:val="正文A Char"/>
    <w:link w:val="206"/>
    <w:autoRedefine/>
    <w:qFormat/>
    <w:locked/>
    <w:uiPriority w:val="99"/>
    <w:rPr>
      <w:rFonts w:ascii="宋体" w:eastAsia="宋体"/>
      <w:sz w:val="24"/>
    </w:rPr>
  </w:style>
  <w:style w:type="paragraph" w:customStyle="1" w:styleId="206">
    <w:name w:val="正文A"/>
    <w:basedOn w:val="1"/>
    <w:link w:val="205"/>
    <w:autoRedefine/>
    <w:qFormat/>
    <w:uiPriority w:val="99"/>
    <w:pPr>
      <w:spacing w:line="500" w:lineRule="exact"/>
      <w:ind w:firstLine="480"/>
    </w:pPr>
    <w:rPr>
      <w:rFonts w:ascii="宋体"/>
      <w:kern w:val="0"/>
      <w:szCs w:val="20"/>
    </w:rPr>
  </w:style>
  <w:style w:type="character" w:customStyle="1" w:styleId="207">
    <w:name w:val="04 Char"/>
    <w:link w:val="208"/>
    <w:autoRedefine/>
    <w:qFormat/>
    <w:locked/>
    <w:uiPriority w:val="99"/>
    <w:rPr>
      <w:rFonts w:eastAsia="仿宋_GB2312"/>
      <w:snapToGrid w:val="0"/>
      <w:kern w:val="28"/>
      <w:sz w:val="28"/>
    </w:rPr>
  </w:style>
  <w:style w:type="paragraph" w:customStyle="1" w:styleId="208">
    <w:name w:val="04"/>
    <w:basedOn w:val="209"/>
    <w:link w:val="207"/>
    <w:autoRedefine/>
    <w:qFormat/>
    <w:uiPriority w:val="99"/>
    <w:pPr>
      <w:outlineLvl w:val="3"/>
    </w:pPr>
    <w:rPr>
      <w:b w:val="0"/>
      <w:szCs w:val="20"/>
    </w:rPr>
  </w:style>
  <w:style w:type="paragraph" w:customStyle="1" w:styleId="209">
    <w:name w:val="03"/>
    <w:basedOn w:val="210"/>
    <w:autoRedefine/>
    <w:qFormat/>
    <w:uiPriority w:val="99"/>
    <w:pPr>
      <w:outlineLvl w:val="2"/>
    </w:pPr>
  </w:style>
  <w:style w:type="paragraph" w:customStyle="1" w:styleId="210">
    <w:name w:val="02"/>
    <w:basedOn w:val="211"/>
    <w:autoRedefine/>
    <w:qFormat/>
    <w:uiPriority w:val="99"/>
    <w:pPr>
      <w:jc w:val="both"/>
      <w:outlineLvl w:val="1"/>
    </w:pPr>
    <w:rPr>
      <w:bCs w:val="0"/>
      <w:sz w:val="28"/>
      <w:szCs w:val="28"/>
    </w:rPr>
  </w:style>
  <w:style w:type="paragraph" w:customStyle="1" w:styleId="211">
    <w:name w:val="01"/>
    <w:basedOn w:val="14"/>
    <w:next w:val="22"/>
    <w:autoRedefine/>
    <w:qFormat/>
    <w:uiPriority w:val="99"/>
    <w:pPr>
      <w:widowControl/>
      <w:adjustRightInd w:val="0"/>
      <w:snapToGrid w:val="0"/>
      <w:spacing w:after="0" w:line="360" w:lineRule="auto"/>
      <w:jc w:val="left"/>
      <w:outlineLvl w:val="0"/>
    </w:pPr>
    <w:rPr>
      <w:rFonts w:eastAsia="仿宋_GB2312"/>
      <w:b/>
      <w:bCs/>
      <w:kern w:val="28"/>
      <w:sz w:val="32"/>
      <w:szCs w:val="44"/>
    </w:rPr>
  </w:style>
  <w:style w:type="character" w:customStyle="1" w:styleId="212">
    <w:name w:val="YJ正文* 字符"/>
    <w:link w:val="86"/>
    <w:autoRedefine/>
    <w:qFormat/>
    <w:locked/>
    <w:uiPriority w:val="99"/>
    <w:rPr>
      <w:rFonts w:ascii="等线" w:eastAsia="等线"/>
      <w:sz w:val="24"/>
    </w:rPr>
  </w:style>
  <w:style w:type="character" w:customStyle="1" w:styleId="213">
    <w:name w:val="正文首行缩进 2 Char1"/>
    <w:autoRedefine/>
    <w:qFormat/>
    <w:uiPriority w:val="99"/>
    <w:rPr>
      <w:rFonts w:ascii="Times New Roman" w:hAnsi="Times New Roman" w:eastAsia="宋体"/>
      <w:kern w:val="2"/>
      <w:sz w:val="24"/>
    </w:rPr>
  </w:style>
  <w:style w:type="character" w:customStyle="1" w:styleId="214">
    <w:name w:val="textbig1"/>
    <w:autoRedefine/>
    <w:qFormat/>
    <w:uiPriority w:val="99"/>
    <w:rPr>
      <w:sz w:val="18"/>
    </w:rPr>
  </w:style>
  <w:style w:type="character" w:customStyle="1" w:styleId="215">
    <w:name w:val="No Spacing Char"/>
    <w:link w:val="216"/>
    <w:autoRedefine/>
    <w:qFormat/>
    <w:locked/>
    <w:uiPriority w:val="99"/>
  </w:style>
  <w:style w:type="paragraph" w:styleId="216">
    <w:name w:val="No Spacing"/>
    <w:basedOn w:val="1"/>
    <w:link w:val="215"/>
    <w:autoRedefine/>
    <w:qFormat/>
    <w:uiPriority w:val="99"/>
    <w:pPr>
      <w:widowControl/>
      <w:spacing w:line="360" w:lineRule="exact"/>
      <w:ind w:firstLine="0" w:firstLineChars="0"/>
      <w:jc w:val="center"/>
    </w:pPr>
    <w:rPr>
      <w:sz w:val="21"/>
      <w:szCs w:val="22"/>
    </w:rPr>
  </w:style>
  <w:style w:type="character" w:customStyle="1" w:styleId="217">
    <w:name w:val="五正 Char"/>
    <w:link w:val="218"/>
    <w:autoRedefine/>
    <w:qFormat/>
    <w:locked/>
    <w:uiPriority w:val="99"/>
    <w:rPr>
      <w:rFonts w:ascii="宋体" w:eastAsia="宋体"/>
      <w:sz w:val="24"/>
    </w:rPr>
  </w:style>
  <w:style w:type="paragraph" w:customStyle="1" w:styleId="218">
    <w:name w:val="五正"/>
    <w:basedOn w:val="1"/>
    <w:link w:val="217"/>
    <w:autoRedefine/>
    <w:qFormat/>
    <w:uiPriority w:val="99"/>
    <w:pPr>
      <w:ind w:firstLine="480"/>
    </w:pPr>
    <w:rPr>
      <w:rFonts w:ascii="宋体"/>
      <w:kern w:val="0"/>
      <w:szCs w:val="20"/>
    </w:rPr>
  </w:style>
  <w:style w:type="character" w:customStyle="1" w:styleId="219">
    <w:name w:val="正文文本 3 Char1"/>
    <w:autoRedefine/>
    <w:qFormat/>
    <w:uiPriority w:val="99"/>
    <w:rPr>
      <w:kern w:val="2"/>
      <w:sz w:val="16"/>
    </w:rPr>
  </w:style>
  <w:style w:type="paragraph" w:customStyle="1" w:styleId="220">
    <w:name w:val="列出段落1"/>
    <w:basedOn w:val="1"/>
    <w:autoRedefine/>
    <w:qFormat/>
    <w:uiPriority w:val="99"/>
    <w:pPr>
      <w:spacing w:line="240" w:lineRule="auto"/>
      <w:ind w:firstLine="420"/>
    </w:pPr>
    <w:rPr>
      <w:sz w:val="21"/>
      <w:szCs w:val="20"/>
    </w:rPr>
  </w:style>
  <w:style w:type="paragraph" w:customStyle="1" w:styleId="221">
    <w:name w:val="表格样式"/>
    <w:basedOn w:val="1"/>
    <w:autoRedefine/>
    <w:qFormat/>
    <w:uiPriority w:val="99"/>
    <w:pPr>
      <w:widowControl/>
      <w:ind w:firstLine="0" w:firstLineChars="0"/>
      <w:jc w:val="center"/>
    </w:pPr>
    <w:rPr>
      <w:kern w:val="0"/>
      <w:sz w:val="20"/>
      <w:szCs w:val="21"/>
    </w:rPr>
  </w:style>
  <w:style w:type="paragraph" w:customStyle="1" w:styleId="222">
    <w:name w:val="报告书"/>
    <w:basedOn w:val="1"/>
    <w:autoRedefine/>
    <w:qFormat/>
    <w:uiPriority w:val="99"/>
    <w:pPr>
      <w:ind w:firstLine="482" w:firstLineChars="0"/>
    </w:pPr>
    <w:rPr>
      <w:rFonts w:ascii="Calibri" w:hAnsi="Calibri"/>
      <w:szCs w:val="21"/>
    </w:rPr>
  </w:style>
  <w:style w:type="paragraph" w:customStyle="1" w:styleId="223">
    <w:name w:val="流程图"/>
    <w:basedOn w:val="1"/>
    <w:autoRedefine/>
    <w:qFormat/>
    <w:uiPriority w:val="99"/>
    <w:pPr>
      <w:tabs>
        <w:tab w:val="left" w:pos="0"/>
      </w:tabs>
      <w:autoSpaceDE w:val="0"/>
      <w:autoSpaceDN w:val="0"/>
      <w:adjustRightInd w:val="0"/>
      <w:spacing w:line="240" w:lineRule="atLeast"/>
      <w:ind w:firstLine="0" w:firstLineChars="0"/>
      <w:jc w:val="center"/>
      <w:textAlignment w:val="bottom"/>
    </w:pPr>
    <w:rPr>
      <w:rFonts w:ascii="宋体"/>
      <w:sz w:val="21"/>
      <w:szCs w:val="20"/>
    </w:rPr>
  </w:style>
  <w:style w:type="paragraph" w:customStyle="1" w:styleId="224">
    <w:name w:val="xl30"/>
    <w:basedOn w:val="1"/>
    <w:autoRedefine/>
    <w:qFormat/>
    <w:uiPriority w:val="99"/>
    <w:pPr>
      <w:widowControl/>
      <w:pBdr>
        <w:right w:val="single" w:color="auto" w:sz="4" w:space="0"/>
      </w:pBdr>
      <w:spacing w:before="100" w:beforeAutospacing="1" w:after="100" w:afterAutospacing="1" w:line="240" w:lineRule="auto"/>
      <w:ind w:firstLine="0" w:firstLineChars="0"/>
      <w:jc w:val="center"/>
      <w:textAlignment w:val="center"/>
    </w:pPr>
    <w:rPr>
      <w:rFonts w:ascii="宋体" w:hAnsi="宋体"/>
      <w:kern w:val="0"/>
    </w:rPr>
  </w:style>
  <w:style w:type="paragraph" w:customStyle="1" w:styleId="225">
    <w:name w:val="图表头"/>
    <w:basedOn w:val="1"/>
    <w:autoRedefine/>
    <w:qFormat/>
    <w:uiPriority w:val="99"/>
    <w:pPr>
      <w:tabs>
        <w:tab w:val="left" w:pos="770"/>
      </w:tabs>
      <w:spacing w:beforeLines="50" w:line="240" w:lineRule="auto"/>
      <w:ind w:firstLine="0" w:firstLineChars="0"/>
      <w:jc w:val="center"/>
    </w:pPr>
    <w:rPr>
      <w:b/>
      <w:sz w:val="21"/>
      <w:szCs w:val="20"/>
    </w:rPr>
  </w:style>
  <w:style w:type="paragraph" w:customStyle="1" w:styleId="226">
    <w:name w:val="常用表格样式"/>
    <w:basedOn w:val="1"/>
    <w:next w:val="1"/>
    <w:autoRedefine/>
    <w:qFormat/>
    <w:uiPriority w:val="99"/>
    <w:pPr>
      <w:ind w:firstLine="454" w:firstLineChars="0"/>
      <w:jc w:val="center"/>
    </w:pPr>
    <w:rPr>
      <w:rFonts w:ascii="宋体" w:hAnsi="新宋体" w:eastAsia="仿宋_GB2312"/>
      <w:spacing w:val="2"/>
      <w:sz w:val="18"/>
      <w:szCs w:val="18"/>
    </w:rPr>
  </w:style>
  <w:style w:type="paragraph" w:customStyle="1" w:styleId="227">
    <w:name w:val="表格内文字 小5"/>
    <w:basedOn w:val="1"/>
    <w:next w:val="1"/>
    <w:autoRedefine/>
    <w:qFormat/>
    <w:locked/>
    <w:uiPriority w:val="99"/>
    <w:pPr>
      <w:widowControl/>
      <w:spacing w:line="240" w:lineRule="auto"/>
      <w:ind w:firstLine="0" w:firstLineChars="0"/>
      <w:jc w:val="center"/>
    </w:pPr>
    <w:rPr>
      <w:rFonts w:ascii="方正书宋" w:hAnsi="宋体" w:eastAsia="方正书宋"/>
      <w:color w:val="000000"/>
      <w:kern w:val="0"/>
      <w:sz w:val="18"/>
      <w:szCs w:val="18"/>
    </w:rPr>
  </w:style>
  <w:style w:type="paragraph" w:customStyle="1" w:styleId="228">
    <w:name w:val="报告书表格"/>
    <w:basedOn w:val="1"/>
    <w:autoRedefine/>
    <w:qFormat/>
    <w:uiPriority w:val="99"/>
    <w:pPr>
      <w:adjustRightInd w:val="0"/>
      <w:spacing w:before="60" w:after="60" w:line="240" w:lineRule="atLeast"/>
      <w:ind w:firstLine="0" w:firstLineChars="0"/>
      <w:jc w:val="center"/>
      <w:textAlignment w:val="baseline"/>
    </w:pPr>
    <w:rPr>
      <w:kern w:val="0"/>
      <w:sz w:val="21"/>
      <w:szCs w:val="20"/>
    </w:rPr>
  </w:style>
  <w:style w:type="paragraph" w:customStyle="1" w:styleId="229">
    <w:name w:val="表 头"/>
    <w:basedOn w:val="1"/>
    <w:autoRedefine/>
    <w:qFormat/>
    <w:uiPriority w:val="99"/>
    <w:pPr>
      <w:widowControl/>
      <w:adjustRightInd w:val="0"/>
      <w:spacing w:before="120" w:after="120" w:line="360" w:lineRule="atLeast"/>
      <w:ind w:firstLine="0" w:firstLineChars="0"/>
      <w:jc w:val="center"/>
    </w:pPr>
    <w:rPr>
      <w:rFonts w:eastAsia="黑体"/>
      <w:spacing w:val="10"/>
      <w:kern w:val="0"/>
      <w:szCs w:val="20"/>
    </w:rPr>
  </w:style>
  <w:style w:type="paragraph" w:customStyle="1" w:styleId="230">
    <w:name w:val="Char Char1 Char"/>
    <w:basedOn w:val="1"/>
    <w:autoRedefine/>
    <w:qFormat/>
    <w:uiPriority w:val="99"/>
    <w:pPr>
      <w:spacing w:line="240" w:lineRule="auto"/>
      <w:ind w:firstLine="0" w:firstLineChars="0"/>
    </w:pPr>
    <w:rPr>
      <w:rFonts w:ascii="Calibri" w:hAnsi="Calibri"/>
      <w:sz w:val="21"/>
      <w:szCs w:val="21"/>
    </w:rPr>
  </w:style>
  <w:style w:type="paragraph" w:customStyle="1" w:styleId="231">
    <w:name w:val="cucd-0"/>
    <w:autoRedefine/>
    <w:qFormat/>
    <w:uiPriority w:val="99"/>
    <w:pPr>
      <w:spacing w:line="360" w:lineRule="auto"/>
      <w:ind w:firstLine="480" w:firstLineChars="200"/>
    </w:pPr>
    <w:rPr>
      <w:rFonts w:ascii="Calibri" w:hAnsi="Calibri" w:eastAsia="宋体" w:cs="Times New Roman"/>
      <w:kern w:val="2"/>
      <w:sz w:val="24"/>
      <w:szCs w:val="24"/>
      <w:lang w:val="en-US" w:eastAsia="zh-CN" w:bidi="ar-SA"/>
    </w:rPr>
  </w:style>
  <w:style w:type="paragraph" w:customStyle="1" w:styleId="232">
    <w:name w:val="！正文"/>
    <w:basedOn w:val="1"/>
    <w:autoRedefine/>
    <w:qFormat/>
    <w:uiPriority w:val="99"/>
    <w:pPr>
      <w:widowControl/>
      <w:spacing w:line="500" w:lineRule="exact"/>
      <w:ind w:firstLine="0" w:firstLineChars="0"/>
    </w:pPr>
  </w:style>
  <w:style w:type="paragraph" w:customStyle="1" w:styleId="233">
    <w:name w:val="图文"/>
    <w:basedOn w:val="1"/>
    <w:autoRedefine/>
    <w:qFormat/>
    <w:uiPriority w:val="99"/>
    <w:pPr>
      <w:autoSpaceDE w:val="0"/>
      <w:autoSpaceDN w:val="0"/>
      <w:adjustRightInd w:val="0"/>
      <w:spacing w:line="240" w:lineRule="auto"/>
      <w:ind w:firstLine="0" w:firstLineChars="0"/>
      <w:jc w:val="center"/>
    </w:pPr>
    <w:rPr>
      <w:sz w:val="21"/>
    </w:rPr>
  </w:style>
  <w:style w:type="paragraph" w:customStyle="1" w:styleId="234">
    <w:name w:val="公示"/>
    <w:basedOn w:val="1"/>
    <w:autoRedefine/>
    <w:qFormat/>
    <w:uiPriority w:val="99"/>
    <w:pPr>
      <w:widowControl/>
      <w:ind w:firstLine="600" w:firstLineChars="600"/>
      <w:jc w:val="left"/>
    </w:pPr>
    <w:rPr>
      <w:kern w:val="0"/>
      <w:szCs w:val="20"/>
    </w:rPr>
  </w:style>
  <w:style w:type="paragraph" w:customStyle="1" w:styleId="235">
    <w:name w:val="表头A"/>
    <w:basedOn w:val="1"/>
    <w:autoRedefine/>
    <w:qFormat/>
    <w:uiPriority w:val="99"/>
    <w:pPr>
      <w:adjustRightInd w:val="0"/>
      <w:snapToGrid w:val="0"/>
      <w:spacing w:line="400" w:lineRule="exact"/>
      <w:ind w:firstLine="0" w:firstLineChars="0"/>
      <w:jc w:val="center"/>
    </w:pPr>
    <w:rPr>
      <w:rFonts w:ascii="华文仿宋" w:hAnsi="华文仿宋"/>
      <w:b/>
      <w:kern w:val="0"/>
      <w:szCs w:val="20"/>
    </w:rPr>
  </w:style>
  <w:style w:type="paragraph" w:customStyle="1" w:styleId="236">
    <w:name w:val="环保表内字（五号）"/>
    <w:basedOn w:val="1"/>
    <w:autoRedefine/>
    <w:qFormat/>
    <w:uiPriority w:val="99"/>
    <w:pPr>
      <w:adjustRightInd w:val="0"/>
      <w:snapToGrid w:val="0"/>
      <w:spacing w:line="240" w:lineRule="atLeast"/>
      <w:ind w:firstLine="0" w:firstLineChars="0"/>
      <w:jc w:val="center"/>
    </w:pPr>
    <w:rPr>
      <w:sz w:val="21"/>
      <w:szCs w:val="20"/>
    </w:rPr>
  </w:style>
  <w:style w:type="paragraph" w:customStyle="1" w:styleId="237">
    <w:name w:val="表格内"/>
    <w:basedOn w:val="1"/>
    <w:autoRedefine/>
    <w:qFormat/>
    <w:uiPriority w:val="99"/>
    <w:pPr>
      <w:spacing w:line="360" w:lineRule="exact"/>
      <w:ind w:firstLine="0" w:firstLineChars="0"/>
      <w:jc w:val="center"/>
    </w:pPr>
    <w:rPr>
      <w:sz w:val="21"/>
      <w:szCs w:val="21"/>
    </w:rPr>
  </w:style>
  <w:style w:type="paragraph" w:customStyle="1" w:styleId="238">
    <w:name w:val="Char1"/>
    <w:basedOn w:val="1"/>
    <w:autoRedefine/>
    <w:qFormat/>
    <w:uiPriority w:val="99"/>
    <w:pPr>
      <w:spacing w:line="240" w:lineRule="auto"/>
      <w:ind w:firstLine="0" w:firstLineChars="0"/>
    </w:pPr>
  </w:style>
  <w:style w:type="paragraph" w:customStyle="1" w:styleId="239">
    <w:name w:val="样式 方正仿宋_GBK 三号 行距: 固定值 28 磅"/>
    <w:basedOn w:val="1"/>
    <w:autoRedefine/>
    <w:qFormat/>
    <w:uiPriority w:val="99"/>
    <w:pPr>
      <w:ind w:firstLine="200"/>
      <w:jc w:val="left"/>
    </w:pPr>
    <w:rPr>
      <w:rFonts w:ascii="方正仿宋_GBK" w:hAnsi="方正仿宋_GBK" w:cs="宋体"/>
      <w:sz w:val="28"/>
    </w:rPr>
  </w:style>
  <w:style w:type="paragraph" w:customStyle="1" w:styleId="240">
    <w:name w:val="正本文字"/>
    <w:basedOn w:val="1"/>
    <w:autoRedefine/>
    <w:qFormat/>
    <w:uiPriority w:val="99"/>
    <w:pPr>
      <w:adjustRightInd w:val="0"/>
      <w:snapToGrid w:val="0"/>
      <w:ind w:firstLine="200"/>
      <w:jc w:val="left"/>
    </w:pPr>
    <w:rPr>
      <w:rFonts w:ascii="Calibri" w:hAnsi="Calibri" w:cs="宋体"/>
      <w:kern w:val="18"/>
      <w:szCs w:val="21"/>
    </w:rPr>
  </w:style>
  <w:style w:type="paragraph" w:customStyle="1" w:styleId="241">
    <w:name w:val="Char Char Char Char"/>
    <w:basedOn w:val="1"/>
    <w:autoRedefine/>
    <w:qFormat/>
    <w:uiPriority w:val="99"/>
    <w:pPr>
      <w:spacing w:line="240" w:lineRule="auto"/>
      <w:ind w:firstLine="0" w:firstLineChars="0"/>
    </w:pPr>
    <w:rPr>
      <w:sz w:val="21"/>
    </w:rPr>
  </w:style>
  <w:style w:type="paragraph" w:customStyle="1" w:styleId="242">
    <w:name w:val="zhang正文"/>
    <w:autoRedefine/>
    <w:qFormat/>
    <w:uiPriority w:val="99"/>
    <w:pPr>
      <w:autoSpaceDE w:val="0"/>
      <w:autoSpaceDN w:val="0"/>
      <w:adjustRightInd w:val="0"/>
      <w:snapToGrid w:val="0"/>
      <w:spacing w:after="0" w:line="500" w:lineRule="exact"/>
      <w:ind w:left="0" w:leftChars="0" w:firstLine="539" w:firstLineChars="0"/>
      <w:textAlignment w:val="baseline"/>
    </w:pPr>
    <w:rPr>
      <w:rFonts w:ascii="Times New Roman" w:hAnsi="Times New Roman" w:eastAsia="楷体_GB2312" w:cs="Times New Roman"/>
      <w:sz w:val="28"/>
    </w:rPr>
  </w:style>
  <w:style w:type="paragraph" w:customStyle="1" w:styleId="243">
    <w:name w:val="环正文"/>
    <w:basedOn w:val="1"/>
    <w:autoRedefine/>
    <w:qFormat/>
    <w:uiPriority w:val="99"/>
    <w:pPr>
      <w:widowControl/>
      <w:tabs>
        <w:tab w:val="left" w:pos="5094"/>
      </w:tabs>
      <w:adjustRightInd w:val="0"/>
      <w:spacing w:line="312" w:lineRule="atLeast"/>
      <w:ind w:firstLine="637" w:firstLineChars="232"/>
      <w:textAlignment w:val="baseline"/>
    </w:pPr>
    <w:rPr>
      <w:rFonts w:ascii="宋体" w:hAnsi="宋体"/>
      <w:kern w:val="0"/>
      <w:szCs w:val="20"/>
    </w:rPr>
  </w:style>
  <w:style w:type="paragraph" w:customStyle="1" w:styleId="244">
    <w:name w:val="普通(网站)2"/>
    <w:basedOn w:val="1"/>
    <w:autoRedefine/>
    <w:qFormat/>
    <w:uiPriority w:val="99"/>
    <w:pPr>
      <w:widowControl/>
      <w:spacing w:before="100" w:beforeAutospacing="1" w:after="100" w:afterAutospacing="1" w:line="240" w:lineRule="auto"/>
      <w:ind w:firstLine="0" w:firstLineChars="0"/>
      <w:jc w:val="left"/>
    </w:pPr>
    <w:rPr>
      <w:rFonts w:ascii="宋体" w:hAnsi="宋体"/>
      <w:szCs w:val="20"/>
    </w:rPr>
  </w:style>
  <w:style w:type="paragraph" w:customStyle="1" w:styleId="245">
    <w:name w:val="样式 样式 正文（ＬＺＱ） + 首行缩进:  2 字符 行距: 固定值 26 磅 + 首行缩进:  2 字符"/>
    <w:basedOn w:val="1"/>
    <w:autoRedefine/>
    <w:qFormat/>
    <w:uiPriority w:val="99"/>
    <w:pPr>
      <w:widowControl/>
      <w:adjustRightInd w:val="0"/>
      <w:spacing w:line="500" w:lineRule="exact"/>
      <w:ind w:firstLine="480"/>
      <w:textAlignment w:val="baseline"/>
    </w:pPr>
    <w:rPr>
      <w:rFonts w:eastAsia="华文中宋"/>
      <w:color w:val="000080"/>
      <w:kern w:val="0"/>
      <w:szCs w:val="20"/>
    </w:rPr>
  </w:style>
  <w:style w:type="paragraph" w:customStyle="1" w:styleId="246">
    <w:name w:val="样式 首行缩进:  2 字符1"/>
    <w:basedOn w:val="1"/>
    <w:autoRedefine/>
    <w:qFormat/>
    <w:uiPriority w:val="99"/>
    <w:pPr>
      <w:ind w:firstLine="200"/>
    </w:pPr>
    <w:rPr>
      <w:rFonts w:cs="宋体"/>
      <w:szCs w:val="20"/>
    </w:rPr>
  </w:style>
  <w:style w:type="paragraph" w:customStyle="1" w:styleId="247">
    <w:name w:val="xl38"/>
    <w:basedOn w:val="1"/>
    <w:autoRedefine/>
    <w:qFormat/>
    <w:uiPriority w:val="99"/>
    <w:pPr>
      <w:widowControl/>
      <w:spacing w:before="100" w:beforeAutospacing="1" w:after="100" w:afterAutospacing="1"/>
      <w:ind w:firstLine="640"/>
      <w:jc w:val="center"/>
    </w:pPr>
    <w:rPr>
      <w:rFonts w:ascii="宋体" w:hAnsi="宋体"/>
      <w:kern w:val="0"/>
      <w:szCs w:val="28"/>
    </w:rPr>
  </w:style>
  <w:style w:type="paragraph" w:customStyle="1" w:styleId="248">
    <w:name w:val="0.5正文缩进1"/>
    <w:basedOn w:val="1"/>
    <w:autoRedefine/>
    <w:qFormat/>
    <w:uiPriority w:val="99"/>
    <w:pPr>
      <w:adjustRightInd w:val="0"/>
      <w:snapToGrid w:val="0"/>
      <w:ind w:firstLine="200"/>
      <w:jc w:val="left"/>
    </w:pPr>
    <w:rPr>
      <w:rFonts w:eastAsia="仿宋_GB2312"/>
      <w:kern w:val="0"/>
    </w:rPr>
  </w:style>
  <w:style w:type="paragraph" w:customStyle="1" w:styleId="249">
    <w:name w:val="B表头"/>
    <w:basedOn w:val="1"/>
    <w:autoRedefine/>
    <w:qFormat/>
    <w:uiPriority w:val="99"/>
    <w:pPr>
      <w:spacing w:beforeLines="50" w:line="240" w:lineRule="auto"/>
      <w:ind w:firstLine="0" w:firstLineChars="0"/>
      <w:jc w:val="center"/>
    </w:pPr>
    <w:rPr>
      <w:b/>
      <w:kern w:val="0"/>
    </w:rPr>
  </w:style>
  <w:style w:type="paragraph" w:customStyle="1" w:styleId="250">
    <w:name w:val="Body Text 21"/>
    <w:basedOn w:val="1"/>
    <w:autoRedefine/>
    <w:qFormat/>
    <w:uiPriority w:val="99"/>
    <w:pPr>
      <w:spacing w:after="120" w:line="480" w:lineRule="auto"/>
      <w:ind w:firstLine="0" w:firstLineChars="0"/>
    </w:pPr>
    <w:rPr>
      <w:sz w:val="21"/>
      <w:szCs w:val="20"/>
    </w:rPr>
  </w:style>
  <w:style w:type="paragraph" w:customStyle="1" w:styleId="251">
    <w:name w:val="Heading 21"/>
    <w:basedOn w:val="1"/>
    <w:autoRedefine/>
    <w:qFormat/>
    <w:uiPriority w:val="99"/>
    <w:pPr>
      <w:spacing w:line="240" w:lineRule="auto"/>
      <w:ind w:left="220" w:firstLine="0" w:firstLineChars="0"/>
      <w:jc w:val="left"/>
      <w:outlineLvl w:val="2"/>
    </w:pPr>
    <w:rPr>
      <w:rFonts w:ascii="宋体" w:hAnsi="宋体"/>
      <w:b/>
      <w:bCs/>
      <w:kern w:val="0"/>
      <w:lang w:eastAsia="en-US"/>
    </w:rPr>
  </w:style>
  <w:style w:type="paragraph" w:customStyle="1" w:styleId="252">
    <w:name w:val="环标3"/>
    <w:basedOn w:val="243"/>
    <w:next w:val="243"/>
    <w:autoRedefine/>
    <w:qFormat/>
    <w:uiPriority w:val="99"/>
    <w:pPr>
      <w:keepNext/>
      <w:keepLines/>
      <w:ind w:right="-11" w:firstLine="0" w:firstLineChars="0"/>
      <w:outlineLvl w:val="2"/>
    </w:pPr>
  </w:style>
  <w:style w:type="paragraph" w:customStyle="1" w:styleId="253">
    <w:name w:val="正文_10"/>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Char Char Char Char Char Char Char Char Char Char Char Char Char Char Char Char Char Char Char Char Char Char Char Char"/>
    <w:basedOn w:val="1"/>
    <w:autoRedefine/>
    <w:qFormat/>
    <w:uiPriority w:val="99"/>
    <w:pPr>
      <w:widowControl/>
      <w:ind w:firstLine="0" w:firstLineChars="0"/>
      <w:jc w:val="left"/>
    </w:pPr>
    <w:rPr>
      <w:sz w:val="21"/>
      <w:szCs w:val="21"/>
    </w:rPr>
  </w:style>
  <w:style w:type="paragraph" w:customStyle="1" w:styleId="255">
    <w:name w:val="内容"/>
    <w:basedOn w:val="1"/>
    <w:autoRedefine/>
    <w:qFormat/>
    <w:uiPriority w:val="99"/>
    <w:pPr>
      <w:adjustRightInd w:val="0"/>
      <w:snapToGrid w:val="0"/>
      <w:ind w:left="280" w:leftChars="100" w:right="280" w:rightChars="100" w:firstLine="560"/>
      <w:jc w:val="left"/>
    </w:pPr>
    <w:rPr>
      <w:rFonts w:ascii="Calibri" w:hAnsi="Calibri"/>
      <w:sz w:val="28"/>
      <w:szCs w:val="28"/>
    </w:rPr>
  </w:style>
  <w:style w:type="paragraph" w:customStyle="1" w:styleId="256">
    <w:name w:val="解释"/>
    <w:basedOn w:val="234"/>
    <w:autoRedefine/>
    <w:qFormat/>
    <w:uiPriority w:val="99"/>
    <w:pPr>
      <w:ind w:firstLine="500" w:firstLineChars="500"/>
    </w:pPr>
  </w:style>
  <w:style w:type="paragraph" w:customStyle="1" w:styleId="257">
    <w:name w:val="K二号标题"/>
    <w:basedOn w:val="1"/>
    <w:autoRedefine/>
    <w:qFormat/>
    <w:uiPriority w:val="99"/>
    <w:pPr>
      <w:widowControl/>
      <w:spacing w:line="416" w:lineRule="auto"/>
      <w:ind w:firstLine="1040"/>
      <w:jc w:val="left"/>
    </w:pPr>
    <w:rPr>
      <w:kern w:val="0"/>
      <w:sz w:val="20"/>
      <w:szCs w:val="20"/>
    </w:rPr>
  </w:style>
  <w:style w:type="paragraph" w:customStyle="1" w:styleId="258">
    <w:name w:val="1"/>
    <w:basedOn w:val="1"/>
    <w:autoRedefine/>
    <w:qFormat/>
    <w:uiPriority w:val="99"/>
    <w:pPr>
      <w:ind w:firstLine="480"/>
    </w:pPr>
    <w:rPr>
      <w:rFonts w:ascii="宋体" w:hAnsi="Calibri"/>
      <w:bCs/>
      <w:szCs w:val="21"/>
    </w:rPr>
  </w:style>
  <w:style w:type="paragraph" w:customStyle="1" w:styleId="259">
    <w:name w:val="表内字"/>
    <w:basedOn w:val="1"/>
    <w:autoRedefine/>
    <w:qFormat/>
    <w:uiPriority w:val="99"/>
    <w:pPr>
      <w:spacing w:line="320" w:lineRule="exact"/>
      <w:ind w:firstLine="0" w:firstLineChars="0"/>
      <w:jc w:val="center"/>
    </w:pPr>
    <w:rPr>
      <w:kern w:val="0"/>
      <w:sz w:val="21"/>
    </w:rPr>
  </w:style>
  <w:style w:type="paragraph" w:customStyle="1" w:styleId="260">
    <w:name w:val="默认段落字体 Para Char"/>
    <w:basedOn w:val="1"/>
    <w:next w:val="1"/>
    <w:autoRedefine/>
    <w:qFormat/>
    <w:uiPriority w:val="99"/>
    <w:pPr>
      <w:ind w:firstLine="200"/>
    </w:pPr>
    <w:rPr>
      <w:rFonts w:ascii="宋体" w:hAnsi="宋体" w:cs="宋体"/>
    </w:rPr>
  </w:style>
  <w:style w:type="paragraph" w:customStyle="1" w:styleId="261">
    <w:name w:val="L表格文字"/>
    <w:basedOn w:val="1"/>
    <w:autoRedefine/>
    <w:qFormat/>
    <w:uiPriority w:val="99"/>
    <w:pPr>
      <w:adjustRightInd w:val="0"/>
      <w:snapToGrid w:val="0"/>
      <w:spacing w:line="240" w:lineRule="auto"/>
      <w:ind w:firstLine="0" w:firstLineChars="0"/>
      <w:jc w:val="center"/>
    </w:pPr>
    <w:rPr>
      <w:rFonts w:cs="宋体"/>
      <w:kern w:val="0"/>
      <w:sz w:val="26"/>
      <w:szCs w:val="26"/>
    </w:rPr>
  </w:style>
  <w:style w:type="paragraph" w:customStyle="1" w:styleId="262">
    <w:name w:val="表格文字小5号"/>
    <w:autoRedefine/>
    <w:qFormat/>
    <w:uiPriority w:val="99"/>
    <w:pPr>
      <w:widowControl w:val="0"/>
      <w:spacing w:line="240" w:lineRule="exact"/>
      <w:jc w:val="center"/>
    </w:pPr>
    <w:rPr>
      <w:rFonts w:ascii="宋体" w:hAnsi="宋体" w:eastAsia="宋体" w:cs="Times New Roman"/>
      <w:kern w:val="2"/>
      <w:sz w:val="18"/>
      <w:szCs w:val="18"/>
      <w:lang w:val="en-US" w:eastAsia="zh-CN" w:bidi="ar-SA"/>
    </w:rPr>
  </w:style>
  <w:style w:type="character" w:customStyle="1" w:styleId="263">
    <w:name w:val="报告书正文 Char"/>
    <w:link w:val="100"/>
    <w:autoRedefine/>
    <w:qFormat/>
    <w:locked/>
    <w:uiPriority w:val="99"/>
    <w:rPr>
      <w:sz w:val="24"/>
    </w:rPr>
  </w:style>
  <w:style w:type="paragraph" w:customStyle="1" w:styleId="264">
    <w:name w:val="HM 图标题"/>
    <w:basedOn w:val="1"/>
    <w:autoRedefine/>
    <w:qFormat/>
    <w:uiPriority w:val="99"/>
    <w:pPr>
      <w:adjustRightInd w:val="0"/>
      <w:snapToGrid w:val="0"/>
      <w:spacing w:before="160" w:after="40" w:line="500" w:lineRule="exact"/>
      <w:ind w:firstLine="0" w:firstLineChars="0"/>
      <w:jc w:val="center"/>
    </w:pPr>
    <w:rPr>
      <w:rFonts w:ascii="黑体" w:hAnsi="黑体" w:eastAsia="黑体"/>
      <w:sz w:val="21"/>
      <w:szCs w:val="20"/>
    </w:rPr>
  </w:style>
  <w:style w:type="paragraph" w:customStyle="1" w:styleId="265">
    <w:name w:val="C 表内容"/>
    <w:basedOn w:val="1"/>
    <w:autoRedefine/>
    <w:qFormat/>
    <w:uiPriority w:val="99"/>
    <w:pPr>
      <w:widowControl/>
      <w:adjustRightInd w:val="0"/>
      <w:snapToGrid w:val="0"/>
      <w:spacing w:line="240" w:lineRule="exact"/>
      <w:ind w:firstLine="0" w:firstLineChars="0"/>
      <w:jc w:val="center"/>
    </w:pPr>
    <w:rPr>
      <w:rFonts w:ascii="宋体"/>
      <w:kern w:val="0"/>
      <w:sz w:val="21"/>
      <w:szCs w:val="18"/>
    </w:rPr>
  </w:style>
  <w:style w:type="paragraph" w:customStyle="1" w:styleId="266">
    <w:name w:val="表中文字"/>
    <w:basedOn w:val="1"/>
    <w:next w:val="1"/>
    <w:autoRedefine/>
    <w:qFormat/>
    <w:uiPriority w:val="0"/>
    <w:pPr>
      <w:spacing w:line="300" w:lineRule="exact"/>
      <w:ind w:firstLine="0" w:firstLineChars="0"/>
      <w:jc w:val="center"/>
    </w:pPr>
    <w:rPr>
      <w:sz w:val="21"/>
    </w:rPr>
  </w:style>
  <w:style w:type="character" w:customStyle="1" w:styleId="267">
    <w:name w:val="页眉 字符"/>
    <w:basedOn w:val="39"/>
    <w:link w:val="23"/>
    <w:autoRedefine/>
    <w:qFormat/>
    <w:uiPriority w:val="0"/>
    <w:rPr>
      <w:rFonts w:hint="default" w:ascii="Calibri" w:hAnsi="Calibri" w:cs="Calibri"/>
    </w:rPr>
  </w:style>
  <w:style w:type="paragraph" w:customStyle="1" w:styleId="268">
    <w:name w:val="Normal (Web)"/>
    <w:basedOn w:val="1"/>
    <w:autoRedefine/>
    <w:qFormat/>
    <w:uiPriority w:val="0"/>
    <w:pPr>
      <w:spacing w:before="100" w:beforeLines="0" w:beforeAutospacing="1" w:after="100" w:afterLines="0" w:afterAutospacing="1"/>
      <w:ind w:left="0" w:right="0"/>
      <w:jc w:val="left"/>
    </w:pPr>
    <w:rPr>
      <w:kern w:val="0"/>
      <w:sz w:val="24"/>
      <w:lang w:val="en-US" w:eastAsia="zh-CN"/>
    </w:rPr>
  </w:style>
  <w:style w:type="paragraph" w:customStyle="1" w:styleId="269">
    <w:name w:val="表格内容2"/>
    <w:basedOn w:val="1"/>
    <w:autoRedefine/>
    <w:qFormat/>
    <w:uiPriority w:val="0"/>
    <w:pPr>
      <w:autoSpaceDE w:val="0"/>
      <w:autoSpaceDN w:val="0"/>
      <w:snapToGrid/>
      <w:spacing w:line="240" w:lineRule="auto"/>
      <w:ind w:firstLine="0" w:firstLineChars="0"/>
      <w:jc w:val="center"/>
    </w:pPr>
    <w:rPr>
      <w:rFonts w:eastAsia="仿宋_GB2312"/>
      <w:spacing w:val="-2"/>
      <w:kern w:val="0"/>
      <w:sz w:val="21"/>
      <w:szCs w:val="21"/>
    </w:rPr>
  </w:style>
  <w:style w:type="paragraph" w:customStyle="1" w:styleId="270">
    <w:name w:val="正文LLLLLLL"/>
    <w:basedOn w:val="1"/>
    <w:autoRedefine/>
    <w:qFormat/>
    <w:uiPriority w:val="0"/>
    <w:pPr>
      <w:spacing w:line="520" w:lineRule="exact"/>
      <w:ind w:firstLine="578" w:firstLineChars="200"/>
      <w:jc w:val="both"/>
    </w:pPr>
    <w:rPr>
      <w:rFonts w:ascii="Times New Roman" w:hAnsi="Times New Roman" w:eastAsia="宋体" w:cs="Times New Roman"/>
      <w:kern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其他</Company>
  <Pages>70</Pages>
  <Words>43392</Words>
  <Characters>48403</Characters>
  <Lines>0</Lines>
  <Paragraphs>0</Paragraphs>
  <TotalTime>1</TotalTime>
  <ScaleCrop>false</ScaleCrop>
  <LinksUpToDate>false</LinksUpToDate>
  <CharactersWithSpaces>48762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2022-07-08T03:03:00Z</dcterms:created>
  <dc:creator>张宏成</dc:creator>
  <cp:lastModifiedBy>潇湘妃子</cp:lastModifiedBy>
  <dcterms:modified xsi:type="dcterms:W3CDTF">2024-09-04T12:17:02Z</dcterms:modified>
  <cp:revision>295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61302759C1514F918A7EC36DFB1CCE99_13</vt:lpwstr>
  </property>
</Properties>
</file>