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754395">
      <w:pPr>
        <w:adjustRightInd w:val="0"/>
        <w:snapToGrid w:val="0"/>
        <w:jc w:val="center"/>
        <w:outlineLvl w:val="0"/>
        <w:rPr>
          <w:bCs/>
          <w:color w:val="auto"/>
          <w:sz w:val="72"/>
          <w:szCs w:val="72"/>
          <w:highlight w:val="none"/>
        </w:rPr>
      </w:pPr>
    </w:p>
    <w:p w14:paraId="4DD7AC05">
      <w:pPr>
        <w:adjustRightInd w:val="0"/>
        <w:snapToGrid w:val="0"/>
        <w:jc w:val="center"/>
        <w:outlineLvl w:val="0"/>
        <w:rPr>
          <w:bCs/>
          <w:color w:val="auto"/>
          <w:sz w:val="72"/>
          <w:szCs w:val="72"/>
          <w:highlight w:val="none"/>
        </w:rPr>
      </w:pPr>
    </w:p>
    <w:p w14:paraId="3E84F6A5">
      <w:pPr>
        <w:adjustRightInd w:val="0"/>
        <w:snapToGrid w:val="0"/>
        <w:jc w:val="center"/>
        <w:outlineLvl w:val="0"/>
        <w:rPr>
          <w:rFonts w:hint="eastAsia" w:ascii="方正小标宋_GBK" w:eastAsia="方正小标宋_GBK"/>
          <w:bCs/>
          <w:color w:val="auto"/>
          <w:sz w:val="72"/>
          <w:szCs w:val="72"/>
          <w:highlight w:val="none"/>
        </w:rPr>
      </w:pPr>
      <w:r>
        <w:rPr>
          <w:rFonts w:hint="eastAsia" w:ascii="方正小标宋_GBK" w:eastAsia="方正小标宋_GBK"/>
          <w:bCs/>
          <w:color w:val="auto"/>
          <w:sz w:val="72"/>
          <w:szCs w:val="72"/>
          <w:highlight w:val="none"/>
        </w:rPr>
        <w:t>建设项目环境影响报告表</w:t>
      </w:r>
    </w:p>
    <w:p w14:paraId="5F54D847">
      <w:pPr>
        <w:adjustRightInd w:val="0"/>
        <w:snapToGrid w:val="0"/>
        <w:spacing w:before="192" w:beforeLines="80"/>
        <w:jc w:val="center"/>
        <w:rPr>
          <w:rFonts w:hint="eastAsia" w:ascii="楷体" w:hAnsi="楷体" w:eastAsia="楷体" w:cs="楷体"/>
          <w:bCs/>
          <w:color w:val="auto"/>
          <w:sz w:val="48"/>
          <w:szCs w:val="48"/>
          <w:highlight w:val="none"/>
        </w:rPr>
      </w:pPr>
      <w:r>
        <w:rPr>
          <w:rFonts w:hint="eastAsia" w:ascii="楷体" w:hAnsi="楷体" w:eastAsia="楷体" w:cs="楷体"/>
          <w:bCs/>
          <w:color w:val="auto"/>
          <w:sz w:val="48"/>
          <w:szCs w:val="48"/>
          <w:highlight w:val="none"/>
        </w:rPr>
        <w:t>（污染影响类）</w:t>
      </w:r>
    </w:p>
    <w:p w14:paraId="50F350C2">
      <w:pPr>
        <w:adjustRightInd w:val="0"/>
        <w:snapToGrid w:val="0"/>
        <w:spacing w:line="288" w:lineRule="auto"/>
        <w:jc w:val="center"/>
        <w:outlineLvl w:val="0"/>
        <w:rPr>
          <w:rFonts w:hint="default" w:eastAsia="华文仿宋"/>
          <w:color w:val="auto"/>
          <w:kern w:val="44"/>
          <w:sz w:val="36"/>
          <w:szCs w:val="36"/>
          <w:highlight w:val="none"/>
          <w:lang w:val="en-US" w:eastAsia="zh-CN"/>
        </w:rPr>
      </w:pPr>
      <w:r>
        <w:rPr>
          <w:rFonts w:hint="eastAsia" w:ascii="仿宋" w:hAnsi="仿宋" w:eastAsia="仿宋" w:cs="仿宋"/>
          <w:color w:val="auto"/>
          <w:kern w:val="44"/>
          <w:sz w:val="36"/>
          <w:szCs w:val="36"/>
          <w:highlight w:val="none"/>
          <w:lang w:eastAsia="zh-CN"/>
        </w:rPr>
        <w:t>（</w:t>
      </w:r>
      <w:r>
        <w:rPr>
          <w:rFonts w:hint="eastAsia" w:ascii="仿宋" w:hAnsi="仿宋" w:eastAsia="仿宋" w:cs="仿宋"/>
          <w:color w:val="auto"/>
          <w:kern w:val="44"/>
          <w:sz w:val="36"/>
          <w:szCs w:val="36"/>
          <w:highlight w:val="none"/>
          <w:lang w:val="en-US" w:eastAsia="zh-CN"/>
        </w:rPr>
        <w:t>报批稿）</w:t>
      </w:r>
    </w:p>
    <w:p w14:paraId="6D204034">
      <w:pPr>
        <w:jc w:val="center"/>
        <w:rPr>
          <w:rFonts w:hint="eastAsia" w:eastAsia="仿宋"/>
          <w:color w:val="auto"/>
          <w:sz w:val="52"/>
          <w:szCs w:val="52"/>
          <w:highlight w:val="none"/>
          <w:lang w:eastAsia="zh-CN"/>
        </w:rPr>
      </w:pPr>
    </w:p>
    <w:p w14:paraId="32CB5320">
      <w:pPr>
        <w:ind w:firstLine="1040"/>
        <w:rPr>
          <w:rFonts w:hint="eastAsia" w:eastAsia="仿宋"/>
          <w:color w:val="auto"/>
          <w:sz w:val="44"/>
          <w:szCs w:val="44"/>
          <w:highlight w:val="none"/>
          <w:lang w:eastAsia="zh-CN"/>
        </w:rPr>
      </w:pPr>
    </w:p>
    <w:p w14:paraId="0222F2FA">
      <w:pPr>
        <w:ind w:firstLine="1040"/>
        <w:rPr>
          <w:rFonts w:hint="eastAsia" w:eastAsia="仿宋"/>
          <w:color w:val="auto"/>
          <w:sz w:val="44"/>
          <w:szCs w:val="44"/>
          <w:highlight w:val="none"/>
          <w:lang w:eastAsia="zh-CN"/>
        </w:rPr>
      </w:pPr>
    </w:p>
    <w:p w14:paraId="557D7049">
      <w:pPr>
        <w:ind w:firstLine="1040"/>
        <w:rPr>
          <w:rFonts w:hint="eastAsia" w:eastAsia="仿宋"/>
          <w:color w:val="auto"/>
          <w:sz w:val="44"/>
          <w:szCs w:val="44"/>
          <w:highlight w:val="none"/>
          <w:lang w:eastAsia="zh-CN"/>
        </w:rPr>
      </w:pPr>
    </w:p>
    <w:p w14:paraId="28A4238D">
      <w:pPr>
        <w:ind w:firstLine="1040"/>
        <w:rPr>
          <w:rFonts w:hint="eastAsia" w:eastAsia="仿宋"/>
          <w:color w:val="auto"/>
          <w:sz w:val="44"/>
          <w:szCs w:val="44"/>
          <w:highlight w:val="none"/>
          <w:lang w:eastAsia="zh-CN"/>
        </w:rPr>
      </w:pPr>
    </w:p>
    <w:p w14:paraId="752119ED">
      <w:pPr>
        <w:keepNext w:val="0"/>
        <w:keepLines w:val="0"/>
        <w:pageBreakBefore w:val="0"/>
        <w:widowControl w:val="0"/>
        <w:kinsoku/>
        <w:wordWrap/>
        <w:overflowPunct/>
        <w:topLinePunct w:val="0"/>
        <w:autoSpaceDE/>
        <w:autoSpaceDN/>
        <w:bidi w:val="0"/>
        <w:adjustRightInd w:val="0"/>
        <w:snapToGrid w:val="0"/>
        <w:spacing w:line="360" w:lineRule="auto"/>
        <w:ind w:left="2230" w:leftChars="300" w:hanging="1600" w:hangingChars="500"/>
        <w:textAlignment w:val="auto"/>
        <w:rPr>
          <w:rFonts w:hint="default" w:ascii="仿宋" w:hAnsi="仿宋" w:eastAsia="仿宋" w:cs="仿宋"/>
          <w:color w:val="auto"/>
          <w:sz w:val="32"/>
          <w:szCs w:val="32"/>
          <w:highlight w:val="none"/>
          <w:u w:val="single"/>
          <w:lang w:val="en-US" w:eastAsia="zh-CN"/>
        </w:rPr>
      </w:pPr>
      <w:r>
        <w:rPr>
          <w:rFonts w:hint="eastAsia" w:ascii="仿宋" w:hAnsi="仿宋" w:eastAsia="仿宋" w:cs="仿宋"/>
          <w:color w:val="auto"/>
          <w:sz w:val="32"/>
          <w:szCs w:val="32"/>
          <w:highlight w:val="none"/>
        </w:rPr>
        <w:t>项目名称：</w:t>
      </w:r>
      <w:r>
        <w:rPr>
          <w:rFonts w:hint="eastAsia" w:ascii="仿宋" w:hAnsi="仿宋" w:eastAsia="仿宋" w:cs="仿宋"/>
          <w:color w:val="auto"/>
          <w:sz w:val="32"/>
          <w:szCs w:val="32"/>
          <w:highlight w:val="none"/>
          <w:u w:val="single"/>
          <w:lang w:val="en-US" w:eastAsia="zh-CN"/>
        </w:rPr>
        <w:t xml:space="preserve">成都聿杰商贸有限公司阜康煤炭洗选分公司120万吨/年煤炭高效洗选封闭式洗煤车间建设及配套设备更新项目                           </w:t>
      </w:r>
    </w:p>
    <w:p w14:paraId="497FE854">
      <w:pPr>
        <w:keepNext w:val="0"/>
        <w:keepLines w:val="0"/>
        <w:pageBreakBefore w:val="0"/>
        <w:widowControl w:val="0"/>
        <w:kinsoku/>
        <w:wordWrap/>
        <w:overflowPunct/>
        <w:topLinePunct w:val="0"/>
        <w:autoSpaceDE/>
        <w:autoSpaceDN/>
        <w:bidi w:val="0"/>
        <w:adjustRightInd w:val="0"/>
        <w:snapToGrid w:val="0"/>
        <w:spacing w:line="360" w:lineRule="auto"/>
        <w:ind w:left="630" w:leftChars="300" w:firstLine="0" w:firstLineChars="0"/>
        <w:textAlignment w:val="auto"/>
        <w:rPr>
          <w:rFonts w:hint="eastAsia" w:ascii="仿宋" w:hAnsi="仿宋" w:eastAsia="仿宋" w:cs="仿宋"/>
          <w:color w:val="auto"/>
          <w:sz w:val="32"/>
          <w:szCs w:val="32"/>
          <w:highlight w:val="none"/>
          <w:u w:val="single"/>
          <w:lang w:val="en-US"/>
        </w:rPr>
      </w:pPr>
      <w:r>
        <w:rPr>
          <w:rFonts w:hint="eastAsia" w:ascii="仿宋" w:hAnsi="仿宋" w:eastAsia="仿宋" w:cs="仿宋"/>
          <w:color w:val="auto"/>
          <w:sz w:val="32"/>
          <w:szCs w:val="32"/>
          <w:highlight w:val="none"/>
        </w:rPr>
        <w:t>建设单位(盖章)：</w:t>
      </w:r>
      <w:r>
        <w:rPr>
          <w:rFonts w:hint="eastAsia" w:ascii="仿宋" w:hAnsi="仿宋" w:eastAsia="仿宋" w:cs="仿宋"/>
          <w:color w:val="auto"/>
          <w:spacing w:val="-11"/>
          <w:sz w:val="32"/>
          <w:szCs w:val="32"/>
          <w:highlight w:val="none"/>
          <w:u w:val="single"/>
          <w:lang w:val="en-US" w:eastAsia="zh-CN"/>
        </w:rPr>
        <w:t>成都聿杰商贸有限公司阜康煤炭洗选分公司</w:t>
      </w:r>
    </w:p>
    <w:p w14:paraId="24CF0478">
      <w:pPr>
        <w:keepNext w:val="0"/>
        <w:keepLines w:val="0"/>
        <w:pageBreakBefore w:val="0"/>
        <w:widowControl w:val="0"/>
        <w:kinsoku/>
        <w:wordWrap/>
        <w:overflowPunct/>
        <w:topLinePunct w:val="0"/>
        <w:autoSpaceDE/>
        <w:autoSpaceDN/>
        <w:bidi w:val="0"/>
        <w:adjustRightInd w:val="0"/>
        <w:snapToGrid w:val="0"/>
        <w:spacing w:line="360" w:lineRule="auto"/>
        <w:ind w:left="630" w:leftChars="300" w:firstLine="0" w:firstLineChars="0"/>
        <w:textAlignment w:val="auto"/>
        <w:rPr>
          <w:rFonts w:hint="default" w:ascii="仿宋" w:hAnsi="仿宋" w:eastAsia="仿宋" w:cs="仿宋"/>
          <w:color w:val="auto"/>
          <w:sz w:val="32"/>
          <w:szCs w:val="32"/>
          <w:highlight w:val="none"/>
          <w:u w:val="single"/>
          <w:lang w:val="en-US" w:eastAsia="zh-CN"/>
        </w:rPr>
      </w:pPr>
      <w:r>
        <w:rPr>
          <w:rFonts w:hint="eastAsia" w:ascii="仿宋" w:hAnsi="仿宋" w:eastAsia="仿宋" w:cs="仿宋"/>
          <w:color w:val="auto"/>
          <w:sz w:val="32"/>
          <w:szCs w:val="32"/>
          <w:highlight w:val="none"/>
        </w:rPr>
        <w:t>编制日期：</w:t>
      </w:r>
      <w:r>
        <w:rPr>
          <w:rFonts w:hint="eastAsia" w:ascii="仿宋" w:hAnsi="仿宋" w:eastAsia="仿宋" w:cs="仿宋"/>
          <w:color w:val="auto"/>
          <w:sz w:val="32"/>
          <w:szCs w:val="32"/>
          <w:highlight w:val="none"/>
          <w:u w:val="single"/>
          <w:lang w:val="en-US" w:eastAsia="zh-CN"/>
        </w:rPr>
        <w:t xml:space="preserve">         二〇二四年九月                   </w:t>
      </w:r>
    </w:p>
    <w:p w14:paraId="46A7C67A">
      <w:pPr>
        <w:adjustRightInd w:val="0"/>
        <w:snapToGrid w:val="0"/>
        <w:spacing w:line="360" w:lineRule="auto"/>
        <w:ind w:firstLine="1040"/>
        <w:rPr>
          <w:rFonts w:hint="eastAsia" w:ascii="仿宋" w:hAnsi="仿宋" w:eastAsia="仿宋" w:cs="仿宋"/>
          <w:color w:val="auto"/>
          <w:sz w:val="32"/>
          <w:szCs w:val="32"/>
          <w:highlight w:val="none"/>
          <w:lang w:eastAsia="zh-CN"/>
        </w:rPr>
      </w:pPr>
    </w:p>
    <w:p w14:paraId="3A0E634A">
      <w:pPr>
        <w:pStyle w:val="12"/>
        <w:rPr>
          <w:rFonts w:hint="eastAsia" w:ascii="仿宋" w:hAnsi="仿宋" w:eastAsia="仿宋" w:cs="仿宋"/>
          <w:color w:val="auto"/>
          <w:sz w:val="32"/>
          <w:szCs w:val="32"/>
          <w:highlight w:val="none"/>
          <w:lang w:eastAsia="zh-CN"/>
        </w:rPr>
      </w:pPr>
    </w:p>
    <w:p w14:paraId="3E301B32">
      <w:pPr>
        <w:pStyle w:val="7"/>
        <w:rPr>
          <w:rFonts w:hint="eastAsia" w:ascii="仿宋" w:hAnsi="仿宋" w:eastAsia="仿宋" w:cs="仿宋"/>
          <w:color w:val="auto"/>
          <w:sz w:val="32"/>
          <w:szCs w:val="32"/>
          <w:highlight w:val="none"/>
          <w:lang w:eastAsia="zh-CN"/>
        </w:rPr>
      </w:pPr>
    </w:p>
    <w:p w14:paraId="0BBE4B75">
      <w:pPr>
        <w:rPr>
          <w:rFonts w:hint="eastAsia" w:ascii="仿宋" w:hAnsi="仿宋" w:eastAsia="仿宋" w:cs="仿宋"/>
          <w:color w:val="auto"/>
          <w:sz w:val="32"/>
          <w:szCs w:val="32"/>
          <w:highlight w:val="none"/>
          <w:lang w:eastAsia="zh-CN"/>
        </w:rPr>
      </w:pPr>
    </w:p>
    <w:p w14:paraId="6D5F5E00">
      <w:pPr>
        <w:pStyle w:val="12"/>
        <w:rPr>
          <w:rFonts w:hint="eastAsia"/>
          <w:color w:val="auto"/>
          <w:lang w:eastAsia="zh-CN"/>
        </w:rPr>
      </w:pPr>
    </w:p>
    <w:p w14:paraId="4BCC630F">
      <w:pPr>
        <w:adjustRightInd w:val="0"/>
        <w:snapToGrid w:val="0"/>
        <w:spacing w:line="288" w:lineRule="auto"/>
        <w:ind w:firstLine="1040"/>
        <w:rPr>
          <w:rFonts w:hint="eastAsia" w:eastAsia="仿宋_GB2312"/>
          <w:color w:val="auto"/>
          <w:sz w:val="36"/>
          <w:szCs w:val="36"/>
          <w:highlight w:val="none"/>
          <w:lang w:eastAsia="zh-CN"/>
        </w:rPr>
      </w:pPr>
    </w:p>
    <w:p w14:paraId="77CBB389">
      <w:pPr>
        <w:adjustRightInd w:val="0"/>
        <w:snapToGrid w:val="0"/>
        <w:spacing w:line="288" w:lineRule="auto"/>
        <w:jc w:val="center"/>
        <w:rPr>
          <w:rFonts w:hint="eastAsia" w:ascii="楷体" w:hAnsi="楷体" w:eastAsia="楷体" w:cs="楷体"/>
          <w:color w:val="auto"/>
          <w:highlight w:val="none"/>
          <w:lang w:eastAsia="zh-CN"/>
        </w:rPr>
      </w:pPr>
      <w:r>
        <w:rPr>
          <w:rFonts w:hint="eastAsia" w:ascii="楷体" w:hAnsi="楷体" w:eastAsia="楷体" w:cs="楷体"/>
          <w:color w:val="auto"/>
          <w:sz w:val="36"/>
          <w:szCs w:val="36"/>
          <w:highlight w:val="none"/>
        </w:rPr>
        <w:t>中华人民共和国生态环境</w:t>
      </w:r>
      <w:r>
        <w:rPr>
          <w:rFonts w:hint="eastAsia" w:ascii="楷体" w:hAnsi="楷体" w:eastAsia="楷体" w:cs="楷体"/>
          <w:color w:val="auto"/>
          <w:sz w:val="36"/>
        </w:rPr>
        <w:t>部制</w:t>
      </w:r>
    </w:p>
    <w:p w14:paraId="0C3677BF">
      <w:pPr>
        <w:pStyle w:val="25"/>
        <w:jc w:val="center"/>
        <w:outlineLvl w:val="0"/>
        <w:rPr>
          <w:rFonts w:hint="eastAsia" w:ascii="黑体" w:hAnsi="黑体" w:eastAsia="黑体"/>
          <w:snapToGrid w:val="0"/>
          <w:color w:val="auto"/>
          <w:sz w:val="30"/>
          <w:szCs w:val="30"/>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5CF17FE4">
      <w:pPr>
        <w:pStyle w:val="25"/>
        <w:jc w:val="center"/>
        <w:outlineLvl w:val="0"/>
        <w:rPr>
          <w:rFonts w:hint="eastAsia" w:ascii="黑体" w:hAnsi="黑体" w:eastAsia="黑体"/>
          <w:snapToGrid w:val="0"/>
          <w:color w:val="auto"/>
          <w:sz w:val="30"/>
          <w:szCs w:val="30"/>
          <w:lang w:eastAsia="zh-CN"/>
        </w:rPr>
        <w:sectPr>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2508FFCB">
      <w:pPr>
        <w:pStyle w:val="25"/>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sz w:val="30"/>
          <w:szCs w:val="30"/>
        </w:rPr>
        <w:t>一、建设项目基本情况</w:t>
      </w: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924"/>
        <w:gridCol w:w="2085"/>
        <w:gridCol w:w="2206"/>
        <w:gridCol w:w="2655"/>
      </w:tblGrid>
      <w:tr w14:paraId="464C94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24" w:type="dxa"/>
            <w:tcMar>
              <w:top w:w="16" w:type="dxa"/>
              <w:left w:w="16" w:type="dxa"/>
              <w:right w:w="16" w:type="dxa"/>
            </w:tcMar>
            <w:vAlign w:val="center"/>
          </w:tcPr>
          <w:p w14:paraId="41033165">
            <w:pPr>
              <w:adjustRightInd w:val="0"/>
              <w:snapToGrid w:val="0"/>
              <w:jc w:val="center"/>
              <w:rPr>
                <w:color w:val="auto"/>
                <w:szCs w:val="21"/>
              </w:rPr>
            </w:pPr>
            <w:r>
              <w:rPr>
                <w:color w:val="auto"/>
                <w:kern w:val="0"/>
                <w:sz w:val="24"/>
              </w:rPr>
              <w:t>建设项目名称</w:t>
            </w:r>
          </w:p>
        </w:tc>
        <w:tc>
          <w:tcPr>
            <w:tcW w:w="6946" w:type="dxa"/>
            <w:gridSpan w:val="3"/>
            <w:vAlign w:val="center"/>
          </w:tcPr>
          <w:p w14:paraId="554D63E4">
            <w:pPr>
              <w:adjustRightInd w:val="0"/>
              <w:snapToGrid w:val="0"/>
              <w:jc w:val="center"/>
              <w:rPr>
                <w:rFonts w:hint="default"/>
                <w:color w:val="auto"/>
                <w:szCs w:val="21"/>
                <w:lang w:val="en-US"/>
              </w:rPr>
            </w:pPr>
            <w:r>
              <w:rPr>
                <w:rFonts w:hint="default"/>
                <w:color w:val="auto"/>
                <w:szCs w:val="21"/>
                <w:lang w:val="en-US" w:eastAsia="zh-CN"/>
              </w:rPr>
              <w:t>成都聿杰商贸有限公司阜康煤炭洗选分公司120万吨/年煤炭高效洗选封闭式洗煤车间建设及配套设备更新项目</w:t>
            </w:r>
          </w:p>
        </w:tc>
      </w:tr>
      <w:tr w14:paraId="306A40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24" w:type="dxa"/>
            <w:tcMar>
              <w:top w:w="16" w:type="dxa"/>
              <w:left w:w="16" w:type="dxa"/>
              <w:right w:w="16" w:type="dxa"/>
            </w:tcMar>
            <w:vAlign w:val="center"/>
          </w:tcPr>
          <w:p w14:paraId="31E8FDCC">
            <w:pPr>
              <w:adjustRightInd w:val="0"/>
              <w:snapToGrid w:val="0"/>
              <w:jc w:val="center"/>
              <w:rPr>
                <w:color w:val="auto"/>
                <w:szCs w:val="21"/>
              </w:rPr>
            </w:pPr>
            <w:r>
              <w:rPr>
                <w:color w:val="auto"/>
                <w:kern w:val="0"/>
                <w:sz w:val="24"/>
              </w:rPr>
              <w:t>项目代码</w:t>
            </w:r>
          </w:p>
        </w:tc>
        <w:tc>
          <w:tcPr>
            <w:tcW w:w="6946" w:type="dxa"/>
            <w:gridSpan w:val="3"/>
            <w:vAlign w:val="center"/>
          </w:tcPr>
          <w:p w14:paraId="603AE86E">
            <w:pPr>
              <w:adjustRightInd w:val="0"/>
              <w:snapToGrid w:val="0"/>
              <w:jc w:val="center"/>
              <w:rPr>
                <w:rFonts w:hint="default" w:eastAsia="宋体"/>
                <w:color w:val="auto"/>
                <w:szCs w:val="21"/>
                <w:lang w:val="en-US" w:eastAsia="zh-CN"/>
              </w:rPr>
            </w:pPr>
            <w:r>
              <w:rPr>
                <w:rFonts w:hint="eastAsia"/>
                <w:color w:val="auto"/>
                <w:sz w:val="24"/>
                <w:szCs w:val="24"/>
                <w:lang w:val="en-US" w:eastAsia="zh-CN"/>
              </w:rPr>
              <w:t>2407-652302-04-01-197953</w:t>
            </w:r>
          </w:p>
        </w:tc>
      </w:tr>
      <w:tr w14:paraId="68067E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24" w:type="dxa"/>
            <w:tcMar>
              <w:top w:w="16" w:type="dxa"/>
              <w:left w:w="16" w:type="dxa"/>
              <w:right w:w="16" w:type="dxa"/>
            </w:tcMar>
            <w:vAlign w:val="center"/>
          </w:tcPr>
          <w:p w14:paraId="53A456D0">
            <w:pPr>
              <w:adjustRightInd w:val="0"/>
              <w:snapToGrid w:val="0"/>
              <w:jc w:val="center"/>
              <w:rPr>
                <w:color w:val="auto"/>
                <w:szCs w:val="21"/>
              </w:rPr>
            </w:pPr>
            <w:r>
              <w:rPr>
                <w:color w:val="auto"/>
                <w:kern w:val="0"/>
                <w:sz w:val="24"/>
              </w:rPr>
              <w:t>建设单位联系人</w:t>
            </w:r>
          </w:p>
        </w:tc>
        <w:tc>
          <w:tcPr>
            <w:tcW w:w="2085" w:type="dxa"/>
            <w:vAlign w:val="center"/>
          </w:tcPr>
          <w:p w14:paraId="6C548183">
            <w:pPr>
              <w:adjustRightInd w:val="0"/>
              <w:snapToGrid w:val="0"/>
              <w:jc w:val="center"/>
              <w:rPr>
                <w:rFonts w:hint="default" w:eastAsia="宋体"/>
                <w:color w:val="auto"/>
                <w:sz w:val="24"/>
                <w:szCs w:val="24"/>
                <w:lang w:val="en-US" w:eastAsia="zh-CN"/>
              </w:rPr>
            </w:pPr>
            <w:r>
              <w:rPr>
                <w:rFonts w:hint="eastAsia"/>
                <w:color w:val="auto"/>
                <w:sz w:val="24"/>
                <w:szCs w:val="24"/>
                <w:lang w:val="en-US" w:eastAsia="zh-CN"/>
              </w:rPr>
              <w:t>***</w:t>
            </w:r>
          </w:p>
        </w:tc>
        <w:tc>
          <w:tcPr>
            <w:tcW w:w="2206" w:type="dxa"/>
            <w:vAlign w:val="center"/>
          </w:tcPr>
          <w:p w14:paraId="43D1B323">
            <w:pPr>
              <w:adjustRightInd w:val="0"/>
              <w:snapToGrid w:val="0"/>
              <w:jc w:val="center"/>
              <w:rPr>
                <w:color w:val="auto"/>
                <w:sz w:val="24"/>
                <w:szCs w:val="24"/>
              </w:rPr>
            </w:pPr>
            <w:r>
              <w:rPr>
                <w:color w:val="auto"/>
                <w:kern w:val="0"/>
                <w:sz w:val="24"/>
                <w:szCs w:val="24"/>
              </w:rPr>
              <w:t>联系方式</w:t>
            </w:r>
          </w:p>
        </w:tc>
        <w:tc>
          <w:tcPr>
            <w:tcW w:w="2655" w:type="dxa"/>
            <w:vAlign w:val="center"/>
          </w:tcPr>
          <w:p w14:paraId="609044A9">
            <w:pPr>
              <w:adjustRightInd w:val="0"/>
              <w:snapToGrid w:val="0"/>
              <w:jc w:val="center"/>
              <w:rPr>
                <w:rFonts w:hint="default" w:eastAsia="宋体"/>
                <w:color w:val="auto"/>
                <w:kern w:val="0"/>
                <w:sz w:val="24"/>
                <w:szCs w:val="24"/>
                <w:lang w:val="en-US" w:eastAsia="zh-CN"/>
              </w:rPr>
            </w:pPr>
            <w:r>
              <w:rPr>
                <w:rFonts w:hint="eastAsia"/>
                <w:color w:val="auto"/>
                <w:kern w:val="0"/>
                <w:sz w:val="24"/>
                <w:szCs w:val="24"/>
                <w:lang w:val="en-US" w:eastAsia="zh-CN"/>
              </w:rPr>
              <w:t>***********</w:t>
            </w:r>
            <w:bookmarkStart w:id="5" w:name="_GoBack"/>
            <w:bookmarkEnd w:id="5"/>
          </w:p>
        </w:tc>
      </w:tr>
      <w:tr w14:paraId="6D97A1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24" w:type="dxa"/>
            <w:tcMar>
              <w:top w:w="16" w:type="dxa"/>
              <w:left w:w="16" w:type="dxa"/>
              <w:right w:w="16" w:type="dxa"/>
            </w:tcMar>
            <w:vAlign w:val="center"/>
          </w:tcPr>
          <w:p w14:paraId="7FA6F407">
            <w:pPr>
              <w:adjustRightInd w:val="0"/>
              <w:snapToGrid w:val="0"/>
              <w:jc w:val="center"/>
              <w:rPr>
                <w:color w:val="auto"/>
                <w:kern w:val="0"/>
                <w:sz w:val="24"/>
              </w:rPr>
            </w:pPr>
            <w:r>
              <w:rPr>
                <w:color w:val="auto"/>
                <w:kern w:val="0"/>
                <w:sz w:val="24"/>
              </w:rPr>
              <w:t>建设地点</w:t>
            </w:r>
          </w:p>
        </w:tc>
        <w:tc>
          <w:tcPr>
            <w:tcW w:w="6946" w:type="dxa"/>
            <w:gridSpan w:val="3"/>
            <w:vAlign w:val="center"/>
          </w:tcPr>
          <w:p w14:paraId="7F5C2204">
            <w:pPr>
              <w:adjustRightInd w:val="0"/>
              <w:snapToGrid w:val="0"/>
              <w:jc w:val="center"/>
              <w:rPr>
                <w:rFonts w:hint="default" w:eastAsia="宋体"/>
                <w:color w:val="auto"/>
                <w:kern w:val="0"/>
                <w:sz w:val="24"/>
                <w:lang w:val="en-US" w:eastAsia="zh-CN"/>
              </w:rPr>
            </w:pPr>
            <w:r>
              <w:rPr>
                <w:rFonts w:hint="default" w:eastAsia="宋体"/>
                <w:color w:val="auto"/>
                <w:kern w:val="0"/>
                <w:sz w:val="24"/>
                <w:lang w:val="en-US" w:eastAsia="zh-CN"/>
              </w:rPr>
              <w:t>新疆</w:t>
            </w:r>
            <w:r>
              <w:rPr>
                <w:rFonts w:hint="eastAsia"/>
                <w:color w:val="auto"/>
                <w:kern w:val="0"/>
                <w:sz w:val="24"/>
                <w:lang w:val="en-US" w:eastAsia="zh-CN"/>
              </w:rPr>
              <w:t>维吾尔自治区昌吉回族自治州阜康市</w:t>
            </w:r>
            <w:r>
              <w:rPr>
                <w:rFonts w:hint="eastAsia" w:ascii="Times New Roman" w:hAnsi="Times New Roman" w:eastAsia="宋体" w:cs="Times New Roman"/>
                <w:color w:val="auto"/>
                <w:kern w:val="0"/>
                <w:sz w:val="24"/>
                <w:highlight w:val="none"/>
                <w:lang w:val="en-US" w:eastAsia="zh-CN"/>
              </w:rPr>
              <w:t>阜康产业园</w:t>
            </w:r>
            <w:r>
              <w:rPr>
                <w:rFonts w:hint="eastAsia" w:cs="Times New Roman"/>
                <w:color w:val="auto"/>
                <w:sz w:val="24"/>
                <w:szCs w:val="24"/>
                <w:highlight w:val="none"/>
                <w:lang w:val="en-US" w:eastAsia="zh-CN"/>
              </w:rPr>
              <w:t>阜东二区</w:t>
            </w:r>
          </w:p>
        </w:tc>
      </w:tr>
      <w:tr w14:paraId="3D2F14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24" w:type="dxa"/>
            <w:tcMar>
              <w:top w:w="16" w:type="dxa"/>
              <w:left w:w="16" w:type="dxa"/>
              <w:right w:w="16" w:type="dxa"/>
            </w:tcMar>
            <w:vAlign w:val="center"/>
          </w:tcPr>
          <w:p w14:paraId="3A2476E8">
            <w:pPr>
              <w:adjustRightInd w:val="0"/>
              <w:snapToGrid w:val="0"/>
              <w:jc w:val="center"/>
              <w:rPr>
                <w:color w:val="auto"/>
                <w:szCs w:val="21"/>
              </w:rPr>
            </w:pPr>
            <w:r>
              <w:rPr>
                <w:color w:val="auto"/>
                <w:kern w:val="0"/>
                <w:sz w:val="24"/>
              </w:rPr>
              <w:t>地理坐标</w:t>
            </w:r>
          </w:p>
        </w:tc>
        <w:tc>
          <w:tcPr>
            <w:tcW w:w="6946" w:type="dxa"/>
            <w:gridSpan w:val="3"/>
            <w:vAlign w:val="center"/>
          </w:tcPr>
          <w:p w14:paraId="3DB2FAEF">
            <w:pPr>
              <w:jc w:val="center"/>
              <w:rPr>
                <w:color w:val="auto"/>
                <w:szCs w:val="21"/>
                <w:highlight w:val="yellow"/>
              </w:rPr>
            </w:pPr>
            <w:r>
              <w:rPr>
                <w:color w:val="auto"/>
                <w:kern w:val="0"/>
                <w:sz w:val="24"/>
                <w:highlight w:val="none"/>
              </w:rPr>
              <w:t>（东经8</w:t>
            </w:r>
            <w:r>
              <w:rPr>
                <w:rFonts w:hint="eastAsia"/>
                <w:color w:val="auto"/>
                <w:kern w:val="0"/>
                <w:sz w:val="24"/>
                <w:highlight w:val="none"/>
                <w:lang w:val="en-US" w:eastAsia="zh-CN"/>
              </w:rPr>
              <w:t>8</w:t>
            </w:r>
            <w:r>
              <w:rPr>
                <w:color w:val="auto"/>
                <w:kern w:val="0"/>
                <w:sz w:val="24"/>
                <w:highlight w:val="none"/>
              </w:rPr>
              <w:t>度</w:t>
            </w:r>
            <w:r>
              <w:rPr>
                <w:rFonts w:hint="eastAsia"/>
                <w:color w:val="auto"/>
                <w:kern w:val="0"/>
                <w:sz w:val="24"/>
                <w:highlight w:val="none"/>
                <w:lang w:val="en-US" w:eastAsia="zh-CN"/>
              </w:rPr>
              <w:t>20</w:t>
            </w:r>
            <w:r>
              <w:rPr>
                <w:color w:val="auto"/>
                <w:kern w:val="0"/>
                <w:sz w:val="24"/>
                <w:highlight w:val="none"/>
              </w:rPr>
              <w:t>分</w:t>
            </w:r>
            <w:r>
              <w:rPr>
                <w:rFonts w:hint="eastAsia"/>
                <w:color w:val="auto"/>
                <w:kern w:val="0"/>
                <w:sz w:val="24"/>
                <w:highlight w:val="none"/>
                <w:lang w:val="en-US" w:eastAsia="zh-CN"/>
              </w:rPr>
              <w:t>04.561</w:t>
            </w:r>
            <w:r>
              <w:rPr>
                <w:color w:val="auto"/>
                <w:kern w:val="0"/>
                <w:sz w:val="24"/>
                <w:highlight w:val="none"/>
              </w:rPr>
              <w:t>秒，北纬4</w:t>
            </w:r>
            <w:r>
              <w:rPr>
                <w:rFonts w:hint="eastAsia"/>
                <w:color w:val="auto"/>
                <w:kern w:val="0"/>
                <w:sz w:val="24"/>
                <w:highlight w:val="none"/>
                <w:lang w:val="en-US" w:eastAsia="zh-CN"/>
              </w:rPr>
              <w:t>4</w:t>
            </w:r>
            <w:r>
              <w:rPr>
                <w:color w:val="auto"/>
                <w:kern w:val="0"/>
                <w:sz w:val="24"/>
                <w:highlight w:val="none"/>
              </w:rPr>
              <w:t>度</w:t>
            </w:r>
            <w:r>
              <w:rPr>
                <w:rFonts w:hint="eastAsia"/>
                <w:color w:val="auto"/>
                <w:kern w:val="0"/>
                <w:sz w:val="24"/>
                <w:highlight w:val="none"/>
                <w:lang w:val="en-US" w:eastAsia="zh-CN"/>
              </w:rPr>
              <w:t>06</w:t>
            </w:r>
            <w:r>
              <w:rPr>
                <w:color w:val="auto"/>
                <w:kern w:val="0"/>
                <w:sz w:val="24"/>
                <w:highlight w:val="none"/>
              </w:rPr>
              <w:t>分</w:t>
            </w:r>
            <w:r>
              <w:rPr>
                <w:rFonts w:hint="eastAsia"/>
                <w:color w:val="auto"/>
                <w:kern w:val="0"/>
                <w:sz w:val="24"/>
                <w:highlight w:val="none"/>
                <w:lang w:val="en-US" w:eastAsia="zh-CN"/>
              </w:rPr>
              <w:t>20.970</w:t>
            </w:r>
            <w:r>
              <w:rPr>
                <w:color w:val="auto"/>
                <w:kern w:val="0"/>
                <w:sz w:val="24"/>
                <w:highlight w:val="none"/>
              </w:rPr>
              <w:t>秒）</w:t>
            </w:r>
          </w:p>
        </w:tc>
      </w:tr>
      <w:tr w14:paraId="7771F0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924" w:type="dxa"/>
            <w:tcMar>
              <w:top w:w="16" w:type="dxa"/>
              <w:left w:w="16" w:type="dxa"/>
              <w:right w:w="16" w:type="dxa"/>
            </w:tcMar>
            <w:vAlign w:val="center"/>
          </w:tcPr>
          <w:p w14:paraId="52C59FBE">
            <w:pPr>
              <w:adjustRightInd w:val="0"/>
              <w:snapToGrid w:val="0"/>
              <w:jc w:val="center"/>
              <w:rPr>
                <w:color w:val="auto"/>
                <w:kern w:val="0"/>
                <w:sz w:val="24"/>
              </w:rPr>
            </w:pPr>
            <w:r>
              <w:rPr>
                <w:color w:val="auto"/>
                <w:kern w:val="0"/>
                <w:sz w:val="24"/>
              </w:rPr>
              <w:t>国民经济</w:t>
            </w:r>
          </w:p>
          <w:p w14:paraId="176CE7BC">
            <w:pPr>
              <w:adjustRightInd w:val="0"/>
              <w:snapToGrid w:val="0"/>
              <w:jc w:val="center"/>
              <w:rPr>
                <w:color w:val="auto"/>
                <w:szCs w:val="21"/>
              </w:rPr>
            </w:pPr>
            <w:r>
              <w:rPr>
                <w:color w:val="auto"/>
                <w:kern w:val="0"/>
                <w:sz w:val="24"/>
              </w:rPr>
              <w:t>行业类别</w:t>
            </w:r>
          </w:p>
        </w:tc>
        <w:tc>
          <w:tcPr>
            <w:tcW w:w="2085" w:type="dxa"/>
            <w:vAlign w:val="center"/>
          </w:tcPr>
          <w:p w14:paraId="6AE33169">
            <w:pPr>
              <w:keepNext w:val="0"/>
              <w:keepLines w:val="0"/>
              <w:pageBreakBefore w:val="0"/>
              <w:kinsoku/>
              <w:wordWrap/>
              <w:overflowPunct/>
              <w:topLinePunct w:val="0"/>
              <w:autoSpaceDE/>
              <w:autoSpaceDN/>
              <w:bidi w:val="0"/>
              <w:adjustRightInd w:val="0"/>
              <w:snapToGrid/>
              <w:spacing w:line="240" w:lineRule="auto"/>
              <w:ind w:right="0"/>
              <w:jc w:val="both"/>
              <w:textAlignment w:val="auto"/>
              <w:rPr>
                <w:rFonts w:hint="default" w:eastAsia="宋体"/>
                <w:color w:val="auto"/>
                <w:sz w:val="24"/>
                <w:szCs w:val="24"/>
                <w:lang w:val="en-US" w:eastAsia="zh-CN"/>
              </w:rPr>
            </w:pPr>
            <w:r>
              <w:rPr>
                <w:rFonts w:hint="default" w:ascii="Times New Roman" w:hAnsi="Times New Roman" w:eastAsia="宋体" w:cs="Times New Roman"/>
                <w:color w:val="auto"/>
                <w:sz w:val="24"/>
                <w:szCs w:val="24"/>
                <w:lang w:val="en-US" w:eastAsia="zh-CN"/>
              </w:rPr>
              <w:t>B0610烟煤和无烟煤开采洗选</w:t>
            </w:r>
          </w:p>
        </w:tc>
        <w:tc>
          <w:tcPr>
            <w:tcW w:w="2206" w:type="dxa"/>
            <w:vAlign w:val="center"/>
          </w:tcPr>
          <w:p w14:paraId="4C92A515">
            <w:pPr>
              <w:adjustRightInd w:val="0"/>
              <w:snapToGrid w:val="0"/>
              <w:jc w:val="center"/>
              <w:rPr>
                <w:color w:val="auto"/>
                <w:kern w:val="0"/>
                <w:sz w:val="24"/>
                <w:szCs w:val="24"/>
              </w:rPr>
            </w:pPr>
            <w:bookmarkStart w:id="0" w:name="_Hlk49843745"/>
            <w:r>
              <w:rPr>
                <w:color w:val="auto"/>
                <w:kern w:val="0"/>
                <w:sz w:val="24"/>
                <w:szCs w:val="24"/>
              </w:rPr>
              <w:t>建设项目</w:t>
            </w:r>
          </w:p>
          <w:p w14:paraId="74EE4236">
            <w:pPr>
              <w:adjustRightInd w:val="0"/>
              <w:snapToGrid w:val="0"/>
              <w:jc w:val="center"/>
              <w:rPr>
                <w:color w:val="auto"/>
                <w:kern w:val="0"/>
                <w:sz w:val="24"/>
                <w:szCs w:val="24"/>
              </w:rPr>
            </w:pPr>
            <w:r>
              <w:rPr>
                <w:color w:val="auto"/>
                <w:kern w:val="0"/>
                <w:sz w:val="24"/>
                <w:szCs w:val="24"/>
              </w:rPr>
              <w:t>行业类别</w:t>
            </w:r>
            <w:bookmarkEnd w:id="0"/>
          </w:p>
        </w:tc>
        <w:tc>
          <w:tcPr>
            <w:tcW w:w="2655" w:type="dxa"/>
            <w:vAlign w:val="center"/>
          </w:tcPr>
          <w:p w14:paraId="721C3D52">
            <w:pPr>
              <w:pStyle w:val="7"/>
              <w:keepNext w:val="0"/>
              <w:keepLines w:val="0"/>
              <w:pageBreakBefore w:val="0"/>
              <w:widowControl/>
              <w:kinsoku/>
              <w:wordWrap/>
              <w:overflowPunct/>
              <w:topLinePunct w:val="0"/>
              <w:autoSpaceDE/>
              <w:autoSpaceDN/>
              <w:bidi w:val="0"/>
              <w:adjustRightInd/>
              <w:snapToGrid w:val="0"/>
              <w:spacing w:before="0" w:after="0" w:line="240" w:lineRule="auto"/>
              <w:ind w:left="0" w:right="0" w:firstLine="0" w:firstLineChars="0"/>
              <w:textAlignment w:val="auto"/>
              <w:rPr>
                <w:rFonts w:hint="default" w:eastAsia="宋体"/>
                <w:color w:val="auto"/>
                <w:sz w:val="24"/>
                <w:szCs w:val="24"/>
                <w:lang w:val="en-US" w:eastAsia="zh-CN"/>
              </w:rPr>
            </w:pPr>
            <w:r>
              <w:rPr>
                <w:rFonts w:hint="default" w:ascii="Times New Roman" w:hAnsi="Times New Roman" w:eastAsia="宋体" w:cs="Times New Roman"/>
                <w:color w:val="auto"/>
                <w:sz w:val="24"/>
                <w:szCs w:val="24"/>
                <w:lang w:val="en-US" w:eastAsia="zh-CN"/>
              </w:rPr>
              <w:t>四、煤炭开采和洗选业 06—6烟煤和无烟煤开采洗选061；—煤炭洗选、配煤；煤炭储存、集运；</w:t>
            </w:r>
          </w:p>
        </w:tc>
      </w:tr>
      <w:tr w14:paraId="31AE13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924" w:type="dxa"/>
            <w:tcMar>
              <w:top w:w="16" w:type="dxa"/>
              <w:left w:w="16" w:type="dxa"/>
              <w:right w:w="16" w:type="dxa"/>
            </w:tcMar>
            <w:vAlign w:val="center"/>
          </w:tcPr>
          <w:p w14:paraId="20E2D44A">
            <w:pPr>
              <w:adjustRightInd w:val="0"/>
              <w:snapToGrid w:val="0"/>
              <w:jc w:val="center"/>
              <w:rPr>
                <w:color w:val="auto"/>
                <w:szCs w:val="21"/>
              </w:rPr>
            </w:pPr>
            <w:r>
              <w:rPr>
                <w:color w:val="auto"/>
                <w:kern w:val="0"/>
                <w:sz w:val="24"/>
              </w:rPr>
              <w:t>建设性质</w:t>
            </w:r>
          </w:p>
        </w:tc>
        <w:tc>
          <w:tcPr>
            <w:tcW w:w="2085" w:type="dxa"/>
            <w:vAlign w:val="center"/>
          </w:tcPr>
          <w:p w14:paraId="578FB4DC">
            <w:pPr>
              <w:adjustRightInd w:val="0"/>
              <w:snapToGrid w:val="0"/>
              <w:jc w:val="left"/>
              <w:rPr>
                <w:color w:val="auto"/>
                <w:kern w:val="0"/>
                <w:sz w:val="24"/>
              </w:rPr>
            </w:pPr>
            <w:r>
              <w:rPr>
                <w:rFonts w:hint="eastAsia"/>
                <w:color w:val="auto"/>
                <w:kern w:val="0"/>
                <w:sz w:val="24"/>
                <w:lang w:eastAsia="zh-CN"/>
              </w:rPr>
              <w:t>□</w:t>
            </w:r>
            <w:r>
              <w:rPr>
                <w:color w:val="auto"/>
                <w:kern w:val="0"/>
                <w:sz w:val="24"/>
              </w:rPr>
              <w:t>新建（迁建）</w:t>
            </w:r>
          </w:p>
          <w:p w14:paraId="171A4076">
            <w:pPr>
              <w:adjustRightInd w:val="0"/>
              <w:snapToGrid w:val="0"/>
              <w:jc w:val="left"/>
              <w:rPr>
                <w:color w:val="auto"/>
                <w:kern w:val="0"/>
                <w:sz w:val="24"/>
              </w:rPr>
            </w:pPr>
            <w:r>
              <w:rPr>
                <w:rFonts w:hint="eastAsia"/>
                <w:color w:val="auto"/>
                <w:kern w:val="0"/>
                <w:sz w:val="24"/>
                <w:lang w:eastAsia="zh-CN"/>
              </w:rPr>
              <w:t>☑</w:t>
            </w:r>
            <w:r>
              <w:rPr>
                <w:color w:val="auto"/>
                <w:kern w:val="0"/>
                <w:sz w:val="24"/>
              </w:rPr>
              <w:t>改建</w:t>
            </w:r>
          </w:p>
          <w:p w14:paraId="56352EAD">
            <w:pPr>
              <w:adjustRightInd w:val="0"/>
              <w:snapToGrid w:val="0"/>
              <w:jc w:val="left"/>
              <w:rPr>
                <w:color w:val="auto"/>
                <w:kern w:val="0"/>
                <w:sz w:val="24"/>
              </w:rPr>
            </w:pPr>
            <w:r>
              <w:rPr>
                <w:rFonts w:hint="eastAsia"/>
                <w:color w:val="auto"/>
                <w:kern w:val="0"/>
                <w:sz w:val="24"/>
                <w:lang w:eastAsia="zh-CN"/>
              </w:rPr>
              <w:t>□</w:t>
            </w:r>
            <w:r>
              <w:rPr>
                <w:color w:val="auto"/>
                <w:kern w:val="0"/>
                <w:sz w:val="24"/>
              </w:rPr>
              <w:t>扩建</w:t>
            </w:r>
          </w:p>
          <w:p w14:paraId="775F7947">
            <w:pPr>
              <w:adjustRightInd w:val="0"/>
              <w:snapToGrid w:val="0"/>
              <w:jc w:val="left"/>
              <w:rPr>
                <w:color w:val="auto"/>
                <w:kern w:val="0"/>
                <w:sz w:val="24"/>
              </w:rPr>
            </w:pPr>
            <w:r>
              <w:rPr>
                <w:rFonts w:hint="eastAsia"/>
                <w:color w:val="auto"/>
                <w:kern w:val="0"/>
                <w:sz w:val="24"/>
                <w:lang w:eastAsia="zh-CN"/>
              </w:rPr>
              <w:t>☑</w:t>
            </w:r>
            <w:r>
              <w:rPr>
                <w:color w:val="auto"/>
                <w:kern w:val="0"/>
                <w:sz w:val="24"/>
              </w:rPr>
              <w:t>技术改造</w:t>
            </w:r>
          </w:p>
        </w:tc>
        <w:tc>
          <w:tcPr>
            <w:tcW w:w="2206" w:type="dxa"/>
            <w:vAlign w:val="center"/>
          </w:tcPr>
          <w:p w14:paraId="1FD241E0">
            <w:pPr>
              <w:adjustRightInd w:val="0"/>
              <w:snapToGrid w:val="0"/>
              <w:jc w:val="center"/>
              <w:rPr>
                <w:color w:val="auto"/>
                <w:kern w:val="0"/>
                <w:sz w:val="24"/>
              </w:rPr>
            </w:pPr>
            <w:r>
              <w:rPr>
                <w:color w:val="auto"/>
                <w:kern w:val="0"/>
                <w:sz w:val="24"/>
              </w:rPr>
              <w:t>建设项目</w:t>
            </w:r>
          </w:p>
          <w:p w14:paraId="504A637C">
            <w:pPr>
              <w:adjustRightInd w:val="0"/>
              <w:snapToGrid w:val="0"/>
              <w:jc w:val="center"/>
              <w:rPr>
                <w:color w:val="auto"/>
                <w:kern w:val="0"/>
                <w:sz w:val="24"/>
              </w:rPr>
            </w:pPr>
            <w:r>
              <w:rPr>
                <w:color w:val="auto"/>
                <w:kern w:val="0"/>
                <w:sz w:val="24"/>
              </w:rPr>
              <w:t>申报情形</w:t>
            </w:r>
          </w:p>
        </w:tc>
        <w:tc>
          <w:tcPr>
            <w:tcW w:w="2655" w:type="dxa"/>
            <w:vAlign w:val="center"/>
          </w:tcPr>
          <w:p w14:paraId="33DBAA6F">
            <w:pPr>
              <w:adjustRightInd w:val="0"/>
              <w:snapToGrid w:val="0"/>
              <w:jc w:val="left"/>
              <w:rPr>
                <w:color w:val="auto"/>
                <w:kern w:val="0"/>
                <w:sz w:val="24"/>
              </w:rPr>
            </w:pPr>
            <w:r>
              <w:rPr>
                <w:color w:val="auto"/>
                <w:kern w:val="0"/>
                <w:sz w:val="24"/>
              </w:rPr>
              <w:t xml:space="preserve">☑首次申报项目             </w:t>
            </w:r>
          </w:p>
          <w:p w14:paraId="5B643C21">
            <w:pPr>
              <w:adjustRightInd w:val="0"/>
              <w:snapToGrid w:val="0"/>
              <w:jc w:val="left"/>
              <w:rPr>
                <w:color w:val="auto"/>
                <w:kern w:val="0"/>
                <w:sz w:val="24"/>
              </w:rPr>
            </w:pPr>
            <w:r>
              <w:rPr>
                <w:rFonts w:hint="eastAsia"/>
                <w:color w:val="auto"/>
                <w:kern w:val="0"/>
                <w:sz w:val="24"/>
                <w:lang w:eastAsia="zh-CN"/>
              </w:rPr>
              <w:t>□</w:t>
            </w:r>
            <w:r>
              <w:rPr>
                <w:color w:val="auto"/>
                <w:kern w:val="0"/>
                <w:sz w:val="24"/>
              </w:rPr>
              <w:t>不予批准后再次申报项目</w:t>
            </w:r>
          </w:p>
          <w:p w14:paraId="421A7E95">
            <w:pPr>
              <w:adjustRightInd w:val="0"/>
              <w:snapToGrid w:val="0"/>
              <w:jc w:val="left"/>
              <w:rPr>
                <w:color w:val="auto"/>
                <w:kern w:val="0"/>
                <w:sz w:val="24"/>
              </w:rPr>
            </w:pPr>
            <w:r>
              <w:rPr>
                <w:rFonts w:hint="eastAsia"/>
                <w:color w:val="auto"/>
                <w:kern w:val="0"/>
                <w:sz w:val="24"/>
                <w:lang w:eastAsia="zh-CN"/>
              </w:rPr>
              <w:t>□</w:t>
            </w:r>
            <w:r>
              <w:rPr>
                <w:color w:val="auto"/>
                <w:kern w:val="0"/>
                <w:sz w:val="24"/>
              </w:rPr>
              <w:t xml:space="preserve">超五年重新审核项目     </w:t>
            </w:r>
          </w:p>
          <w:p w14:paraId="72B6E49A">
            <w:pPr>
              <w:adjustRightInd w:val="0"/>
              <w:snapToGrid w:val="0"/>
              <w:jc w:val="left"/>
              <w:rPr>
                <w:color w:val="auto"/>
                <w:szCs w:val="21"/>
              </w:rPr>
            </w:pPr>
            <w:r>
              <w:rPr>
                <w:rFonts w:hint="eastAsia"/>
                <w:color w:val="auto"/>
                <w:kern w:val="0"/>
                <w:sz w:val="24"/>
                <w:lang w:eastAsia="zh-CN"/>
              </w:rPr>
              <w:t>□</w:t>
            </w:r>
            <w:r>
              <w:rPr>
                <w:color w:val="auto"/>
                <w:kern w:val="0"/>
                <w:sz w:val="24"/>
              </w:rPr>
              <w:t>重大变动重新报批项目</w:t>
            </w:r>
          </w:p>
        </w:tc>
      </w:tr>
      <w:tr w14:paraId="3E17B6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924" w:type="dxa"/>
            <w:tcMar>
              <w:top w:w="16" w:type="dxa"/>
              <w:left w:w="16" w:type="dxa"/>
              <w:right w:w="16" w:type="dxa"/>
            </w:tcMar>
            <w:vAlign w:val="center"/>
          </w:tcPr>
          <w:p w14:paraId="1C9AB97A">
            <w:pPr>
              <w:adjustRightInd w:val="0"/>
              <w:snapToGrid w:val="0"/>
              <w:jc w:val="center"/>
              <w:rPr>
                <w:color w:val="auto"/>
                <w:kern w:val="0"/>
                <w:sz w:val="24"/>
              </w:rPr>
            </w:pPr>
            <w:r>
              <w:rPr>
                <w:color w:val="auto"/>
                <w:kern w:val="0"/>
                <w:sz w:val="24"/>
              </w:rPr>
              <w:t>项目审批（核准/</w:t>
            </w:r>
          </w:p>
          <w:p w14:paraId="24B28338">
            <w:pPr>
              <w:adjustRightInd w:val="0"/>
              <w:snapToGrid w:val="0"/>
              <w:jc w:val="center"/>
              <w:rPr>
                <w:color w:val="auto"/>
                <w:kern w:val="0"/>
                <w:sz w:val="24"/>
              </w:rPr>
            </w:pPr>
            <w:r>
              <w:rPr>
                <w:color w:val="auto"/>
                <w:kern w:val="0"/>
                <w:sz w:val="24"/>
              </w:rPr>
              <w:t>备案）部门（选填）</w:t>
            </w:r>
          </w:p>
        </w:tc>
        <w:tc>
          <w:tcPr>
            <w:tcW w:w="2085" w:type="dxa"/>
            <w:vAlign w:val="center"/>
          </w:tcPr>
          <w:p w14:paraId="2C8B7283">
            <w:pPr>
              <w:adjustRightInd w:val="0"/>
              <w:snapToGrid w:val="0"/>
              <w:jc w:val="center"/>
              <w:rPr>
                <w:rFonts w:hint="default" w:eastAsia="宋体"/>
                <w:color w:val="auto"/>
                <w:kern w:val="0"/>
                <w:sz w:val="24"/>
                <w:lang w:val="en-US" w:eastAsia="zh-CN"/>
              </w:rPr>
            </w:pPr>
            <w:r>
              <w:rPr>
                <w:rFonts w:hint="eastAsia"/>
                <w:color w:val="auto"/>
                <w:kern w:val="0"/>
                <w:sz w:val="24"/>
                <w:lang w:val="en-US" w:eastAsia="zh-CN"/>
              </w:rPr>
              <w:t>阜康市发展和改革委员会</w:t>
            </w:r>
          </w:p>
        </w:tc>
        <w:tc>
          <w:tcPr>
            <w:tcW w:w="2206" w:type="dxa"/>
            <w:vAlign w:val="center"/>
          </w:tcPr>
          <w:p w14:paraId="7C911852">
            <w:pPr>
              <w:adjustRightInd w:val="0"/>
              <w:snapToGrid w:val="0"/>
              <w:jc w:val="left"/>
              <w:rPr>
                <w:color w:val="auto"/>
                <w:kern w:val="0"/>
                <w:sz w:val="24"/>
              </w:rPr>
            </w:pPr>
            <w:r>
              <w:rPr>
                <w:color w:val="auto"/>
                <w:kern w:val="0"/>
                <w:sz w:val="24"/>
              </w:rPr>
              <w:t>项目审批（核准/</w:t>
            </w:r>
          </w:p>
          <w:p w14:paraId="605AE9C7">
            <w:pPr>
              <w:adjustRightInd w:val="0"/>
              <w:snapToGrid w:val="0"/>
              <w:jc w:val="left"/>
              <w:rPr>
                <w:color w:val="auto"/>
              </w:rPr>
            </w:pPr>
            <w:r>
              <w:rPr>
                <w:color w:val="auto"/>
                <w:kern w:val="0"/>
                <w:sz w:val="24"/>
              </w:rPr>
              <w:t>备案）文号（选填）</w:t>
            </w:r>
          </w:p>
        </w:tc>
        <w:tc>
          <w:tcPr>
            <w:tcW w:w="2655" w:type="dxa"/>
            <w:vAlign w:val="center"/>
          </w:tcPr>
          <w:p w14:paraId="6E0122D4">
            <w:pPr>
              <w:adjustRightInd w:val="0"/>
              <w:snapToGrid w:val="0"/>
              <w:jc w:val="center"/>
              <w:rPr>
                <w:rFonts w:hint="default" w:eastAsia="宋体"/>
                <w:color w:val="auto"/>
                <w:kern w:val="0"/>
                <w:sz w:val="24"/>
                <w:lang w:val="en-US" w:eastAsia="zh-CN"/>
              </w:rPr>
            </w:pPr>
            <w:r>
              <w:rPr>
                <w:rFonts w:hint="eastAsia"/>
                <w:color w:val="auto"/>
                <w:kern w:val="0"/>
                <w:sz w:val="24"/>
                <w:lang w:val="en-US" w:eastAsia="zh-CN"/>
              </w:rPr>
              <w:t>2407021722652300000065</w:t>
            </w:r>
          </w:p>
        </w:tc>
      </w:tr>
      <w:tr w14:paraId="683472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24" w:type="dxa"/>
            <w:tcMar>
              <w:top w:w="16" w:type="dxa"/>
              <w:left w:w="16" w:type="dxa"/>
              <w:right w:w="16" w:type="dxa"/>
            </w:tcMar>
            <w:vAlign w:val="center"/>
          </w:tcPr>
          <w:p w14:paraId="47FDEF98">
            <w:pPr>
              <w:adjustRightInd w:val="0"/>
              <w:snapToGrid w:val="0"/>
              <w:jc w:val="center"/>
              <w:rPr>
                <w:color w:val="auto"/>
                <w:szCs w:val="21"/>
                <w:highlight w:val="none"/>
              </w:rPr>
            </w:pPr>
            <w:r>
              <w:rPr>
                <w:color w:val="auto"/>
                <w:kern w:val="0"/>
                <w:sz w:val="24"/>
                <w:highlight w:val="none"/>
              </w:rPr>
              <w:t>总投资（万元）</w:t>
            </w:r>
          </w:p>
        </w:tc>
        <w:tc>
          <w:tcPr>
            <w:tcW w:w="2085" w:type="dxa"/>
            <w:vAlign w:val="center"/>
          </w:tcPr>
          <w:p w14:paraId="192D188F">
            <w:pPr>
              <w:adjustRightInd w:val="0"/>
              <w:snapToGrid w:val="0"/>
              <w:jc w:val="center"/>
              <w:rPr>
                <w:rFonts w:hint="default" w:eastAsia="宋体"/>
                <w:color w:val="auto"/>
                <w:kern w:val="0"/>
                <w:sz w:val="24"/>
                <w:highlight w:val="none"/>
                <w:lang w:val="en-US" w:eastAsia="zh-CN"/>
              </w:rPr>
            </w:pPr>
            <w:r>
              <w:rPr>
                <w:rFonts w:hint="eastAsia"/>
                <w:color w:val="auto"/>
                <w:kern w:val="0"/>
                <w:sz w:val="24"/>
                <w:highlight w:val="none"/>
                <w:lang w:val="en-US" w:eastAsia="zh-CN"/>
              </w:rPr>
              <w:t>7500.00</w:t>
            </w:r>
          </w:p>
        </w:tc>
        <w:tc>
          <w:tcPr>
            <w:tcW w:w="2206" w:type="dxa"/>
            <w:tcMar>
              <w:top w:w="16" w:type="dxa"/>
              <w:left w:w="16" w:type="dxa"/>
              <w:right w:w="16" w:type="dxa"/>
            </w:tcMar>
            <w:vAlign w:val="center"/>
          </w:tcPr>
          <w:p w14:paraId="0E1BFCC4">
            <w:pPr>
              <w:adjustRightInd w:val="0"/>
              <w:snapToGrid w:val="0"/>
              <w:jc w:val="center"/>
              <w:rPr>
                <w:color w:val="auto"/>
                <w:kern w:val="0"/>
                <w:sz w:val="24"/>
                <w:highlight w:val="none"/>
              </w:rPr>
            </w:pPr>
            <w:r>
              <w:rPr>
                <w:color w:val="auto"/>
                <w:kern w:val="0"/>
                <w:sz w:val="24"/>
                <w:highlight w:val="none"/>
              </w:rPr>
              <w:t>环保投资（万元）</w:t>
            </w:r>
          </w:p>
        </w:tc>
        <w:tc>
          <w:tcPr>
            <w:tcW w:w="2655" w:type="dxa"/>
            <w:vAlign w:val="center"/>
          </w:tcPr>
          <w:p w14:paraId="22ED7813">
            <w:pPr>
              <w:adjustRightInd w:val="0"/>
              <w:snapToGrid w:val="0"/>
              <w:jc w:val="center"/>
              <w:rPr>
                <w:rFonts w:hint="default" w:eastAsia="宋体"/>
                <w:color w:val="auto"/>
                <w:kern w:val="0"/>
                <w:sz w:val="24"/>
                <w:highlight w:val="none"/>
                <w:lang w:val="en-US" w:eastAsia="zh-CN"/>
              </w:rPr>
            </w:pPr>
            <w:r>
              <w:rPr>
                <w:rFonts w:hint="eastAsia"/>
                <w:color w:val="auto"/>
                <w:kern w:val="0"/>
                <w:sz w:val="24"/>
                <w:highlight w:val="none"/>
                <w:lang w:val="en-US" w:eastAsia="zh-CN"/>
              </w:rPr>
              <w:t>37.00</w:t>
            </w:r>
          </w:p>
        </w:tc>
      </w:tr>
      <w:tr w14:paraId="6EEB9D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24" w:type="dxa"/>
            <w:tcMar>
              <w:top w:w="16" w:type="dxa"/>
              <w:left w:w="16" w:type="dxa"/>
              <w:right w:w="16" w:type="dxa"/>
            </w:tcMar>
            <w:vAlign w:val="center"/>
          </w:tcPr>
          <w:p w14:paraId="4BA10BF3">
            <w:pPr>
              <w:adjustRightInd w:val="0"/>
              <w:snapToGrid w:val="0"/>
              <w:jc w:val="center"/>
              <w:rPr>
                <w:color w:val="auto"/>
                <w:szCs w:val="21"/>
                <w:highlight w:val="none"/>
              </w:rPr>
            </w:pPr>
            <w:r>
              <w:rPr>
                <w:color w:val="auto"/>
                <w:kern w:val="0"/>
                <w:sz w:val="24"/>
                <w:highlight w:val="none"/>
              </w:rPr>
              <w:t>环保投资占比（%）</w:t>
            </w:r>
          </w:p>
        </w:tc>
        <w:tc>
          <w:tcPr>
            <w:tcW w:w="2085" w:type="dxa"/>
            <w:vAlign w:val="center"/>
          </w:tcPr>
          <w:p w14:paraId="4DA2EADB">
            <w:pPr>
              <w:adjustRightInd w:val="0"/>
              <w:snapToGrid w:val="0"/>
              <w:jc w:val="center"/>
              <w:rPr>
                <w:rFonts w:hint="default" w:eastAsia="宋体"/>
                <w:color w:val="auto"/>
                <w:kern w:val="0"/>
                <w:sz w:val="24"/>
                <w:highlight w:val="none"/>
                <w:lang w:val="en-US" w:eastAsia="zh-CN"/>
              </w:rPr>
            </w:pPr>
            <w:r>
              <w:rPr>
                <w:rFonts w:hint="eastAsia"/>
                <w:color w:val="auto"/>
                <w:kern w:val="0"/>
                <w:sz w:val="24"/>
                <w:highlight w:val="none"/>
                <w:lang w:val="en-US" w:eastAsia="zh-CN"/>
              </w:rPr>
              <w:t>0.49%</w:t>
            </w:r>
          </w:p>
        </w:tc>
        <w:tc>
          <w:tcPr>
            <w:tcW w:w="2206" w:type="dxa"/>
            <w:tcMar>
              <w:top w:w="16" w:type="dxa"/>
              <w:left w:w="16" w:type="dxa"/>
              <w:right w:w="16" w:type="dxa"/>
            </w:tcMar>
            <w:vAlign w:val="center"/>
          </w:tcPr>
          <w:p w14:paraId="49149588">
            <w:pPr>
              <w:adjustRightInd w:val="0"/>
              <w:snapToGrid w:val="0"/>
              <w:jc w:val="center"/>
              <w:rPr>
                <w:color w:val="auto"/>
                <w:kern w:val="0"/>
                <w:sz w:val="24"/>
                <w:highlight w:val="none"/>
              </w:rPr>
            </w:pPr>
            <w:r>
              <w:rPr>
                <w:color w:val="auto"/>
                <w:kern w:val="0"/>
                <w:sz w:val="24"/>
                <w:highlight w:val="none"/>
              </w:rPr>
              <w:t>施工工期</w:t>
            </w:r>
          </w:p>
        </w:tc>
        <w:tc>
          <w:tcPr>
            <w:tcW w:w="2655" w:type="dxa"/>
            <w:vAlign w:val="center"/>
          </w:tcPr>
          <w:p w14:paraId="0F253AD0">
            <w:pPr>
              <w:adjustRightInd w:val="0"/>
              <w:snapToGrid w:val="0"/>
              <w:jc w:val="center"/>
              <w:rPr>
                <w:rFonts w:hint="default"/>
                <w:color w:val="auto"/>
                <w:kern w:val="0"/>
                <w:sz w:val="24"/>
                <w:highlight w:val="none"/>
                <w:lang w:val="en-US"/>
              </w:rPr>
            </w:pPr>
            <w:r>
              <w:rPr>
                <w:rFonts w:hint="eastAsia"/>
                <w:color w:val="auto"/>
                <w:kern w:val="0"/>
                <w:sz w:val="24"/>
                <w:highlight w:val="none"/>
                <w:lang w:val="en-US" w:eastAsia="zh-CN"/>
              </w:rPr>
              <w:t>3月</w:t>
            </w:r>
          </w:p>
        </w:tc>
      </w:tr>
      <w:tr w14:paraId="612806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02" w:hRule="atLeast"/>
          <w:jc w:val="center"/>
        </w:trPr>
        <w:tc>
          <w:tcPr>
            <w:tcW w:w="1924" w:type="dxa"/>
            <w:tcMar>
              <w:top w:w="16" w:type="dxa"/>
              <w:left w:w="16" w:type="dxa"/>
              <w:right w:w="16" w:type="dxa"/>
            </w:tcMar>
            <w:vAlign w:val="center"/>
          </w:tcPr>
          <w:p w14:paraId="0A5660CC">
            <w:pPr>
              <w:adjustRightInd w:val="0"/>
              <w:snapToGrid w:val="0"/>
              <w:jc w:val="center"/>
              <w:rPr>
                <w:color w:val="auto"/>
                <w:szCs w:val="21"/>
              </w:rPr>
            </w:pPr>
            <w:r>
              <w:rPr>
                <w:color w:val="auto"/>
                <w:kern w:val="0"/>
                <w:sz w:val="24"/>
              </w:rPr>
              <w:t>是否开工建设</w:t>
            </w:r>
          </w:p>
        </w:tc>
        <w:tc>
          <w:tcPr>
            <w:tcW w:w="2085" w:type="dxa"/>
            <w:vAlign w:val="center"/>
          </w:tcPr>
          <w:p w14:paraId="5188F057">
            <w:pPr>
              <w:adjustRightInd w:val="0"/>
              <w:snapToGrid w:val="0"/>
              <w:jc w:val="left"/>
              <w:rPr>
                <w:color w:val="auto"/>
                <w:kern w:val="0"/>
                <w:sz w:val="24"/>
              </w:rPr>
            </w:pPr>
            <w:r>
              <w:rPr>
                <w:rFonts w:hint="eastAsia"/>
                <w:color w:val="auto"/>
                <w:kern w:val="0"/>
                <w:sz w:val="24"/>
                <w:lang w:eastAsia="zh-CN"/>
              </w:rPr>
              <w:sym w:font="Wingdings 2" w:char="0052"/>
            </w:r>
            <w:r>
              <w:rPr>
                <w:color w:val="auto"/>
                <w:kern w:val="0"/>
                <w:sz w:val="24"/>
              </w:rPr>
              <w:t>否</w:t>
            </w:r>
          </w:p>
          <w:p w14:paraId="468AA1F3">
            <w:pPr>
              <w:adjustRightInd w:val="0"/>
              <w:snapToGrid w:val="0"/>
              <w:jc w:val="left"/>
              <w:rPr>
                <w:color w:val="auto"/>
                <w:kern w:val="0"/>
                <w:sz w:val="24"/>
              </w:rPr>
            </w:pPr>
            <w:r>
              <w:rPr>
                <w:color w:val="auto"/>
                <w:kern w:val="0"/>
                <w:sz w:val="24"/>
              </w:rPr>
              <w:sym w:font="Wingdings 2" w:char="00A3"/>
            </w:r>
            <w:r>
              <w:rPr>
                <w:color w:val="auto"/>
                <w:kern w:val="0"/>
                <w:sz w:val="24"/>
              </w:rPr>
              <w:t xml:space="preserve">是：             </w:t>
            </w:r>
          </w:p>
        </w:tc>
        <w:tc>
          <w:tcPr>
            <w:tcW w:w="2206" w:type="dxa"/>
            <w:tcMar>
              <w:top w:w="16" w:type="dxa"/>
              <w:left w:w="16" w:type="dxa"/>
              <w:right w:w="16" w:type="dxa"/>
            </w:tcMar>
            <w:vAlign w:val="center"/>
          </w:tcPr>
          <w:p w14:paraId="0A043117">
            <w:pPr>
              <w:adjustRightInd w:val="0"/>
              <w:snapToGrid w:val="0"/>
              <w:jc w:val="center"/>
              <w:rPr>
                <w:color w:val="auto"/>
                <w:kern w:val="0"/>
                <w:sz w:val="24"/>
              </w:rPr>
            </w:pPr>
            <w:r>
              <w:rPr>
                <w:color w:val="auto"/>
                <w:kern w:val="0"/>
                <w:sz w:val="24"/>
              </w:rPr>
              <w:t>用地（用海）</w:t>
            </w:r>
          </w:p>
          <w:p w14:paraId="41DF8BDC">
            <w:pPr>
              <w:adjustRightInd w:val="0"/>
              <w:snapToGrid w:val="0"/>
              <w:jc w:val="center"/>
              <w:rPr>
                <w:color w:val="auto"/>
                <w:kern w:val="0"/>
                <w:sz w:val="24"/>
                <w:highlight w:val="yellow"/>
              </w:rPr>
            </w:pPr>
            <w:r>
              <w:rPr>
                <w:color w:val="auto"/>
                <w:kern w:val="0"/>
                <w:sz w:val="24"/>
              </w:rPr>
              <w:t>面积（m</w:t>
            </w:r>
            <w:r>
              <w:rPr>
                <w:color w:val="auto"/>
                <w:kern w:val="0"/>
                <w:sz w:val="24"/>
                <w:vertAlign w:val="superscript"/>
              </w:rPr>
              <w:t>2</w:t>
            </w:r>
            <w:r>
              <w:rPr>
                <w:color w:val="auto"/>
                <w:kern w:val="0"/>
                <w:sz w:val="24"/>
              </w:rPr>
              <w:t>）</w:t>
            </w:r>
          </w:p>
        </w:tc>
        <w:tc>
          <w:tcPr>
            <w:tcW w:w="2655" w:type="dxa"/>
            <w:vAlign w:val="center"/>
          </w:tcPr>
          <w:p w14:paraId="648BF817">
            <w:pPr>
              <w:adjustRightInd w:val="0"/>
              <w:snapToGrid w:val="0"/>
              <w:jc w:val="center"/>
              <w:rPr>
                <w:rFonts w:hint="default" w:eastAsia="宋体"/>
                <w:color w:val="auto"/>
                <w:kern w:val="0"/>
                <w:sz w:val="24"/>
                <w:highlight w:val="yellow"/>
                <w:lang w:val="en-US" w:eastAsia="zh-CN"/>
              </w:rPr>
            </w:pPr>
            <w:r>
              <w:rPr>
                <w:rFonts w:hint="eastAsia"/>
                <w:color w:val="auto"/>
                <w:lang w:val="en-US" w:eastAsia="zh-CN"/>
              </w:rPr>
              <w:t>在现有厂区内建设，不新增用地</w:t>
            </w:r>
          </w:p>
        </w:tc>
      </w:tr>
      <w:tr w14:paraId="7F586F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924" w:type="dxa"/>
            <w:vAlign w:val="center"/>
          </w:tcPr>
          <w:p w14:paraId="72550963">
            <w:pPr>
              <w:autoSpaceDE w:val="0"/>
              <w:autoSpaceDN w:val="0"/>
              <w:adjustRightInd w:val="0"/>
              <w:snapToGrid w:val="0"/>
              <w:jc w:val="center"/>
              <w:rPr>
                <w:color w:val="auto"/>
                <w:kern w:val="0"/>
                <w:szCs w:val="21"/>
              </w:rPr>
            </w:pPr>
            <w:r>
              <w:rPr>
                <w:color w:val="auto"/>
                <w:kern w:val="0"/>
                <w:sz w:val="24"/>
              </w:rPr>
              <w:t>专项评价设置情况</w:t>
            </w:r>
          </w:p>
        </w:tc>
        <w:tc>
          <w:tcPr>
            <w:tcW w:w="6946" w:type="dxa"/>
            <w:gridSpan w:val="3"/>
            <w:vAlign w:val="center"/>
          </w:tcPr>
          <w:p w14:paraId="072361D0">
            <w:pPr>
              <w:autoSpaceDE w:val="0"/>
              <w:autoSpaceDN w:val="0"/>
              <w:adjustRightInd w:val="0"/>
              <w:snapToGrid w:val="0"/>
              <w:jc w:val="center"/>
              <w:rPr>
                <w:color w:val="auto"/>
                <w:kern w:val="0"/>
                <w:szCs w:val="21"/>
              </w:rPr>
            </w:pPr>
            <w:r>
              <w:rPr>
                <w:color w:val="auto"/>
                <w:kern w:val="0"/>
                <w:sz w:val="24"/>
                <w:szCs w:val="24"/>
              </w:rPr>
              <w:t>无</w:t>
            </w:r>
          </w:p>
        </w:tc>
      </w:tr>
      <w:tr w14:paraId="5B8E07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1924" w:type="dxa"/>
            <w:vAlign w:val="center"/>
          </w:tcPr>
          <w:p w14:paraId="2132FD97">
            <w:pPr>
              <w:autoSpaceDE w:val="0"/>
              <w:autoSpaceDN w:val="0"/>
              <w:adjustRightInd w:val="0"/>
              <w:snapToGrid w:val="0"/>
              <w:jc w:val="center"/>
              <w:rPr>
                <w:color w:val="auto"/>
                <w:kern w:val="0"/>
                <w:szCs w:val="21"/>
              </w:rPr>
            </w:pPr>
            <w:r>
              <w:rPr>
                <w:color w:val="auto"/>
                <w:kern w:val="0"/>
                <w:sz w:val="24"/>
                <w:szCs w:val="24"/>
              </w:rPr>
              <w:t>规划情况</w:t>
            </w:r>
          </w:p>
        </w:tc>
        <w:tc>
          <w:tcPr>
            <w:tcW w:w="6946" w:type="dxa"/>
            <w:gridSpan w:val="3"/>
            <w:vAlign w:val="center"/>
          </w:tcPr>
          <w:p w14:paraId="2E9E2120">
            <w:pPr>
              <w:pStyle w:val="7"/>
              <w:keepNext w:val="0"/>
              <w:keepLines w:val="0"/>
              <w:pageBreakBefore w:val="0"/>
              <w:widowControl/>
              <w:kinsoku/>
              <w:wordWrap/>
              <w:overflowPunct/>
              <w:topLinePunct w:val="0"/>
              <w:autoSpaceDE/>
              <w:autoSpaceDN/>
              <w:bidi w:val="0"/>
              <w:adjustRightInd/>
              <w:snapToGrid/>
              <w:spacing w:before="0" w:after="0" w:line="360" w:lineRule="auto"/>
              <w:ind w:right="0" w:firstLine="480" w:firstLineChars="200"/>
              <w:jc w:val="both"/>
              <w:textAlignment w:val="auto"/>
              <w:rPr>
                <w:rFonts w:hint="default"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highlight w:val="none"/>
                <w:lang w:val="en-US" w:eastAsia="zh-CN"/>
              </w:rPr>
              <w:t>2010年2月26日，新疆维吾尔自治区人民政府以新政函〔2010〕46号《关于阜康重化工业园区总体规划的批复》对园区总体规划进行了批复。2011年3月22日，新疆维吾尔自治区人民政府以新政函〔2011〕56号《关于新疆阜康重化工业园区更名为新疆阜康产业园的批复》，批准阜康重化工业园区更名为新疆阜康产业园。</w:t>
            </w:r>
          </w:p>
        </w:tc>
      </w:tr>
      <w:tr w14:paraId="41BC09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924" w:type="dxa"/>
            <w:vAlign w:val="center"/>
          </w:tcPr>
          <w:p w14:paraId="6D7D842F">
            <w:pPr>
              <w:autoSpaceDE w:val="0"/>
              <w:autoSpaceDN w:val="0"/>
              <w:adjustRightInd w:val="0"/>
              <w:snapToGrid w:val="0"/>
              <w:jc w:val="center"/>
              <w:rPr>
                <w:color w:val="auto"/>
                <w:kern w:val="0"/>
                <w:sz w:val="24"/>
              </w:rPr>
            </w:pPr>
            <w:r>
              <w:rPr>
                <w:color w:val="auto"/>
                <w:kern w:val="0"/>
                <w:sz w:val="24"/>
              </w:rPr>
              <w:t>规划环境影响</w:t>
            </w:r>
          </w:p>
          <w:p w14:paraId="37D5F562">
            <w:pPr>
              <w:autoSpaceDE w:val="0"/>
              <w:autoSpaceDN w:val="0"/>
              <w:adjustRightInd w:val="0"/>
              <w:snapToGrid w:val="0"/>
              <w:jc w:val="center"/>
              <w:rPr>
                <w:color w:val="auto"/>
                <w:kern w:val="0"/>
                <w:szCs w:val="21"/>
              </w:rPr>
            </w:pPr>
            <w:r>
              <w:rPr>
                <w:color w:val="auto"/>
                <w:kern w:val="0"/>
                <w:sz w:val="24"/>
              </w:rPr>
              <w:t>评价情况</w:t>
            </w:r>
          </w:p>
        </w:tc>
        <w:tc>
          <w:tcPr>
            <w:tcW w:w="6946" w:type="dxa"/>
            <w:gridSpan w:val="3"/>
            <w:vAlign w:val="center"/>
          </w:tcPr>
          <w:p w14:paraId="4F2068CF">
            <w:pPr>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both"/>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b/>
                <w:bCs/>
                <w:color w:val="auto"/>
                <w:kern w:val="0"/>
                <w:sz w:val="24"/>
                <w:highlight w:val="none"/>
              </w:rPr>
              <w:t>规划环境影响评价文件：</w:t>
            </w:r>
            <w:r>
              <w:rPr>
                <w:rFonts w:hint="default" w:ascii="Times New Roman" w:hAnsi="Times New Roman" w:eastAsia="宋体" w:cs="Times New Roman"/>
                <w:color w:val="auto"/>
                <w:kern w:val="0"/>
                <w:sz w:val="24"/>
                <w:highlight w:val="none"/>
                <w:lang w:val="en-US" w:eastAsia="zh-CN"/>
              </w:rPr>
              <w:t>《新疆阜康产业园总体规划修编（2019-2030年）环境影响报告书》</w:t>
            </w:r>
          </w:p>
          <w:p w14:paraId="04527975">
            <w:pPr>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both"/>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b/>
                <w:bCs/>
                <w:color w:val="auto"/>
                <w:kern w:val="0"/>
                <w:sz w:val="24"/>
                <w:highlight w:val="none"/>
              </w:rPr>
              <w:t>召集审查机关：</w:t>
            </w:r>
            <w:r>
              <w:rPr>
                <w:rFonts w:hint="default" w:ascii="Times New Roman" w:hAnsi="Times New Roman" w:eastAsia="宋体" w:cs="Times New Roman"/>
                <w:color w:val="auto"/>
                <w:kern w:val="0"/>
                <w:sz w:val="24"/>
                <w:highlight w:val="none"/>
              </w:rPr>
              <w:t>新疆维吾尔自治区生态环境厅</w:t>
            </w:r>
          </w:p>
          <w:p w14:paraId="4DBA26D3">
            <w:pPr>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both"/>
              <w:textAlignment w:val="auto"/>
              <w:rPr>
                <w:rFonts w:hint="eastAsia"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b/>
                <w:bCs/>
                <w:color w:val="auto"/>
                <w:kern w:val="0"/>
                <w:sz w:val="24"/>
                <w:highlight w:val="none"/>
              </w:rPr>
              <w:t>审查文件名称及文号：</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lang w:val="en-US" w:eastAsia="zh-CN"/>
              </w:rPr>
              <w:t>关于&lt;</w:t>
            </w:r>
            <w:r>
              <w:rPr>
                <w:rFonts w:hint="default" w:ascii="Times New Roman" w:hAnsi="Times New Roman" w:eastAsia="宋体" w:cs="Times New Roman"/>
                <w:color w:val="auto"/>
                <w:kern w:val="0"/>
                <w:sz w:val="24"/>
                <w:highlight w:val="none"/>
              </w:rPr>
              <w:t>新疆阜康产业园总体规划修</w:t>
            </w:r>
            <w:r>
              <w:rPr>
                <w:rFonts w:hint="eastAsia" w:cs="Times New Roman"/>
                <w:color w:val="auto"/>
                <w:kern w:val="0"/>
                <w:sz w:val="24"/>
                <w:highlight w:val="none"/>
                <w:lang w:val="en-US" w:eastAsia="zh-CN"/>
              </w:rPr>
              <w:t>编</w:t>
            </w:r>
            <w:r>
              <w:rPr>
                <w:rFonts w:hint="default" w:ascii="Times New Roman" w:hAnsi="Times New Roman" w:eastAsia="宋体" w:cs="Times New Roman"/>
                <w:color w:val="auto"/>
                <w:kern w:val="0"/>
                <w:sz w:val="24"/>
                <w:highlight w:val="none"/>
              </w:rPr>
              <w:t>（2019-2030年）环境影响报告书</w:t>
            </w:r>
            <w:r>
              <w:rPr>
                <w:rFonts w:hint="default" w:ascii="Times New Roman" w:hAnsi="Times New Roman" w:eastAsia="宋体" w:cs="Times New Roman"/>
                <w:color w:val="auto"/>
                <w:kern w:val="0"/>
                <w:sz w:val="24"/>
                <w:highlight w:val="none"/>
                <w:lang w:val="en-US" w:eastAsia="zh-CN"/>
              </w:rPr>
              <w:t>&gt;</w:t>
            </w:r>
            <w:r>
              <w:rPr>
                <w:rFonts w:hint="default" w:ascii="Times New Roman" w:hAnsi="Times New Roman" w:eastAsia="宋体" w:cs="Times New Roman"/>
                <w:color w:val="auto"/>
                <w:kern w:val="0"/>
                <w:sz w:val="24"/>
                <w:highlight w:val="none"/>
              </w:rPr>
              <w:t>的审查意见</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（新环审〔2020〕123号）</w:t>
            </w:r>
          </w:p>
        </w:tc>
      </w:tr>
      <w:tr w14:paraId="7E64E4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25" w:hRule="atLeast"/>
          <w:jc w:val="center"/>
        </w:trPr>
        <w:tc>
          <w:tcPr>
            <w:tcW w:w="1924" w:type="dxa"/>
            <w:vAlign w:val="center"/>
          </w:tcPr>
          <w:p w14:paraId="3996E7BD">
            <w:pPr>
              <w:autoSpaceDE w:val="0"/>
              <w:autoSpaceDN w:val="0"/>
              <w:adjustRightInd w:val="0"/>
              <w:snapToGrid w:val="0"/>
              <w:jc w:val="center"/>
              <w:rPr>
                <w:color w:val="auto"/>
                <w:kern w:val="0"/>
                <w:sz w:val="24"/>
              </w:rPr>
            </w:pPr>
            <w:r>
              <w:rPr>
                <w:color w:val="auto"/>
                <w:kern w:val="0"/>
                <w:sz w:val="24"/>
              </w:rPr>
              <w:t>规划及规划环境</w:t>
            </w:r>
          </w:p>
          <w:p w14:paraId="3A5EBB98">
            <w:pPr>
              <w:autoSpaceDE w:val="0"/>
              <w:autoSpaceDN w:val="0"/>
              <w:adjustRightInd w:val="0"/>
              <w:snapToGrid w:val="0"/>
              <w:jc w:val="center"/>
              <w:rPr>
                <w:color w:val="auto"/>
                <w:kern w:val="0"/>
                <w:szCs w:val="21"/>
              </w:rPr>
            </w:pPr>
            <w:r>
              <w:rPr>
                <w:color w:val="auto"/>
                <w:kern w:val="0"/>
                <w:sz w:val="24"/>
              </w:rPr>
              <w:t>影响评价符合性分析</w:t>
            </w:r>
          </w:p>
        </w:tc>
        <w:tc>
          <w:tcPr>
            <w:tcW w:w="6946" w:type="dxa"/>
            <w:gridSpan w:val="3"/>
            <w:vAlign w:val="center"/>
          </w:tcPr>
          <w:p w14:paraId="3163DCB1">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both"/>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1.与</w:t>
            </w:r>
            <w:r>
              <w:rPr>
                <w:rFonts w:hint="eastAsia"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lang w:val="en-US" w:eastAsia="zh-CN"/>
              </w:rPr>
              <w:t>新疆阜康产业园总体规划修编（2019-2030）</w:t>
            </w:r>
            <w:r>
              <w:rPr>
                <w:rFonts w:hint="eastAsia"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lang w:val="en-US" w:eastAsia="zh-CN"/>
              </w:rPr>
              <w:t>的符合性分析</w:t>
            </w:r>
          </w:p>
          <w:p w14:paraId="630AA3FD">
            <w:pPr>
              <w:keepNext w:val="0"/>
              <w:keepLines w:val="0"/>
              <w:pageBreakBefore w:val="0"/>
              <w:widowControl w:val="0"/>
              <w:kinsoku/>
              <w:wordWrap/>
              <w:overflowPunct/>
              <w:topLinePunct w:val="0"/>
              <w:bidi w:val="0"/>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新疆阜康产业园（以下简称产业园）总体规划修编后，规划范围不变：南至天山、北临乌准铁路、西到五工梁村，东近黄山口村，规划产业园建设用地近期</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2019-2025年</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规模36.28平方公里，远期（2026-2030年）64平方公里。阜康产业园区用地分为阜东一区、阜东二区和阜东三区，在各用地分区上主要有三个产业分区。</w:t>
            </w:r>
          </w:p>
          <w:p w14:paraId="49E6CC1D">
            <w:pPr>
              <w:keepNext w:val="0"/>
              <w:keepLines w:val="0"/>
              <w:pageBreakBefore w:val="0"/>
              <w:widowControl w:val="0"/>
              <w:kinsoku/>
              <w:wordWrap/>
              <w:overflowPunct/>
              <w:topLinePunct w:val="0"/>
              <w:bidi w:val="0"/>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分别是：现有产业延伸及配套发展区、战略性新兴产业发展区和生产性服务业发展区。产业园区规划三大主导产业：金属加工产业、装备制造产业和生产性服务产业，分布在各个产业分区中。</w:t>
            </w:r>
          </w:p>
          <w:p w14:paraId="65D604F4">
            <w:pPr>
              <w:keepNext w:val="0"/>
              <w:keepLines w:val="0"/>
              <w:pageBreakBefore w:val="0"/>
              <w:widowControl w:val="0"/>
              <w:kinsoku/>
              <w:wordWrap/>
              <w:overflowPunct/>
              <w:topLinePunct w:val="0"/>
              <w:bidi w:val="0"/>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w:t>
            </w:r>
            <w:r>
              <w:rPr>
                <w:rFonts w:hint="eastAsia" w:cs="Times New Roman"/>
                <w:color w:val="auto"/>
                <w:sz w:val="24"/>
                <w:szCs w:val="24"/>
                <w:highlight w:val="none"/>
                <w:lang w:val="en-US" w:eastAsia="zh-CN"/>
              </w:rPr>
              <w:t>位于阜康产业园区阜东二区，项目</w:t>
            </w:r>
            <w:r>
              <w:rPr>
                <w:rFonts w:hint="default" w:ascii="Times New Roman" w:hAnsi="Times New Roman" w:eastAsia="宋体" w:cs="Times New Roman"/>
                <w:color w:val="auto"/>
                <w:sz w:val="24"/>
                <w:szCs w:val="24"/>
                <w:highlight w:val="none"/>
                <w:lang w:val="en-US" w:eastAsia="zh-CN"/>
              </w:rPr>
              <w:t>为</w:t>
            </w:r>
            <w:r>
              <w:rPr>
                <w:rFonts w:hint="eastAsia" w:ascii="Times New Roman" w:hAnsi="Times New Roman" w:eastAsia="宋体" w:cs="Times New Roman"/>
                <w:color w:val="auto"/>
                <w:sz w:val="24"/>
                <w:highlight w:val="none"/>
                <w:lang w:val="en-US" w:eastAsia="zh-CN"/>
              </w:rPr>
              <w:t>煤炭洗选</w:t>
            </w:r>
            <w:r>
              <w:rPr>
                <w:rFonts w:hint="eastAsia" w:cs="Times New Roman"/>
                <w:color w:val="auto"/>
                <w:sz w:val="24"/>
                <w:highlight w:val="none"/>
                <w:lang w:val="en-US" w:eastAsia="zh-CN"/>
              </w:rPr>
              <w:t>业</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且</w:t>
            </w:r>
            <w:r>
              <w:rPr>
                <w:rFonts w:hint="default" w:ascii="Times New Roman" w:hAnsi="Times New Roman" w:eastAsia="宋体" w:cs="Times New Roman"/>
                <w:color w:val="auto"/>
                <w:sz w:val="24"/>
                <w:szCs w:val="24"/>
                <w:highlight w:val="none"/>
                <w:lang w:val="en-US" w:eastAsia="zh-CN"/>
              </w:rPr>
              <w:t>属于</w:t>
            </w:r>
            <w:r>
              <w:rPr>
                <w:rFonts w:hint="eastAsia" w:cs="Times New Roman"/>
                <w:color w:val="auto"/>
                <w:sz w:val="24"/>
                <w:szCs w:val="24"/>
                <w:highlight w:val="none"/>
                <w:lang w:val="en-US" w:eastAsia="zh-CN"/>
              </w:rPr>
              <w:t>技术改造类项目</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建设完成后为阜康市永鑫煤化有限公司、阜康市泰华煤焦化有限公司和阜康市金鑫铸造有限公司等企业提供精煤，属于生产性服务产业，</w:t>
            </w:r>
            <w:r>
              <w:rPr>
                <w:rFonts w:hint="default" w:ascii="Times New Roman" w:hAnsi="Times New Roman" w:eastAsia="宋体" w:cs="Times New Roman"/>
                <w:color w:val="auto"/>
                <w:sz w:val="24"/>
                <w:szCs w:val="24"/>
                <w:highlight w:val="none"/>
                <w:lang w:val="en-US" w:eastAsia="zh-CN"/>
              </w:rPr>
              <w:t>符合园区规划主导产业</w:t>
            </w:r>
            <w:r>
              <w:rPr>
                <w:rFonts w:hint="eastAsia" w:cs="Times New Roman"/>
                <w:color w:val="auto"/>
                <w:sz w:val="24"/>
                <w:szCs w:val="24"/>
                <w:highlight w:val="none"/>
                <w:lang w:val="en-US" w:eastAsia="zh-CN"/>
              </w:rPr>
              <w:t>定位</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项目位于甘河子镇区西侧S303南侧，为阜康产业园区用地；根据项目土地使用证，项目土地类型为工业用地</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szCs w:val="24"/>
                <w:highlight w:val="none"/>
                <w:lang w:val="en-US" w:eastAsia="zh-CN"/>
              </w:rPr>
              <w:t>因此，本项目符合</w:t>
            </w:r>
            <w:r>
              <w:rPr>
                <w:rFonts w:hint="eastAsia" w:cs="Times New Roman"/>
                <w:color w:val="auto"/>
                <w:sz w:val="24"/>
                <w:szCs w:val="24"/>
                <w:highlight w:val="none"/>
                <w:lang w:val="en-US" w:eastAsia="zh-CN"/>
              </w:rPr>
              <w:t>阜康产业园</w:t>
            </w:r>
            <w:r>
              <w:rPr>
                <w:rFonts w:hint="default" w:ascii="Times New Roman" w:hAnsi="Times New Roman" w:eastAsia="宋体" w:cs="Times New Roman"/>
                <w:color w:val="auto"/>
                <w:sz w:val="24"/>
                <w:szCs w:val="24"/>
                <w:highlight w:val="none"/>
                <w:lang w:val="en-US" w:eastAsia="zh-CN"/>
              </w:rPr>
              <w:t>产业定位和园区规划。</w:t>
            </w:r>
          </w:p>
          <w:p w14:paraId="06D4EA0C">
            <w:pPr>
              <w:keepNext w:val="0"/>
              <w:keepLines w:val="0"/>
              <w:pageBreakBefore w:val="0"/>
              <w:widowControl w:val="0"/>
              <w:kinsoku/>
              <w:wordWrap/>
              <w:overflowPunct/>
              <w:topLinePunct w:val="0"/>
              <w:autoSpaceDE w:val="0"/>
              <w:autoSpaceDN w:val="0"/>
              <w:bidi w:val="0"/>
              <w:adjustRightInd w:val="0"/>
              <w:snapToGrid w:val="0"/>
              <w:spacing w:line="360" w:lineRule="auto"/>
              <w:ind w:firstLine="480"/>
              <w:jc w:val="both"/>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2、与《新疆阜康产业园总体规划修编（2019-2030年）环境影响报告书》及审查意见的符合性分析</w:t>
            </w:r>
          </w:p>
          <w:p w14:paraId="51F5A103">
            <w:pPr>
              <w:keepNext w:val="0"/>
              <w:keepLines w:val="0"/>
              <w:pageBreakBefore w:val="0"/>
              <w:widowControl w:val="0"/>
              <w:kinsoku/>
              <w:wordWrap/>
              <w:overflowPunct/>
              <w:topLinePunct w:val="0"/>
              <w:autoSpaceDE/>
              <w:autoSpaceDN/>
              <w:bidi w:val="0"/>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根据关于《新疆阜康产业园总体规划修（2019-2030）环境影响报告书》的审查意见（新环审〔2020〕123 号），产业发展定位为：以金属加工产业、装备制造产业、生产性服务产业为主导产业，培育发展新材料产业集群、先进装备制造、装配式建筑产业和新兴业态产业等产业，布局合理、设施完善、资源节约、环境友好的生态工业园区。阜东一区重点发展产业为金属加工产业、建材产业、新兴业态产业、新材料产业、生产性服务产业等；阜东二区重点发展产业为装备制造配套产业、先进装备制造产业、金属加工产业、生产性服务产业等重点发展产业，配套产业为城市矿产和再制造产业、循环经济产业；阜东三区重点发展产业为建材产业、生产性服务产业、先进装备制造业等。</w:t>
            </w:r>
          </w:p>
          <w:p w14:paraId="5ED006E9">
            <w:pPr>
              <w:pStyle w:val="55"/>
              <w:keepNext w:val="0"/>
              <w:keepLines w:val="0"/>
              <w:pageBreakBefore w:val="0"/>
              <w:widowControl w:val="0"/>
              <w:kinsoku/>
              <w:wordWrap/>
              <w:overflowPunct/>
              <w:topLinePunct w:val="0"/>
              <w:autoSpaceDE/>
              <w:autoSpaceDN/>
              <w:bidi w:val="0"/>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w:t>
            </w:r>
            <w:r>
              <w:rPr>
                <w:rFonts w:hint="eastAsia" w:cs="Times New Roman"/>
                <w:color w:val="auto"/>
                <w:sz w:val="24"/>
                <w:szCs w:val="24"/>
                <w:highlight w:val="none"/>
                <w:lang w:val="en-US" w:eastAsia="zh-CN"/>
              </w:rPr>
              <w:t>位于阜康产业园区阜东二区，项目</w:t>
            </w:r>
            <w:r>
              <w:rPr>
                <w:rFonts w:hint="default" w:ascii="Times New Roman" w:hAnsi="Times New Roman" w:eastAsia="宋体" w:cs="Times New Roman"/>
                <w:color w:val="auto"/>
                <w:sz w:val="24"/>
                <w:szCs w:val="24"/>
                <w:highlight w:val="none"/>
                <w:lang w:val="en-US" w:eastAsia="zh-CN"/>
              </w:rPr>
              <w:t>为</w:t>
            </w:r>
            <w:r>
              <w:rPr>
                <w:rFonts w:hint="eastAsia" w:ascii="Times New Roman" w:hAnsi="Times New Roman" w:eastAsia="宋体" w:cs="Times New Roman"/>
                <w:color w:val="auto"/>
                <w:sz w:val="24"/>
                <w:highlight w:val="none"/>
                <w:lang w:val="en-US" w:eastAsia="zh-CN"/>
              </w:rPr>
              <w:t>煤炭洗选</w:t>
            </w:r>
            <w:r>
              <w:rPr>
                <w:rFonts w:hint="eastAsia" w:cs="Times New Roman"/>
                <w:color w:val="auto"/>
                <w:sz w:val="24"/>
                <w:highlight w:val="none"/>
                <w:lang w:val="en-US" w:eastAsia="zh-CN"/>
              </w:rPr>
              <w:t>业</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且</w:t>
            </w:r>
            <w:r>
              <w:rPr>
                <w:rFonts w:hint="default" w:ascii="Times New Roman" w:hAnsi="Times New Roman" w:eastAsia="宋体" w:cs="Times New Roman"/>
                <w:color w:val="auto"/>
                <w:sz w:val="24"/>
                <w:szCs w:val="24"/>
                <w:highlight w:val="none"/>
                <w:lang w:val="en-US" w:eastAsia="zh-CN"/>
              </w:rPr>
              <w:t>属于</w:t>
            </w:r>
            <w:r>
              <w:rPr>
                <w:rFonts w:hint="eastAsia" w:cs="Times New Roman"/>
                <w:color w:val="auto"/>
                <w:sz w:val="24"/>
                <w:szCs w:val="24"/>
                <w:highlight w:val="none"/>
                <w:lang w:val="en-US" w:eastAsia="zh-CN"/>
              </w:rPr>
              <w:t>技术改造类项目</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建设完成后为阜康市永鑫煤化有限公司、阜康市泰华煤焦化有限公司和阜康市金鑫铸造有限公司等企业提供精煤，属于生产性服务产业，</w:t>
            </w:r>
            <w:r>
              <w:rPr>
                <w:rFonts w:hint="default" w:ascii="Times New Roman" w:hAnsi="Times New Roman" w:eastAsia="宋体" w:cs="Times New Roman"/>
                <w:color w:val="auto"/>
                <w:sz w:val="24"/>
                <w:szCs w:val="24"/>
                <w:highlight w:val="none"/>
                <w:lang w:val="en-US" w:eastAsia="zh-CN"/>
              </w:rPr>
              <w:t>符合园区规划主导产业</w:t>
            </w:r>
            <w:r>
              <w:rPr>
                <w:rFonts w:hint="eastAsia" w:cs="Times New Roman"/>
                <w:color w:val="auto"/>
                <w:sz w:val="24"/>
                <w:szCs w:val="24"/>
                <w:highlight w:val="none"/>
                <w:lang w:val="en-US" w:eastAsia="zh-CN"/>
              </w:rPr>
              <w:t>定位，</w:t>
            </w:r>
            <w:r>
              <w:rPr>
                <w:rFonts w:hint="default" w:ascii="Times New Roman" w:hAnsi="Times New Roman" w:eastAsia="宋体" w:cs="Times New Roman"/>
                <w:color w:val="auto"/>
                <w:sz w:val="24"/>
                <w:szCs w:val="24"/>
                <w:highlight w:val="none"/>
                <w:lang w:val="en-US" w:eastAsia="zh-CN"/>
              </w:rPr>
              <w:t>项目生产过程中废气经处理后可实现达标排放，生产废水</w:t>
            </w:r>
            <w:r>
              <w:rPr>
                <w:rFonts w:hint="eastAsia" w:ascii="Times New Roman" w:hAnsi="Times New Roman" w:eastAsia="宋体" w:cs="Times New Roman"/>
                <w:color w:val="auto"/>
                <w:sz w:val="24"/>
                <w:szCs w:val="24"/>
                <w:highlight w:val="none"/>
                <w:lang w:val="en-US" w:eastAsia="zh-CN"/>
              </w:rPr>
              <w:t>循环利用</w:t>
            </w:r>
            <w:r>
              <w:rPr>
                <w:rFonts w:hint="default" w:ascii="Times New Roman" w:hAnsi="Times New Roman" w:eastAsia="宋体" w:cs="Times New Roman"/>
                <w:color w:val="auto"/>
                <w:sz w:val="24"/>
                <w:szCs w:val="24"/>
                <w:highlight w:val="none"/>
                <w:lang w:val="en-US" w:eastAsia="zh-CN"/>
              </w:rPr>
              <w:t>不外排，固体废物均得到合理处置，符合园区规划环评及审查意见要求。本项目位于阜康市产业园中的位置详见</w:t>
            </w:r>
            <w:r>
              <w:rPr>
                <w:rFonts w:hint="eastAsia" w:ascii="Times New Roman" w:hAnsi="Times New Roman" w:eastAsia="宋体" w:cs="Times New Roman"/>
                <w:color w:val="auto"/>
                <w:sz w:val="24"/>
                <w:szCs w:val="24"/>
                <w:highlight w:val="none"/>
                <w:lang w:val="en-US" w:eastAsia="zh-CN"/>
              </w:rPr>
              <w:t>附图1</w:t>
            </w:r>
            <w:r>
              <w:rPr>
                <w:rFonts w:hint="default" w:ascii="Times New Roman" w:hAnsi="Times New Roman" w:eastAsia="宋体" w:cs="Times New Roman"/>
                <w:color w:val="auto"/>
                <w:sz w:val="24"/>
                <w:szCs w:val="24"/>
                <w:highlight w:val="none"/>
                <w:lang w:val="en-US" w:eastAsia="zh-CN"/>
              </w:rPr>
              <w:t>。</w:t>
            </w:r>
          </w:p>
          <w:p w14:paraId="6B28C176">
            <w:pPr>
              <w:pStyle w:val="55"/>
              <w:keepNext w:val="0"/>
              <w:keepLines w:val="0"/>
              <w:pageBreakBefore w:val="0"/>
              <w:widowControl w:val="0"/>
              <w:kinsoku/>
              <w:wordWrap/>
              <w:overflowPunct/>
              <w:topLinePunct w:val="0"/>
              <w:autoSpaceDE/>
              <w:autoSpaceDN/>
              <w:bidi w:val="0"/>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p>
          <w:p w14:paraId="3D5343B0">
            <w:pPr>
              <w:pStyle w:val="55"/>
              <w:keepNext w:val="0"/>
              <w:keepLines w:val="0"/>
              <w:pageBreakBefore w:val="0"/>
              <w:widowControl w:val="0"/>
              <w:kinsoku/>
              <w:wordWrap/>
              <w:overflowPunct/>
              <w:topLinePunct w:val="0"/>
              <w:autoSpaceDE/>
              <w:autoSpaceDN/>
              <w:bidi w:val="0"/>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p>
          <w:p w14:paraId="76A3E711">
            <w:pPr>
              <w:pStyle w:val="55"/>
              <w:keepNext w:val="0"/>
              <w:keepLines w:val="0"/>
              <w:pageBreakBefore w:val="0"/>
              <w:widowControl w:val="0"/>
              <w:kinsoku/>
              <w:wordWrap/>
              <w:overflowPunct/>
              <w:topLinePunct w:val="0"/>
              <w:autoSpaceDE/>
              <w:autoSpaceDN/>
              <w:bidi w:val="0"/>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p>
          <w:p w14:paraId="3CDBA85D">
            <w:pPr>
              <w:pStyle w:val="55"/>
              <w:keepNext w:val="0"/>
              <w:keepLines w:val="0"/>
              <w:pageBreakBefore w:val="0"/>
              <w:widowControl w:val="0"/>
              <w:kinsoku/>
              <w:wordWrap/>
              <w:overflowPunct/>
              <w:topLinePunct w:val="0"/>
              <w:autoSpaceDE/>
              <w:autoSpaceDN/>
              <w:bidi w:val="0"/>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p>
          <w:p w14:paraId="1AFD02AF">
            <w:pPr>
              <w:pStyle w:val="55"/>
              <w:keepNext w:val="0"/>
              <w:keepLines w:val="0"/>
              <w:pageBreakBefore w:val="0"/>
              <w:widowControl w:val="0"/>
              <w:kinsoku/>
              <w:wordWrap/>
              <w:overflowPunct/>
              <w:topLinePunct w:val="0"/>
              <w:autoSpaceDE/>
              <w:autoSpaceDN/>
              <w:bidi w:val="0"/>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p>
          <w:p w14:paraId="5C8DB386">
            <w:pPr>
              <w:pStyle w:val="55"/>
              <w:keepNext w:val="0"/>
              <w:keepLines w:val="0"/>
              <w:pageBreakBefore w:val="0"/>
              <w:widowControl w:val="0"/>
              <w:kinsoku/>
              <w:wordWrap/>
              <w:overflowPunct/>
              <w:topLinePunct w:val="0"/>
              <w:autoSpaceDE/>
              <w:autoSpaceDN/>
              <w:bidi w:val="0"/>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p>
          <w:p w14:paraId="0CF23E3D">
            <w:pPr>
              <w:pStyle w:val="55"/>
              <w:keepNext w:val="0"/>
              <w:keepLines w:val="0"/>
              <w:pageBreakBefore w:val="0"/>
              <w:widowControl w:val="0"/>
              <w:kinsoku/>
              <w:wordWrap/>
              <w:overflowPunct/>
              <w:topLinePunct w:val="0"/>
              <w:autoSpaceDE/>
              <w:autoSpaceDN/>
              <w:bidi w:val="0"/>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p>
          <w:p w14:paraId="4B13266E">
            <w:pPr>
              <w:pStyle w:val="55"/>
              <w:keepNext w:val="0"/>
              <w:keepLines w:val="0"/>
              <w:pageBreakBefore w:val="0"/>
              <w:widowControl w:val="0"/>
              <w:kinsoku/>
              <w:wordWrap/>
              <w:overflowPunct/>
              <w:topLinePunct w:val="0"/>
              <w:autoSpaceDE/>
              <w:autoSpaceDN/>
              <w:bidi w:val="0"/>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p>
          <w:p w14:paraId="43046387">
            <w:pPr>
              <w:pStyle w:val="55"/>
              <w:keepNext w:val="0"/>
              <w:keepLines w:val="0"/>
              <w:pageBreakBefore w:val="0"/>
              <w:widowControl w:val="0"/>
              <w:kinsoku/>
              <w:wordWrap/>
              <w:overflowPunct/>
              <w:topLinePunct w:val="0"/>
              <w:autoSpaceDE/>
              <w:autoSpaceDN/>
              <w:bidi w:val="0"/>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p>
          <w:p w14:paraId="7B1F94BE">
            <w:pPr>
              <w:pStyle w:val="55"/>
              <w:keepNext w:val="0"/>
              <w:keepLines w:val="0"/>
              <w:pageBreakBefore w:val="0"/>
              <w:widowControl w:val="0"/>
              <w:kinsoku/>
              <w:wordWrap/>
              <w:overflowPunct/>
              <w:topLinePunct w:val="0"/>
              <w:autoSpaceDE/>
              <w:autoSpaceDN/>
              <w:bidi w:val="0"/>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p>
          <w:p w14:paraId="6E5C9540">
            <w:pPr>
              <w:pStyle w:val="55"/>
              <w:keepNext w:val="0"/>
              <w:keepLines w:val="0"/>
              <w:pageBreakBefore w:val="0"/>
              <w:widowControl w:val="0"/>
              <w:kinsoku/>
              <w:wordWrap/>
              <w:overflowPunct/>
              <w:topLinePunct w:val="0"/>
              <w:autoSpaceDE/>
              <w:autoSpaceDN/>
              <w:bidi w:val="0"/>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p>
          <w:p w14:paraId="2A84C38C">
            <w:pPr>
              <w:pStyle w:val="55"/>
              <w:keepNext w:val="0"/>
              <w:keepLines w:val="0"/>
              <w:pageBreakBefore w:val="0"/>
              <w:widowControl w:val="0"/>
              <w:kinsoku/>
              <w:wordWrap/>
              <w:overflowPunct/>
              <w:topLinePunct w:val="0"/>
              <w:autoSpaceDE/>
              <w:autoSpaceDN/>
              <w:bidi w:val="0"/>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p>
          <w:p w14:paraId="2CACEA3B">
            <w:pPr>
              <w:pStyle w:val="55"/>
              <w:keepNext w:val="0"/>
              <w:keepLines w:val="0"/>
              <w:pageBreakBefore w:val="0"/>
              <w:widowControl w:val="0"/>
              <w:kinsoku/>
              <w:wordWrap/>
              <w:overflowPunct/>
              <w:topLinePunct w:val="0"/>
              <w:autoSpaceDE/>
              <w:autoSpaceDN/>
              <w:bidi w:val="0"/>
              <w:spacing w:line="360" w:lineRule="auto"/>
              <w:jc w:val="both"/>
              <w:rPr>
                <w:rFonts w:hint="default" w:ascii="Times New Roman" w:hAnsi="Times New Roman" w:eastAsia="宋体" w:cs="Times New Roman"/>
                <w:color w:val="auto"/>
                <w:sz w:val="24"/>
                <w:szCs w:val="24"/>
                <w:highlight w:val="none"/>
                <w:lang w:val="en-US" w:eastAsia="zh-CN"/>
              </w:rPr>
            </w:pPr>
          </w:p>
        </w:tc>
      </w:tr>
      <w:tr w14:paraId="6EAB0B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0" w:hRule="atLeast"/>
          <w:jc w:val="center"/>
        </w:trPr>
        <w:tc>
          <w:tcPr>
            <w:tcW w:w="1924" w:type="dxa"/>
            <w:vAlign w:val="center"/>
          </w:tcPr>
          <w:p w14:paraId="4B85C6EF">
            <w:pPr>
              <w:autoSpaceDE w:val="0"/>
              <w:autoSpaceDN w:val="0"/>
              <w:adjustRightInd w:val="0"/>
              <w:snapToGrid w:val="0"/>
              <w:jc w:val="center"/>
              <w:rPr>
                <w:color w:val="auto"/>
                <w:kern w:val="0"/>
                <w:szCs w:val="21"/>
              </w:rPr>
            </w:pPr>
            <w:r>
              <w:rPr>
                <w:color w:val="auto"/>
                <w:kern w:val="0"/>
                <w:szCs w:val="21"/>
              </w:rPr>
              <w:t>其他符合性分析</w:t>
            </w:r>
          </w:p>
        </w:tc>
        <w:tc>
          <w:tcPr>
            <w:tcW w:w="6946" w:type="dxa"/>
            <w:gridSpan w:val="3"/>
            <w:vAlign w:val="center"/>
          </w:tcPr>
          <w:p w14:paraId="3F72D8BD">
            <w:pPr>
              <w:pStyle w:val="42"/>
              <w:keepNext w:val="0"/>
              <w:keepLines w:val="0"/>
              <w:pageBreakBefore w:val="0"/>
              <w:widowControl w:val="0"/>
              <w:kinsoku/>
              <w:wordWrap/>
              <w:overflowPunct/>
              <w:topLinePunct w:val="0"/>
              <w:autoSpaceDE/>
              <w:autoSpaceDN/>
              <w:bidi w:val="0"/>
              <w:adjustRightInd/>
              <w:snapToGrid/>
              <w:spacing w:line="360" w:lineRule="auto"/>
              <w:textAlignment w:val="auto"/>
              <w:rPr>
                <w:rStyle w:val="43"/>
                <w:color w:val="auto"/>
                <w:sz w:val="24"/>
              </w:rPr>
            </w:pPr>
            <w:r>
              <w:rPr>
                <w:rStyle w:val="43"/>
                <w:b/>
                <w:bCs/>
                <w:color w:val="auto"/>
                <w:sz w:val="24"/>
              </w:rPr>
              <w:t>1</w:t>
            </w:r>
            <w:r>
              <w:rPr>
                <w:rStyle w:val="43"/>
                <w:rFonts w:hint="eastAsia"/>
                <w:b/>
                <w:bCs/>
                <w:color w:val="auto"/>
                <w:sz w:val="24"/>
                <w:lang w:val="en-US" w:eastAsia="zh-CN"/>
              </w:rPr>
              <w:t>.</w:t>
            </w:r>
            <w:r>
              <w:rPr>
                <w:rStyle w:val="43"/>
                <w:rFonts w:hint="eastAsia"/>
                <w:b/>
                <w:bCs/>
                <w:color w:val="auto"/>
                <w:sz w:val="24"/>
              </w:rPr>
              <w:t xml:space="preserve"> </w:t>
            </w:r>
            <w:r>
              <w:rPr>
                <w:rStyle w:val="43"/>
                <w:b/>
                <w:bCs/>
                <w:color w:val="auto"/>
                <w:sz w:val="24"/>
              </w:rPr>
              <w:t>产业政策符合性分析</w:t>
            </w:r>
          </w:p>
          <w:p w14:paraId="34D1FBE8">
            <w:pPr>
              <w:pStyle w:val="4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lang w:val="en-US"/>
              </w:rPr>
            </w:pPr>
            <w:r>
              <w:rPr>
                <w:rFonts w:hint="eastAsia"/>
                <w:color w:val="auto"/>
                <w:sz w:val="24"/>
                <w:lang w:val="en-US" w:eastAsia="zh-CN"/>
              </w:rPr>
              <w:t>本项目为煤炭洗选工程，属于煤炭开采和洗选行业，</w:t>
            </w:r>
            <w:r>
              <w:rPr>
                <w:color w:val="auto"/>
                <w:sz w:val="24"/>
              </w:rPr>
              <w:t>根据《产业结构调整指导目录（20</w:t>
            </w:r>
            <w:r>
              <w:rPr>
                <w:rFonts w:hint="eastAsia"/>
                <w:color w:val="auto"/>
                <w:sz w:val="24"/>
                <w:lang w:val="en-US" w:eastAsia="zh-CN"/>
              </w:rPr>
              <w:t>24</w:t>
            </w:r>
            <w:r>
              <w:rPr>
                <w:color w:val="auto"/>
                <w:sz w:val="24"/>
              </w:rPr>
              <w:t>年本）》，本项目</w:t>
            </w:r>
            <w:r>
              <w:rPr>
                <w:rFonts w:hint="eastAsia"/>
                <w:color w:val="auto"/>
                <w:sz w:val="24"/>
                <w:lang w:val="en-US" w:eastAsia="zh-CN"/>
              </w:rPr>
              <w:t>不属于“鼓励类、限制类和淘汰类”，故本项目为允许类，且不属于淘汰类落后工艺及设备；同时根据国土资源部国家发展和改革委员会关于发布实施《限制用地项目目录（2012年版）》和《禁止用地项目目录（2012年本）》的通知，对该项目没有明确做出禁止和限制用地的规定。因此，本项目建设符合国家产业政策。</w:t>
            </w:r>
          </w:p>
          <w:p w14:paraId="56B492FD">
            <w:pPr>
              <w:pStyle w:val="42"/>
              <w:keepNext w:val="0"/>
              <w:keepLines w:val="0"/>
              <w:pageBreakBefore w:val="0"/>
              <w:widowControl w:val="0"/>
              <w:numPr>
                <w:ilvl w:val="0"/>
                <w:numId w:val="4"/>
              </w:numPr>
              <w:kinsoku/>
              <w:wordWrap/>
              <w:overflowPunct/>
              <w:topLinePunct w:val="0"/>
              <w:autoSpaceDE/>
              <w:autoSpaceDN/>
              <w:bidi w:val="0"/>
              <w:adjustRightInd/>
              <w:snapToGrid/>
              <w:spacing w:line="360" w:lineRule="auto"/>
              <w:rPr>
                <w:rStyle w:val="43"/>
                <w:b/>
                <w:bCs/>
                <w:color w:val="auto"/>
                <w:sz w:val="24"/>
              </w:rPr>
            </w:pPr>
            <w:r>
              <w:rPr>
                <w:rStyle w:val="43"/>
                <w:b/>
                <w:bCs/>
                <w:color w:val="auto"/>
                <w:sz w:val="24"/>
              </w:rPr>
              <w:t>新疆维吾尔自治区“三线一单”符合性分析</w:t>
            </w:r>
          </w:p>
          <w:p w14:paraId="45E1A9DB">
            <w:pPr>
              <w:pStyle w:val="44"/>
              <w:keepNext w:val="0"/>
              <w:keepLines w:val="0"/>
              <w:pageBreakBefore w:val="0"/>
              <w:widowControl w:val="0"/>
              <w:kinsoku/>
              <w:wordWrap/>
              <w:overflowPunct/>
              <w:topLinePunct w:val="0"/>
              <w:autoSpaceDE/>
              <w:autoSpaceDN/>
              <w:bidi w:val="0"/>
              <w:adjustRightInd/>
              <w:snapToGrid/>
              <w:spacing w:line="360" w:lineRule="auto"/>
              <w:ind w:firstLine="480"/>
              <w:rPr>
                <w:color w:val="auto"/>
              </w:rPr>
            </w:pPr>
            <w:r>
              <w:rPr>
                <w:color w:val="auto"/>
              </w:rPr>
              <w:t>根据《新疆维吾尔自治区“三线一单”生态环境分区管控方案》（新政发〔2021〕18号），本项目与“三线一</w:t>
            </w:r>
            <w:r>
              <w:rPr>
                <w:rFonts w:hint="eastAsia"/>
                <w:color w:val="auto"/>
                <w:lang w:val="en-US" w:eastAsia="zh-CN"/>
              </w:rPr>
              <w:t>单</w:t>
            </w:r>
            <w:r>
              <w:rPr>
                <w:color w:val="auto"/>
              </w:rPr>
              <w:t>”符合性分析如下：</w:t>
            </w:r>
          </w:p>
          <w:p w14:paraId="13C2EFD7">
            <w:pPr>
              <w:pStyle w:val="44"/>
              <w:keepNext w:val="0"/>
              <w:keepLines w:val="0"/>
              <w:pageBreakBefore w:val="0"/>
              <w:widowControl w:val="0"/>
              <w:kinsoku/>
              <w:wordWrap/>
              <w:overflowPunct/>
              <w:topLinePunct w:val="0"/>
              <w:autoSpaceDE/>
              <w:autoSpaceDN/>
              <w:bidi w:val="0"/>
              <w:adjustRightInd/>
              <w:snapToGrid/>
              <w:spacing w:line="360" w:lineRule="auto"/>
              <w:ind w:firstLine="480"/>
              <w:rPr>
                <w:color w:val="auto"/>
              </w:rPr>
            </w:pPr>
            <w:r>
              <w:rPr>
                <w:color w:val="auto"/>
              </w:rPr>
              <w:t>（1）生态保护红线</w:t>
            </w:r>
          </w:p>
          <w:p w14:paraId="56332C7D">
            <w:pPr>
              <w:pStyle w:val="44"/>
              <w:keepNext w:val="0"/>
              <w:keepLines w:val="0"/>
              <w:pageBreakBefore w:val="0"/>
              <w:widowControl w:val="0"/>
              <w:kinsoku/>
              <w:wordWrap/>
              <w:overflowPunct/>
              <w:topLinePunct w:val="0"/>
              <w:autoSpaceDE/>
              <w:autoSpaceDN/>
              <w:bidi w:val="0"/>
              <w:adjustRightInd/>
              <w:snapToGrid/>
              <w:spacing w:line="360" w:lineRule="auto"/>
              <w:ind w:firstLine="480"/>
              <w:rPr>
                <w:color w:val="auto"/>
              </w:rPr>
            </w:pPr>
            <w:r>
              <w:rPr>
                <w:color w:val="auto"/>
              </w:rPr>
              <w:t>按照“生态功能不降低、面积不减少、性质不改变”的基本要求，对划定的生态保护红线实施严格管控，保障和维护国家生态安全的底线和生命线。</w:t>
            </w:r>
          </w:p>
          <w:p w14:paraId="69C728DD">
            <w:pPr>
              <w:pStyle w:val="44"/>
              <w:keepNext w:val="0"/>
              <w:keepLines w:val="0"/>
              <w:pageBreakBefore w:val="0"/>
              <w:widowControl w:val="0"/>
              <w:kinsoku/>
              <w:wordWrap/>
              <w:overflowPunct/>
              <w:topLinePunct w:val="0"/>
              <w:autoSpaceDE/>
              <w:autoSpaceDN/>
              <w:bidi w:val="0"/>
              <w:adjustRightInd/>
              <w:snapToGrid/>
              <w:spacing w:line="360" w:lineRule="auto"/>
              <w:ind w:firstLine="480"/>
              <w:rPr>
                <w:color w:val="auto"/>
              </w:rPr>
            </w:pPr>
            <w:r>
              <w:rPr>
                <w:color w:val="auto"/>
              </w:rPr>
              <w:t>项目建设地点位于</w:t>
            </w:r>
            <w:r>
              <w:rPr>
                <w:rFonts w:hint="eastAsia"/>
                <w:color w:val="auto"/>
                <w:lang w:val="en-US" w:eastAsia="zh-CN"/>
              </w:rPr>
              <w:t>阜康市甘河子镇西侧</w:t>
            </w:r>
            <w:r>
              <w:rPr>
                <w:color w:val="auto"/>
              </w:rPr>
              <w:t>，其占地不在农业保护区、自然保护区、风景名胜区、文物（考古）保护区、生活饮用水水源保护区、供水远景规划区、矿产资源储备区、军事要地、国家保密地区和其他需要特别保护的区域内。因此，不涉及生态红线保护范围。</w:t>
            </w:r>
          </w:p>
          <w:p w14:paraId="22EC7C33">
            <w:pPr>
              <w:pStyle w:val="44"/>
              <w:keepNext w:val="0"/>
              <w:keepLines w:val="0"/>
              <w:pageBreakBefore w:val="0"/>
              <w:widowControl w:val="0"/>
              <w:kinsoku/>
              <w:wordWrap/>
              <w:overflowPunct/>
              <w:topLinePunct w:val="0"/>
              <w:autoSpaceDE/>
              <w:autoSpaceDN/>
              <w:bidi w:val="0"/>
              <w:adjustRightInd/>
              <w:snapToGrid/>
              <w:spacing w:line="360" w:lineRule="auto"/>
              <w:ind w:firstLine="480"/>
              <w:rPr>
                <w:color w:val="auto"/>
              </w:rPr>
            </w:pPr>
            <w:r>
              <w:rPr>
                <w:color w:val="auto"/>
              </w:rPr>
              <w:t>（2）环境质量底线</w:t>
            </w:r>
          </w:p>
          <w:p w14:paraId="355F525F">
            <w:pPr>
              <w:pStyle w:val="44"/>
              <w:keepNext w:val="0"/>
              <w:keepLines w:val="0"/>
              <w:pageBreakBefore w:val="0"/>
              <w:widowControl w:val="0"/>
              <w:kinsoku/>
              <w:wordWrap/>
              <w:overflowPunct/>
              <w:topLinePunct w:val="0"/>
              <w:autoSpaceDE/>
              <w:autoSpaceDN/>
              <w:bidi w:val="0"/>
              <w:adjustRightInd/>
              <w:snapToGrid/>
              <w:spacing w:line="360" w:lineRule="auto"/>
              <w:ind w:firstLine="480"/>
              <w:rPr>
                <w:color w:val="auto"/>
              </w:rPr>
            </w:pPr>
            <w:r>
              <w:rPr>
                <w:color w:val="auto"/>
              </w:rPr>
              <w:t>全区水环境质量持续改善，受污染地表水体得到有效治理，饮用水安全保障水平持续提升，地下水超采得到严格控制，地下水水质保持稳定；全区环境空气质量有所提升，重污染天数持续减少，已达标城市环境空气质量保持稳定，未达标城市环境空气质量持续改善，沙尘影响严重地区做好防风固沙、生态环境保护修复等工作；全区土壤环境质量保持稳定，污染地块安全利用水平稳中有升，土壤环境风险得到进一步管控。</w:t>
            </w:r>
          </w:p>
          <w:p w14:paraId="37FFEA76">
            <w:pPr>
              <w:pStyle w:val="44"/>
              <w:keepNext w:val="0"/>
              <w:keepLines w:val="0"/>
              <w:pageBreakBefore w:val="0"/>
              <w:widowControl w:val="0"/>
              <w:kinsoku/>
              <w:wordWrap/>
              <w:overflowPunct/>
              <w:topLinePunct w:val="0"/>
              <w:autoSpaceDE/>
              <w:autoSpaceDN/>
              <w:bidi w:val="0"/>
              <w:adjustRightInd/>
              <w:snapToGrid/>
              <w:spacing w:line="360" w:lineRule="auto"/>
              <w:ind w:firstLine="480"/>
              <w:rPr>
                <w:color w:val="auto"/>
              </w:rPr>
            </w:pPr>
            <w:r>
              <w:rPr>
                <w:color w:val="auto"/>
              </w:rPr>
              <w:t>区域大气为不达标区，运营期项目“三废”通过采取治理措施，确保污染物达标排放，项目建成后不会明显改变当地的环境质量。</w:t>
            </w:r>
          </w:p>
          <w:p w14:paraId="4C350342">
            <w:pPr>
              <w:pStyle w:val="44"/>
              <w:keepNext w:val="0"/>
              <w:keepLines w:val="0"/>
              <w:pageBreakBefore w:val="0"/>
              <w:widowControl w:val="0"/>
              <w:kinsoku/>
              <w:wordWrap/>
              <w:overflowPunct/>
              <w:topLinePunct w:val="0"/>
              <w:autoSpaceDE/>
              <w:autoSpaceDN/>
              <w:bidi w:val="0"/>
              <w:adjustRightInd/>
              <w:snapToGrid/>
              <w:spacing w:line="360" w:lineRule="auto"/>
              <w:ind w:firstLine="480"/>
              <w:rPr>
                <w:color w:val="auto"/>
              </w:rPr>
            </w:pPr>
            <w:r>
              <w:rPr>
                <w:color w:val="auto"/>
              </w:rPr>
              <w:t>（3）资源利用上线</w:t>
            </w:r>
          </w:p>
          <w:p w14:paraId="0904E7E7">
            <w:pPr>
              <w:pStyle w:val="44"/>
              <w:keepNext w:val="0"/>
              <w:keepLines w:val="0"/>
              <w:pageBreakBefore w:val="0"/>
              <w:widowControl w:val="0"/>
              <w:kinsoku/>
              <w:wordWrap/>
              <w:overflowPunct/>
              <w:topLinePunct w:val="0"/>
              <w:autoSpaceDE/>
              <w:autoSpaceDN/>
              <w:bidi w:val="0"/>
              <w:adjustRightInd/>
              <w:snapToGrid/>
              <w:spacing w:line="360" w:lineRule="auto"/>
              <w:ind w:firstLine="480"/>
              <w:rPr>
                <w:color w:val="auto"/>
              </w:rPr>
            </w:pPr>
            <w:r>
              <w:rPr>
                <w:color w:val="auto"/>
              </w:rPr>
              <w:t>强化节约集约利用，持续提升资源能源利用效率，水资源、土地资源、能源消耗等达到国家、自治区下达的总量和强度控制目标。加快区域低碳发展，积极推动乌鲁木齐市、昌吉市、伊宁市、和田市等4个国家级低碳试点城市发挥低碳试点示范和引领作用。</w:t>
            </w:r>
          </w:p>
          <w:p w14:paraId="4FD63DF4">
            <w:pPr>
              <w:pStyle w:val="44"/>
              <w:keepNext w:val="0"/>
              <w:keepLines w:val="0"/>
              <w:pageBreakBefore w:val="0"/>
              <w:widowControl w:val="0"/>
              <w:kinsoku/>
              <w:wordWrap/>
              <w:overflowPunct/>
              <w:topLinePunct w:val="0"/>
              <w:autoSpaceDE/>
              <w:autoSpaceDN/>
              <w:bidi w:val="0"/>
              <w:adjustRightInd/>
              <w:snapToGrid/>
              <w:spacing w:line="360" w:lineRule="auto"/>
              <w:ind w:firstLine="480"/>
              <w:rPr>
                <w:color w:val="auto"/>
              </w:rPr>
            </w:pPr>
            <w:r>
              <w:rPr>
                <w:color w:val="auto"/>
              </w:rPr>
              <w:t>本项目运营期间主要利用资源及各种辅助材料、水、电，区域资源充足，有保障，不会突破资源利用上线。故本项目满足资源利用上线要求。</w:t>
            </w:r>
          </w:p>
          <w:p w14:paraId="6F670D63">
            <w:pPr>
              <w:pStyle w:val="44"/>
              <w:keepNext w:val="0"/>
              <w:keepLines w:val="0"/>
              <w:pageBreakBefore w:val="0"/>
              <w:widowControl w:val="0"/>
              <w:kinsoku/>
              <w:wordWrap/>
              <w:overflowPunct/>
              <w:topLinePunct w:val="0"/>
              <w:autoSpaceDE/>
              <w:autoSpaceDN/>
              <w:bidi w:val="0"/>
              <w:adjustRightInd/>
              <w:snapToGrid/>
              <w:spacing w:line="360" w:lineRule="auto"/>
              <w:ind w:firstLine="480"/>
              <w:rPr>
                <w:rFonts w:hint="default" w:eastAsia="宋体"/>
                <w:color w:val="auto"/>
                <w:lang w:val="en-US" w:eastAsia="zh-CN"/>
              </w:rPr>
            </w:pPr>
            <w:r>
              <w:rPr>
                <w:color w:val="auto"/>
              </w:rPr>
              <w:t>（4）</w:t>
            </w:r>
            <w:r>
              <w:rPr>
                <w:rFonts w:hint="eastAsia"/>
                <w:color w:val="auto"/>
                <w:lang w:val="en-US" w:eastAsia="zh-CN"/>
              </w:rPr>
              <w:t>生态环境准入清单</w:t>
            </w:r>
          </w:p>
          <w:p w14:paraId="3B114AB7">
            <w:pPr>
              <w:pStyle w:val="44"/>
              <w:keepNext w:val="0"/>
              <w:keepLines w:val="0"/>
              <w:pageBreakBefore w:val="0"/>
              <w:widowControl w:val="0"/>
              <w:kinsoku/>
              <w:wordWrap/>
              <w:overflowPunct/>
              <w:topLinePunct w:val="0"/>
              <w:autoSpaceDE/>
              <w:autoSpaceDN/>
              <w:bidi w:val="0"/>
              <w:adjustRightInd/>
              <w:snapToGrid/>
              <w:spacing w:line="360" w:lineRule="auto"/>
              <w:ind w:firstLine="480"/>
              <w:rPr>
                <w:color w:val="auto"/>
              </w:rPr>
            </w:pPr>
            <w:r>
              <w:rPr>
                <w:rFonts w:hint="eastAsia"/>
                <w:color w:val="auto"/>
              </w:rPr>
              <w:t>本项目属于</w:t>
            </w:r>
            <w:r>
              <w:rPr>
                <w:rFonts w:hint="eastAsia"/>
                <w:color w:val="auto"/>
                <w:lang w:val="en-US" w:eastAsia="zh-CN"/>
              </w:rPr>
              <w:t>允许</w:t>
            </w:r>
            <w:r>
              <w:rPr>
                <w:color w:val="auto"/>
              </w:rPr>
              <w:t>类，符合国家产业政策。</w:t>
            </w:r>
            <w:r>
              <w:rPr>
                <w:rFonts w:hint="eastAsia"/>
                <w:color w:val="auto"/>
              </w:rPr>
              <w:t>项目</w:t>
            </w:r>
            <w:r>
              <w:rPr>
                <w:rFonts w:hint="eastAsia"/>
                <w:color w:val="auto"/>
                <w:lang w:val="en-US" w:eastAsia="zh-CN"/>
              </w:rPr>
              <w:t>采取有效的三废治理措施，具备污染集中控制的条件。本项目未列入《新疆重点生态功能区产业准入清单》中限制类和禁止类</w:t>
            </w:r>
            <w:r>
              <w:rPr>
                <w:rFonts w:hint="eastAsia"/>
                <w:color w:val="auto"/>
              </w:rPr>
              <w:t>。</w:t>
            </w:r>
          </w:p>
          <w:p w14:paraId="77E5FFED">
            <w:pPr>
              <w:pStyle w:val="44"/>
              <w:keepNext w:val="0"/>
              <w:keepLines w:val="0"/>
              <w:pageBreakBefore w:val="0"/>
              <w:widowControl w:val="0"/>
              <w:kinsoku/>
              <w:wordWrap/>
              <w:overflowPunct/>
              <w:topLinePunct w:val="0"/>
              <w:autoSpaceDE/>
              <w:autoSpaceDN/>
              <w:bidi w:val="0"/>
              <w:adjustRightInd/>
              <w:snapToGrid/>
              <w:spacing w:line="360" w:lineRule="auto"/>
              <w:ind w:firstLine="480"/>
              <w:rPr>
                <w:color w:val="auto"/>
              </w:rPr>
            </w:pPr>
            <w:r>
              <w:rPr>
                <w:color w:val="auto"/>
              </w:rPr>
              <w:t>综上所述，本项目</w:t>
            </w:r>
            <w:r>
              <w:rPr>
                <w:rFonts w:hint="eastAsia"/>
                <w:color w:val="auto"/>
                <w:lang w:val="en-US" w:eastAsia="zh-CN"/>
              </w:rPr>
              <w:t>建设</w:t>
            </w:r>
            <w:r>
              <w:rPr>
                <w:color w:val="auto"/>
              </w:rPr>
              <w:t>符合</w:t>
            </w:r>
            <w:r>
              <w:rPr>
                <w:rFonts w:hint="eastAsia"/>
                <w:color w:val="auto"/>
                <w:lang w:eastAsia="zh-CN"/>
              </w:rPr>
              <w:t>《</w:t>
            </w:r>
            <w:r>
              <w:rPr>
                <w:rFonts w:hint="eastAsia"/>
                <w:color w:val="auto"/>
                <w:lang w:val="en-US" w:eastAsia="zh-CN"/>
              </w:rPr>
              <w:t>新疆维吾尔自治区“三线一单”生态环境分区管控方案</w:t>
            </w:r>
            <w:r>
              <w:rPr>
                <w:rFonts w:hint="eastAsia"/>
                <w:color w:val="auto"/>
                <w:lang w:eastAsia="zh-CN"/>
              </w:rPr>
              <w:t>》</w:t>
            </w:r>
            <w:r>
              <w:rPr>
                <w:rFonts w:hint="eastAsia"/>
                <w:color w:val="auto"/>
                <w:lang w:val="en-US" w:eastAsia="zh-CN"/>
              </w:rPr>
              <w:t>（新政发〔2021〕18号）</w:t>
            </w:r>
            <w:r>
              <w:rPr>
                <w:color w:val="auto"/>
              </w:rPr>
              <w:t>的要求。</w:t>
            </w:r>
          </w:p>
          <w:p w14:paraId="042379CA">
            <w:pPr>
              <w:pStyle w:val="42"/>
              <w:keepNext w:val="0"/>
              <w:keepLines w:val="0"/>
              <w:pageBreakBefore w:val="0"/>
              <w:widowControl w:val="0"/>
              <w:numPr>
                <w:ilvl w:val="0"/>
                <w:numId w:val="5"/>
              </w:numPr>
              <w:kinsoku/>
              <w:wordWrap/>
              <w:overflowPunct/>
              <w:topLinePunct w:val="0"/>
              <w:autoSpaceDE/>
              <w:autoSpaceDN/>
              <w:bidi w:val="0"/>
              <w:adjustRightInd/>
              <w:snapToGrid/>
              <w:spacing w:line="360" w:lineRule="auto"/>
              <w:rPr>
                <w:rStyle w:val="43"/>
                <w:b/>
                <w:bCs/>
                <w:color w:val="auto"/>
                <w:sz w:val="24"/>
              </w:rPr>
            </w:pPr>
            <w:r>
              <w:rPr>
                <w:rStyle w:val="43"/>
                <w:rFonts w:hint="eastAsia"/>
                <w:b/>
                <w:bCs/>
                <w:color w:val="auto"/>
                <w:sz w:val="24"/>
                <w:lang w:val="en-US" w:eastAsia="zh-CN"/>
              </w:rPr>
              <w:t>与《</w:t>
            </w:r>
            <w:r>
              <w:rPr>
                <w:rStyle w:val="43"/>
                <w:b/>
                <w:bCs/>
                <w:color w:val="auto"/>
                <w:sz w:val="24"/>
              </w:rPr>
              <w:t>昌吉回族自治州“三线一单”生态环境分区管控方案</w:t>
            </w:r>
            <w:r>
              <w:rPr>
                <w:rStyle w:val="43"/>
                <w:rFonts w:hint="eastAsia"/>
                <w:b/>
                <w:bCs/>
                <w:color w:val="auto"/>
                <w:sz w:val="24"/>
                <w:lang w:eastAsia="zh-CN"/>
              </w:rPr>
              <w:t>》</w:t>
            </w:r>
            <w:r>
              <w:rPr>
                <w:rStyle w:val="43"/>
                <w:rFonts w:hint="eastAsia"/>
                <w:b/>
                <w:bCs/>
                <w:color w:val="auto"/>
                <w:sz w:val="24"/>
                <w:lang w:val="en-US" w:eastAsia="zh-CN"/>
              </w:rPr>
              <w:t>及动态更新成果</w:t>
            </w:r>
            <w:r>
              <w:rPr>
                <w:rStyle w:val="43"/>
                <w:b/>
                <w:bCs/>
                <w:color w:val="auto"/>
                <w:sz w:val="24"/>
              </w:rPr>
              <w:t>相符性分析</w:t>
            </w:r>
          </w:p>
          <w:p w14:paraId="6FD0770A">
            <w:pPr>
              <w:pStyle w:val="44"/>
              <w:keepNext w:val="0"/>
              <w:keepLines w:val="0"/>
              <w:pageBreakBefore w:val="0"/>
              <w:widowControl w:val="0"/>
              <w:kinsoku/>
              <w:wordWrap/>
              <w:overflowPunct/>
              <w:topLinePunct w:val="0"/>
              <w:autoSpaceDE/>
              <w:autoSpaceDN/>
              <w:bidi w:val="0"/>
              <w:adjustRightInd/>
              <w:snapToGrid/>
              <w:spacing w:line="360" w:lineRule="auto"/>
              <w:ind w:firstLine="480"/>
              <w:rPr>
                <w:color w:val="auto"/>
                <w:highlight w:val="none"/>
              </w:rPr>
            </w:pPr>
            <w:r>
              <w:rPr>
                <w:color w:val="auto"/>
                <w:szCs w:val="24"/>
              </w:rPr>
              <w:t>根据《昌吉回族自治州“三线一单”生态环境分区管控方案及生态环境准入清单》</w:t>
            </w:r>
            <w:r>
              <w:rPr>
                <w:rFonts w:hint="eastAsia"/>
                <w:color w:val="auto"/>
                <w:szCs w:val="24"/>
                <w:lang w:val="en-US" w:eastAsia="zh-CN"/>
              </w:rPr>
              <w:t>及动态更新成果</w:t>
            </w:r>
            <w:r>
              <w:rPr>
                <w:rFonts w:hint="eastAsia"/>
                <w:color w:val="auto"/>
                <w:szCs w:val="24"/>
                <w:lang w:eastAsia="zh-CN"/>
              </w:rPr>
              <w:t>，</w:t>
            </w:r>
            <w:r>
              <w:rPr>
                <w:color w:val="auto"/>
                <w:szCs w:val="24"/>
              </w:rPr>
              <w:t>本项目</w:t>
            </w:r>
            <w:r>
              <w:rPr>
                <w:color w:val="auto"/>
              </w:rPr>
              <w:t>所属为文件中“</w:t>
            </w:r>
            <w:r>
              <w:rPr>
                <w:rFonts w:hint="eastAsia"/>
                <w:color w:val="auto"/>
                <w:lang w:val="en-US" w:eastAsia="zh-CN"/>
              </w:rPr>
              <w:t>阜康产业园区</w:t>
            </w:r>
            <w:r>
              <w:rPr>
                <w:color w:val="auto"/>
              </w:rPr>
              <w:t>”</w:t>
            </w:r>
            <w:r>
              <w:rPr>
                <w:rFonts w:hint="eastAsia"/>
                <w:color w:val="auto"/>
              </w:rPr>
              <w:t>，</w:t>
            </w:r>
            <w:r>
              <w:rPr>
                <w:rFonts w:hint="eastAsia"/>
                <w:color w:val="auto"/>
                <w:lang w:val="en-US" w:eastAsia="zh-CN"/>
              </w:rPr>
              <w:t>为重点管控单元，</w:t>
            </w:r>
            <w:r>
              <w:rPr>
                <w:rFonts w:hint="eastAsia"/>
                <w:color w:val="auto"/>
              </w:rPr>
              <w:t>环境管控单元编码：ZH65230220003</w:t>
            </w:r>
            <w:r>
              <w:rPr>
                <w:color w:val="auto"/>
              </w:rPr>
              <w:t>。本项目与其符合情况见下表1-</w:t>
            </w:r>
            <w:r>
              <w:rPr>
                <w:rFonts w:hint="eastAsia"/>
                <w:color w:val="auto"/>
                <w:lang w:val="en-US" w:eastAsia="zh-CN"/>
              </w:rPr>
              <w:t>1</w:t>
            </w:r>
            <w:r>
              <w:rPr>
                <w:color w:val="auto"/>
              </w:rPr>
              <w:t>，环境管控单元分类图见</w:t>
            </w:r>
            <w:r>
              <w:rPr>
                <w:b/>
                <w:bCs/>
                <w:color w:val="auto"/>
              </w:rPr>
              <w:t>附图</w:t>
            </w:r>
            <w:r>
              <w:rPr>
                <w:rFonts w:hint="eastAsia"/>
                <w:b/>
                <w:bCs/>
                <w:color w:val="auto"/>
                <w:lang w:val="en-US" w:eastAsia="zh-CN"/>
              </w:rPr>
              <w:t>3</w:t>
            </w:r>
            <w:r>
              <w:rPr>
                <w:color w:val="auto"/>
              </w:rPr>
              <w:t>。</w:t>
            </w:r>
          </w:p>
          <w:p w14:paraId="42C4B7A1">
            <w:pPr>
              <w:jc w:val="center"/>
              <w:rPr>
                <w:b/>
                <w:bCs/>
                <w:color w:val="auto"/>
                <w:szCs w:val="21"/>
              </w:rPr>
            </w:pPr>
            <w:r>
              <w:rPr>
                <w:b/>
                <w:bCs/>
                <w:color w:val="auto"/>
                <w:szCs w:val="21"/>
              </w:rPr>
              <w:t>表1-</w:t>
            </w:r>
            <w:r>
              <w:rPr>
                <w:rFonts w:hint="eastAsia"/>
                <w:b/>
                <w:bCs/>
                <w:color w:val="auto"/>
                <w:szCs w:val="21"/>
                <w:lang w:val="en-US" w:eastAsia="zh-CN"/>
              </w:rPr>
              <w:t>1    阜康产业园区</w:t>
            </w:r>
            <w:r>
              <w:rPr>
                <w:b/>
                <w:bCs/>
                <w:color w:val="auto"/>
                <w:szCs w:val="21"/>
              </w:rPr>
              <w:t>管控要求</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396"/>
              <w:gridCol w:w="4039"/>
              <w:gridCol w:w="2019"/>
              <w:gridCol w:w="276"/>
            </w:tblGrid>
            <w:tr w14:paraId="7E9203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3294" w:type="pct"/>
                  <w:gridSpan w:val="2"/>
                  <w:tcBorders>
                    <w:bottom w:val="single" w:color="auto" w:sz="12" w:space="0"/>
                  </w:tcBorders>
                  <w:vAlign w:val="center"/>
                </w:tcPr>
                <w:p w14:paraId="1D3B2A99">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管控要求</w:t>
                  </w:r>
                </w:p>
              </w:tc>
              <w:tc>
                <w:tcPr>
                  <w:tcW w:w="1500" w:type="pct"/>
                  <w:tcBorders>
                    <w:bottom w:val="single" w:color="auto" w:sz="12" w:space="0"/>
                  </w:tcBorders>
                  <w:vAlign w:val="center"/>
                </w:tcPr>
                <w:p w14:paraId="501FB1AD">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项目情况</w:t>
                  </w:r>
                </w:p>
              </w:tc>
              <w:tc>
                <w:tcPr>
                  <w:tcW w:w="205" w:type="pct"/>
                  <w:tcBorders>
                    <w:bottom w:val="single" w:color="auto" w:sz="12" w:space="0"/>
                  </w:tcBorders>
                  <w:vAlign w:val="center"/>
                </w:tcPr>
                <w:p w14:paraId="030AF1BE">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符合性</w:t>
                  </w:r>
                </w:p>
              </w:tc>
            </w:tr>
            <w:tr w14:paraId="687E79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530" w:hRule="atLeast"/>
                <w:jc w:val="center"/>
              </w:trPr>
              <w:tc>
                <w:tcPr>
                  <w:tcW w:w="294" w:type="pct"/>
                  <w:tcBorders>
                    <w:top w:val="single" w:color="auto" w:sz="12" w:space="0"/>
                    <w:tl2br w:val="nil"/>
                    <w:tr2bl w:val="nil"/>
                  </w:tcBorders>
                  <w:vAlign w:val="center"/>
                </w:tcPr>
                <w:p w14:paraId="61DC729B">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空间布局约束</w:t>
                  </w:r>
                </w:p>
              </w:tc>
              <w:tc>
                <w:tcPr>
                  <w:tcW w:w="3000" w:type="pct"/>
                  <w:tcBorders>
                    <w:top w:val="single" w:color="auto" w:sz="12" w:space="0"/>
                    <w:tl2br w:val="nil"/>
                    <w:tr2bl w:val="nil"/>
                  </w:tcBorders>
                  <w:vAlign w:val="center"/>
                </w:tcPr>
                <w:p w14:paraId="54E09706">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1、入园企业需符合园区产业发展定位，产业发展以有色金属冶炼及精深加工、氯碱精细化工、煤电精细化工、新型建材产业、仓储物流及装备制造六大产业为主导。</w:t>
                  </w:r>
                </w:p>
                <w:p w14:paraId="4AE83B15">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2、根据国家法律法规和产业政策要求，优化焦化产业布局，促进焦化行业转型升级，提升改造现有焦化项目符合环保要求，推动焦化产品精深加工向高端发展。</w:t>
                  </w:r>
                </w:p>
                <w:p w14:paraId="07AAB0F9">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3、禁止新建不符合国家产业政策的严重污染水环境的生产项目。</w:t>
                  </w:r>
                </w:p>
                <w:p w14:paraId="7D4DBF49">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严格按照“以水定产，量水而建”的原则建设，严格控制园区内现有的工业用水量，切实做好水资源利用工作，减少新鲜水用量，合理规划设计排水方案，切实做好排水方案和后续管理，杜绝水污染事故产生。</w:t>
                  </w:r>
                </w:p>
                <w:p w14:paraId="6A453879">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5、除国家规定新增原料用能不纳入能源消费总量控制的项目和列入国家规划的项目外，“乌—昌—石”等重点区域不再新建、扩建使用煤炭项目。</w:t>
                  </w:r>
                </w:p>
                <w:p w14:paraId="20B5ADDC">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6、入园企业需符合产业布局规划及土地利用规划。</w:t>
                  </w:r>
                </w:p>
              </w:tc>
              <w:tc>
                <w:tcPr>
                  <w:tcW w:w="1500" w:type="pct"/>
                  <w:tcBorders>
                    <w:top w:val="single" w:color="auto" w:sz="12" w:space="0"/>
                    <w:tl2br w:val="nil"/>
                    <w:tr2bl w:val="nil"/>
                  </w:tcBorders>
                  <w:vAlign w:val="center"/>
                </w:tcPr>
                <w:p w14:paraId="69052CE2">
                  <w:pPr>
                    <w:pStyle w:val="16"/>
                    <w:keepNext w:val="0"/>
                    <w:keepLines w:val="0"/>
                    <w:pageBreakBefore w:val="0"/>
                    <w:kinsoku/>
                    <w:wordWrap/>
                    <w:overflowPunct/>
                    <w:topLinePunct w:val="0"/>
                    <w:autoSpaceDE/>
                    <w:autoSpaceDN/>
                    <w:bidi w:val="0"/>
                    <w:adjustRightInd/>
                    <w:snapToGrid/>
                    <w:spacing w:line="240" w:lineRule="auto"/>
                    <w:ind w:left="0" w:leftChars="0" w:right="0" w:firstLine="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 本项目符合园区产业发展定位、布局规划等要求；</w:t>
                  </w:r>
                </w:p>
                <w:p w14:paraId="2A245276">
                  <w:pPr>
                    <w:pStyle w:val="16"/>
                    <w:keepNext w:val="0"/>
                    <w:keepLines w:val="0"/>
                    <w:pageBreakBefore w:val="0"/>
                    <w:kinsoku/>
                    <w:wordWrap/>
                    <w:overflowPunct/>
                    <w:topLinePunct w:val="0"/>
                    <w:autoSpaceDE/>
                    <w:autoSpaceDN/>
                    <w:bidi w:val="0"/>
                    <w:adjustRightInd/>
                    <w:snapToGrid/>
                    <w:spacing w:line="240" w:lineRule="auto"/>
                    <w:ind w:left="0" w:leftChars="0" w:right="0" w:firstLine="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 本项目不涉及焦化行业；</w:t>
                  </w:r>
                </w:p>
                <w:p w14:paraId="36F2D307">
                  <w:pPr>
                    <w:pStyle w:val="16"/>
                    <w:keepNext w:val="0"/>
                    <w:keepLines w:val="0"/>
                    <w:pageBreakBefore w:val="0"/>
                    <w:kinsoku/>
                    <w:wordWrap/>
                    <w:overflowPunct/>
                    <w:topLinePunct w:val="0"/>
                    <w:autoSpaceDE/>
                    <w:autoSpaceDN/>
                    <w:bidi w:val="0"/>
                    <w:adjustRightInd/>
                    <w:snapToGrid/>
                    <w:spacing w:line="240" w:lineRule="auto"/>
                    <w:ind w:left="0" w:leftChars="0" w:right="0" w:firstLine="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 本项生产废水循环利用不外排，生活污水</w:t>
                  </w:r>
                  <w:r>
                    <w:rPr>
                      <w:rFonts w:hint="eastAsia" w:ascii="Times New Roman" w:cs="Times New Roman"/>
                      <w:color w:val="auto"/>
                      <w:sz w:val="21"/>
                      <w:szCs w:val="21"/>
                      <w:lang w:val="en-US" w:eastAsia="zh-CN"/>
                    </w:rPr>
                    <w:t>采用地埋式一体化污水处理设施处理后用于厂区洒水降尘</w:t>
                  </w:r>
                  <w:r>
                    <w:rPr>
                      <w:rFonts w:hint="default" w:ascii="Times New Roman" w:hAnsi="Times New Roman" w:eastAsia="宋体" w:cs="Times New Roman"/>
                      <w:color w:val="auto"/>
                      <w:sz w:val="21"/>
                      <w:szCs w:val="21"/>
                      <w:lang w:val="en-US" w:eastAsia="zh-CN"/>
                    </w:rPr>
                    <w:t>；对水环境影响较小</w:t>
                  </w:r>
                </w:p>
                <w:p w14:paraId="3560B4FE">
                  <w:pPr>
                    <w:pStyle w:val="16"/>
                    <w:keepNext w:val="0"/>
                    <w:keepLines w:val="0"/>
                    <w:pageBreakBefore w:val="0"/>
                    <w:kinsoku/>
                    <w:wordWrap/>
                    <w:overflowPunct/>
                    <w:topLinePunct w:val="0"/>
                    <w:autoSpaceDE/>
                    <w:autoSpaceDN/>
                    <w:bidi w:val="0"/>
                    <w:adjustRightInd/>
                    <w:snapToGrid/>
                    <w:spacing w:line="240" w:lineRule="auto"/>
                    <w:ind w:left="0" w:leftChars="0" w:right="0" w:firstLine="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 本项目不涉及燃料用煤使用；</w:t>
                  </w:r>
                </w:p>
                <w:p w14:paraId="522696F8">
                  <w:pPr>
                    <w:pStyle w:val="16"/>
                    <w:keepNext w:val="0"/>
                    <w:keepLines w:val="0"/>
                    <w:pageBreakBefore w:val="0"/>
                    <w:kinsoku/>
                    <w:wordWrap/>
                    <w:overflowPunct/>
                    <w:topLinePunct w:val="0"/>
                    <w:autoSpaceDE/>
                    <w:autoSpaceDN/>
                    <w:bidi w:val="0"/>
                    <w:adjustRightInd/>
                    <w:snapToGrid/>
                    <w:spacing w:line="240" w:lineRule="auto"/>
                    <w:ind w:left="0" w:leftChars="0" w:right="0" w:firstLine="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 本项目符合园区产业布局规划及土地利用规划</w:t>
                  </w:r>
                </w:p>
              </w:tc>
              <w:tc>
                <w:tcPr>
                  <w:tcW w:w="205" w:type="pct"/>
                  <w:tcBorders>
                    <w:top w:val="single" w:color="auto" w:sz="12" w:space="0"/>
                    <w:tl2br w:val="nil"/>
                    <w:tr2bl w:val="nil"/>
                  </w:tcBorders>
                  <w:vAlign w:val="center"/>
                </w:tcPr>
                <w:p w14:paraId="185B4EED">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14AFB9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1845" w:hRule="atLeast"/>
                <w:jc w:val="center"/>
              </w:trPr>
              <w:tc>
                <w:tcPr>
                  <w:tcW w:w="294" w:type="pct"/>
                  <w:tcBorders>
                    <w:tl2br w:val="nil"/>
                    <w:tr2bl w:val="nil"/>
                  </w:tcBorders>
                  <w:vAlign w:val="center"/>
                </w:tcPr>
                <w:p w14:paraId="2B80AC42">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污染物排放管控</w:t>
                  </w:r>
                </w:p>
              </w:tc>
              <w:tc>
                <w:tcPr>
                  <w:tcW w:w="3000" w:type="pct"/>
                  <w:tcBorders>
                    <w:tl2br w:val="nil"/>
                    <w:tr2bl w:val="nil"/>
                  </w:tcBorders>
                  <w:vAlign w:val="center"/>
                </w:tcPr>
                <w:p w14:paraId="6A06D83B">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both"/>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1、新（改、扩）建项目应执行最严格的大气污染物排放标准。</w:t>
                  </w:r>
                </w:p>
                <w:p w14:paraId="184D730A">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both"/>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2、推进重点行业深度治理，实施全工况脱硫脱硝提标改造，加大无组织排放治理力度，深度开展工业炉窑综合整治，全面提升电解铝、活性炭、硅冶炼、纯碱、电石、聚氯乙烯、石化等行业污染治理水平。</w:t>
                  </w:r>
                </w:p>
                <w:p w14:paraId="2479D45D">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both"/>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3、2024年底前全面完成钢铁行业超低排放改造，有序推进水泥、焦化（含半焦）行业全流程超低排放改造。</w:t>
                  </w:r>
                </w:p>
                <w:p w14:paraId="3F0E8E9D">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both"/>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4、“乌-昌-石”区域内，已实施超低排放的涉气排污单位，其实施超低排放改造的污染因子执行超低排放限值，其他污染因子执行特别排放限值和特别控制要求。</w:t>
                  </w:r>
                </w:p>
              </w:tc>
              <w:tc>
                <w:tcPr>
                  <w:tcW w:w="1500" w:type="pct"/>
                  <w:tcBorders>
                    <w:tl2br w:val="nil"/>
                    <w:tr2bl w:val="nil"/>
                  </w:tcBorders>
                  <w:vAlign w:val="center"/>
                </w:tcPr>
                <w:p w14:paraId="5E497E2E">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both"/>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 本项目运营期产生的粉尘执行《煤炭工业污染物排放标准》（GB20426-2006）相关限值要求；</w:t>
                  </w:r>
                </w:p>
                <w:p w14:paraId="7EBD4D77">
                  <w:pPr>
                    <w:pStyle w:val="7"/>
                    <w:keepNext w:val="0"/>
                    <w:keepLines w:val="0"/>
                    <w:pageBreakBefore w:val="0"/>
                    <w:kinsoku/>
                    <w:wordWrap/>
                    <w:overflowPunct/>
                    <w:topLinePunct w:val="0"/>
                    <w:autoSpaceDE/>
                    <w:autoSpaceDN/>
                    <w:bidi w:val="0"/>
                    <w:adjustRightInd/>
                    <w:snapToGrid/>
                    <w:spacing w:before="0" w:after="0" w:line="240" w:lineRule="auto"/>
                    <w:ind w:left="0" w:leftChars="0" w:right="0" w:firstLine="0"/>
                    <w:jc w:val="both"/>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 本项目为煤炭洗选项目，不涉及电解铝、活性炭、硅冶炼、纯碱、电石、聚氯乙烯、石化等行业</w:t>
                  </w:r>
                </w:p>
              </w:tc>
              <w:tc>
                <w:tcPr>
                  <w:tcW w:w="205" w:type="pct"/>
                  <w:tcBorders>
                    <w:tl2br w:val="nil"/>
                    <w:tr2bl w:val="nil"/>
                  </w:tcBorders>
                  <w:vAlign w:val="center"/>
                </w:tcPr>
                <w:p w14:paraId="2C88DD38">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2DD4CD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1845" w:hRule="atLeast"/>
                <w:jc w:val="center"/>
              </w:trPr>
              <w:tc>
                <w:tcPr>
                  <w:tcW w:w="294" w:type="pct"/>
                  <w:tcBorders>
                    <w:tl2br w:val="nil"/>
                    <w:tr2bl w:val="nil"/>
                  </w:tcBorders>
                  <w:vAlign w:val="center"/>
                </w:tcPr>
                <w:p w14:paraId="4BFC2D1F">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环境风险防控</w:t>
                  </w:r>
                </w:p>
              </w:tc>
              <w:tc>
                <w:tcPr>
                  <w:tcW w:w="3000" w:type="pct"/>
                  <w:tcBorders>
                    <w:tl2br w:val="nil"/>
                    <w:tr2bl w:val="nil"/>
                  </w:tcBorders>
                  <w:vAlign w:val="center"/>
                </w:tcPr>
                <w:p w14:paraId="25EA9E86">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1、做好污水和废水等的地下管槽防渗工作，防止污染地下水。</w:t>
                  </w:r>
                </w:p>
                <w:p w14:paraId="06AA3042">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2、严格落实错峰生产方案和重污染天气应急响应措施。</w:t>
                  </w:r>
                </w:p>
                <w:p w14:paraId="0C8FB400">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3、生产、使用、贮存、运输、回收、处置、排放有毒有害物质的单位和个人，应当采取措施，防止有毒有害物质渗漏、流失、扬散，避免土壤受到污染。</w:t>
                  </w:r>
                </w:p>
                <w:p w14:paraId="64ABDE37">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强化重金属及尾矿库风险防控。持续推进重点区域重金属减排。健全全口径涉重金属重点行业企业清单，依法依规纳入重点排污单位名录，深入推进有色金属等重点行业重金属污染治理，严格落实重金属污染防治措施和环境监测制度。</w:t>
                  </w:r>
                </w:p>
                <w:p w14:paraId="5DEB238C">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5、坚持分级负责、属地为主、部门协同的环境应急责任原则，以化工、冶炼企业等为重点，健全防范化解突发生态环境事件风险和应急准备责任体系，严格落实企业主体责任。</w:t>
                  </w:r>
                </w:p>
                <w:p w14:paraId="61FDCBD3">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开展涉危险废物涉重金属企业、化工园区等重点领域环境风险调查评估和隐患排查，严格落实重点行业、重点重金属污染物减排要求，加强重点行业重金属污染综合治理。推动疆内危险废物处置能力与产废情况总体匹配，推进兵地统筹，实现兵地间、区域间危险废物转移无缝衔接。</w:t>
                  </w:r>
                </w:p>
                <w:p w14:paraId="21ECE8B5">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7、园区应设立环境应急管理机构，建立环境风险监管制度、环境风险预警制度、突发环境事件应急预案、环境风险应急保障制度等环境风险防控体系，并具备环境风险应急救援能力。</w:t>
                  </w:r>
                </w:p>
              </w:tc>
              <w:tc>
                <w:tcPr>
                  <w:tcW w:w="1500" w:type="pct"/>
                  <w:tcBorders>
                    <w:tl2br w:val="nil"/>
                    <w:tr2bl w:val="nil"/>
                  </w:tcBorders>
                  <w:vAlign w:val="center"/>
                </w:tcPr>
                <w:p w14:paraId="7A50ACFB">
                  <w:pPr>
                    <w:keepNext w:val="0"/>
                    <w:keepLines w:val="0"/>
                    <w:pageBreakBefore w:val="0"/>
                    <w:widowControl w:val="0"/>
                    <w:kinsoku/>
                    <w:wordWrap w:val="0"/>
                    <w:overflowPunct/>
                    <w:topLinePunct/>
                    <w:autoSpaceDE/>
                    <w:autoSpaceDN/>
                    <w:bidi w:val="0"/>
                    <w:adjustRightInd/>
                    <w:snapToGrid/>
                    <w:spacing w:line="240" w:lineRule="auto"/>
                    <w:ind w:left="0" w:leftChars="0" w:right="0" w:firstLine="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1. 项目浓缩池、循环水池等涉水构筑物为重点防渗区防渗等级满足等效黏土防渗层Mb≥6m，K≤1×10</w:t>
                  </w:r>
                  <w:r>
                    <w:rPr>
                      <w:rFonts w:hint="default" w:ascii="Times New Roman" w:hAnsi="Times New Roman" w:eastAsia="宋体" w:cs="Times New Roman"/>
                      <w:color w:val="auto"/>
                      <w:sz w:val="21"/>
                      <w:szCs w:val="21"/>
                      <w:highlight w:val="none"/>
                      <w:vertAlign w:val="superscript"/>
                      <w:lang w:val="en-US" w:eastAsia="zh-CN"/>
                    </w:rPr>
                    <w:t>-7</w:t>
                  </w:r>
                  <w:r>
                    <w:rPr>
                      <w:rFonts w:hint="default" w:ascii="Times New Roman" w:hAnsi="Times New Roman" w:eastAsia="宋体" w:cs="Times New Roman"/>
                      <w:color w:val="auto"/>
                      <w:sz w:val="21"/>
                      <w:szCs w:val="21"/>
                      <w:highlight w:val="none"/>
                      <w:vertAlign w:val="baseline"/>
                      <w:lang w:val="en-US" w:eastAsia="zh-CN"/>
                    </w:rPr>
                    <w:t>cm/s；</w:t>
                  </w:r>
                </w:p>
                <w:p w14:paraId="64F78CF5">
                  <w:pPr>
                    <w:pStyle w:val="12"/>
                    <w:keepNext w:val="0"/>
                    <w:keepLines w:val="0"/>
                    <w:pageBreakBefore w:val="0"/>
                    <w:kinsoku/>
                    <w:wordWrap w:val="0"/>
                    <w:overflowPunct/>
                    <w:topLinePunct w:val="0"/>
                    <w:autoSpaceDE/>
                    <w:autoSpaceDN/>
                    <w:bidi w:val="0"/>
                    <w:adjustRightInd/>
                    <w:snapToGrid/>
                    <w:spacing w:after="0" w:line="240" w:lineRule="auto"/>
                    <w:ind w:left="0" w:leftChars="0" w:right="0" w:firstLine="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 本项目严格落实错峰生产方案和重污染天气应急响应措施；</w:t>
                  </w:r>
                </w:p>
                <w:p w14:paraId="35510501">
                  <w:pPr>
                    <w:pStyle w:val="7"/>
                    <w:keepNext w:val="0"/>
                    <w:keepLines w:val="0"/>
                    <w:pageBreakBefore w:val="0"/>
                    <w:kinsoku/>
                    <w:wordWrap w:val="0"/>
                    <w:overflowPunct/>
                    <w:topLinePunct w:val="0"/>
                    <w:autoSpaceDE/>
                    <w:autoSpaceDN/>
                    <w:bidi w:val="0"/>
                    <w:adjustRightInd/>
                    <w:snapToGrid/>
                    <w:spacing w:before="0" w:after="0" w:line="240" w:lineRule="auto"/>
                    <w:ind w:left="0" w:leftChars="0" w:right="0" w:firstLine="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 本项目为煤炭洗选项目，不涉及有毒有害物质；</w:t>
                  </w:r>
                </w:p>
                <w:p w14:paraId="07B73AEB">
                  <w:pPr>
                    <w:pStyle w:val="24"/>
                    <w:keepNext w:val="0"/>
                    <w:keepLines w:val="0"/>
                    <w:pageBreakBefore w:val="0"/>
                    <w:kinsoku/>
                    <w:wordWrap w:val="0"/>
                    <w:overflowPunct/>
                    <w:topLinePunct w:val="0"/>
                    <w:autoSpaceDE/>
                    <w:autoSpaceDN/>
                    <w:bidi w:val="0"/>
                    <w:adjustRightInd/>
                    <w:snapToGrid/>
                    <w:spacing w:after="0" w:line="240" w:lineRule="auto"/>
                    <w:ind w:left="0" w:leftChars="0" w:right="0" w:firstLine="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4. 本项目不涉及重金属及尾矿库；</w:t>
                  </w:r>
                </w:p>
                <w:p w14:paraId="5B8F947A">
                  <w:pPr>
                    <w:keepNext w:val="0"/>
                    <w:keepLines w:val="0"/>
                    <w:pageBreakBefore w:val="0"/>
                    <w:kinsoku/>
                    <w:wordWrap w:val="0"/>
                    <w:overflowPunct/>
                    <w:topLinePunct w:val="0"/>
                    <w:autoSpaceDE/>
                    <w:autoSpaceDN/>
                    <w:bidi w:val="0"/>
                    <w:adjustRightInd/>
                    <w:snapToGrid/>
                    <w:spacing w:line="240" w:lineRule="auto"/>
                    <w:ind w:left="0" w:leftChars="0" w:right="0" w:firstLine="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5. 建设单位正在编制突发环境事件应急预案；</w:t>
                  </w:r>
                </w:p>
                <w:p w14:paraId="0E59E49D">
                  <w:pPr>
                    <w:pStyle w:val="12"/>
                    <w:keepNext w:val="0"/>
                    <w:keepLines w:val="0"/>
                    <w:pageBreakBefore w:val="0"/>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eastAsia="宋体" w:cs="Times New Roman"/>
                      <w:color w:val="auto"/>
                      <w:sz w:val="21"/>
                      <w:szCs w:val="21"/>
                      <w:lang w:val="en-US" w:eastAsia="zh-CN"/>
                    </w:rPr>
                  </w:pPr>
                </w:p>
              </w:tc>
              <w:tc>
                <w:tcPr>
                  <w:tcW w:w="205" w:type="pct"/>
                  <w:tcBorders>
                    <w:tl2br w:val="nil"/>
                    <w:tr2bl w:val="nil"/>
                  </w:tcBorders>
                  <w:vAlign w:val="center"/>
                </w:tcPr>
                <w:p w14:paraId="6AC63FE1">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30D65A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1845" w:hRule="atLeast"/>
                <w:jc w:val="center"/>
              </w:trPr>
              <w:tc>
                <w:tcPr>
                  <w:tcW w:w="294" w:type="pct"/>
                  <w:tcBorders>
                    <w:tl2br w:val="nil"/>
                    <w:tr2bl w:val="nil"/>
                  </w:tcBorders>
                  <w:vAlign w:val="center"/>
                </w:tcPr>
                <w:p w14:paraId="4D0D9667">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资源利用效率</w:t>
                  </w:r>
                </w:p>
              </w:tc>
              <w:tc>
                <w:tcPr>
                  <w:tcW w:w="3000" w:type="pct"/>
                  <w:tcBorders>
                    <w:tl2br w:val="nil"/>
                    <w:tr2bl w:val="nil"/>
                  </w:tcBorders>
                  <w:vAlign w:val="center"/>
                </w:tcPr>
                <w:p w14:paraId="02F89628">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1、鼓励使用清洁燃料，重点区域建设项目原则上不新建燃煤自备锅炉。</w:t>
                  </w:r>
                </w:p>
                <w:p w14:paraId="7A0CD3FF">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2、严守水资源开发利用控制、用水效率控制和水功能区限制纳污“三条红线”，严格实行区域用水总量和强度控制，强化用水定额管理。</w:t>
                  </w:r>
                </w:p>
                <w:p w14:paraId="0B079DC0">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3、推行清洁生产、降低生产水耗、从源头上控制污染物的产生。</w:t>
                  </w:r>
                </w:p>
              </w:tc>
              <w:tc>
                <w:tcPr>
                  <w:tcW w:w="1500" w:type="pct"/>
                  <w:tcBorders>
                    <w:tl2br w:val="nil"/>
                    <w:tr2bl w:val="nil"/>
                  </w:tcBorders>
                  <w:vAlign w:val="center"/>
                </w:tcPr>
                <w:p w14:paraId="424FEDB2">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 本项目不涉及锅炉建设；</w:t>
                  </w:r>
                </w:p>
                <w:p w14:paraId="3361252B">
                  <w:pPr>
                    <w:pStyle w:val="7"/>
                    <w:keepNext w:val="0"/>
                    <w:keepLines w:val="0"/>
                    <w:pageBreakBefore w:val="0"/>
                    <w:kinsoku/>
                    <w:wordWrap/>
                    <w:overflowPunct/>
                    <w:topLinePunct w:val="0"/>
                    <w:autoSpaceDE/>
                    <w:autoSpaceDN/>
                    <w:bidi w:val="0"/>
                    <w:adjustRightInd/>
                    <w:snapToGrid/>
                    <w:spacing w:before="0" w:after="0" w:line="240" w:lineRule="auto"/>
                    <w:ind w:left="0" w:leftChars="0" w:right="0" w:firstLine="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 本项目用水量较小，生产废水循环利用不外排。</w:t>
                  </w:r>
                </w:p>
              </w:tc>
              <w:tc>
                <w:tcPr>
                  <w:tcW w:w="205" w:type="pct"/>
                  <w:tcBorders>
                    <w:tl2br w:val="nil"/>
                    <w:tr2bl w:val="nil"/>
                  </w:tcBorders>
                  <w:vAlign w:val="center"/>
                </w:tcPr>
                <w:p w14:paraId="4BB1C31F">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bl>
          <w:p w14:paraId="0968CCB9">
            <w:pPr>
              <w:pStyle w:val="24"/>
              <w:keepNext w:val="0"/>
              <w:keepLines w:val="0"/>
              <w:pageBreakBefore w:val="0"/>
              <w:widowControl w:val="0"/>
              <w:numPr>
                <w:ilvl w:val="0"/>
                <w:numId w:val="5"/>
              </w:numPr>
              <w:kinsoku/>
              <w:wordWrap/>
              <w:overflowPunct/>
              <w:topLinePunct w:val="0"/>
              <w:autoSpaceDE/>
              <w:autoSpaceDN/>
              <w:bidi w:val="0"/>
              <w:adjustRightInd/>
              <w:snapToGrid/>
              <w:spacing w:after="0" w:line="360" w:lineRule="auto"/>
              <w:ind w:left="0" w:leftChars="0" w:firstLine="0" w:firstLineChars="0"/>
              <w:textAlignment w:val="auto"/>
              <w:rPr>
                <w:b/>
                <w:bCs/>
                <w:color w:val="auto"/>
                <w:kern w:val="0"/>
                <w:sz w:val="24"/>
              </w:rPr>
            </w:pPr>
            <w:r>
              <w:rPr>
                <w:b/>
                <w:bCs/>
                <w:color w:val="auto"/>
                <w:kern w:val="0"/>
                <w:sz w:val="24"/>
              </w:rPr>
              <w:t>与《新疆维吾尔自治区七大片区“三线一单”生态环境分区管控要求》</w:t>
            </w:r>
            <w:r>
              <w:rPr>
                <w:rFonts w:hint="eastAsia"/>
                <w:b/>
                <w:bCs/>
                <w:color w:val="auto"/>
                <w:kern w:val="0"/>
                <w:sz w:val="24"/>
                <w:lang w:val="en-US" w:eastAsia="zh-CN"/>
              </w:rPr>
              <w:t>的符合性分析</w:t>
            </w:r>
          </w:p>
          <w:p w14:paraId="5E23F9F6">
            <w:pPr>
              <w:pStyle w:val="39"/>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eastAsia" w:eastAsia="宋体"/>
                <w:color w:val="auto"/>
                <w:sz w:val="24"/>
                <w:szCs w:val="24"/>
                <w:lang w:eastAsia="zh-CN"/>
              </w:rPr>
            </w:pPr>
            <w:r>
              <w:rPr>
                <w:b w:val="0"/>
                <w:bCs w:val="0"/>
                <w:color w:val="auto"/>
                <w:kern w:val="0"/>
                <w:sz w:val="24"/>
              </w:rPr>
              <w:t>据《新疆维吾尔自治区七大片区“三线一单”生态环境分区管控要求》（新环环评发</w:t>
            </w:r>
            <w:r>
              <w:rPr>
                <w:rFonts w:hint="eastAsia" w:ascii="宋体" w:hAnsi="宋体" w:eastAsia="宋体" w:cs="宋体"/>
                <w:b w:val="0"/>
                <w:bCs w:val="0"/>
                <w:color w:val="auto"/>
                <w:kern w:val="0"/>
                <w:sz w:val="24"/>
              </w:rPr>
              <w:t>〔</w:t>
            </w:r>
            <w:r>
              <w:rPr>
                <w:b w:val="0"/>
                <w:bCs w:val="0"/>
                <w:color w:val="auto"/>
                <w:kern w:val="0"/>
                <w:sz w:val="24"/>
              </w:rPr>
              <w:t>2021</w:t>
            </w:r>
            <w:r>
              <w:rPr>
                <w:rFonts w:hint="eastAsia" w:ascii="宋体" w:hAnsi="宋体" w:eastAsia="宋体" w:cs="宋体"/>
                <w:b w:val="0"/>
                <w:bCs w:val="0"/>
                <w:color w:val="auto"/>
                <w:kern w:val="0"/>
                <w:sz w:val="24"/>
              </w:rPr>
              <w:t>〕</w:t>
            </w:r>
            <w:r>
              <w:rPr>
                <w:b w:val="0"/>
                <w:bCs w:val="0"/>
                <w:color w:val="auto"/>
                <w:kern w:val="0"/>
                <w:sz w:val="24"/>
              </w:rPr>
              <w:t>162号）文件要求：</w:t>
            </w:r>
            <w:r>
              <w:rPr>
                <w:rFonts w:eastAsia="宋体"/>
                <w:snapToGrid/>
                <w:color w:val="auto"/>
                <w:sz w:val="24"/>
                <w:szCs w:val="24"/>
              </w:rPr>
              <w:t>“除国家规划项目外</w:t>
            </w:r>
            <w:r>
              <w:rPr>
                <w:rFonts w:hint="eastAsia" w:eastAsia="宋体"/>
                <w:snapToGrid/>
                <w:color w:val="auto"/>
                <w:sz w:val="24"/>
                <w:szCs w:val="24"/>
                <w:lang w:eastAsia="zh-CN"/>
              </w:rPr>
              <w:t>，</w:t>
            </w:r>
            <w:r>
              <w:rPr>
                <w:rFonts w:eastAsia="宋体"/>
                <w:snapToGrid/>
                <w:color w:val="auto"/>
                <w:sz w:val="24"/>
                <w:szCs w:val="24"/>
              </w:rPr>
              <w:t>乌鲁木齐市七区一县、昌吉市、阜康市玛纳斯县、呼图壁县、沙湾市建成区及周边敏感区域内不再布局建设煤化工、电解铝、燃煤纯发电机组、金属硅、碳化硅、聚氯乙烯（电石法</w:t>
            </w:r>
            <w:r>
              <w:rPr>
                <w:rFonts w:hint="eastAsia" w:eastAsia="宋体"/>
                <w:snapToGrid/>
                <w:color w:val="auto"/>
                <w:sz w:val="24"/>
                <w:szCs w:val="24"/>
                <w:lang w:eastAsia="zh-CN"/>
              </w:rPr>
              <w:t>）</w:t>
            </w:r>
            <w:r>
              <w:rPr>
                <w:rFonts w:eastAsia="宋体"/>
                <w:snapToGrid/>
                <w:color w:val="auto"/>
                <w:sz w:val="24"/>
                <w:szCs w:val="24"/>
              </w:rPr>
              <w:t>、焦炭</w:t>
            </w:r>
            <w:r>
              <w:rPr>
                <w:rFonts w:hint="eastAsia" w:eastAsia="宋体"/>
                <w:snapToGrid/>
                <w:color w:val="auto"/>
                <w:sz w:val="24"/>
                <w:szCs w:val="24"/>
                <w:lang w:eastAsia="zh-CN"/>
              </w:rPr>
              <w:t>（</w:t>
            </w:r>
            <w:r>
              <w:rPr>
                <w:rFonts w:eastAsia="宋体"/>
                <w:snapToGrid/>
                <w:color w:val="auto"/>
                <w:sz w:val="24"/>
                <w:szCs w:val="24"/>
              </w:rPr>
              <w:t>含半焦）等新增产能项目。具备风光电清洁供暖建设条件的区域原则上不新批热电联产项目。坚持属地负责与区域大气污染联防联控相结合</w:t>
            </w:r>
            <w:r>
              <w:rPr>
                <w:rFonts w:hint="eastAsia" w:eastAsia="宋体"/>
                <w:snapToGrid/>
                <w:color w:val="auto"/>
                <w:sz w:val="24"/>
                <w:szCs w:val="24"/>
                <w:lang w:eastAsia="zh-CN"/>
              </w:rPr>
              <w:t>，</w:t>
            </w:r>
            <w:r>
              <w:rPr>
                <w:rFonts w:eastAsia="宋体"/>
                <w:snapToGrid/>
                <w:color w:val="auto"/>
                <w:sz w:val="24"/>
                <w:szCs w:val="24"/>
              </w:rPr>
              <w:t>以明显降低细颗粒物浓度为重点</w:t>
            </w:r>
            <w:r>
              <w:rPr>
                <w:rFonts w:hint="eastAsia" w:eastAsia="宋体"/>
                <w:snapToGrid/>
                <w:color w:val="auto"/>
                <w:sz w:val="24"/>
                <w:szCs w:val="24"/>
                <w:lang w:eastAsia="zh-CN"/>
              </w:rPr>
              <w:t>，</w:t>
            </w:r>
            <w:r>
              <w:rPr>
                <w:rFonts w:eastAsia="宋体"/>
                <w:snapToGrid/>
                <w:color w:val="auto"/>
                <w:sz w:val="24"/>
                <w:szCs w:val="24"/>
              </w:rPr>
              <w:t>协同推进“乌-昌-石”同防同治区域大气环境治理。所有新建、改建、扩建工业项目执行最严格的大气污染物排放标准</w:t>
            </w:r>
            <w:r>
              <w:rPr>
                <w:rFonts w:hint="eastAsia" w:eastAsia="宋体"/>
                <w:snapToGrid/>
                <w:color w:val="auto"/>
                <w:sz w:val="24"/>
                <w:szCs w:val="24"/>
                <w:lang w:eastAsia="zh-CN"/>
              </w:rPr>
              <w:t>，</w:t>
            </w:r>
            <w:r>
              <w:rPr>
                <w:rFonts w:eastAsia="宋体"/>
                <w:snapToGrid/>
                <w:color w:val="auto"/>
                <w:sz w:val="24"/>
                <w:szCs w:val="24"/>
              </w:rPr>
              <w:t>强化氮氧化物深度治理</w:t>
            </w:r>
            <w:r>
              <w:rPr>
                <w:rFonts w:hint="eastAsia" w:eastAsia="宋体"/>
                <w:snapToGrid/>
                <w:color w:val="auto"/>
                <w:sz w:val="24"/>
                <w:szCs w:val="24"/>
                <w:lang w:eastAsia="zh-CN"/>
              </w:rPr>
              <w:t>，</w:t>
            </w:r>
            <w:r>
              <w:rPr>
                <w:rFonts w:eastAsia="宋体"/>
                <w:snapToGrid/>
                <w:color w:val="auto"/>
                <w:sz w:val="24"/>
                <w:szCs w:val="24"/>
              </w:rPr>
              <w:t>确保区域环境空气质量持续改善。强化挥发性有机物防治措施。”</w:t>
            </w:r>
          </w:p>
          <w:p w14:paraId="665960D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eastAsia="宋体"/>
                <w:b w:val="0"/>
                <w:bCs w:val="0"/>
                <w:color w:val="auto"/>
                <w:kern w:val="0"/>
                <w:sz w:val="24"/>
                <w:lang w:val="en-US" w:eastAsia="zh-CN"/>
              </w:rPr>
            </w:pPr>
            <w:r>
              <w:rPr>
                <w:rFonts w:hint="eastAsia"/>
                <w:b w:val="0"/>
                <w:bCs w:val="0"/>
                <w:color w:val="auto"/>
                <w:kern w:val="0"/>
                <w:sz w:val="24"/>
                <w:lang w:val="en-US" w:eastAsia="zh-CN"/>
              </w:rPr>
              <w:t>本项目为煤炭洗选项目，属于煤炭开采和洗选行业，项目位于阜康市甘河子镇西侧，属于“乌-昌-石片区”。项目不涉及</w:t>
            </w:r>
            <w:r>
              <w:rPr>
                <w:rFonts w:eastAsia="宋体"/>
                <w:snapToGrid/>
                <w:color w:val="auto"/>
                <w:sz w:val="24"/>
                <w:szCs w:val="24"/>
              </w:rPr>
              <w:t>煤化工、电解铝、燃煤纯发电机组、金属硅、碳化硅、聚氯乙烯（电石法</w:t>
            </w:r>
            <w:r>
              <w:rPr>
                <w:rFonts w:hint="eastAsia" w:eastAsia="宋体"/>
                <w:snapToGrid/>
                <w:color w:val="auto"/>
                <w:sz w:val="24"/>
                <w:szCs w:val="24"/>
                <w:lang w:eastAsia="zh-CN"/>
              </w:rPr>
              <w:t>）</w:t>
            </w:r>
            <w:r>
              <w:rPr>
                <w:rFonts w:eastAsia="宋体"/>
                <w:snapToGrid/>
                <w:color w:val="auto"/>
                <w:sz w:val="24"/>
                <w:szCs w:val="24"/>
              </w:rPr>
              <w:t>、焦炭</w:t>
            </w:r>
            <w:r>
              <w:rPr>
                <w:rFonts w:hint="eastAsia" w:eastAsia="宋体"/>
                <w:snapToGrid/>
                <w:color w:val="auto"/>
                <w:sz w:val="24"/>
                <w:szCs w:val="24"/>
                <w:lang w:eastAsia="zh-CN"/>
              </w:rPr>
              <w:t>（</w:t>
            </w:r>
            <w:r>
              <w:rPr>
                <w:rFonts w:eastAsia="宋体"/>
                <w:snapToGrid/>
                <w:color w:val="auto"/>
                <w:sz w:val="24"/>
                <w:szCs w:val="24"/>
              </w:rPr>
              <w:t>含半焦）等</w:t>
            </w:r>
            <w:r>
              <w:rPr>
                <w:rFonts w:hint="eastAsia"/>
                <w:snapToGrid/>
                <w:color w:val="auto"/>
                <w:sz w:val="24"/>
                <w:szCs w:val="24"/>
                <w:lang w:eastAsia="zh-CN"/>
              </w:rPr>
              <w:t>，</w:t>
            </w:r>
            <w:r>
              <w:rPr>
                <w:rFonts w:hint="eastAsia"/>
                <w:snapToGrid/>
                <w:color w:val="auto"/>
                <w:sz w:val="24"/>
                <w:szCs w:val="24"/>
                <w:lang w:val="en-US" w:eastAsia="zh-CN"/>
              </w:rPr>
              <w:t>项目产生的废气污染物主要为颗粒物，颗粒物采用袋式除尘器处理。颗粒物</w:t>
            </w:r>
            <w:r>
              <w:rPr>
                <w:rFonts w:hint="default" w:ascii="Times New Roman" w:hAnsi="Times New Roman" w:eastAsia="宋体" w:cs="Times New Roman"/>
                <w:color w:val="auto"/>
                <w:sz w:val="24"/>
                <w:szCs w:val="24"/>
                <w:lang w:val="en-US" w:eastAsia="zh-CN"/>
              </w:rPr>
              <w:t>执行《</w:t>
            </w:r>
            <w:r>
              <w:rPr>
                <w:rFonts w:hint="eastAsia" w:cs="Times New Roman"/>
                <w:color w:val="auto"/>
                <w:sz w:val="24"/>
                <w:szCs w:val="24"/>
                <w:lang w:val="en-US" w:eastAsia="zh-CN"/>
              </w:rPr>
              <w:t>煤炭工业污染物排放标准</w:t>
            </w:r>
            <w:r>
              <w:rPr>
                <w:rFonts w:hint="default" w:ascii="Times New Roman" w:hAnsi="Times New Roman" w:eastAsia="宋体" w:cs="Times New Roman"/>
                <w:color w:val="auto"/>
                <w:sz w:val="24"/>
                <w:szCs w:val="24"/>
                <w:lang w:val="en-US" w:eastAsia="zh-CN"/>
              </w:rPr>
              <w:t>》（GB</w:t>
            </w:r>
            <w:r>
              <w:rPr>
                <w:rFonts w:hint="eastAsia" w:cs="Times New Roman"/>
                <w:color w:val="auto"/>
                <w:sz w:val="24"/>
                <w:szCs w:val="24"/>
                <w:lang w:val="en-US" w:eastAsia="zh-CN"/>
              </w:rPr>
              <w:t>20426-2006</w:t>
            </w:r>
            <w:r>
              <w:rPr>
                <w:rFonts w:hint="default" w:ascii="Times New Roman" w:hAnsi="Times New Roman" w:eastAsia="宋体" w:cs="Times New Roman"/>
                <w:color w:val="auto"/>
                <w:sz w:val="24"/>
                <w:szCs w:val="24"/>
                <w:lang w:val="en-US" w:eastAsia="zh-CN"/>
              </w:rPr>
              <w:t>）中表</w:t>
            </w:r>
            <w:r>
              <w:rPr>
                <w:rFonts w:hint="eastAsia" w:cs="Times New Roman"/>
                <w:color w:val="auto"/>
                <w:sz w:val="24"/>
                <w:szCs w:val="24"/>
                <w:lang w:val="en-US" w:eastAsia="zh-CN"/>
              </w:rPr>
              <w:t>4煤炭工业大气污染物排放限值</w:t>
            </w:r>
            <w:r>
              <w:rPr>
                <w:rFonts w:hint="default" w:ascii="Times New Roman" w:hAnsi="Times New Roman" w:eastAsia="宋体" w:cs="Times New Roman"/>
                <w:color w:val="auto"/>
                <w:sz w:val="24"/>
                <w:szCs w:val="24"/>
                <w:lang w:val="en-US" w:eastAsia="zh-CN"/>
              </w:rPr>
              <w:t>要求。</w:t>
            </w:r>
            <w:r>
              <w:rPr>
                <w:rFonts w:hint="eastAsia"/>
                <w:snapToGrid/>
                <w:color w:val="auto"/>
                <w:sz w:val="24"/>
                <w:szCs w:val="24"/>
                <w:lang w:val="en-US" w:eastAsia="zh-CN"/>
              </w:rPr>
              <w:t>符合“</w:t>
            </w:r>
            <w:r>
              <w:rPr>
                <w:rFonts w:eastAsia="宋体"/>
                <w:snapToGrid/>
                <w:color w:val="auto"/>
                <w:sz w:val="24"/>
                <w:szCs w:val="24"/>
              </w:rPr>
              <w:t>所有新建、改建、扩建工业项目执行最严格的大气污染物排放标准</w:t>
            </w:r>
            <w:r>
              <w:rPr>
                <w:rFonts w:hint="eastAsia" w:eastAsia="宋体"/>
                <w:snapToGrid/>
                <w:color w:val="auto"/>
                <w:sz w:val="24"/>
                <w:szCs w:val="24"/>
                <w:lang w:eastAsia="zh-CN"/>
              </w:rPr>
              <w:t>，</w:t>
            </w:r>
            <w:r>
              <w:rPr>
                <w:rFonts w:eastAsia="宋体"/>
                <w:snapToGrid/>
                <w:color w:val="auto"/>
                <w:sz w:val="24"/>
                <w:szCs w:val="24"/>
              </w:rPr>
              <w:t>强化氮氧化物深度治理</w:t>
            </w:r>
            <w:r>
              <w:rPr>
                <w:rFonts w:hint="eastAsia" w:eastAsia="宋体"/>
                <w:snapToGrid/>
                <w:color w:val="auto"/>
                <w:sz w:val="24"/>
                <w:szCs w:val="24"/>
                <w:lang w:eastAsia="zh-CN"/>
              </w:rPr>
              <w:t>，</w:t>
            </w:r>
            <w:r>
              <w:rPr>
                <w:rFonts w:eastAsia="宋体"/>
                <w:snapToGrid/>
                <w:color w:val="auto"/>
                <w:sz w:val="24"/>
                <w:szCs w:val="24"/>
              </w:rPr>
              <w:t>确保区域环境空气质量持续改善。强化挥发性有机物防治措施。</w:t>
            </w:r>
            <w:r>
              <w:rPr>
                <w:rFonts w:hint="eastAsia"/>
                <w:snapToGrid/>
                <w:color w:val="auto"/>
                <w:sz w:val="24"/>
                <w:szCs w:val="24"/>
                <w:lang w:val="en-US" w:eastAsia="zh-CN"/>
              </w:rPr>
              <w:t>”因此本项目符合</w:t>
            </w:r>
            <w:r>
              <w:rPr>
                <w:b w:val="0"/>
                <w:bCs w:val="0"/>
                <w:color w:val="auto"/>
                <w:kern w:val="0"/>
                <w:sz w:val="24"/>
              </w:rPr>
              <w:t>《新疆维吾尔自治区七大片区“三线一单”生态环境分区管控要求》</w:t>
            </w:r>
            <w:r>
              <w:rPr>
                <w:rFonts w:hint="eastAsia"/>
                <w:b w:val="0"/>
                <w:bCs w:val="0"/>
                <w:color w:val="auto"/>
                <w:kern w:val="0"/>
                <w:sz w:val="24"/>
                <w:lang w:val="en-US" w:eastAsia="zh-CN"/>
              </w:rPr>
              <w:t>相关要求。</w:t>
            </w:r>
          </w:p>
          <w:p w14:paraId="5A01276E">
            <w:pPr>
              <w:pStyle w:val="24"/>
              <w:keepNext w:val="0"/>
              <w:keepLines w:val="0"/>
              <w:pageBreakBefore w:val="0"/>
              <w:widowControl w:val="0"/>
              <w:numPr>
                <w:ilvl w:val="0"/>
                <w:numId w:val="5"/>
              </w:numPr>
              <w:kinsoku/>
              <w:wordWrap/>
              <w:overflowPunct/>
              <w:topLinePunct w:val="0"/>
              <w:autoSpaceDE/>
              <w:autoSpaceDN/>
              <w:bidi w:val="0"/>
              <w:adjustRightInd/>
              <w:snapToGrid/>
              <w:spacing w:after="0" w:line="360" w:lineRule="auto"/>
              <w:ind w:left="0" w:leftChars="0" w:firstLine="0" w:firstLineChars="0"/>
              <w:textAlignment w:val="auto"/>
              <w:rPr>
                <w:b/>
                <w:bCs/>
                <w:color w:val="auto"/>
                <w:kern w:val="0"/>
                <w:sz w:val="24"/>
              </w:rPr>
            </w:pPr>
            <w:r>
              <w:rPr>
                <w:b/>
                <w:bCs/>
                <w:color w:val="auto"/>
                <w:kern w:val="0"/>
                <w:sz w:val="24"/>
              </w:rPr>
              <w:t>与《新疆生态环境保护“十四五”规划》的符合性分析</w:t>
            </w:r>
          </w:p>
          <w:p w14:paraId="62FD3C27">
            <w:pPr>
              <w:keepNext w:val="0"/>
              <w:keepLines w:val="0"/>
              <w:pageBreakBefore w:val="0"/>
              <w:kinsoku/>
              <w:wordWrap/>
              <w:overflowPunct/>
              <w:topLinePunct w:val="0"/>
              <w:autoSpaceDE w:val="0"/>
              <w:autoSpaceDN w:val="0"/>
              <w:bidi w:val="0"/>
              <w:adjustRightInd w:val="0"/>
              <w:snapToGrid w:val="0"/>
              <w:spacing w:line="360" w:lineRule="auto"/>
              <w:ind w:firstLine="480" w:firstLineChars="200"/>
              <w:rPr>
                <w:color w:val="auto"/>
                <w:kern w:val="0"/>
                <w:sz w:val="24"/>
              </w:rPr>
            </w:pPr>
            <w:r>
              <w:rPr>
                <w:color w:val="auto"/>
                <w:kern w:val="0"/>
                <w:sz w:val="24"/>
              </w:rPr>
              <w:t>《新疆生态环境保护“十四五”规划》指出：</w:t>
            </w:r>
          </w:p>
          <w:p w14:paraId="0B85AB63">
            <w:pPr>
              <w:keepNext w:val="0"/>
              <w:keepLines w:val="0"/>
              <w:pageBreakBefore w:val="0"/>
              <w:kinsoku/>
              <w:wordWrap/>
              <w:overflowPunct/>
              <w:topLinePunct w:val="0"/>
              <w:autoSpaceDE w:val="0"/>
              <w:autoSpaceDN w:val="0"/>
              <w:bidi w:val="0"/>
              <w:adjustRightInd w:val="0"/>
              <w:snapToGrid w:val="0"/>
              <w:spacing w:line="360" w:lineRule="auto"/>
              <w:ind w:firstLine="480" w:firstLineChars="200"/>
              <w:rPr>
                <w:rFonts w:hint="eastAsia"/>
                <w:b w:val="0"/>
                <w:bCs w:val="0"/>
                <w:color w:val="auto"/>
                <w:kern w:val="0"/>
                <w:sz w:val="24"/>
                <w:lang w:val="en-US" w:eastAsia="zh-CN"/>
              </w:rPr>
            </w:pPr>
            <w:r>
              <w:rPr>
                <w:rFonts w:hint="eastAsia"/>
                <w:b w:val="0"/>
                <w:bCs w:val="0"/>
                <w:color w:val="auto"/>
                <w:kern w:val="0"/>
                <w:sz w:val="24"/>
                <w:lang w:val="en-US" w:eastAsia="zh-CN"/>
              </w:rPr>
              <w:t>持续优化产业结构。支持企业实施智能化改造升级，推动石油开采、石油化工、煤化工、有色金属、钢铁、焦化、建材、农副产品加工等传统产业的重点企业改进工艺、节能降耗、提质增效，促进传统产业绿色化、智能化、高端化发展。</w:t>
            </w:r>
          </w:p>
          <w:p w14:paraId="6C209733">
            <w:pPr>
              <w:keepNext w:val="0"/>
              <w:keepLines w:val="0"/>
              <w:pageBreakBefore w:val="0"/>
              <w:kinsoku/>
              <w:wordWrap/>
              <w:overflowPunct/>
              <w:topLinePunct w:val="0"/>
              <w:autoSpaceDE w:val="0"/>
              <w:autoSpaceDN w:val="0"/>
              <w:bidi w:val="0"/>
              <w:adjustRightInd w:val="0"/>
              <w:snapToGrid w:val="0"/>
              <w:spacing w:line="360" w:lineRule="auto"/>
              <w:ind w:firstLine="480" w:firstLineChars="200"/>
              <w:rPr>
                <w:rFonts w:hint="eastAsia"/>
                <w:b w:val="0"/>
                <w:bCs w:val="0"/>
                <w:color w:val="auto"/>
                <w:kern w:val="0"/>
                <w:sz w:val="24"/>
                <w:lang w:val="en-US" w:eastAsia="zh-CN"/>
              </w:rPr>
            </w:pPr>
            <w:r>
              <w:rPr>
                <w:rFonts w:hint="eastAsia"/>
                <w:b w:val="0"/>
                <w:bCs w:val="0"/>
                <w:color w:val="auto"/>
                <w:kern w:val="0"/>
                <w:sz w:val="24"/>
                <w:lang w:val="en-US" w:eastAsia="zh-CN"/>
              </w:rPr>
              <w:t>持续推进涉气污染源治理。实施重点行业氮氧化物（以下简称“NOx”）等污染物深度治理。持续推进钢铁、水泥、焦化行业超低排放改造。推进玻璃、陶瓷、铸造、铁合金、有色、煤化和石化等行业采取清洁生产、提标改造、深度治理等综合措施。加强自备燃煤机组污染治理设施运行管控，确保按照超低排放标准运行。针对铸造、铁合金、焦化、水泥、砖瓦、石灰、耐火材料、金属冶炼以及煤化工、石油化工等行业，严格控制物料储存、输送及生产工艺过程无组织排放。重点涉气排放企业逐步取消烟气旁路，因安全生产无法取消的，安装在线监控系统。</w:t>
            </w:r>
          </w:p>
          <w:p w14:paraId="44EE63AD">
            <w:pPr>
              <w:keepNext w:val="0"/>
              <w:keepLines w:val="0"/>
              <w:pageBreakBefore w:val="0"/>
              <w:kinsoku/>
              <w:wordWrap/>
              <w:overflowPunct/>
              <w:topLinePunct w:val="0"/>
              <w:autoSpaceDE w:val="0"/>
              <w:autoSpaceDN w:val="0"/>
              <w:bidi w:val="0"/>
              <w:adjustRightInd w:val="0"/>
              <w:snapToGrid w:val="0"/>
              <w:spacing w:line="360" w:lineRule="auto"/>
              <w:ind w:firstLine="480" w:firstLineChars="200"/>
              <w:rPr>
                <w:rFonts w:hint="eastAsia"/>
                <w:b w:val="0"/>
                <w:bCs w:val="0"/>
                <w:color w:val="auto"/>
                <w:kern w:val="0"/>
                <w:sz w:val="24"/>
                <w:lang w:val="en-US" w:eastAsia="zh-CN"/>
              </w:rPr>
            </w:pPr>
            <w:r>
              <w:rPr>
                <w:rFonts w:hint="eastAsia"/>
                <w:b w:val="0"/>
                <w:bCs w:val="0"/>
                <w:color w:val="auto"/>
                <w:kern w:val="0"/>
                <w:sz w:val="24"/>
                <w:lang w:val="en-US" w:eastAsia="zh-CN"/>
              </w:rPr>
              <w:t>推进扬尘精细化管控。全面推行绿色施工，城市建成区建筑工地扬尘防控标准化管理全覆盖；加强城市道路清扫保洁和洒水抑尘，渣土车实施硬覆盖；推进低尘机械化作业水平，控制道路扬尘污染；强化非道路移动源综合治理；充分运用新型、高效的防尘、降尘、除尘技术，加强矿山粉尘治理。</w:t>
            </w:r>
          </w:p>
          <w:p w14:paraId="497D586F">
            <w:pPr>
              <w:keepNext w:val="0"/>
              <w:keepLines w:val="0"/>
              <w:pageBreakBefore w:val="0"/>
              <w:kinsoku/>
              <w:wordWrap/>
              <w:overflowPunct/>
              <w:topLinePunct w:val="0"/>
              <w:autoSpaceDE w:val="0"/>
              <w:autoSpaceDN w:val="0"/>
              <w:bidi w:val="0"/>
              <w:adjustRightInd w:val="0"/>
              <w:snapToGrid w:val="0"/>
              <w:spacing w:line="360" w:lineRule="auto"/>
              <w:ind w:firstLine="480" w:firstLineChars="200"/>
              <w:rPr>
                <w:rFonts w:hint="eastAsia"/>
                <w:b w:val="0"/>
                <w:bCs w:val="0"/>
                <w:color w:val="auto"/>
                <w:kern w:val="0"/>
                <w:sz w:val="24"/>
                <w:lang w:val="en-US" w:eastAsia="zh-CN"/>
              </w:rPr>
            </w:pPr>
            <w:r>
              <w:rPr>
                <w:rFonts w:hint="eastAsia"/>
                <w:b w:val="0"/>
                <w:bCs w:val="0"/>
                <w:color w:val="auto"/>
                <w:kern w:val="0"/>
                <w:sz w:val="24"/>
                <w:lang w:val="en-US" w:eastAsia="zh-CN"/>
              </w:rPr>
              <w:t>加强环境噪声污染防控。加强噪声污染源监管，继续强化和深入推进交通运输噪声、建筑施工噪声、社会生活噪声、工业企业、机场周边噪声污染防治，推进工业企业噪声纳入排污许可管理。</w:t>
            </w:r>
          </w:p>
          <w:p w14:paraId="5C42AEFD">
            <w:pPr>
              <w:keepNext w:val="0"/>
              <w:keepLines w:val="0"/>
              <w:pageBreakBefore w:val="0"/>
              <w:kinsoku/>
              <w:wordWrap/>
              <w:overflowPunct/>
              <w:topLinePunct w:val="0"/>
              <w:autoSpaceDE w:val="0"/>
              <w:autoSpaceDN w:val="0"/>
              <w:bidi w:val="0"/>
              <w:adjustRightInd w:val="0"/>
              <w:snapToGrid w:val="0"/>
              <w:spacing w:line="360" w:lineRule="auto"/>
              <w:ind w:firstLine="480" w:firstLineChars="200"/>
              <w:rPr>
                <w:rFonts w:hint="eastAsia"/>
                <w:b w:val="0"/>
                <w:bCs w:val="0"/>
                <w:color w:val="auto"/>
                <w:kern w:val="0"/>
                <w:sz w:val="24"/>
                <w:lang w:val="en-US" w:eastAsia="zh-CN"/>
              </w:rPr>
            </w:pPr>
            <w:r>
              <w:rPr>
                <w:rFonts w:hint="eastAsia"/>
                <w:b w:val="0"/>
                <w:bCs w:val="0"/>
                <w:color w:val="auto"/>
                <w:kern w:val="0"/>
                <w:sz w:val="24"/>
                <w:lang w:val="en-US" w:eastAsia="zh-CN"/>
              </w:rPr>
              <w:t>加强工业污染防治。推动重点行业、重点企业绿色发展，严格落实水污染物排放标准和排污许可制度。</w:t>
            </w:r>
          </w:p>
          <w:p w14:paraId="0C6D6938">
            <w:pPr>
              <w:pStyle w:val="38"/>
              <w:bidi w:val="0"/>
              <w:spacing w:line="360" w:lineRule="auto"/>
              <w:rPr>
                <w:rFonts w:hint="default"/>
                <w:color w:val="auto"/>
                <w:lang w:val="en-US" w:eastAsia="zh-CN"/>
              </w:rPr>
            </w:pPr>
            <w:r>
              <w:rPr>
                <w:rFonts w:hint="default"/>
                <w:color w:val="auto"/>
                <w:lang w:val="en-US" w:eastAsia="zh-CN"/>
              </w:rPr>
              <w:t>①本项目针对大气环境影响已采取严格的防治措施，详见与《新疆维吾尔自治区大气污染防治条例》（2019）符合性分析，在严格采取相应措施后大气环境影响较小。</w:t>
            </w:r>
          </w:p>
          <w:p w14:paraId="74665E8F">
            <w:pPr>
              <w:pStyle w:val="38"/>
              <w:bidi w:val="0"/>
              <w:spacing w:line="360" w:lineRule="auto"/>
              <w:rPr>
                <w:rFonts w:hint="default"/>
                <w:color w:val="auto"/>
                <w:lang w:val="en-US" w:eastAsia="zh-CN"/>
              </w:rPr>
            </w:pPr>
            <w:r>
              <w:rPr>
                <w:rFonts w:hint="default"/>
                <w:color w:val="auto"/>
                <w:lang w:val="en-US" w:eastAsia="zh-CN"/>
              </w:rPr>
              <w:t>②项目设煤泥水处理系统，实现洗选废水闭路循环和零排放。</w:t>
            </w:r>
          </w:p>
          <w:p w14:paraId="0BDF2A5D">
            <w:pPr>
              <w:pStyle w:val="38"/>
              <w:bidi w:val="0"/>
              <w:spacing w:line="360" w:lineRule="auto"/>
              <w:rPr>
                <w:rFonts w:hint="default"/>
                <w:color w:val="auto"/>
                <w:lang w:val="en-US" w:eastAsia="zh-CN"/>
              </w:rPr>
            </w:pPr>
            <w:r>
              <w:rPr>
                <w:rFonts w:hint="default"/>
                <w:color w:val="auto"/>
                <w:lang w:val="en-US" w:eastAsia="zh-CN"/>
              </w:rPr>
              <w:t>③项目噪声主要为运输车辆噪声和</w:t>
            </w:r>
            <w:r>
              <w:rPr>
                <w:rFonts w:hint="eastAsia"/>
                <w:color w:val="auto"/>
                <w:lang w:val="en-US" w:eastAsia="zh-CN"/>
              </w:rPr>
              <w:t>洗选车间</w:t>
            </w:r>
            <w:r>
              <w:rPr>
                <w:rFonts w:hint="default"/>
                <w:color w:val="auto"/>
                <w:lang w:val="en-US" w:eastAsia="zh-CN"/>
              </w:rPr>
              <w:t>、主厂房、压风机房压风机、各类水泵房，项目采取高效、低噪的设备有大型筛分机、</w:t>
            </w:r>
            <w:r>
              <w:rPr>
                <w:rFonts w:hint="eastAsia"/>
                <w:color w:val="auto"/>
                <w:lang w:val="en-US" w:eastAsia="zh-CN"/>
              </w:rPr>
              <w:t>浮选机和</w:t>
            </w:r>
            <w:r>
              <w:rPr>
                <w:rFonts w:hint="default"/>
                <w:color w:val="auto"/>
                <w:lang w:val="en-US" w:eastAsia="zh-CN"/>
              </w:rPr>
              <w:t>离心机等。同时考虑足够的土建结构强度，所有产生噪音的机械设备都带有减振降音设施，筛分机采用橡胶弹簧减振，破碎机带有减振架。采用上述设施后，可有效降低厂房内的噪音和振动，通过环评预测，厂界噪声可达标，对周边环境影响较小。</w:t>
            </w:r>
          </w:p>
          <w:p w14:paraId="283A0B76">
            <w:pPr>
              <w:pStyle w:val="38"/>
              <w:bidi w:val="0"/>
              <w:spacing w:line="360" w:lineRule="auto"/>
              <w:rPr>
                <w:rFonts w:hint="default"/>
                <w:color w:val="auto"/>
                <w:lang w:val="en-US" w:eastAsia="zh-CN"/>
              </w:rPr>
            </w:pPr>
            <w:r>
              <w:rPr>
                <w:rFonts w:hint="default"/>
                <w:color w:val="auto"/>
                <w:lang w:val="en-US" w:eastAsia="zh-CN"/>
              </w:rPr>
              <w:t>综上，项目的建设符合《新疆生态环境保护“十四五”规划》相关规划要求。</w:t>
            </w:r>
          </w:p>
          <w:p w14:paraId="248B7E6E">
            <w:pPr>
              <w:pStyle w:val="42"/>
              <w:keepNext w:val="0"/>
              <w:keepLines w:val="0"/>
              <w:pageBreakBefore w:val="0"/>
              <w:numPr>
                <w:ilvl w:val="0"/>
                <w:numId w:val="5"/>
              </w:numPr>
              <w:kinsoku/>
              <w:wordWrap/>
              <w:overflowPunct/>
              <w:topLinePunct w:val="0"/>
              <w:bidi w:val="0"/>
              <w:spacing w:line="360" w:lineRule="auto"/>
              <w:ind w:left="0" w:leftChars="0" w:firstLine="0" w:firstLineChars="0"/>
              <w:rPr>
                <w:rStyle w:val="43"/>
                <w:b/>
                <w:bCs/>
                <w:color w:val="auto"/>
                <w:sz w:val="24"/>
              </w:rPr>
            </w:pPr>
            <w:r>
              <w:rPr>
                <w:rStyle w:val="43"/>
                <w:b/>
                <w:bCs/>
                <w:color w:val="auto"/>
                <w:sz w:val="24"/>
              </w:rPr>
              <w:t>与《关于加强乌鲁木齐、昌吉、石河子、五家渠区域环境同防同治的意见》</w:t>
            </w:r>
            <w:r>
              <w:rPr>
                <w:rStyle w:val="43"/>
                <w:rFonts w:hint="eastAsia"/>
                <w:b/>
                <w:bCs/>
                <w:color w:val="auto"/>
                <w:sz w:val="24"/>
              </w:rPr>
              <w:t>（新政发[20</w:t>
            </w:r>
            <w:r>
              <w:rPr>
                <w:rStyle w:val="43"/>
                <w:rFonts w:hint="eastAsia"/>
                <w:b/>
                <w:bCs/>
                <w:color w:val="auto"/>
                <w:sz w:val="24"/>
                <w:lang w:val="en-US" w:eastAsia="zh-CN"/>
              </w:rPr>
              <w:t>23</w:t>
            </w:r>
            <w:r>
              <w:rPr>
                <w:rStyle w:val="43"/>
                <w:rFonts w:hint="eastAsia"/>
                <w:b/>
                <w:bCs/>
                <w:color w:val="auto"/>
                <w:sz w:val="24"/>
              </w:rPr>
              <w:t>]</w:t>
            </w:r>
            <w:r>
              <w:rPr>
                <w:rStyle w:val="43"/>
                <w:rFonts w:hint="eastAsia"/>
                <w:b/>
                <w:bCs/>
                <w:color w:val="auto"/>
                <w:sz w:val="24"/>
                <w:lang w:val="en-US" w:eastAsia="zh-CN"/>
              </w:rPr>
              <w:t>29</w:t>
            </w:r>
            <w:r>
              <w:rPr>
                <w:rStyle w:val="43"/>
                <w:rFonts w:hint="eastAsia"/>
                <w:b/>
                <w:bCs/>
                <w:color w:val="auto"/>
                <w:sz w:val="24"/>
              </w:rPr>
              <w:t>号）</w:t>
            </w:r>
            <w:r>
              <w:rPr>
                <w:rStyle w:val="43"/>
                <w:b/>
                <w:bCs/>
                <w:color w:val="auto"/>
                <w:sz w:val="24"/>
              </w:rPr>
              <w:t>相符性分析</w:t>
            </w:r>
          </w:p>
          <w:p w14:paraId="6D1725D2">
            <w:pPr>
              <w:pStyle w:val="61"/>
              <w:bidi w:val="0"/>
              <w:spacing w:line="360" w:lineRule="auto"/>
              <w:rPr>
                <w:rFonts w:hint="default"/>
                <w:color w:val="auto"/>
                <w:lang w:val="en-US" w:eastAsia="zh-CN"/>
              </w:rPr>
            </w:pPr>
            <w:r>
              <w:rPr>
                <w:rFonts w:hint="default"/>
                <w:color w:val="auto"/>
                <w:lang w:val="en-US" w:eastAsia="zh-CN"/>
              </w:rPr>
              <w:t>实施煤炭消费总量控制。控制煤炭消费总量，实现重点区域煤炭消费总量负增长。重点区域内划定高污染燃料禁燃区，并逐步扩大禁燃区范围。加强企事业单位及居民燃煤散烧控制。淘汰热电联产和集中供热管网覆盖范围内的燃煤锅炉，按照有关要求加快淘汰建成区燃煤锅炉，加大燃煤锅炉及设施</w:t>
            </w:r>
            <w:r>
              <w:rPr>
                <w:rFonts w:hint="eastAsia"/>
                <w:color w:val="auto"/>
                <w:lang w:val="en-US" w:eastAsia="zh-CN"/>
              </w:rPr>
              <w:t>“</w:t>
            </w:r>
            <w:r>
              <w:rPr>
                <w:rFonts w:hint="default"/>
                <w:color w:val="auto"/>
                <w:lang w:val="en-US" w:eastAsia="zh-CN"/>
              </w:rPr>
              <w:t>电能替代</w:t>
            </w:r>
            <w:r>
              <w:rPr>
                <w:rFonts w:hint="eastAsia"/>
                <w:color w:val="auto"/>
                <w:lang w:val="en-US" w:eastAsia="zh-CN"/>
              </w:rPr>
              <w:t>”</w:t>
            </w:r>
            <w:r>
              <w:rPr>
                <w:rFonts w:hint="default"/>
                <w:color w:val="auto"/>
                <w:lang w:val="en-US" w:eastAsia="zh-CN"/>
              </w:rPr>
              <w:t>改造力度。</w:t>
            </w:r>
          </w:p>
          <w:p w14:paraId="3CA0F44B">
            <w:pPr>
              <w:pStyle w:val="61"/>
              <w:bidi w:val="0"/>
              <w:spacing w:line="360" w:lineRule="auto"/>
              <w:rPr>
                <w:rFonts w:hint="default"/>
                <w:color w:val="auto"/>
                <w:lang w:val="en-US" w:eastAsia="zh-CN"/>
              </w:rPr>
            </w:pPr>
            <w:r>
              <w:rPr>
                <w:rFonts w:hint="default"/>
                <w:color w:val="auto"/>
                <w:lang w:val="en-US" w:eastAsia="zh-CN"/>
              </w:rPr>
              <w:t>加大扬尘治理力度。严格落实建筑施工、道路、车辆运输、堆场等扬尘源点污染控制要求，扩大绿地和地面铺装硬化面积。</w:t>
            </w:r>
          </w:p>
          <w:p w14:paraId="42C92C76">
            <w:pPr>
              <w:keepNext w:val="0"/>
              <w:keepLines w:val="0"/>
              <w:pageBreakBefore w:val="0"/>
              <w:widowControl/>
              <w:kinsoku/>
              <w:wordWrap/>
              <w:overflowPunct/>
              <w:topLinePunct w:val="0"/>
              <w:bidi w:val="0"/>
              <w:adjustRightInd w:val="0"/>
              <w:snapToGrid w:val="0"/>
              <w:spacing w:line="360" w:lineRule="auto"/>
              <w:ind w:firstLine="480" w:firstLineChars="200"/>
              <w:rPr>
                <w:color w:val="auto"/>
                <w:sz w:val="24"/>
              </w:rPr>
            </w:pPr>
            <w:r>
              <w:rPr>
                <w:color w:val="auto"/>
                <w:sz w:val="24"/>
              </w:rPr>
              <w:t>本项目位于</w:t>
            </w:r>
            <w:r>
              <w:rPr>
                <w:rFonts w:hint="eastAsia"/>
                <w:color w:val="auto"/>
                <w:sz w:val="24"/>
                <w:lang w:val="en-US" w:eastAsia="zh-CN"/>
              </w:rPr>
              <w:t>阜康市甘河子镇西侧</w:t>
            </w:r>
            <w:r>
              <w:rPr>
                <w:color w:val="auto"/>
                <w:sz w:val="24"/>
              </w:rPr>
              <w:t>，处于乌鲁木齐、昌吉、石河子、五家渠区域环境同防同治的重点区域。本项目为</w:t>
            </w:r>
            <w:r>
              <w:rPr>
                <w:rFonts w:hint="eastAsia"/>
                <w:color w:val="auto"/>
                <w:sz w:val="24"/>
                <w:lang w:val="en-US" w:eastAsia="zh-CN"/>
              </w:rPr>
              <w:t>煤炭洗选</w:t>
            </w:r>
            <w:r>
              <w:rPr>
                <w:color w:val="auto"/>
                <w:sz w:val="24"/>
              </w:rPr>
              <w:t>项目，不属于钢铁、石化、火电</w:t>
            </w:r>
            <w:r>
              <w:rPr>
                <w:rFonts w:hint="eastAsia"/>
                <w:color w:val="auto"/>
                <w:sz w:val="24"/>
                <w:lang w:eastAsia="zh-CN"/>
              </w:rPr>
              <w:t>等</w:t>
            </w:r>
            <w:r>
              <w:rPr>
                <w:color w:val="auto"/>
                <w:sz w:val="24"/>
              </w:rPr>
              <w:t>重点行业。</w:t>
            </w:r>
            <w:r>
              <w:rPr>
                <w:rFonts w:hint="eastAsia"/>
                <w:color w:val="auto"/>
                <w:sz w:val="24"/>
                <w:lang w:val="en-US" w:eastAsia="zh-CN"/>
              </w:rPr>
              <w:t>运营期颗粒物排放执行《煤炭工业污染物排放标准》（GB20246-2006）表4煤炭工业大气污染物排放限值要求（80mg/m</w:t>
            </w:r>
            <w:r>
              <w:rPr>
                <w:rFonts w:hint="eastAsia"/>
                <w:color w:val="auto"/>
                <w:sz w:val="24"/>
                <w:vertAlign w:val="superscript"/>
                <w:lang w:val="en-US" w:eastAsia="zh-CN"/>
              </w:rPr>
              <w:t>3</w:t>
            </w:r>
            <w:r>
              <w:rPr>
                <w:rFonts w:hint="eastAsia"/>
                <w:color w:val="auto"/>
                <w:sz w:val="24"/>
                <w:vertAlign w:val="baseline"/>
                <w:lang w:val="en-US" w:eastAsia="zh-CN"/>
              </w:rPr>
              <w:t>或设备去除效率＞98%</w:t>
            </w:r>
            <w:r>
              <w:rPr>
                <w:rFonts w:hint="eastAsia"/>
                <w:color w:val="auto"/>
                <w:sz w:val="24"/>
                <w:lang w:val="en-US" w:eastAsia="zh-CN"/>
              </w:rPr>
              <w:t>）和表5煤炭工业无组织排放限值要求（厂界颗粒物：1.0mg/m</w:t>
            </w:r>
            <w:r>
              <w:rPr>
                <w:rFonts w:hint="eastAsia"/>
                <w:color w:val="auto"/>
                <w:sz w:val="24"/>
                <w:vertAlign w:val="superscript"/>
                <w:lang w:val="en-US" w:eastAsia="zh-CN"/>
              </w:rPr>
              <w:t>3</w:t>
            </w:r>
            <w:r>
              <w:rPr>
                <w:rFonts w:hint="eastAsia"/>
                <w:color w:val="auto"/>
                <w:sz w:val="24"/>
                <w:lang w:val="en-US" w:eastAsia="zh-CN"/>
              </w:rPr>
              <w:t>），物料输送均采用封闭车辆，并限</w:t>
            </w:r>
            <w:r>
              <w:rPr>
                <w:rFonts w:hint="eastAsia"/>
                <w:color w:val="auto"/>
                <w:lang w:val="en-US" w:eastAsia="zh-CN"/>
              </w:rPr>
              <w:t>制</w:t>
            </w:r>
            <w:r>
              <w:rPr>
                <w:rFonts w:hint="eastAsia"/>
                <w:color w:val="auto"/>
                <w:sz w:val="24"/>
                <w:lang w:val="en-US" w:eastAsia="zh-CN"/>
              </w:rPr>
              <w:t>车速，定时对运输道路进行洒水抑尘。厂区道路、地面进行硬化措施。各原料堆场和产品堆场均设置为全封闭式厂房，地面全部硬化，均在封闭式堆场内储存及转运。</w:t>
            </w:r>
            <w:r>
              <w:rPr>
                <w:color w:val="auto"/>
                <w:sz w:val="24"/>
              </w:rPr>
              <w:t>项目排放的污染物均达到国家最新污染物排放标准，污染物排放量较少，符合《关于加强乌鲁木齐、昌吉、石河子、五家渠区域环境同防同治的意见》相关要求。</w:t>
            </w:r>
          </w:p>
          <w:p w14:paraId="46A3677E">
            <w:pPr>
              <w:keepNext w:val="0"/>
              <w:keepLines w:val="0"/>
              <w:pageBreakBefore w:val="0"/>
              <w:widowControl w:val="0"/>
              <w:numPr>
                <w:ilvl w:val="0"/>
                <w:numId w:val="5"/>
              </w:numPr>
              <w:kinsoku/>
              <w:wordWrap/>
              <w:overflowPunct/>
              <w:topLinePunct w:val="0"/>
              <w:autoSpaceDE w:val="0"/>
              <w:autoSpaceDN w:val="0"/>
              <w:bidi w:val="0"/>
              <w:adjustRightInd/>
              <w:snapToGrid/>
              <w:spacing w:line="360" w:lineRule="auto"/>
              <w:ind w:left="0" w:leftChars="0" w:firstLine="0" w:firstLineChars="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与《新疆维吾尔自治区大气污染防治条例》的符合性分析</w:t>
            </w:r>
          </w:p>
          <w:p w14:paraId="5918BE50">
            <w:pPr>
              <w:pStyle w:val="38"/>
              <w:bidi w:val="0"/>
              <w:spacing w:line="360" w:lineRule="auto"/>
              <w:rPr>
                <w:rFonts w:hint="default"/>
                <w:color w:val="auto"/>
              </w:rPr>
            </w:pPr>
            <w:r>
              <w:rPr>
                <w:rFonts w:hint="default"/>
                <w:color w:val="auto"/>
                <w:lang w:val="en-US" w:eastAsia="zh-CN"/>
              </w:rPr>
              <w:t>根据《新疆维吾尔自治区大气污染防治条例》中的相关内容：“</w:t>
            </w:r>
            <w:r>
              <w:rPr>
                <w:rFonts w:hint="default"/>
                <w:color w:val="auto"/>
              </w:rPr>
              <w:t>各级人民政府应当加强对建设施工、矿产资源开采、物料运输的扬尘和沙尘污染的治理，保持道路清洁、控制料堆和渣土堆放，科学合理扩大绿地、水面、湿地、地面铺装和防风固沙绿化面积，防治扬尘污染。</w:t>
            </w:r>
          </w:p>
          <w:p w14:paraId="3D26EDB8">
            <w:pPr>
              <w:pStyle w:val="38"/>
              <w:bidi w:val="0"/>
              <w:spacing w:line="360" w:lineRule="auto"/>
              <w:rPr>
                <w:rFonts w:hint="default"/>
                <w:color w:val="auto"/>
                <w:lang w:val="en-US" w:eastAsia="zh-CN"/>
              </w:rPr>
            </w:pPr>
            <w:r>
              <w:rPr>
                <w:rFonts w:hint="default"/>
                <w:color w:val="auto"/>
              </w:rPr>
              <w:t>贮存易产生扬尘的煤炭、煤矸石、煤渣、煤灰、水泥、石灰、石膏、砂土等物料的堆场应当密闭；不能密闭的，贮存单位或者个人应当采取下列防尘措施：（一）堆场的场坪、路面应当进行硬化处理，并保持路面整洁；（二）堆场周边应当配备高于堆存物料的围挡、防风抑尘网等设施；（三）按照物料类别采取相应的覆盖、喷淋和围挡等防风抑尘措施。露天装卸物料应当采取密闭或者喷淋等抑尘措施；输送的物料应当在装料、卸料处配备吸尘、喷淋等防尘设施</w:t>
            </w:r>
            <w:r>
              <w:rPr>
                <w:rFonts w:hint="default"/>
                <w:color w:val="auto"/>
                <w:lang w:val="en-US" w:eastAsia="zh-CN"/>
              </w:rPr>
              <w:t>。”</w:t>
            </w:r>
          </w:p>
          <w:p w14:paraId="13F3EFF4">
            <w:pPr>
              <w:pStyle w:val="38"/>
              <w:bidi w:val="0"/>
              <w:spacing w:line="360" w:lineRule="auto"/>
              <w:rPr>
                <w:rFonts w:hint="default"/>
                <w:color w:val="auto"/>
              </w:rPr>
            </w:pPr>
            <w:r>
              <w:rPr>
                <w:rFonts w:hint="default"/>
                <w:color w:val="auto"/>
              </w:rPr>
              <w:t>本</w:t>
            </w:r>
            <w:r>
              <w:rPr>
                <w:rFonts w:hint="default"/>
                <w:color w:val="auto"/>
                <w:lang w:eastAsia="zh-CN"/>
              </w:rPr>
              <w:t>项目</w:t>
            </w:r>
            <w:r>
              <w:rPr>
                <w:rFonts w:hint="default"/>
                <w:color w:val="auto"/>
              </w:rPr>
              <w:t>主要产尘环节有煤炭运输车辆扬尘、储存粉尘、破碎筛分、传输过程粉尘。本项目采取以下粉尘防治措施：</w:t>
            </w:r>
          </w:p>
          <w:p w14:paraId="5DE9F0BB">
            <w:pPr>
              <w:pStyle w:val="38"/>
              <w:bidi w:val="0"/>
              <w:spacing w:line="360" w:lineRule="auto"/>
              <w:rPr>
                <w:rFonts w:hint="default"/>
                <w:color w:val="auto"/>
              </w:rPr>
            </w:pPr>
            <w:r>
              <w:rPr>
                <w:rFonts w:hint="default"/>
                <w:color w:val="auto"/>
                <w:lang w:eastAsia="zh-CN"/>
              </w:rPr>
              <w:t>①</w:t>
            </w:r>
            <w:r>
              <w:rPr>
                <w:rFonts w:hint="default"/>
                <w:color w:val="auto"/>
              </w:rPr>
              <w:t>在</w:t>
            </w:r>
            <w:r>
              <w:rPr>
                <w:rFonts w:hint="default"/>
                <w:color w:val="auto"/>
                <w:lang w:eastAsia="zh-CN"/>
              </w:rPr>
              <w:t>洗选</w:t>
            </w:r>
            <w:r>
              <w:rPr>
                <w:rFonts w:hint="default"/>
                <w:color w:val="auto"/>
              </w:rPr>
              <w:t>车间</w:t>
            </w:r>
            <w:r>
              <w:rPr>
                <w:rFonts w:hint="default"/>
                <w:color w:val="auto"/>
                <w:lang w:eastAsia="zh-CN"/>
              </w:rPr>
              <w:t>分别</w:t>
            </w:r>
            <w:r>
              <w:rPr>
                <w:rFonts w:hint="default"/>
                <w:color w:val="auto"/>
              </w:rPr>
              <w:t>设置袋式</w:t>
            </w:r>
            <w:r>
              <w:rPr>
                <w:rFonts w:hint="eastAsia"/>
                <w:color w:val="auto"/>
                <w:lang w:eastAsia="zh-CN"/>
              </w:rPr>
              <w:t>除尘</w:t>
            </w:r>
            <w:r>
              <w:rPr>
                <w:rFonts w:hint="default"/>
                <w:color w:val="auto"/>
              </w:rPr>
              <w:t>器</w:t>
            </w:r>
            <w:r>
              <w:rPr>
                <w:rFonts w:hint="default"/>
                <w:color w:val="auto"/>
                <w:lang w:eastAsia="zh-CN"/>
              </w:rPr>
              <w:t>，</w:t>
            </w:r>
            <w:r>
              <w:rPr>
                <w:rFonts w:hint="default"/>
                <w:color w:val="auto"/>
              </w:rPr>
              <w:t>除尘产生的</w:t>
            </w:r>
            <w:r>
              <w:rPr>
                <w:rFonts w:hint="eastAsia"/>
                <w:color w:val="auto"/>
                <w:lang w:eastAsia="zh-CN"/>
              </w:rPr>
              <w:t>收集尘</w:t>
            </w:r>
            <w:r>
              <w:rPr>
                <w:rFonts w:hint="default"/>
                <w:color w:val="auto"/>
              </w:rPr>
              <w:t>返回生产系统回收利用，</w:t>
            </w:r>
            <w:r>
              <w:rPr>
                <w:rFonts w:hint="eastAsia"/>
                <w:color w:val="auto"/>
                <w:lang w:eastAsia="zh-CN"/>
              </w:rPr>
              <w:t>废气</w:t>
            </w:r>
            <w:r>
              <w:rPr>
                <w:rFonts w:hint="default"/>
                <w:color w:val="auto"/>
              </w:rPr>
              <w:t>净化后达到环保排放要求排入大气。周边辅以洒水降尘。</w:t>
            </w:r>
          </w:p>
          <w:p w14:paraId="1BC65B24">
            <w:pPr>
              <w:pStyle w:val="38"/>
              <w:bidi w:val="0"/>
              <w:spacing w:line="360" w:lineRule="auto"/>
              <w:rPr>
                <w:rFonts w:hint="default"/>
                <w:color w:val="auto"/>
              </w:rPr>
            </w:pPr>
            <w:r>
              <w:rPr>
                <w:rFonts w:hint="default"/>
                <w:color w:val="auto"/>
                <w:lang w:eastAsia="zh-CN"/>
              </w:rPr>
              <w:t>②</w:t>
            </w:r>
            <w:r>
              <w:rPr>
                <w:rFonts w:hint="default"/>
                <w:color w:val="auto"/>
                <w:lang w:val="en-US" w:eastAsia="zh-CN"/>
              </w:rPr>
              <w:t>各原料、产品库均为全封闭结构，地面全部硬化，</w:t>
            </w:r>
            <w:r>
              <w:rPr>
                <w:rFonts w:hint="eastAsia"/>
                <w:color w:val="auto"/>
                <w:lang w:eastAsia="zh-CN"/>
              </w:rPr>
              <w:t>原料库</w:t>
            </w:r>
            <w:r>
              <w:rPr>
                <w:rFonts w:hint="default"/>
                <w:color w:val="auto"/>
                <w:lang w:eastAsia="zh-CN"/>
              </w:rPr>
              <w:t>顶部</w:t>
            </w:r>
            <w:r>
              <w:rPr>
                <w:rFonts w:hint="default"/>
                <w:color w:val="auto"/>
                <w:lang w:val="en-US" w:eastAsia="zh-CN"/>
              </w:rPr>
              <w:t>设置固定式</w:t>
            </w:r>
            <w:r>
              <w:rPr>
                <w:rFonts w:hint="eastAsia"/>
                <w:color w:val="auto"/>
                <w:lang w:val="en-US" w:eastAsia="zh-CN"/>
              </w:rPr>
              <w:t>喷雾抑尘装置</w:t>
            </w:r>
            <w:r>
              <w:rPr>
                <w:rFonts w:hint="default"/>
                <w:color w:val="auto"/>
                <w:lang w:val="en-US" w:eastAsia="zh-CN"/>
              </w:rPr>
              <w:t>。辅料絮凝剂、粘结剂和固硫剂为袋装，储存在全封闭储物间。</w:t>
            </w:r>
          </w:p>
          <w:p w14:paraId="64DDC0D6">
            <w:pPr>
              <w:pStyle w:val="38"/>
              <w:bidi w:val="0"/>
              <w:spacing w:line="360" w:lineRule="auto"/>
              <w:rPr>
                <w:rFonts w:hint="default"/>
                <w:color w:val="auto"/>
                <w:lang w:eastAsia="zh-CN"/>
              </w:rPr>
            </w:pPr>
            <w:r>
              <w:rPr>
                <w:rFonts w:hint="eastAsia"/>
                <w:color w:val="auto"/>
                <w:lang w:val="en-US" w:eastAsia="zh-CN"/>
              </w:rPr>
              <w:t>③</w:t>
            </w:r>
            <w:r>
              <w:rPr>
                <w:rFonts w:hint="default"/>
                <w:color w:val="auto"/>
                <w:lang w:eastAsia="zh-CN"/>
              </w:rPr>
              <w:t>在车辆入口处设置自动洗车装置，并</w:t>
            </w:r>
            <w:r>
              <w:rPr>
                <w:rFonts w:hint="default"/>
                <w:color w:val="auto"/>
                <w:lang w:val="en-US" w:eastAsia="zh-CN"/>
              </w:rPr>
              <w:t>定时对运输道路进行洒水抑尘；物料输送均采用封闭车辆，并限制车速。</w:t>
            </w:r>
          </w:p>
          <w:p w14:paraId="72F2FC60">
            <w:pPr>
              <w:pStyle w:val="38"/>
              <w:bidi w:val="0"/>
              <w:spacing w:line="360" w:lineRule="auto"/>
              <w:rPr>
                <w:rFonts w:hint="default"/>
                <w:color w:val="auto"/>
              </w:rPr>
            </w:pPr>
            <w:r>
              <w:rPr>
                <w:rFonts w:hint="default"/>
                <w:color w:val="auto"/>
              </w:rPr>
              <w:t>在采取以上措施后，本项目大气环境影响符合《新疆维吾尔自治区大气污染防治条例》相关要求。</w:t>
            </w:r>
          </w:p>
          <w:p w14:paraId="1251B297">
            <w:pPr>
              <w:pStyle w:val="38"/>
              <w:bidi w:val="0"/>
              <w:spacing w:line="360" w:lineRule="auto"/>
              <w:rPr>
                <w:rFonts w:hint="default"/>
                <w:color w:val="auto"/>
                <w:lang w:val="en-US" w:eastAsia="zh-CN"/>
              </w:rPr>
            </w:pPr>
            <w:r>
              <w:rPr>
                <w:rFonts w:hint="default"/>
                <w:color w:val="auto"/>
                <w:lang w:val="en-US" w:eastAsia="zh-CN"/>
              </w:rPr>
              <w:t>综上所述，本项目符合《新疆维吾尔自治区大气污染防治条例》中的相关要求。</w:t>
            </w:r>
          </w:p>
          <w:p w14:paraId="2B73B1E9">
            <w:pPr>
              <w:keepNext w:val="0"/>
              <w:keepLines w:val="0"/>
              <w:pageBreakBefore w:val="0"/>
              <w:widowControl w:val="0"/>
              <w:numPr>
                <w:ilvl w:val="0"/>
                <w:numId w:val="5"/>
              </w:numPr>
              <w:kinsoku/>
              <w:wordWrap/>
              <w:overflowPunct/>
              <w:topLinePunct w:val="0"/>
              <w:autoSpaceDE w:val="0"/>
              <w:autoSpaceDN w:val="0"/>
              <w:bidi w:val="0"/>
              <w:adjustRightInd w:val="0"/>
              <w:snapToGrid w:val="0"/>
              <w:spacing w:line="360" w:lineRule="auto"/>
              <w:ind w:left="0" w:leftChars="0" w:firstLine="0" w:firstLineChars="0"/>
              <w:textAlignment w:val="auto"/>
              <w:rPr>
                <w:rFonts w:hint="eastAsia"/>
                <w:b/>
                <w:bCs/>
                <w:color w:val="auto"/>
                <w:sz w:val="24"/>
                <w:highlight w:val="none"/>
              </w:rPr>
            </w:pPr>
            <w:r>
              <w:rPr>
                <w:rFonts w:hint="default" w:ascii="Times New Roman" w:hAnsi="Times New Roman" w:eastAsia="宋体" w:cs="Times New Roman"/>
                <w:b/>
                <w:bCs/>
                <w:color w:val="auto"/>
                <w:kern w:val="0"/>
                <w:sz w:val="24"/>
                <w:szCs w:val="24"/>
                <w:highlight w:val="none"/>
                <w:lang w:val="en-US" w:eastAsia="zh-CN"/>
              </w:rPr>
              <w:t>与《新疆维吾尔自治区重点行业环境准入条件（</w:t>
            </w:r>
            <w:r>
              <w:rPr>
                <w:rFonts w:hint="eastAsia" w:ascii="Times New Roman" w:hAnsi="Times New Roman" w:eastAsia="宋体" w:cs="Times New Roman"/>
                <w:b/>
                <w:bCs/>
                <w:color w:val="auto"/>
                <w:kern w:val="0"/>
                <w:sz w:val="24"/>
                <w:szCs w:val="24"/>
                <w:highlight w:val="none"/>
                <w:lang w:val="en-US" w:eastAsia="zh-CN"/>
              </w:rPr>
              <w:t>2024年</w:t>
            </w:r>
            <w:r>
              <w:rPr>
                <w:rFonts w:hint="default" w:ascii="Times New Roman" w:hAnsi="Times New Roman" w:eastAsia="宋体" w:cs="Times New Roman"/>
                <w:b/>
                <w:bCs/>
                <w:color w:val="auto"/>
                <w:kern w:val="0"/>
                <w:sz w:val="24"/>
                <w:szCs w:val="24"/>
                <w:highlight w:val="none"/>
                <w:lang w:val="en-US" w:eastAsia="zh-CN"/>
              </w:rPr>
              <w:t>）》的符合性</w:t>
            </w:r>
          </w:p>
          <w:p w14:paraId="7777BC15">
            <w:pPr>
              <w:pStyle w:val="7"/>
              <w:keepNext w:val="0"/>
              <w:keepLines w:val="0"/>
              <w:pageBreakBefore w:val="0"/>
              <w:widowControl/>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Times New Roman"/>
                <w:b/>
                <w:bCs/>
                <w:color w:val="auto"/>
                <w:kern w:val="0"/>
                <w:sz w:val="21"/>
                <w:szCs w:val="21"/>
                <w:lang w:val="en-US" w:eastAsia="zh-CN"/>
              </w:rPr>
            </w:pPr>
            <w:r>
              <w:rPr>
                <w:rFonts w:hint="eastAsia" w:ascii="Times New Roman" w:hAnsi="Times New Roman" w:eastAsia="宋体" w:cs="Times New Roman"/>
                <w:b/>
                <w:bCs/>
                <w:color w:val="auto"/>
                <w:kern w:val="0"/>
                <w:sz w:val="21"/>
                <w:szCs w:val="21"/>
                <w:lang w:val="en-US" w:eastAsia="zh-CN"/>
              </w:rPr>
              <w:t>表1-2    重点行业环境准入条件</w:t>
            </w:r>
          </w:p>
          <w:tbl>
            <w:tblPr>
              <w:tblStyle w:val="28"/>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547"/>
              <w:gridCol w:w="2654"/>
              <w:gridCol w:w="524"/>
            </w:tblGrid>
            <w:tr w14:paraId="1E1C9E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37" w:type="pct"/>
                  <w:tcBorders>
                    <w:bottom w:val="single" w:color="auto" w:sz="12" w:space="0"/>
                  </w:tcBorders>
                  <w:noWrap w:val="0"/>
                  <w:vAlign w:val="center"/>
                </w:tcPr>
                <w:p w14:paraId="174AFA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环境准入条件</w:t>
                  </w:r>
                </w:p>
              </w:tc>
              <w:tc>
                <w:tcPr>
                  <w:tcW w:w="1973" w:type="pct"/>
                  <w:tcBorders>
                    <w:bottom w:val="single" w:color="auto" w:sz="12" w:space="0"/>
                  </w:tcBorders>
                  <w:noWrap w:val="0"/>
                  <w:vAlign w:val="center"/>
                </w:tcPr>
                <w:p w14:paraId="07A33DE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本项目情况</w:t>
                  </w:r>
                </w:p>
              </w:tc>
              <w:tc>
                <w:tcPr>
                  <w:tcW w:w="389" w:type="pct"/>
                  <w:tcBorders>
                    <w:bottom w:val="single" w:color="auto" w:sz="12" w:space="0"/>
                  </w:tcBorders>
                  <w:noWrap w:val="0"/>
                  <w:vAlign w:val="center"/>
                </w:tcPr>
                <w:p w14:paraId="336668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95"/>
                      <w:sz w:val="21"/>
                      <w:szCs w:val="21"/>
                    </w:rPr>
                    <w:t>结论</w:t>
                  </w:r>
                </w:p>
              </w:tc>
            </w:tr>
            <w:tr w14:paraId="52410F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37" w:type="pct"/>
                  <w:tcBorders>
                    <w:top w:val="single" w:color="auto" w:sz="12" w:space="0"/>
                    <w:tl2br w:val="nil"/>
                    <w:tr2bl w:val="nil"/>
                  </w:tcBorders>
                  <w:noWrap w:val="0"/>
                  <w:vAlign w:val="center"/>
                </w:tcPr>
                <w:p w14:paraId="1C5EA3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重要工业区、大型水利工程设施、城镇市政工程设施所在区域，军事管理区、机场、国防工程设施圈定的区域，高速公路、国道、省道等重要交通干线两侧用地外缘200米范围内（确有必要可根据实际情况论证），铁路线路两侧路堤坡脚、路堑坡顶、铁路桥梁外侧起各1000米范围内</w:t>
                  </w:r>
                  <w:r>
                    <w:rPr>
                      <w:rFonts w:hint="eastAsia" w:ascii="Times New Roman" w:hAnsi="Times New Roman" w:eastAsia="宋体" w:cs="Times New Roman"/>
                      <w:color w:val="auto"/>
                      <w:sz w:val="21"/>
                      <w:szCs w:val="21"/>
                      <w:highlight w:val="none"/>
                      <w:vertAlign w:val="baseline"/>
                      <w:lang w:eastAsia="zh-CN"/>
                    </w:rPr>
                    <w:t>，</w:t>
                  </w:r>
                  <w:r>
                    <w:rPr>
                      <w:rFonts w:hint="default" w:ascii="Times New Roman" w:hAnsi="Times New Roman" w:eastAsia="宋体" w:cs="Times New Roman"/>
                      <w:color w:val="auto"/>
                      <w:sz w:val="21"/>
                      <w:szCs w:val="21"/>
                      <w:highlight w:val="none"/>
                      <w:vertAlign w:val="baseline"/>
                    </w:rPr>
                    <w:t>及在铁路隧道上方中心线两侧各1000米范围内，国家及自治区划定的重点流域Ⅰ、Ⅱ类和有饮用水取水口的Ⅲ类水体上游岸边1千米以内、其它Ⅲ类水体岸边200米以内，原则上不得新建煤炭采选的工业场地或露天煤矿。存在山体等阻隔地形或建设人工地下水阻隔设施和严格防尘措施的，可适当放宽距离要求，具体根据专业机构论证结论确定。其他水体根据矿产资源开发利用结论和环境影响评价结论管控。</w:t>
                  </w:r>
                </w:p>
              </w:tc>
              <w:tc>
                <w:tcPr>
                  <w:tcW w:w="1973" w:type="pct"/>
                  <w:tcBorders>
                    <w:top w:val="single" w:color="auto" w:sz="12" w:space="0"/>
                    <w:tl2br w:val="nil"/>
                    <w:tr2bl w:val="nil"/>
                  </w:tcBorders>
                  <w:noWrap w:val="0"/>
                  <w:vAlign w:val="center"/>
                </w:tcPr>
                <w:p w14:paraId="666A35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本项目</w:t>
                  </w:r>
                  <w:r>
                    <w:rPr>
                      <w:rFonts w:hint="eastAsia" w:cs="Times New Roman"/>
                      <w:color w:val="auto"/>
                      <w:sz w:val="21"/>
                      <w:szCs w:val="21"/>
                      <w:highlight w:val="none"/>
                      <w:vertAlign w:val="baseline"/>
                      <w:lang w:val="en-US" w:eastAsia="zh-CN"/>
                    </w:rPr>
                    <w:t>不属于新建项目，为改建项目，</w:t>
                  </w:r>
                  <w:r>
                    <w:rPr>
                      <w:rFonts w:hint="default" w:ascii="Times New Roman" w:hAnsi="Times New Roman" w:eastAsia="宋体" w:cs="Times New Roman"/>
                      <w:color w:val="auto"/>
                      <w:sz w:val="21"/>
                      <w:szCs w:val="21"/>
                      <w:highlight w:val="none"/>
                      <w:vertAlign w:val="baseline"/>
                      <w:lang w:val="en-US" w:eastAsia="zh-CN"/>
                    </w:rPr>
                    <w:t>位于阜康市</w:t>
                  </w:r>
                  <w:r>
                    <w:rPr>
                      <w:rFonts w:hint="eastAsia" w:ascii="Times New Roman" w:hAnsi="Times New Roman" w:eastAsia="宋体" w:cs="Times New Roman"/>
                      <w:color w:val="auto"/>
                      <w:sz w:val="21"/>
                      <w:szCs w:val="21"/>
                      <w:highlight w:val="none"/>
                      <w:vertAlign w:val="baseline"/>
                      <w:lang w:val="en-US" w:eastAsia="zh-CN"/>
                    </w:rPr>
                    <w:t>甘河子镇西侧</w:t>
                  </w:r>
                  <w:r>
                    <w:rPr>
                      <w:rFonts w:hint="default" w:ascii="Times New Roman" w:hAnsi="Times New Roman" w:eastAsia="宋体" w:cs="Times New Roman"/>
                      <w:color w:val="auto"/>
                      <w:sz w:val="21"/>
                      <w:szCs w:val="21"/>
                      <w:highlight w:val="none"/>
                      <w:vertAlign w:val="baseline"/>
                      <w:lang w:val="en-US" w:eastAsia="zh-CN"/>
                    </w:rPr>
                    <w:t>，项目区周边东侧为阜康市泰尚实业有限责任公司</w:t>
                  </w:r>
                  <w:r>
                    <w:rPr>
                      <w:rFonts w:hint="eastAsia" w:cs="Times New Roman"/>
                      <w:color w:val="auto"/>
                      <w:sz w:val="21"/>
                      <w:szCs w:val="21"/>
                      <w:highlight w:val="none"/>
                      <w:vertAlign w:val="baseline"/>
                      <w:lang w:val="en-US" w:eastAsia="zh-CN"/>
                    </w:rPr>
                    <w:t>，北侧50m为S303省道，因本项目为改建项目且项目采取严格防尘措施，生产车间全封闭，车间顶部配备洒水降尘设施，破碎筛分工段设置集气罩，产生的粉尘通过集气罩收集后采用布袋除尘器处理，处理达标后通过1根15m高排气筒排放，对周边大气环境影响较小，因此本项目符合重点行业环境准入条件相关要求</w:t>
                  </w:r>
                  <w:r>
                    <w:rPr>
                      <w:rFonts w:hint="eastAsia" w:ascii="Times New Roman" w:hAnsi="Times New Roman" w:eastAsia="宋体" w:cs="Times New Roman"/>
                      <w:color w:val="auto"/>
                      <w:sz w:val="21"/>
                      <w:szCs w:val="21"/>
                      <w:highlight w:val="none"/>
                      <w:vertAlign w:val="baseline"/>
                      <w:lang w:eastAsia="zh-CN"/>
                    </w:rPr>
                    <w:t>。</w:t>
                  </w:r>
                </w:p>
              </w:tc>
              <w:tc>
                <w:tcPr>
                  <w:tcW w:w="389" w:type="pct"/>
                  <w:tcBorders>
                    <w:top w:val="single" w:color="auto" w:sz="12" w:space="0"/>
                    <w:tl2br w:val="nil"/>
                    <w:tr2bl w:val="nil"/>
                  </w:tcBorders>
                  <w:noWrap w:val="0"/>
                  <w:vAlign w:val="center"/>
                </w:tcPr>
                <w:p w14:paraId="7D2E80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21D9B7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37" w:type="pct"/>
                  <w:tcBorders>
                    <w:tl2br w:val="nil"/>
                    <w:tr2bl w:val="nil"/>
                  </w:tcBorders>
                  <w:noWrap w:val="0"/>
                  <w:vAlign w:val="center"/>
                </w:tcPr>
                <w:p w14:paraId="743571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新建和改扩建煤炭采选项目选址应符合《煤炭工业矿井设计规范》（GB50215）、《煤炭洗选工程设计规范》（GB50359）等。</w:t>
                  </w:r>
                </w:p>
              </w:tc>
              <w:tc>
                <w:tcPr>
                  <w:tcW w:w="1973" w:type="pct"/>
                  <w:tcBorders>
                    <w:tl2br w:val="nil"/>
                    <w:tr2bl w:val="nil"/>
                  </w:tcBorders>
                  <w:noWrap w:val="0"/>
                  <w:vAlign w:val="center"/>
                </w:tcPr>
                <w:p w14:paraId="58E9FF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本项目为</w:t>
                  </w:r>
                  <w:r>
                    <w:rPr>
                      <w:rFonts w:hint="default" w:ascii="Times New Roman" w:hAnsi="Times New Roman" w:eastAsia="宋体" w:cs="Times New Roman"/>
                      <w:color w:val="auto"/>
                      <w:sz w:val="21"/>
                      <w:szCs w:val="21"/>
                    </w:rPr>
                    <w:t>煤炭采选</w:t>
                  </w:r>
                  <w:r>
                    <w:rPr>
                      <w:rFonts w:hint="default" w:ascii="Times New Roman" w:hAnsi="Times New Roman" w:eastAsia="宋体" w:cs="Times New Roman"/>
                      <w:color w:val="auto"/>
                      <w:sz w:val="21"/>
                      <w:szCs w:val="21"/>
                      <w:lang w:val="en-US" w:eastAsia="zh-CN"/>
                    </w:rPr>
                    <w:t>工程，</w:t>
                  </w:r>
                  <w:r>
                    <w:rPr>
                      <w:rFonts w:hint="default" w:ascii="Times New Roman" w:hAnsi="Times New Roman" w:eastAsia="宋体" w:cs="Times New Roman"/>
                      <w:color w:val="auto"/>
                      <w:sz w:val="21"/>
                      <w:szCs w:val="21"/>
                      <w:vertAlign w:val="baseline"/>
                    </w:rPr>
                    <w:t>选址符合《煤炭洗选工程设计规范》（GB50359</w:t>
                  </w:r>
                  <w:r>
                    <w:rPr>
                      <w:rFonts w:hint="default"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highlight w:val="none"/>
                      <w:lang w:val="en-US" w:eastAsia="zh-CN"/>
                    </w:rPr>
                    <w:t>2016</w:t>
                  </w:r>
                  <w:r>
                    <w:rPr>
                      <w:rFonts w:hint="default" w:ascii="Times New Roman" w:hAnsi="Times New Roman" w:eastAsia="宋体" w:cs="Times New Roman"/>
                      <w:color w:val="auto"/>
                      <w:sz w:val="21"/>
                      <w:szCs w:val="21"/>
                      <w:vertAlign w:val="baseline"/>
                    </w:rPr>
                    <w:t>）</w:t>
                  </w:r>
                  <w:r>
                    <w:rPr>
                      <w:rFonts w:hint="default" w:ascii="Times New Roman" w:hAnsi="Times New Roman" w:eastAsia="宋体" w:cs="Times New Roman"/>
                      <w:color w:val="auto"/>
                      <w:sz w:val="21"/>
                      <w:szCs w:val="21"/>
                      <w:vertAlign w:val="baseline"/>
                      <w:lang w:val="en-US" w:eastAsia="zh-CN"/>
                    </w:rPr>
                    <w:t>要求。</w:t>
                  </w:r>
                </w:p>
              </w:tc>
              <w:tc>
                <w:tcPr>
                  <w:tcW w:w="389" w:type="pct"/>
                  <w:tcBorders>
                    <w:tl2br w:val="nil"/>
                    <w:tr2bl w:val="nil"/>
                  </w:tcBorders>
                  <w:noWrap w:val="0"/>
                  <w:vAlign w:val="center"/>
                </w:tcPr>
                <w:p w14:paraId="1019E0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1A15CB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37" w:type="pct"/>
                  <w:tcBorders>
                    <w:tl2br w:val="nil"/>
                    <w:tr2bl w:val="nil"/>
                  </w:tcBorders>
                  <w:noWrap w:val="0"/>
                  <w:vAlign w:val="center"/>
                </w:tcPr>
                <w:p w14:paraId="1D1FD9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eastAsia" w:ascii="Times New Roman" w:hAnsi="Times New Roman" w:eastAsia="宋体" w:cs="Times New Roman"/>
                      <w:color w:val="auto"/>
                      <w:sz w:val="21"/>
                      <w:szCs w:val="21"/>
                      <w:vertAlign w:val="baseline"/>
                    </w:rPr>
                    <w:t>新建、改扩建煤矿应配套煤炭洗选设施，有效提高煤炭产品质量，强化洗选过程污染治理。煤炭开采使用的非道路移动机械排放废气应符合国家和地方污染物排放标准要求，鼓励使用新能源非道路移动机械。优先采用余热、依托热源、清洁能源等供热措施，减少大气污染物排放；确需建设燃煤锅炉的，应符合国家和地方大气污染防治要求。新建及改扩建采煤项目原煤须采用筒仓或封闭式煤场，厂内输送采用封闭式皮带走廊。工业场地无组织排放污染物执行《煤炭工业污染物排放标准》（GB20426）中的浓度限值标准。</w:t>
                  </w:r>
                </w:p>
              </w:tc>
              <w:tc>
                <w:tcPr>
                  <w:tcW w:w="1973" w:type="pct"/>
                  <w:tcBorders>
                    <w:tl2br w:val="nil"/>
                    <w:tr2bl w:val="nil"/>
                  </w:tcBorders>
                  <w:noWrap w:val="0"/>
                  <w:vAlign w:val="center"/>
                </w:tcPr>
                <w:p w14:paraId="09CAF6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本项目不涉及燃煤锅炉的建设，原煤采用全封闭的仓库，场内运输采用封闭式的皮带；本环评要求厂界无组织</w:t>
                  </w:r>
                  <w:r>
                    <w:rPr>
                      <w:rFonts w:hint="eastAsia" w:ascii="Times New Roman" w:hAnsi="Times New Roman" w:eastAsia="宋体" w:cs="Times New Roman"/>
                      <w:color w:val="auto"/>
                      <w:sz w:val="21"/>
                      <w:szCs w:val="21"/>
                      <w:vertAlign w:val="baseline"/>
                    </w:rPr>
                    <w:t>排放污染物执行《煤炭工业污染物排放标准》（GB20426）中的浓度限值标准。</w:t>
                  </w:r>
                </w:p>
              </w:tc>
              <w:tc>
                <w:tcPr>
                  <w:tcW w:w="389" w:type="pct"/>
                  <w:tcBorders>
                    <w:tl2br w:val="nil"/>
                    <w:tr2bl w:val="nil"/>
                  </w:tcBorders>
                  <w:noWrap w:val="0"/>
                  <w:vAlign w:val="center"/>
                </w:tcPr>
                <w:p w14:paraId="2ED974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441BF8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37" w:type="pct"/>
                  <w:tcBorders>
                    <w:tl2br w:val="nil"/>
                    <w:tr2bl w:val="nil"/>
                  </w:tcBorders>
                  <w:noWrap w:val="0"/>
                  <w:vAlign w:val="center"/>
                </w:tcPr>
                <w:p w14:paraId="2A46C3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选煤厂煤泥水闭路循环不外排，并设事故浓缩池，偶发排水执行《煤炭工业污染物排放标准》（GB20462）中的浓度限值标准。</w:t>
                  </w:r>
                </w:p>
              </w:tc>
              <w:tc>
                <w:tcPr>
                  <w:tcW w:w="1973" w:type="pct"/>
                  <w:tcBorders>
                    <w:tl2br w:val="nil"/>
                    <w:tr2bl w:val="nil"/>
                  </w:tcBorders>
                  <w:noWrap w:val="0"/>
                  <w:vAlign w:val="center"/>
                </w:tcPr>
                <w:p w14:paraId="6CB3E8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本项目</w:t>
                  </w:r>
                  <w:r>
                    <w:rPr>
                      <w:rFonts w:hint="eastAsia" w:ascii="Times New Roman" w:hAnsi="Times New Roman" w:eastAsia="宋体" w:cs="Times New Roman"/>
                      <w:color w:val="auto"/>
                      <w:sz w:val="21"/>
                      <w:szCs w:val="21"/>
                      <w:vertAlign w:val="baseline"/>
                      <w:lang w:val="en-US" w:eastAsia="zh-CN"/>
                    </w:rPr>
                    <w:t>设置浓缩池、煤泥压滤系统，</w:t>
                  </w:r>
                  <w:r>
                    <w:rPr>
                      <w:rFonts w:hint="default" w:ascii="Times New Roman" w:hAnsi="Times New Roman" w:eastAsia="宋体" w:cs="Times New Roman"/>
                      <w:color w:val="auto"/>
                      <w:sz w:val="21"/>
                      <w:szCs w:val="21"/>
                      <w:vertAlign w:val="baseline"/>
                    </w:rPr>
                    <w:t>产生的洗煤废水可实现闭路循环</w:t>
                  </w:r>
                  <w:r>
                    <w:rPr>
                      <w:rFonts w:hint="eastAsia" w:ascii="Times New Roman" w:hAnsi="Times New Roman" w:eastAsia="宋体" w:cs="Times New Roman"/>
                      <w:color w:val="auto"/>
                      <w:sz w:val="21"/>
                      <w:szCs w:val="21"/>
                      <w:vertAlign w:val="baseline"/>
                      <w:lang w:eastAsia="zh-CN"/>
                    </w:rPr>
                    <w:t>；本项目设置</w:t>
                  </w:r>
                  <w:r>
                    <w:rPr>
                      <w:rFonts w:hint="eastAsia" w:ascii="Times New Roman" w:hAnsi="Times New Roman" w:eastAsia="宋体" w:cs="Times New Roman"/>
                      <w:color w:val="auto"/>
                      <w:sz w:val="21"/>
                      <w:szCs w:val="21"/>
                      <w:vertAlign w:val="baseline"/>
                      <w:lang w:val="en-US" w:eastAsia="zh-CN"/>
                    </w:rPr>
                    <w:t>200m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vertAlign w:val="baseline"/>
                      <w:lang w:val="en-US" w:eastAsia="zh-CN"/>
                    </w:rPr>
                    <w:t>的事故池，</w:t>
                  </w:r>
                  <w:r>
                    <w:rPr>
                      <w:rFonts w:hint="eastAsia" w:ascii="Times New Roman" w:hAnsi="Times New Roman" w:eastAsia="宋体" w:cs="Times New Roman"/>
                      <w:color w:val="auto"/>
                      <w:sz w:val="21"/>
                      <w:szCs w:val="21"/>
                      <w:vertAlign w:val="baseline"/>
                      <w:lang w:eastAsia="zh-CN"/>
                    </w:rPr>
                    <w:t>可满足</w:t>
                  </w:r>
                  <w:r>
                    <w:rPr>
                      <w:rFonts w:hint="default" w:ascii="Times New Roman" w:hAnsi="Times New Roman" w:eastAsia="宋体" w:cs="Times New Roman"/>
                      <w:color w:val="auto"/>
                      <w:sz w:val="21"/>
                      <w:szCs w:val="21"/>
                      <w:vertAlign w:val="baseline"/>
                    </w:rPr>
                    <w:t>《煤炭洗选工程设计规范》（GB50359-2016）洗煤水闭路循环一级标准</w:t>
                  </w:r>
                </w:p>
              </w:tc>
              <w:tc>
                <w:tcPr>
                  <w:tcW w:w="389" w:type="pct"/>
                  <w:tcBorders>
                    <w:tl2br w:val="nil"/>
                    <w:tr2bl w:val="nil"/>
                  </w:tcBorders>
                  <w:noWrap w:val="0"/>
                  <w:vAlign w:val="center"/>
                </w:tcPr>
                <w:p w14:paraId="186248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089849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37" w:type="pct"/>
                  <w:tcBorders>
                    <w:tl2br w:val="nil"/>
                    <w:tr2bl w:val="nil"/>
                  </w:tcBorders>
                  <w:noWrap w:val="0"/>
                  <w:vAlign w:val="center"/>
                </w:tcPr>
                <w:p w14:paraId="43EAC2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生产工艺与装备要求、资源能源利用指标、污染物产生指标、废物回收利用指标及环境管理要求符合《清洁生产标准煤炭采选业》（HJ446）及相关标准的规定。新建及改扩建项目必须达到国内清洁生产先进水平，历史遗留项目应限期达到国内清洁生产基本水平。</w:t>
                  </w:r>
                </w:p>
              </w:tc>
              <w:tc>
                <w:tcPr>
                  <w:tcW w:w="1973" w:type="pct"/>
                  <w:tcBorders>
                    <w:tl2br w:val="nil"/>
                    <w:tr2bl w:val="nil"/>
                  </w:tcBorders>
                  <w:noWrap w:val="0"/>
                  <w:vAlign w:val="center"/>
                </w:tcPr>
                <w:p w14:paraId="26A3F7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本项目</w:t>
                  </w:r>
                  <w:r>
                    <w:rPr>
                      <w:rFonts w:hint="default" w:ascii="Times New Roman" w:hAnsi="Times New Roman" w:eastAsia="宋体" w:cs="Times New Roman"/>
                      <w:color w:val="auto"/>
                      <w:sz w:val="21"/>
                      <w:szCs w:val="21"/>
                      <w:vertAlign w:val="baseline"/>
                    </w:rPr>
                    <w:t>生产工艺与装备要求、资源能源利用指标、污染物产生指标、废物回收利用指标及环境管理要求</w:t>
                  </w:r>
                  <w:r>
                    <w:rPr>
                      <w:rFonts w:hint="default" w:ascii="Times New Roman" w:hAnsi="Times New Roman" w:eastAsia="宋体" w:cs="Times New Roman"/>
                      <w:color w:val="auto"/>
                      <w:sz w:val="21"/>
                      <w:szCs w:val="21"/>
                      <w:vertAlign w:val="baseline"/>
                      <w:lang w:val="en-US" w:eastAsia="zh-CN"/>
                    </w:rPr>
                    <w:t>均</w:t>
                  </w:r>
                  <w:r>
                    <w:rPr>
                      <w:rFonts w:hint="default" w:ascii="Times New Roman" w:hAnsi="Times New Roman" w:eastAsia="宋体" w:cs="Times New Roman"/>
                      <w:color w:val="auto"/>
                      <w:sz w:val="21"/>
                      <w:szCs w:val="21"/>
                      <w:vertAlign w:val="baseline"/>
                    </w:rPr>
                    <w:t>符合《清洁生产标准煤炭采选业》（HJ446）及相关标准的规定。</w:t>
                  </w:r>
                </w:p>
              </w:tc>
              <w:tc>
                <w:tcPr>
                  <w:tcW w:w="389" w:type="pct"/>
                  <w:tcBorders>
                    <w:tl2br w:val="nil"/>
                    <w:tr2bl w:val="nil"/>
                  </w:tcBorders>
                  <w:noWrap w:val="0"/>
                  <w:vAlign w:val="center"/>
                </w:tcPr>
                <w:p w14:paraId="101C5C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bl>
          <w:p w14:paraId="7DDD976E">
            <w:pPr>
              <w:keepNext w:val="0"/>
              <w:keepLines w:val="0"/>
              <w:pageBreakBefore w:val="0"/>
              <w:widowControl w:val="0"/>
              <w:numPr>
                <w:ilvl w:val="0"/>
                <w:numId w:val="5"/>
              </w:numPr>
              <w:kinsoku/>
              <w:wordWrap/>
              <w:overflowPunct/>
              <w:topLinePunct w:val="0"/>
              <w:autoSpaceDE w:val="0"/>
              <w:autoSpaceDN w:val="0"/>
              <w:bidi w:val="0"/>
              <w:adjustRightInd w:val="0"/>
              <w:snapToGrid w:val="0"/>
              <w:spacing w:line="360" w:lineRule="auto"/>
              <w:ind w:left="0" w:leftChars="0" w:firstLine="0" w:firstLineChars="0"/>
              <w:textAlignment w:val="auto"/>
              <w:rPr>
                <w:rFonts w:hint="eastAsia"/>
                <w:b/>
                <w:bCs/>
                <w:color w:val="auto"/>
                <w:sz w:val="24"/>
              </w:rPr>
            </w:pPr>
            <w:r>
              <w:rPr>
                <w:rFonts w:hint="eastAsia"/>
                <w:b/>
                <w:bCs/>
                <w:color w:val="auto"/>
                <w:sz w:val="24"/>
                <w:lang w:val="en-US" w:eastAsia="zh-CN"/>
              </w:rPr>
              <w:t>与《关于进一步加强煤炭资源开发环境影响评价管理的通知》（环环评〔2020〕63号）的符合性分析</w:t>
            </w:r>
          </w:p>
          <w:p w14:paraId="5F8717B8">
            <w:pPr>
              <w:pStyle w:val="38"/>
              <w:bidi w:val="0"/>
              <w:spacing w:line="360" w:lineRule="auto"/>
              <w:rPr>
                <w:rFonts w:hint="default"/>
                <w:color w:val="auto"/>
                <w:lang w:val="en-US" w:eastAsia="zh-CN"/>
              </w:rPr>
            </w:pPr>
            <w:r>
              <w:rPr>
                <w:rFonts w:hint="default"/>
                <w:color w:val="auto"/>
                <w:lang w:val="en-US" w:eastAsia="zh-CN"/>
              </w:rPr>
              <w:t>根据《关于进一步加强煤炭资源开发环境影响评价管理的通知》（环环评〔2020〕63号），“（十三）煤炭开采应符合大气污染防治政策。生态保护红线、自然保护地内原则上应依法禁止露天开采，其他生态功能极重要区、生态极敏感区以及国家规定的重要区域等应严格控制露天开采。加强煤炭开采的扬尘污染防治，对露天开采的采掘场、排土场已形成的台阶进行压覆及洒水降尘，对预爆区洒水预湿。煤炭、矸石的储存、装卸、输送以及破碎、筛选等产尘环节，应采取有效措施控制扬尘污染，优先采取封闭措施，厂界无组织排放应符合国家和地方相关标准要求</w:t>
            </w:r>
            <w:r>
              <w:rPr>
                <w:rFonts w:hint="eastAsia"/>
                <w:color w:val="auto"/>
                <w:lang w:val="en-US" w:eastAsia="zh-CN"/>
              </w:rPr>
              <w:t>；</w:t>
            </w:r>
            <w:r>
              <w:rPr>
                <w:rFonts w:hint="default"/>
                <w:color w:val="auto"/>
                <w:lang w:val="en-US" w:eastAsia="zh-CN"/>
              </w:rPr>
              <w:t>涉及环境敏感区或区域颗粒物超标的</w:t>
            </w:r>
            <w:r>
              <w:rPr>
                <w:rFonts w:hint="eastAsia"/>
                <w:color w:val="auto"/>
                <w:lang w:val="en-US" w:eastAsia="zh-CN"/>
              </w:rPr>
              <w:t>，</w:t>
            </w:r>
            <w:r>
              <w:rPr>
                <w:rFonts w:hint="default"/>
                <w:color w:val="auto"/>
                <w:lang w:val="en-US" w:eastAsia="zh-CN"/>
              </w:rPr>
              <w:t>依法采取封闭措施。煤炭企业应针对煤炭运输的扬尘污染提出封闭运输、车辆清洗等防治要求，减少对道路沿线的影响；相关企业应规划建设铁路专用线、码头等，优先采用铁路、水路等方式运输煤炭。新建、改扩建煤矿应配套煤炭洗选设施，有效提高煤炭产品质量，强化洗选过程污染治理。煤炭开采使用的非道路移动机械排放废气应符合国家和地方污染物排放标准要求，鼓励使用新能源非道路移动机械。优先采用余热、依托热源、清洁能源等供热措施，减少大气污染物排放﹔确需建设燃煤锅炉的，应符合国家和地方大气污染防治要求。加强矸石山管理和综合治理，采取有效措施控制扬尘、自燃等。”</w:t>
            </w:r>
          </w:p>
          <w:p w14:paraId="57669C20">
            <w:pPr>
              <w:pStyle w:val="38"/>
              <w:bidi w:val="0"/>
              <w:spacing w:line="360" w:lineRule="auto"/>
              <w:rPr>
                <w:rFonts w:hint="default"/>
                <w:color w:val="auto"/>
                <w:lang w:val="en-US" w:eastAsia="zh-CN"/>
              </w:rPr>
            </w:pPr>
            <w:r>
              <w:rPr>
                <w:rFonts w:hint="default"/>
                <w:color w:val="auto"/>
                <w:lang w:val="en-US" w:eastAsia="zh-CN"/>
              </w:rPr>
              <w:t>本项目</w:t>
            </w:r>
            <w:r>
              <w:rPr>
                <w:rFonts w:hint="eastAsia"/>
                <w:color w:val="auto"/>
                <w:lang w:val="en-US" w:eastAsia="zh-CN"/>
              </w:rPr>
              <w:t>为煤炭洗选项目，项目采用全封闭式煤棚，煤棚内安装喷雾抑尘装置，</w:t>
            </w:r>
            <w:r>
              <w:rPr>
                <w:rFonts w:hint="default"/>
                <w:color w:val="auto"/>
                <w:lang w:val="en-US" w:eastAsia="zh-CN"/>
              </w:rPr>
              <w:t>采用全封闭式输送皮带，各转载点及装卸车节点安装喷雾抑尘装置；运输起尘：对运输车辆加盖篷布，道路作业实施洒水降尘以及道路硬化、加强厂区绿化等措施降低起尘量；选煤废水：经“浓缩沉淀-压滤”处理后上清液回用于煤炭加工区</w:t>
            </w:r>
            <w:r>
              <w:rPr>
                <w:rFonts w:hint="eastAsia"/>
                <w:color w:val="auto"/>
                <w:lang w:val="en-US" w:eastAsia="zh-CN"/>
              </w:rPr>
              <w:t>不外排</w:t>
            </w:r>
            <w:r>
              <w:rPr>
                <w:rFonts w:hint="default"/>
                <w:color w:val="auto"/>
                <w:lang w:val="en-US" w:eastAsia="zh-CN"/>
              </w:rPr>
              <w:t>；车间冲洗地面废水：排至集水坑，由扫地泵提升进入废水管网，经沉淀后回用于煤炭加工区；洒水抑尘用水全部蒸发；车辆冲洗废水：车辆自动冲洗装置产生的废水，经沉淀后循环利用；生活污水</w:t>
            </w:r>
            <w:r>
              <w:rPr>
                <w:rFonts w:hint="eastAsia"/>
                <w:color w:val="auto"/>
                <w:lang w:val="en-US" w:eastAsia="zh-CN"/>
              </w:rPr>
              <w:t>采用地埋式一体化污水处理设施处理后用于厂区洒水降尘</w:t>
            </w:r>
            <w:r>
              <w:rPr>
                <w:rFonts w:hint="default"/>
                <w:color w:val="auto"/>
                <w:lang w:val="en-US" w:eastAsia="zh-CN"/>
              </w:rPr>
              <w:t>。参照《排污单位自行监测技术指南 总则》（HJ819-2017）、《</w:t>
            </w:r>
            <w:r>
              <w:rPr>
                <w:rFonts w:hint="default"/>
                <w:color w:val="auto"/>
                <w:lang w:val="en-US" w:eastAsia="zh-TW"/>
              </w:rPr>
              <w:t>06</w:t>
            </w:r>
            <w:r>
              <w:rPr>
                <w:rFonts w:hint="default"/>
                <w:color w:val="auto"/>
                <w:lang w:val="en-US" w:eastAsia="zh-CN"/>
              </w:rPr>
              <w:t xml:space="preserve"> </w:t>
            </w:r>
            <w:r>
              <w:rPr>
                <w:rFonts w:hint="default"/>
                <w:color w:val="auto"/>
                <w:lang w:val="en-US" w:eastAsia="zh-TW"/>
              </w:rPr>
              <w:t>煤炭开采和洗选业行业系数手册》</w:t>
            </w:r>
            <w:r>
              <w:rPr>
                <w:rFonts w:hint="default"/>
                <w:color w:val="auto"/>
                <w:lang w:val="en-US" w:eastAsia="zh-CN"/>
              </w:rPr>
              <w:t>推荐的可行技术，破碎筛分粉尘、转运粉尘、煤棚</w:t>
            </w:r>
            <w:r>
              <w:rPr>
                <w:rFonts w:hint="default"/>
                <w:color w:val="auto"/>
                <w:lang w:val="en-US" w:eastAsia="zh-TW"/>
              </w:rPr>
              <w:t>粉尘</w:t>
            </w:r>
            <w:r>
              <w:rPr>
                <w:rFonts w:hint="default"/>
                <w:color w:val="auto"/>
                <w:lang w:val="en-US" w:eastAsia="zh-CN"/>
              </w:rPr>
              <w:t>、装卸扬尘采用喷雾抑尘进行处理属于可行工艺。</w:t>
            </w:r>
          </w:p>
          <w:p w14:paraId="1238A64B">
            <w:pPr>
              <w:pStyle w:val="38"/>
              <w:bidi w:val="0"/>
              <w:spacing w:line="360" w:lineRule="auto"/>
              <w:rPr>
                <w:rFonts w:hint="default"/>
                <w:color w:val="auto"/>
                <w:lang w:val="en-US" w:eastAsia="zh-CN"/>
              </w:rPr>
            </w:pPr>
            <w:r>
              <w:rPr>
                <w:rFonts w:hint="default"/>
                <w:color w:val="auto"/>
                <w:lang w:val="en-US" w:eastAsia="zh-CN"/>
              </w:rPr>
              <w:t>因此，本项目的建设符合《关于进一步加强煤炭资源开发环境影响评价管理的通知》（环环评〔2020〕63号）的相关要求。</w:t>
            </w:r>
          </w:p>
          <w:p w14:paraId="234E8DD4">
            <w:pPr>
              <w:keepNext w:val="0"/>
              <w:keepLines w:val="0"/>
              <w:pageBreakBefore w:val="0"/>
              <w:numPr>
                <w:ilvl w:val="0"/>
                <w:numId w:val="5"/>
              </w:numPr>
              <w:kinsoku/>
              <w:wordWrap/>
              <w:overflowPunct/>
              <w:topLinePunct w:val="0"/>
              <w:autoSpaceDE w:val="0"/>
              <w:autoSpaceDN w:val="0"/>
              <w:bidi w:val="0"/>
              <w:adjustRightInd w:val="0"/>
              <w:snapToGrid w:val="0"/>
              <w:spacing w:line="360" w:lineRule="auto"/>
              <w:ind w:left="0" w:leftChars="0" w:firstLine="0" w:firstLineChars="0"/>
              <w:rPr>
                <w:rFonts w:hint="default"/>
                <w:b/>
                <w:bCs/>
                <w:color w:val="auto"/>
                <w:sz w:val="24"/>
                <w:highlight w:val="none"/>
                <w:lang w:val="en-US" w:eastAsia="zh-CN"/>
              </w:rPr>
            </w:pPr>
            <w:r>
              <w:rPr>
                <w:rFonts w:hint="eastAsia"/>
                <w:b/>
                <w:bCs/>
                <w:color w:val="auto"/>
                <w:sz w:val="24"/>
                <w:highlight w:val="none"/>
                <w:lang w:val="en-US" w:eastAsia="zh-CN"/>
              </w:rPr>
              <w:t>项目与《</w:t>
            </w:r>
            <w:r>
              <w:rPr>
                <w:rFonts w:hint="default"/>
                <w:b/>
                <w:bCs/>
                <w:color w:val="auto"/>
                <w:sz w:val="24"/>
                <w:highlight w:val="none"/>
                <w:lang w:val="en-US" w:eastAsia="zh-CN"/>
              </w:rPr>
              <w:t>煤炭洗选工程设计规范</w:t>
            </w:r>
            <w:r>
              <w:rPr>
                <w:rFonts w:hint="eastAsia"/>
                <w:b/>
                <w:bCs/>
                <w:color w:val="auto"/>
                <w:sz w:val="24"/>
                <w:highlight w:val="none"/>
                <w:lang w:val="en-US" w:eastAsia="zh-CN"/>
              </w:rPr>
              <w:t>》的符合性分析</w:t>
            </w:r>
          </w:p>
          <w:p w14:paraId="72F589F5">
            <w:pPr>
              <w:pStyle w:val="38"/>
              <w:bidi w:val="0"/>
              <w:spacing w:line="360" w:lineRule="auto"/>
              <w:rPr>
                <w:rFonts w:hint="default"/>
                <w:color w:val="auto"/>
                <w:lang w:val="en-US" w:eastAsia="zh-CN"/>
              </w:rPr>
            </w:pPr>
            <w:r>
              <w:rPr>
                <w:rFonts w:hint="eastAsia"/>
                <w:color w:val="auto"/>
                <w:lang w:val="en-US" w:eastAsia="zh-CN"/>
              </w:rPr>
              <w:t>项目建设与</w:t>
            </w:r>
            <w:r>
              <w:rPr>
                <w:rFonts w:hint="default"/>
                <w:color w:val="auto"/>
                <w:lang w:val="en-US" w:eastAsia="zh-CN"/>
              </w:rPr>
              <w:t>《煤炭洗选工程设计规范》（GB50359-2016）</w:t>
            </w:r>
          </w:p>
          <w:p w14:paraId="0D5B8EA2">
            <w:pPr>
              <w:pStyle w:val="7"/>
              <w:keepNext w:val="0"/>
              <w:keepLines w:val="0"/>
              <w:pageBreakBefore w:val="0"/>
              <w:widowControl/>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表1-3   与《煤炭洗选工程设计规范》符合性分析</w:t>
            </w:r>
          </w:p>
          <w:tbl>
            <w:tblPr>
              <w:tblStyle w:val="27"/>
              <w:tblW w:w="4977" w:type="pct"/>
              <w:jc w:val="center"/>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404"/>
              <w:gridCol w:w="3140"/>
              <w:gridCol w:w="2625"/>
              <w:gridCol w:w="530"/>
            </w:tblGrid>
            <w:tr w14:paraId="3BDC951E">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302" w:type="pct"/>
                  <w:tcBorders>
                    <w:tl2br w:val="nil"/>
                    <w:tr2bl w:val="nil"/>
                  </w:tcBorders>
                  <w:noWrap w:val="0"/>
                  <w:vAlign w:val="center"/>
                </w:tcPr>
                <w:p w14:paraId="033B88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序号</w:t>
                  </w:r>
                </w:p>
              </w:tc>
              <w:tc>
                <w:tcPr>
                  <w:tcW w:w="2342" w:type="pct"/>
                  <w:tcBorders>
                    <w:tl2br w:val="nil"/>
                    <w:tr2bl w:val="nil"/>
                  </w:tcBorders>
                  <w:noWrap w:val="0"/>
                  <w:vAlign w:val="center"/>
                </w:tcPr>
                <w:p w14:paraId="007FFF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GB50359-2016要求</w:t>
                  </w:r>
                </w:p>
              </w:tc>
              <w:tc>
                <w:tcPr>
                  <w:tcW w:w="1958" w:type="pct"/>
                  <w:tcBorders>
                    <w:tl2br w:val="nil"/>
                    <w:tr2bl w:val="nil"/>
                  </w:tcBorders>
                  <w:noWrap w:val="0"/>
                  <w:vAlign w:val="center"/>
                </w:tcPr>
                <w:p w14:paraId="5560D5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本项目情况</w:t>
                  </w:r>
                </w:p>
              </w:tc>
              <w:tc>
                <w:tcPr>
                  <w:tcW w:w="395" w:type="pct"/>
                  <w:tcBorders>
                    <w:tl2br w:val="nil"/>
                    <w:tr2bl w:val="nil"/>
                  </w:tcBorders>
                  <w:noWrap w:val="0"/>
                  <w:vAlign w:val="center"/>
                </w:tcPr>
                <w:p w14:paraId="6D8227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结论</w:t>
                  </w:r>
                </w:p>
              </w:tc>
            </w:tr>
            <w:tr w14:paraId="7DB6771B">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302" w:type="pct"/>
                  <w:tcBorders>
                    <w:tl2br w:val="nil"/>
                    <w:tr2bl w:val="nil"/>
                  </w:tcBorders>
                  <w:noWrap w:val="0"/>
                  <w:vAlign w:val="center"/>
                </w:tcPr>
                <w:p w14:paraId="7D9B57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1</w:t>
                  </w:r>
                </w:p>
              </w:tc>
              <w:tc>
                <w:tcPr>
                  <w:tcW w:w="2342" w:type="pct"/>
                  <w:tcBorders>
                    <w:tl2br w:val="nil"/>
                    <w:tr2bl w:val="nil"/>
                  </w:tcBorders>
                  <w:noWrap w:val="0"/>
                  <w:vAlign w:val="center"/>
                </w:tcPr>
                <w:p w14:paraId="18171E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应根据国家的工业布局、城镇（乡）总体规划、土地利用总体规划以及矿区总体规划的要求，按项目建设前期工作的有关规定进行。</w:t>
                  </w:r>
                </w:p>
              </w:tc>
              <w:tc>
                <w:tcPr>
                  <w:tcW w:w="1958" w:type="pct"/>
                  <w:tcBorders>
                    <w:tl2br w:val="nil"/>
                    <w:tr2bl w:val="nil"/>
                  </w:tcBorders>
                  <w:noWrap w:val="0"/>
                  <w:vAlign w:val="center"/>
                </w:tcPr>
                <w:p w14:paraId="5AF9F970">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项目建设符合</w:t>
                  </w:r>
                  <w:r>
                    <w:rPr>
                      <w:rFonts w:hint="eastAsia"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新疆阜康产业园总体规划修编（2019-2030）</w:t>
                  </w:r>
                  <w:r>
                    <w:rPr>
                      <w:rFonts w:hint="eastAsia" w:ascii="Times New Roman" w:hAnsi="Times New Roman" w:eastAsia="宋体" w:cs="Times New Roman"/>
                      <w:color w:val="auto"/>
                      <w:sz w:val="21"/>
                      <w:szCs w:val="21"/>
                      <w:vertAlign w:val="baseline"/>
                      <w:lang w:val="en-US" w:eastAsia="zh-CN"/>
                    </w:rPr>
                    <w:t>》</w:t>
                  </w:r>
                  <w:r>
                    <w:rPr>
                      <w:rFonts w:hint="eastAsia" w:ascii="Times New Roman" w:hAnsi="Times New Roman"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项目已取得阜康市发展和改革局关于本项目的备案</w:t>
                  </w:r>
                </w:p>
              </w:tc>
              <w:tc>
                <w:tcPr>
                  <w:tcW w:w="395" w:type="pct"/>
                  <w:tcBorders>
                    <w:tl2br w:val="nil"/>
                    <w:tr2bl w:val="nil"/>
                  </w:tcBorders>
                  <w:noWrap w:val="0"/>
                  <w:vAlign w:val="center"/>
                </w:tcPr>
                <w:p w14:paraId="0DFE61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符合</w:t>
                  </w:r>
                </w:p>
              </w:tc>
            </w:tr>
            <w:tr w14:paraId="1891BCD5">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302" w:type="pct"/>
                  <w:tcBorders>
                    <w:tl2br w:val="nil"/>
                    <w:tr2bl w:val="nil"/>
                  </w:tcBorders>
                  <w:noWrap w:val="0"/>
                  <w:vAlign w:val="center"/>
                </w:tcPr>
                <w:p w14:paraId="202586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2</w:t>
                  </w:r>
                </w:p>
              </w:tc>
              <w:tc>
                <w:tcPr>
                  <w:tcW w:w="2342" w:type="pct"/>
                  <w:tcBorders>
                    <w:tl2br w:val="nil"/>
                    <w:tr2bl w:val="nil"/>
                  </w:tcBorders>
                  <w:noWrap w:val="0"/>
                  <w:vAlign w:val="center"/>
                </w:tcPr>
                <w:p w14:paraId="401634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厂址应靠近原料基地，应有便利和经济的交通运输条件，并应与厂外铁路、公路连接便捷、工程量小。</w:t>
                  </w:r>
                </w:p>
              </w:tc>
              <w:tc>
                <w:tcPr>
                  <w:tcW w:w="1958" w:type="pct"/>
                  <w:tcBorders>
                    <w:tl2br w:val="nil"/>
                    <w:tr2bl w:val="nil"/>
                  </w:tcBorders>
                  <w:noWrap w:val="0"/>
                  <w:vAlign w:val="center"/>
                </w:tcPr>
                <w:p w14:paraId="315025E3">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项目所入选原煤至厂区运输距离在50千米范围内，且项目区周边为小黄山物流站，交通便利地理位置优越</w:t>
                  </w:r>
                </w:p>
              </w:tc>
              <w:tc>
                <w:tcPr>
                  <w:tcW w:w="395" w:type="pct"/>
                  <w:tcBorders>
                    <w:tl2br w:val="nil"/>
                    <w:tr2bl w:val="nil"/>
                  </w:tcBorders>
                  <w:noWrap w:val="0"/>
                  <w:vAlign w:val="center"/>
                </w:tcPr>
                <w:p w14:paraId="29C38F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符合</w:t>
                  </w:r>
                </w:p>
              </w:tc>
            </w:tr>
            <w:tr w14:paraId="7EF65BD3">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302" w:type="pct"/>
                  <w:tcBorders>
                    <w:tl2br w:val="nil"/>
                    <w:tr2bl w:val="nil"/>
                  </w:tcBorders>
                  <w:noWrap w:val="0"/>
                  <w:vAlign w:val="center"/>
                </w:tcPr>
                <w:p w14:paraId="57057F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3</w:t>
                  </w:r>
                </w:p>
              </w:tc>
              <w:tc>
                <w:tcPr>
                  <w:tcW w:w="2342" w:type="pct"/>
                  <w:tcBorders>
                    <w:tl2br w:val="nil"/>
                    <w:tr2bl w:val="nil"/>
                  </w:tcBorders>
                  <w:noWrap w:val="0"/>
                  <w:vAlign w:val="center"/>
                </w:tcPr>
                <w:p w14:paraId="7F8FB4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厂址应具有满足生产、生活及发展所必需的水源和电源。水源和电源与厂址之间的管线连接应短捷。</w:t>
                  </w:r>
                </w:p>
              </w:tc>
              <w:tc>
                <w:tcPr>
                  <w:tcW w:w="1958" w:type="pct"/>
                  <w:tcBorders>
                    <w:tl2br w:val="nil"/>
                    <w:tr2bl w:val="nil"/>
                  </w:tcBorders>
                  <w:noWrap w:val="0"/>
                  <w:vAlign w:val="center"/>
                </w:tcPr>
                <w:p w14:paraId="0ADBF2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厂区水源、电源</w:t>
                  </w:r>
                  <w:r>
                    <w:rPr>
                      <w:rFonts w:hint="eastAsia" w:ascii="Times New Roman" w:hAnsi="Times New Roman" w:cs="Times New Roman"/>
                      <w:color w:val="auto"/>
                      <w:sz w:val="21"/>
                      <w:szCs w:val="21"/>
                      <w:vertAlign w:val="baseline"/>
                      <w:lang w:val="en-US" w:eastAsia="zh-CN"/>
                    </w:rPr>
                    <w:t>均</w:t>
                  </w:r>
                  <w:r>
                    <w:rPr>
                      <w:rFonts w:hint="eastAsia" w:cs="Times New Roman"/>
                      <w:color w:val="auto"/>
                      <w:sz w:val="21"/>
                      <w:szCs w:val="21"/>
                      <w:vertAlign w:val="baseline"/>
                      <w:lang w:val="en-US" w:eastAsia="zh-CN"/>
                    </w:rPr>
                    <w:t>依</w:t>
                  </w:r>
                  <w:r>
                    <w:rPr>
                      <w:rFonts w:hint="eastAsia" w:ascii="Times New Roman" w:hAnsi="Times New Roman" w:cs="Times New Roman"/>
                      <w:color w:val="auto"/>
                      <w:sz w:val="21"/>
                      <w:szCs w:val="21"/>
                      <w:vertAlign w:val="baseline"/>
                      <w:lang w:val="en-US" w:eastAsia="zh-CN"/>
                    </w:rPr>
                    <w:t>托园区基础设施，</w:t>
                  </w:r>
                  <w:r>
                    <w:rPr>
                      <w:rFonts w:hint="default" w:ascii="Times New Roman" w:hAnsi="Times New Roman" w:eastAsia="宋体" w:cs="Times New Roman"/>
                      <w:color w:val="auto"/>
                      <w:sz w:val="21"/>
                      <w:szCs w:val="21"/>
                      <w:vertAlign w:val="baseline"/>
                      <w:lang w:val="en-US" w:eastAsia="zh-CN"/>
                    </w:rPr>
                    <w:t>条件完备</w:t>
                  </w:r>
                </w:p>
              </w:tc>
              <w:tc>
                <w:tcPr>
                  <w:tcW w:w="395" w:type="pct"/>
                  <w:tcBorders>
                    <w:tl2br w:val="nil"/>
                    <w:tr2bl w:val="nil"/>
                  </w:tcBorders>
                  <w:noWrap w:val="0"/>
                  <w:vAlign w:val="center"/>
                </w:tcPr>
                <w:p w14:paraId="679E94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符合</w:t>
                  </w:r>
                </w:p>
              </w:tc>
            </w:tr>
            <w:tr w14:paraId="108FB94E">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302" w:type="pct"/>
                  <w:tcBorders>
                    <w:tl2br w:val="nil"/>
                    <w:tr2bl w:val="nil"/>
                  </w:tcBorders>
                  <w:noWrap w:val="0"/>
                  <w:vAlign w:val="center"/>
                </w:tcPr>
                <w:p w14:paraId="7091B5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4</w:t>
                  </w:r>
                </w:p>
              </w:tc>
              <w:tc>
                <w:tcPr>
                  <w:tcW w:w="2342" w:type="pct"/>
                  <w:tcBorders>
                    <w:tl2br w:val="nil"/>
                    <w:tr2bl w:val="nil"/>
                  </w:tcBorders>
                  <w:noWrap w:val="0"/>
                  <w:vAlign w:val="center"/>
                </w:tcPr>
                <w:p w14:paraId="473EC7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厂址应具有满足建设工程需要的工程地质条件和水文地质条件。在抗震设防烈度6度及以上的地震区，应避开抗震不利地段，当无法避开时，应采取地基处理及抗震措施。</w:t>
                  </w:r>
                </w:p>
              </w:tc>
              <w:tc>
                <w:tcPr>
                  <w:tcW w:w="1958" w:type="pct"/>
                  <w:tcBorders>
                    <w:tl2br w:val="nil"/>
                    <w:tr2bl w:val="nil"/>
                  </w:tcBorders>
                  <w:noWrap w:val="0"/>
                  <w:vAlign w:val="center"/>
                </w:tcPr>
                <w:p w14:paraId="48D620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建设场地工程地质条件良好</w:t>
                  </w:r>
                </w:p>
              </w:tc>
              <w:tc>
                <w:tcPr>
                  <w:tcW w:w="395" w:type="pct"/>
                  <w:tcBorders>
                    <w:tl2br w:val="nil"/>
                    <w:tr2bl w:val="nil"/>
                  </w:tcBorders>
                  <w:noWrap w:val="0"/>
                  <w:vAlign w:val="center"/>
                </w:tcPr>
                <w:p w14:paraId="2D7157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符合</w:t>
                  </w:r>
                </w:p>
              </w:tc>
            </w:tr>
            <w:tr w14:paraId="4AA1D843">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302" w:type="pct"/>
                  <w:tcBorders>
                    <w:tl2br w:val="nil"/>
                    <w:tr2bl w:val="nil"/>
                  </w:tcBorders>
                  <w:noWrap w:val="0"/>
                  <w:vAlign w:val="center"/>
                </w:tcPr>
                <w:p w14:paraId="23B8E6E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5</w:t>
                  </w:r>
                </w:p>
              </w:tc>
              <w:tc>
                <w:tcPr>
                  <w:tcW w:w="2342" w:type="pct"/>
                  <w:tcBorders>
                    <w:tl2br w:val="nil"/>
                    <w:tr2bl w:val="nil"/>
                  </w:tcBorders>
                  <w:noWrap w:val="0"/>
                  <w:vAlign w:val="center"/>
                </w:tcPr>
                <w:p w14:paraId="385C26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厂址应具有满足近期建设所必需的场地面积和适宜的建厂地形，并应根据选煤厂远期发展规划的需</w:t>
                  </w:r>
                  <w:r>
                    <w:rPr>
                      <w:rFonts w:hint="eastAsia" w:cs="Times New Roman"/>
                      <w:color w:val="auto"/>
                      <w:sz w:val="21"/>
                      <w:szCs w:val="21"/>
                      <w:vertAlign w:val="baseline"/>
                      <w:lang w:val="en-US" w:eastAsia="zh-CN"/>
                    </w:rPr>
                    <w:t>要</w:t>
                  </w:r>
                  <w:r>
                    <w:rPr>
                      <w:rFonts w:hint="default" w:ascii="Times New Roman" w:hAnsi="Times New Roman" w:eastAsia="宋体" w:cs="Times New Roman"/>
                      <w:color w:val="auto"/>
                      <w:sz w:val="21"/>
                      <w:szCs w:val="21"/>
                      <w:vertAlign w:val="baseline"/>
                    </w:rPr>
                    <w:t>，留有适当的发展余地。</w:t>
                  </w:r>
                </w:p>
              </w:tc>
              <w:tc>
                <w:tcPr>
                  <w:tcW w:w="1958" w:type="pct"/>
                  <w:tcBorders>
                    <w:tl2br w:val="nil"/>
                    <w:tr2bl w:val="nil"/>
                  </w:tcBorders>
                  <w:noWrap w:val="0"/>
                  <w:vAlign w:val="center"/>
                </w:tcPr>
                <w:p w14:paraId="3C5DDE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满足建设需求</w:t>
                  </w:r>
                </w:p>
              </w:tc>
              <w:tc>
                <w:tcPr>
                  <w:tcW w:w="395" w:type="pct"/>
                  <w:tcBorders>
                    <w:tl2br w:val="nil"/>
                    <w:tr2bl w:val="nil"/>
                  </w:tcBorders>
                  <w:noWrap w:val="0"/>
                  <w:vAlign w:val="center"/>
                </w:tcPr>
                <w:p w14:paraId="7BE2FF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符合</w:t>
                  </w:r>
                </w:p>
              </w:tc>
            </w:tr>
            <w:tr w14:paraId="6D007D1E">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302" w:type="pct"/>
                  <w:tcBorders>
                    <w:tl2br w:val="nil"/>
                    <w:tr2bl w:val="nil"/>
                  </w:tcBorders>
                  <w:noWrap w:val="0"/>
                  <w:vAlign w:val="center"/>
                </w:tcPr>
                <w:p w14:paraId="26820A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6</w:t>
                  </w:r>
                </w:p>
              </w:tc>
              <w:tc>
                <w:tcPr>
                  <w:tcW w:w="2342" w:type="pct"/>
                  <w:tcBorders>
                    <w:tl2br w:val="nil"/>
                    <w:tr2bl w:val="nil"/>
                  </w:tcBorders>
                  <w:noWrap w:val="0"/>
                  <w:vAlign w:val="center"/>
                </w:tcPr>
                <w:p w14:paraId="51B0D0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厂址应有适宜的地形坡度，应避开自然地形复杂、坡度大的地段，并应避免将盆地、集水洼地作为厂址。</w:t>
                  </w:r>
                </w:p>
              </w:tc>
              <w:tc>
                <w:tcPr>
                  <w:tcW w:w="1958" w:type="pct"/>
                  <w:tcBorders>
                    <w:tl2br w:val="nil"/>
                    <w:tr2bl w:val="nil"/>
                  </w:tcBorders>
                  <w:noWrap w:val="0"/>
                  <w:vAlign w:val="center"/>
                </w:tcPr>
                <w:p w14:paraId="7A6255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厂区存在适宜的地形坡度厂址不涉及自然地形复杂坡度大的地段，厂址不在盆地、集水洼地</w:t>
                  </w:r>
                </w:p>
              </w:tc>
              <w:tc>
                <w:tcPr>
                  <w:tcW w:w="395" w:type="pct"/>
                  <w:tcBorders>
                    <w:tl2br w:val="nil"/>
                    <w:tr2bl w:val="nil"/>
                  </w:tcBorders>
                  <w:noWrap w:val="0"/>
                  <w:vAlign w:val="center"/>
                </w:tcPr>
                <w:p w14:paraId="6176A2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符合</w:t>
                  </w:r>
                </w:p>
              </w:tc>
            </w:tr>
            <w:tr w14:paraId="34581C9F">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302" w:type="pct"/>
                  <w:tcBorders>
                    <w:tl2br w:val="nil"/>
                    <w:tr2bl w:val="nil"/>
                  </w:tcBorders>
                  <w:noWrap w:val="0"/>
                  <w:vAlign w:val="center"/>
                </w:tcPr>
                <w:p w14:paraId="6AA828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7</w:t>
                  </w:r>
                </w:p>
              </w:tc>
              <w:tc>
                <w:tcPr>
                  <w:tcW w:w="2342" w:type="pct"/>
                  <w:tcBorders>
                    <w:tl2br w:val="nil"/>
                    <w:tr2bl w:val="nil"/>
                  </w:tcBorders>
                  <w:noWrap w:val="0"/>
                  <w:vAlign w:val="center"/>
                </w:tcPr>
                <w:p w14:paraId="3E3630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在山区建厂时，当厂址位于山坡或山脚处时，应对场地的稳定性等做出地质灾害危险性评估报告。</w:t>
                  </w:r>
                </w:p>
              </w:tc>
              <w:tc>
                <w:tcPr>
                  <w:tcW w:w="1958" w:type="pct"/>
                  <w:tcBorders>
                    <w:tl2br w:val="nil"/>
                    <w:tr2bl w:val="nil"/>
                  </w:tcBorders>
                  <w:noWrap w:val="0"/>
                  <w:vAlign w:val="center"/>
                </w:tcPr>
                <w:p w14:paraId="7FE5B6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项目区位于周围地势平坦</w:t>
                  </w:r>
                </w:p>
              </w:tc>
              <w:tc>
                <w:tcPr>
                  <w:tcW w:w="395" w:type="pct"/>
                  <w:tcBorders>
                    <w:tl2br w:val="nil"/>
                    <w:tr2bl w:val="nil"/>
                  </w:tcBorders>
                  <w:noWrap w:val="0"/>
                  <w:vAlign w:val="center"/>
                </w:tcPr>
                <w:p w14:paraId="6065F9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38D6DBDA">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302" w:type="pct"/>
                  <w:tcBorders>
                    <w:tl2br w:val="nil"/>
                    <w:tr2bl w:val="nil"/>
                  </w:tcBorders>
                  <w:noWrap w:val="0"/>
                  <w:vAlign w:val="center"/>
                </w:tcPr>
                <w:p w14:paraId="37F750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8</w:t>
                  </w:r>
                </w:p>
              </w:tc>
              <w:tc>
                <w:tcPr>
                  <w:tcW w:w="2342" w:type="pct"/>
                  <w:tcBorders>
                    <w:tl2br w:val="nil"/>
                    <w:tr2bl w:val="nil"/>
                  </w:tcBorders>
                  <w:noWrap w:val="0"/>
                  <w:vAlign w:val="center"/>
                </w:tcPr>
                <w:p w14:paraId="19C9A3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厂址应不占或少占农田、林地以及基本农田，并应不压和少压煤炭和有开采价值的矿产资源。</w:t>
                  </w:r>
                </w:p>
              </w:tc>
              <w:tc>
                <w:tcPr>
                  <w:tcW w:w="1958" w:type="pct"/>
                  <w:tcBorders>
                    <w:tl2br w:val="nil"/>
                    <w:tr2bl w:val="nil"/>
                  </w:tcBorders>
                  <w:noWrap w:val="0"/>
                  <w:vAlign w:val="center"/>
                </w:tcPr>
                <w:p w14:paraId="35336D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项目不占压农田，林地及有开采价值的矿产资源</w:t>
                  </w:r>
                </w:p>
              </w:tc>
              <w:tc>
                <w:tcPr>
                  <w:tcW w:w="395" w:type="pct"/>
                  <w:tcBorders>
                    <w:tl2br w:val="nil"/>
                    <w:tr2bl w:val="nil"/>
                  </w:tcBorders>
                  <w:noWrap w:val="0"/>
                  <w:vAlign w:val="center"/>
                </w:tcPr>
                <w:p w14:paraId="70664F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符合</w:t>
                  </w:r>
                </w:p>
              </w:tc>
            </w:tr>
            <w:tr w14:paraId="143ABC24">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302" w:type="pct"/>
                  <w:tcBorders>
                    <w:tl2br w:val="nil"/>
                    <w:tr2bl w:val="nil"/>
                  </w:tcBorders>
                  <w:noWrap w:val="0"/>
                  <w:vAlign w:val="center"/>
                </w:tcPr>
                <w:p w14:paraId="20B63B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9</w:t>
                  </w:r>
                </w:p>
              </w:tc>
              <w:tc>
                <w:tcPr>
                  <w:tcW w:w="2342" w:type="pct"/>
                  <w:tcBorders>
                    <w:tl2br w:val="nil"/>
                    <w:tr2bl w:val="nil"/>
                  </w:tcBorders>
                  <w:noWrap w:val="0"/>
                  <w:vAlign w:val="center"/>
                </w:tcPr>
                <w:p w14:paraId="12ACF6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rPr>
                    <w:t>选煤厂、储配煤场应减少露天储存原煤</w:t>
                  </w:r>
                  <w:r>
                    <w:rPr>
                      <w:rFonts w:hint="eastAsia" w:ascii="Times New Roman" w:hAnsi="Times New Roman" w:eastAsia="宋体"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在人口集中的城镇附近的选煤厂、储配煤场</w:t>
                  </w:r>
                  <w:r>
                    <w:rPr>
                      <w:rFonts w:hint="eastAsia" w:ascii="Times New Roman" w:hAnsi="Times New Roman" w:eastAsia="宋体"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应采用封闭方式储存原煤</w:t>
                  </w:r>
                  <w:r>
                    <w:rPr>
                      <w:rFonts w:hint="eastAsia"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其他选煤厂、储配煤场在露天储存原煤时</w:t>
                  </w:r>
                  <w:r>
                    <w:rPr>
                      <w:rFonts w:hint="eastAsia" w:ascii="Times New Roman" w:hAnsi="Times New Roman" w:eastAsia="宋体"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应采取防风抑尘措施</w:t>
                  </w:r>
                  <w:r>
                    <w:rPr>
                      <w:rFonts w:hint="eastAsia" w:ascii="Times New Roman" w:hAnsi="Times New Roman" w:eastAsia="宋体" w:cs="Times New Roman"/>
                      <w:color w:val="auto"/>
                      <w:sz w:val="21"/>
                      <w:szCs w:val="21"/>
                      <w:vertAlign w:val="baseline"/>
                      <w:lang w:eastAsia="zh-CN"/>
                    </w:rPr>
                    <w:t>。</w:t>
                  </w:r>
                </w:p>
              </w:tc>
              <w:tc>
                <w:tcPr>
                  <w:tcW w:w="1958" w:type="pct"/>
                  <w:tcBorders>
                    <w:tl2br w:val="nil"/>
                    <w:tr2bl w:val="nil"/>
                  </w:tcBorders>
                  <w:noWrap w:val="0"/>
                  <w:vAlign w:val="center"/>
                </w:tcPr>
                <w:p w14:paraId="0C0989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项目区</w:t>
                  </w:r>
                  <w:r>
                    <w:rPr>
                      <w:rFonts w:hint="eastAsia" w:ascii="Times New Roman" w:hAnsi="Times New Roman" w:eastAsia="宋体" w:cs="Times New Roman"/>
                      <w:color w:val="auto"/>
                      <w:sz w:val="21"/>
                      <w:szCs w:val="21"/>
                      <w:vertAlign w:val="baseline"/>
                      <w:lang w:val="en-US" w:eastAsia="zh-CN"/>
                    </w:rPr>
                    <w:t>设置封闭的储煤库</w:t>
                  </w:r>
                </w:p>
              </w:tc>
              <w:tc>
                <w:tcPr>
                  <w:tcW w:w="395" w:type="pct"/>
                  <w:tcBorders>
                    <w:tl2br w:val="nil"/>
                    <w:tr2bl w:val="nil"/>
                  </w:tcBorders>
                  <w:noWrap w:val="0"/>
                  <w:vAlign w:val="center"/>
                </w:tcPr>
                <w:p w14:paraId="1299B8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rPr>
                    <w:t>符合</w:t>
                  </w:r>
                </w:p>
              </w:tc>
            </w:tr>
          </w:tbl>
          <w:p w14:paraId="2A873F80">
            <w:pPr>
              <w:keepNext w:val="0"/>
              <w:keepLines w:val="0"/>
              <w:pageBreakBefore w:val="0"/>
              <w:numPr>
                <w:ilvl w:val="0"/>
                <w:numId w:val="5"/>
              </w:numPr>
              <w:kinsoku/>
              <w:wordWrap/>
              <w:overflowPunct/>
              <w:topLinePunct w:val="0"/>
              <w:autoSpaceDE w:val="0"/>
              <w:autoSpaceDN w:val="0"/>
              <w:bidi w:val="0"/>
              <w:adjustRightInd w:val="0"/>
              <w:snapToGrid w:val="0"/>
              <w:spacing w:line="360" w:lineRule="auto"/>
              <w:ind w:left="0" w:leftChars="0" w:firstLine="0" w:firstLineChars="0"/>
              <w:rPr>
                <w:b/>
                <w:bCs/>
                <w:color w:val="auto"/>
                <w:sz w:val="24"/>
                <w:szCs w:val="24"/>
                <w:highlight w:val="none"/>
              </w:rPr>
            </w:pPr>
            <w:r>
              <w:rPr>
                <w:rFonts w:hint="eastAsia" w:ascii="宋体" w:hAnsi="宋体" w:eastAsia="宋体" w:cs="宋体"/>
                <w:caps w:val="0"/>
                <w:color w:val="auto"/>
                <w:sz w:val="24"/>
                <w:szCs w:val="24"/>
                <w:lang w:val="en-US" w:eastAsia="zh-CN"/>
              </w:rPr>
              <w:t>与</w:t>
            </w:r>
            <w:r>
              <w:rPr>
                <w:rFonts w:hint="default" w:ascii="宋体" w:hAnsi="宋体" w:eastAsia="宋体" w:cs="宋体"/>
                <w:caps w:val="0"/>
                <w:color w:val="auto"/>
                <w:sz w:val="24"/>
                <w:szCs w:val="24"/>
                <w:lang w:val="en-US" w:eastAsia="zh-CN"/>
              </w:rPr>
              <w:t>《环境空气质量持续改善行动计划》</w:t>
            </w:r>
            <w:r>
              <w:rPr>
                <w:rFonts w:hint="eastAsia" w:ascii="宋体" w:hAnsi="宋体" w:eastAsia="宋体" w:cs="宋体"/>
                <w:caps w:val="0"/>
                <w:color w:val="auto"/>
                <w:sz w:val="24"/>
                <w:szCs w:val="24"/>
                <w:lang w:val="en-US" w:eastAsia="zh-CN"/>
              </w:rPr>
              <w:t>符合性分析</w:t>
            </w:r>
          </w:p>
          <w:p w14:paraId="549853F5">
            <w:pPr>
              <w:pStyle w:val="32"/>
              <w:rPr>
                <w:rFonts w:hint="eastAsia" w:ascii="宋体" w:hAnsi="宋体" w:eastAsia="宋体" w:cs="宋体"/>
                <w:caps w:val="0"/>
                <w:color w:val="auto"/>
                <w:sz w:val="24"/>
                <w:szCs w:val="24"/>
                <w:lang w:val="en-US" w:eastAsia="zh-CN"/>
              </w:rPr>
            </w:pPr>
            <w:r>
              <w:rPr>
                <w:rFonts w:hint="eastAsia" w:ascii="宋体" w:hAnsi="宋体" w:eastAsia="宋体" w:cs="宋体"/>
                <w:caps w:val="0"/>
                <w:color w:val="auto"/>
                <w:sz w:val="24"/>
                <w:szCs w:val="24"/>
                <w:lang w:val="en-US" w:eastAsia="zh-CN"/>
              </w:rPr>
              <w:t>根据《环境空气质量持续改善行动计划》中要求：优化产业结构，促进产业产品绿色升级，坚决遏制高耗能、高排放、低水平项目盲目上马。新改扩建项目严格落实国家产业规划、产业政策、生态环境分区管控方案、规划环评、项目环评、节能审查、产能置换、重点污染物总量控制、污染物排放区域削减、碳排放达峰目标等相关要求，原则上采用清洁运输方式。涉及产能置换的项目，被置换产能及其配套设施关停后，新建项目方可投产。</w:t>
            </w:r>
          </w:p>
          <w:p w14:paraId="05812733">
            <w:pPr>
              <w:pStyle w:val="32"/>
              <w:rPr>
                <w:rFonts w:hint="default" w:ascii="宋体" w:hAnsi="宋体" w:eastAsia="宋体" w:cs="宋体"/>
                <w:caps w:val="0"/>
                <w:color w:val="auto"/>
                <w:sz w:val="24"/>
                <w:szCs w:val="24"/>
                <w:lang w:val="en-US" w:eastAsia="zh-CN"/>
              </w:rPr>
            </w:pPr>
            <w:r>
              <w:rPr>
                <w:rFonts w:hint="default" w:ascii="宋体" w:hAnsi="宋体" w:eastAsia="宋体" w:cs="宋体"/>
                <w:caps w:val="0"/>
                <w:color w:val="auto"/>
                <w:sz w:val="24"/>
                <w:szCs w:val="24"/>
                <w:lang w:val="en-US" w:eastAsia="zh-CN"/>
              </w:rPr>
              <w:t>严禁新增钢铁产能。推行钢铁、焦化、烧结一体化布局，大幅</w:t>
            </w:r>
            <w:r>
              <w:rPr>
                <w:rFonts w:hint="eastAsia" w:ascii="宋体" w:hAnsi="宋体" w:cs="宋体"/>
                <w:caps w:val="0"/>
                <w:color w:val="auto"/>
                <w:sz w:val="24"/>
                <w:szCs w:val="24"/>
                <w:lang w:val="en-US" w:eastAsia="zh-CN"/>
              </w:rPr>
              <w:t>减</w:t>
            </w:r>
            <w:r>
              <w:rPr>
                <w:rFonts w:hint="default" w:ascii="宋体" w:hAnsi="宋体" w:eastAsia="宋体" w:cs="宋体"/>
                <w:caps w:val="0"/>
                <w:color w:val="auto"/>
                <w:sz w:val="24"/>
                <w:szCs w:val="24"/>
                <w:lang w:val="en-US" w:eastAsia="zh-CN"/>
              </w:rPr>
              <w:t>少独立焦化、烧结、球团和热轧企业及工序，淘汰落后煤炭洗选产能</w:t>
            </w:r>
            <w:r>
              <w:rPr>
                <w:rFonts w:hint="eastAsia" w:ascii="宋体" w:hAnsi="宋体" w:eastAsia="宋体" w:cs="宋体"/>
                <w:caps w:val="0"/>
                <w:color w:val="auto"/>
                <w:sz w:val="24"/>
                <w:szCs w:val="24"/>
                <w:lang w:val="en-US" w:eastAsia="zh-CN"/>
              </w:rPr>
              <w:t>，</w:t>
            </w:r>
            <w:r>
              <w:rPr>
                <w:rFonts w:hint="default" w:ascii="宋体" w:hAnsi="宋体" w:eastAsia="宋体" w:cs="宋体"/>
                <w:caps w:val="0"/>
                <w:color w:val="auto"/>
                <w:sz w:val="24"/>
                <w:szCs w:val="24"/>
                <w:lang w:val="en-US" w:eastAsia="zh-CN"/>
              </w:rPr>
              <w:t>有序引导高炉一转炉长流程炼钢转型为电炉短流程炼钢。</w:t>
            </w:r>
          </w:p>
          <w:p w14:paraId="3C6B8D76">
            <w:pPr>
              <w:pStyle w:val="32"/>
              <w:rPr>
                <w:rFonts w:hint="eastAsia" w:ascii="宋体" w:hAnsi="宋体" w:eastAsia="宋体" w:cs="宋体"/>
                <w:caps w:val="0"/>
                <w:color w:val="auto"/>
                <w:sz w:val="24"/>
                <w:szCs w:val="24"/>
                <w:lang w:val="en-US" w:eastAsia="zh-CN"/>
              </w:rPr>
            </w:pPr>
            <w:r>
              <w:rPr>
                <w:rFonts w:hint="eastAsia" w:ascii="宋体" w:hAnsi="宋体" w:eastAsia="宋体" w:cs="宋体"/>
                <w:caps w:val="0"/>
                <w:color w:val="auto"/>
                <w:sz w:val="24"/>
                <w:szCs w:val="24"/>
                <w:lang w:val="en-US" w:eastAsia="zh-CN"/>
              </w:rPr>
              <w:t>本项目为煤炭洗选项目，不属于高耗能、高排放、低水平项目，项目生产废水循环利用不外排，煤泥、煤矸石等固废外售处理。项目生产设备选用国际先进设备，不属于淘汰类落后工艺及设备，符合坚决遏制高耗能、高排放、低水平项目盲目上马，淘汰落后煤炭洗选产能的要求。</w:t>
            </w:r>
          </w:p>
          <w:p w14:paraId="42AC4CF9">
            <w:pPr>
              <w:pStyle w:val="32"/>
              <w:rPr>
                <w:rFonts w:hint="default" w:ascii="宋体" w:hAnsi="宋体" w:eastAsia="宋体" w:cs="宋体"/>
                <w:caps w:val="0"/>
                <w:color w:val="auto"/>
                <w:sz w:val="24"/>
                <w:szCs w:val="24"/>
                <w:lang w:val="en-US" w:eastAsia="zh-CN"/>
              </w:rPr>
            </w:pPr>
            <w:r>
              <w:rPr>
                <w:rFonts w:hint="eastAsia" w:ascii="宋体" w:hAnsi="宋体" w:eastAsia="宋体" w:cs="宋体"/>
                <w:caps w:val="0"/>
                <w:color w:val="auto"/>
                <w:sz w:val="24"/>
                <w:szCs w:val="24"/>
                <w:lang w:val="en-US" w:eastAsia="zh-CN"/>
              </w:rPr>
              <w:t>因此本项目符合《环境空气质量持续改善行动计划》的相关要求。</w:t>
            </w:r>
          </w:p>
          <w:p w14:paraId="7A9B2BAB">
            <w:pPr>
              <w:keepNext w:val="0"/>
              <w:keepLines w:val="0"/>
              <w:pageBreakBefore w:val="0"/>
              <w:numPr>
                <w:ilvl w:val="0"/>
                <w:numId w:val="5"/>
              </w:numPr>
              <w:kinsoku/>
              <w:wordWrap/>
              <w:overflowPunct/>
              <w:topLinePunct w:val="0"/>
              <w:autoSpaceDE w:val="0"/>
              <w:autoSpaceDN w:val="0"/>
              <w:bidi w:val="0"/>
              <w:adjustRightInd w:val="0"/>
              <w:snapToGrid w:val="0"/>
              <w:spacing w:line="360" w:lineRule="auto"/>
              <w:ind w:left="0" w:leftChars="0" w:firstLine="0" w:firstLineChars="0"/>
              <w:rPr>
                <w:b/>
                <w:bCs/>
                <w:color w:val="auto"/>
                <w:sz w:val="24"/>
                <w:highlight w:val="none"/>
              </w:rPr>
            </w:pPr>
            <w:r>
              <w:rPr>
                <w:rFonts w:hint="eastAsia"/>
                <w:b/>
                <w:bCs/>
                <w:color w:val="auto"/>
                <w:sz w:val="24"/>
                <w:highlight w:val="none"/>
              </w:rPr>
              <w:t>选址合理性分析</w:t>
            </w:r>
          </w:p>
          <w:p w14:paraId="566614EF">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color w:val="auto"/>
                <w:kern w:val="0"/>
                <w:sz w:val="24"/>
                <w:szCs w:val="24"/>
                <w:lang w:val="en-US" w:eastAsia="zh-CN"/>
              </w:rPr>
            </w:pPr>
            <w:r>
              <w:rPr>
                <w:rFonts w:hint="default"/>
                <w:color w:val="auto"/>
                <w:kern w:val="0"/>
                <w:sz w:val="24"/>
                <w:szCs w:val="24"/>
                <w:lang w:val="en-US" w:eastAsia="zh-CN"/>
              </w:rPr>
              <w:t>本项目建设地点位于</w:t>
            </w:r>
            <w:r>
              <w:rPr>
                <w:rFonts w:hint="eastAsia"/>
                <w:color w:val="auto"/>
                <w:kern w:val="0"/>
                <w:sz w:val="24"/>
                <w:szCs w:val="24"/>
                <w:lang w:val="en-US" w:eastAsia="zh-CN"/>
              </w:rPr>
              <w:t>阜康市甘河子镇西侧，根据新疆阜康产业园管理委员会出具的《关于成都聿杰商贸有限公司阜康煤炭洗选分公司&lt;申请报告&gt;的复函》（附件7），本项目所在区域位于园区已批准的规划建设用地范围内，土地为原有建设用地。</w:t>
            </w:r>
          </w:p>
          <w:p w14:paraId="67FDFCE3">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color w:val="auto"/>
                <w:kern w:val="0"/>
                <w:sz w:val="24"/>
                <w:szCs w:val="24"/>
                <w:lang w:val="en-US" w:eastAsia="zh-CN"/>
              </w:rPr>
            </w:pPr>
            <w:r>
              <w:rPr>
                <w:rFonts w:hint="default"/>
                <w:color w:val="auto"/>
                <w:kern w:val="0"/>
                <w:sz w:val="24"/>
                <w:szCs w:val="24"/>
                <w:lang w:val="en-US" w:eastAsia="zh-CN"/>
              </w:rPr>
              <w:t>（1）环境敏感性分析</w:t>
            </w:r>
            <w:r>
              <w:rPr>
                <w:rFonts w:hint="eastAsia"/>
                <w:color w:val="auto"/>
                <w:kern w:val="0"/>
                <w:sz w:val="24"/>
                <w:szCs w:val="24"/>
                <w:lang w:val="en-US" w:eastAsia="zh-CN"/>
              </w:rPr>
              <w:t>：</w:t>
            </w:r>
            <w:r>
              <w:rPr>
                <w:rFonts w:hint="default"/>
                <w:color w:val="auto"/>
                <w:kern w:val="0"/>
                <w:sz w:val="24"/>
                <w:szCs w:val="24"/>
                <w:lang w:val="en-US" w:eastAsia="zh-CN"/>
              </w:rPr>
              <w:t>本项目未占用基本农田、草地等，选址未选在人口密集点、饮用水水源保护区、重要湿地等敏感区域，评价区内无国家法律、法规、行政规章及规划确定或县级以上人民政府批准的饮用水水源地保护区、自然保护区、风景名胜区、历史遗迹、生态功能保护区等需要特殊保护的地区，区域内无特殊自然观赏价值较高的景观，属于非敏感区。</w:t>
            </w:r>
            <w:r>
              <w:rPr>
                <w:rFonts w:hint="eastAsia"/>
                <w:color w:val="auto"/>
                <w:kern w:val="0"/>
                <w:sz w:val="24"/>
                <w:szCs w:val="24"/>
                <w:lang w:val="en-US" w:eastAsia="zh-CN"/>
              </w:rPr>
              <w:t>按照</w:t>
            </w:r>
            <w:r>
              <w:rPr>
                <w:rFonts w:hint="default"/>
                <w:color w:val="auto"/>
                <w:kern w:val="0"/>
                <w:sz w:val="24"/>
                <w:szCs w:val="24"/>
                <w:lang w:val="en-US" w:eastAsia="zh-CN"/>
              </w:rPr>
              <w:t>生态环境保护部制定的《建设项目环境保护分类管理名录》中关于环境敏感因素的界定原则，经调查本项目选址地区不属于特殊保护地区、社会关注区和特殊地貌景观区，也无重点保护生态品种及濒危生物物种、文物古迹等。</w:t>
            </w:r>
          </w:p>
          <w:p w14:paraId="5F133FE7">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color w:val="auto"/>
                <w:kern w:val="0"/>
                <w:sz w:val="24"/>
                <w:szCs w:val="24"/>
                <w:lang w:val="en-US" w:eastAsia="zh-CN"/>
              </w:rPr>
            </w:pPr>
            <w:r>
              <w:rPr>
                <w:rFonts w:hint="default"/>
                <w:color w:val="auto"/>
                <w:kern w:val="0"/>
                <w:sz w:val="24"/>
                <w:szCs w:val="24"/>
                <w:lang w:val="en-US" w:eastAsia="zh-CN"/>
              </w:rPr>
              <w:t>（2）土地利用相容性</w:t>
            </w:r>
            <w:r>
              <w:rPr>
                <w:rFonts w:hint="eastAsia"/>
                <w:color w:val="auto"/>
                <w:kern w:val="0"/>
                <w:sz w:val="24"/>
                <w:szCs w:val="24"/>
                <w:lang w:val="en-US" w:eastAsia="zh-CN"/>
              </w:rPr>
              <w:t>：</w:t>
            </w:r>
            <w:r>
              <w:rPr>
                <w:rFonts w:hint="default"/>
                <w:color w:val="auto"/>
                <w:kern w:val="0"/>
                <w:sz w:val="24"/>
                <w:szCs w:val="24"/>
                <w:lang w:val="en-US" w:eastAsia="zh-CN"/>
              </w:rPr>
              <w:t>项目用地性质为工业用地，用地不属于国土资发关于发布实施《限制用地项目目录（2012年本）》和《禁止用地项目目录（2012年本）》的通知中限制用地和禁止用地项目。</w:t>
            </w:r>
          </w:p>
          <w:p w14:paraId="3AE19824">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color w:val="auto"/>
                <w:kern w:val="0"/>
                <w:sz w:val="24"/>
                <w:szCs w:val="24"/>
                <w:lang w:val="en-US" w:eastAsia="zh-CN"/>
              </w:rPr>
            </w:pPr>
            <w:r>
              <w:rPr>
                <w:rFonts w:hint="default"/>
                <w:color w:val="auto"/>
                <w:kern w:val="0"/>
                <w:sz w:val="24"/>
                <w:szCs w:val="24"/>
                <w:lang w:val="en-US" w:eastAsia="zh-CN"/>
              </w:rPr>
              <w:t>（3）基础设施条件</w:t>
            </w:r>
            <w:r>
              <w:rPr>
                <w:rFonts w:hint="eastAsia"/>
                <w:color w:val="auto"/>
                <w:kern w:val="0"/>
                <w:sz w:val="24"/>
                <w:szCs w:val="24"/>
                <w:lang w:val="en-US" w:eastAsia="zh-CN"/>
              </w:rPr>
              <w:t>：</w:t>
            </w:r>
            <w:r>
              <w:rPr>
                <w:rFonts w:hint="default"/>
                <w:color w:val="auto"/>
                <w:kern w:val="0"/>
                <w:sz w:val="24"/>
                <w:szCs w:val="24"/>
                <w:lang w:val="en-US" w:eastAsia="zh-CN"/>
              </w:rPr>
              <w:t>根据调查，本项目所在区域供电、供水、交通、通讯等基础设施完善，</w:t>
            </w:r>
            <w:r>
              <w:rPr>
                <w:rFonts w:hint="eastAsia"/>
                <w:color w:val="auto"/>
                <w:kern w:val="0"/>
                <w:sz w:val="24"/>
                <w:szCs w:val="24"/>
                <w:lang w:val="en-US" w:eastAsia="zh-CN"/>
              </w:rPr>
              <w:t>下水管网尚未接通。根据本项目实际情况，生产废水循环使用不外排，生活污水采用一体化污水处理设施处理达标后用于厂区洒水降尘，因此本项目所在区域现有基础设施</w:t>
            </w:r>
            <w:r>
              <w:rPr>
                <w:rFonts w:hint="default"/>
                <w:color w:val="auto"/>
                <w:kern w:val="0"/>
                <w:sz w:val="24"/>
                <w:szCs w:val="24"/>
                <w:lang w:val="en-US" w:eastAsia="zh-CN"/>
              </w:rPr>
              <w:t>可满足项目需求，不会影响项目投产运营。</w:t>
            </w:r>
          </w:p>
          <w:p w14:paraId="3DB23F6D">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color w:val="auto"/>
                <w:kern w:val="0"/>
                <w:sz w:val="24"/>
                <w:szCs w:val="24"/>
                <w:lang w:val="en-US" w:eastAsia="zh-CN"/>
              </w:rPr>
            </w:pPr>
            <w:r>
              <w:rPr>
                <w:rFonts w:hint="eastAsia"/>
                <w:color w:val="auto"/>
                <w:kern w:val="0"/>
                <w:sz w:val="24"/>
                <w:szCs w:val="24"/>
                <w:lang w:val="en-US" w:eastAsia="zh-CN"/>
              </w:rPr>
              <w:t>（4）区域主导风向及防护距离：区域年主导风向为西风，项目周边均为工业企业，无环境敏感目标，减轻了废气排放对城市环境空气的影响。</w:t>
            </w:r>
          </w:p>
          <w:p w14:paraId="2C1EDAC3">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color w:val="auto"/>
                <w:kern w:val="0"/>
                <w:sz w:val="24"/>
                <w:szCs w:val="24"/>
                <w:lang w:val="en-US" w:eastAsia="zh-CN"/>
              </w:rPr>
            </w:pPr>
            <w:r>
              <w:rPr>
                <w:rFonts w:hint="default"/>
                <w:color w:val="auto"/>
                <w:kern w:val="0"/>
                <w:sz w:val="24"/>
                <w:szCs w:val="24"/>
                <w:lang w:val="en-US" w:eastAsia="zh-CN"/>
              </w:rPr>
              <w:t>项目</w:t>
            </w:r>
            <w:r>
              <w:rPr>
                <w:rFonts w:hint="eastAsia"/>
                <w:color w:val="auto"/>
                <w:kern w:val="0"/>
                <w:sz w:val="24"/>
                <w:szCs w:val="24"/>
                <w:lang w:val="en-US" w:eastAsia="zh-CN"/>
              </w:rPr>
              <w:t>周边500m</w:t>
            </w:r>
            <w:r>
              <w:rPr>
                <w:rFonts w:hint="default"/>
                <w:color w:val="auto"/>
                <w:kern w:val="0"/>
                <w:sz w:val="24"/>
                <w:szCs w:val="24"/>
                <w:lang w:val="en-US" w:eastAsia="zh-CN"/>
              </w:rPr>
              <w:t>无居住区、学校、医院、食品加工企业等敏感目标</w:t>
            </w:r>
            <w:r>
              <w:rPr>
                <w:rFonts w:hint="eastAsia"/>
                <w:color w:val="auto"/>
                <w:kern w:val="0"/>
                <w:sz w:val="24"/>
                <w:szCs w:val="24"/>
                <w:lang w:val="en-US" w:eastAsia="zh-CN"/>
              </w:rPr>
              <w:t>。</w:t>
            </w:r>
          </w:p>
          <w:p w14:paraId="6EC0BF19">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color w:val="auto"/>
                <w:kern w:val="0"/>
                <w:sz w:val="24"/>
                <w:szCs w:val="24"/>
                <w:lang w:val="en-US" w:eastAsia="zh-CN"/>
              </w:rPr>
            </w:pPr>
            <w:r>
              <w:rPr>
                <w:rFonts w:hint="default"/>
                <w:color w:val="auto"/>
                <w:kern w:val="0"/>
                <w:sz w:val="24"/>
                <w:szCs w:val="24"/>
                <w:lang w:val="en-US" w:eastAsia="zh-CN"/>
              </w:rPr>
              <w:t>（</w:t>
            </w:r>
            <w:r>
              <w:rPr>
                <w:rFonts w:hint="eastAsia"/>
                <w:color w:val="auto"/>
                <w:kern w:val="0"/>
                <w:sz w:val="24"/>
                <w:szCs w:val="24"/>
                <w:lang w:val="en-US" w:eastAsia="zh-CN"/>
              </w:rPr>
              <w:t>5</w:t>
            </w:r>
            <w:r>
              <w:rPr>
                <w:rFonts w:hint="default"/>
                <w:color w:val="auto"/>
                <w:kern w:val="0"/>
                <w:sz w:val="24"/>
                <w:szCs w:val="24"/>
                <w:lang w:val="en-US" w:eastAsia="zh-CN"/>
              </w:rPr>
              <w:t>）与周边企业相容性</w:t>
            </w:r>
          </w:p>
          <w:p w14:paraId="03B510E2">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color w:val="auto"/>
                <w:kern w:val="0"/>
                <w:sz w:val="24"/>
                <w:szCs w:val="24"/>
                <w:lang w:val="en-US" w:eastAsia="zh-CN"/>
              </w:rPr>
            </w:pPr>
            <w:r>
              <w:rPr>
                <w:rFonts w:hint="default"/>
                <w:color w:val="auto"/>
                <w:kern w:val="0"/>
                <w:sz w:val="24"/>
                <w:szCs w:val="24"/>
                <w:lang w:val="en-US" w:eastAsia="zh-CN"/>
              </w:rPr>
              <w:t>本项目位于</w:t>
            </w:r>
            <w:r>
              <w:rPr>
                <w:rFonts w:hint="eastAsia"/>
                <w:color w:val="auto"/>
                <w:kern w:val="0"/>
                <w:sz w:val="24"/>
                <w:szCs w:val="24"/>
                <w:lang w:val="en-US" w:eastAsia="zh-CN"/>
              </w:rPr>
              <w:t>阜康市甘河子镇西侧</w:t>
            </w:r>
            <w:r>
              <w:rPr>
                <w:rFonts w:hint="default"/>
                <w:color w:val="auto"/>
                <w:kern w:val="0"/>
                <w:sz w:val="24"/>
                <w:szCs w:val="24"/>
                <w:lang w:val="en-US" w:eastAsia="zh-CN"/>
              </w:rPr>
              <w:t>，项目建设有效利用</w:t>
            </w:r>
            <w:r>
              <w:rPr>
                <w:rFonts w:hint="eastAsia"/>
                <w:color w:val="auto"/>
                <w:kern w:val="0"/>
                <w:sz w:val="24"/>
                <w:szCs w:val="24"/>
                <w:lang w:val="en-US" w:eastAsia="zh-CN"/>
              </w:rPr>
              <w:t>现</w:t>
            </w:r>
            <w:r>
              <w:rPr>
                <w:rFonts w:hint="default"/>
                <w:color w:val="auto"/>
                <w:kern w:val="0"/>
                <w:sz w:val="24"/>
                <w:szCs w:val="24"/>
                <w:lang w:val="en-US" w:eastAsia="zh-CN"/>
              </w:rPr>
              <w:t>有厂房和基础设施。根据对本项目周边企业的现场踏勘，厂址周围无与建设项目性质不相容</w:t>
            </w:r>
            <w:r>
              <w:rPr>
                <w:rFonts w:hint="eastAsia"/>
                <w:color w:val="auto"/>
                <w:kern w:val="0"/>
                <w:sz w:val="24"/>
                <w:szCs w:val="24"/>
                <w:lang w:val="en-US" w:eastAsia="zh-CN"/>
              </w:rPr>
              <w:t>的其他</w:t>
            </w:r>
            <w:r>
              <w:rPr>
                <w:rFonts w:hint="default"/>
                <w:color w:val="auto"/>
                <w:kern w:val="0"/>
                <w:sz w:val="24"/>
                <w:szCs w:val="24"/>
                <w:lang w:val="en-US" w:eastAsia="zh-CN"/>
              </w:rPr>
              <w:t>建设项目，本项目与周围企业相互影响较小</w:t>
            </w:r>
            <w:r>
              <w:rPr>
                <w:rFonts w:hint="eastAsia"/>
                <w:color w:val="auto"/>
                <w:kern w:val="0"/>
                <w:sz w:val="24"/>
                <w:szCs w:val="24"/>
                <w:lang w:val="en-US" w:eastAsia="zh-CN"/>
              </w:rPr>
              <w:t>。</w:t>
            </w:r>
            <w:r>
              <w:rPr>
                <w:rFonts w:hint="default"/>
                <w:color w:val="auto"/>
                <w:kern w:val="0"/>
                <w:sz w:val="24"/>
                <w:szCs w:val="24"/>
                <w:lang w:val="en-US" w:eastAsia="zh-CN"/>
              </w:rPr>
              <w:t>厂区周边500米范围内无环境空气保护目标，本项目在采取本次环评中提出的各项环保措施后，能确保各类污染物达标排放，对周围工业企业影响不大，项目区附近的企业在严格落实国家和地方各类环保法规制度、加强环保管理的情况下，其对本项目产生的影响不大。因此，本项目在此建设与周边环境是相容的。</w:t>
            </w:r>
          </w:p>
          <w:p w14:paraId="1E0A89DF">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color w:val="auto"/>
                <w:kern w:val="0"/>
                <w:sz w:val="24"/>
                <w:szCs w:val="24"/>
                <w:lang w:val="en-US" w:eastAsia="zh-CN"/>
              </w:rPr>
            </w:pPr>
            <w:r>
              <w:rPr>
                <w:rFonts w:hint="default"/>
                <w:color w:val="auto"/>
                <w:kern w:val="0"/>
                <w:sz w:val="24"/>
                <w:szCs w:val="24"/>
                <w:lang w:val="en-US" w:eastAsia="zh-CN"/>
              </w:rPr>
              <w:t>综上，项目选址地理位置及基础设施条件良好，项目选址合理。</w:t>
            </w:r>
          </w:p>
          <w:p w14:paraId="0D0B4A7D">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color w:val="auto"/>
                <w:kern w:val="0"/>
                <w:szCs w:val="21"/>
              </w:rPr>
            </w:pPr>
          </w:p>
          <w:p w14:paraId="3F2221BA">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color w:val="auto"/>
                <w:kern w:val="0"/>
                <w:szCs w:val="21"/>
              </w:rPr>
            </w:pPr>
          </w:p>
          <w:p w14:paraId="32EA30F5">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color w:val="auto"/>
                <w:kern w:val="0"/>
                <w:szCs w:val="21"/>
              </w:rPr>
            </w:pPr>
          </w:p>
          <w:p w14:paraId="42411945">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color w:val="auto"/>
                <w:kern w:val="0"/>
                <w:szCs w:val="21"/>
              </w:rPr>
            </w:pPr>
          </w:p>
          <w:p w14:paraId="53477C7E">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color w:val="auto"/>
                <w:kern w:val="0"/>
                <w:szCs w:val="21"/>
              </w:rPr>
            </w:pPr>
          </w:p>
          <w:p w14:paraId="4EDAC53B">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color w:val="auto"/>
                <w:kern w:val="0"/>
                <w:szCs w:val="21"/>
              </w:rPr>
            </w:pPr>
          </w:p>
          <w:p w14:paraId="168B7986">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color w:val="auto"/>
                <w:kern w:val="0"/>
                <w:szCs w:val="21"/>
              </w:rPr>
            </w:pPr>
          </w:p>
          <w:p w14:paraId="22475464">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color w:val="auto"/>
                <w:kern w:val="0"/>
                <w:szCs w:val="21"/>
              </w:rPr>
            </w:pPr>
          </w:p>
          <w:p w14:paraId="019807A6">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color w:val="auto"/>
                <w:kern w:val="0"/>
                <w:szCs w:val="21"/>
              </w:rPr>
            </w:pPr>
          </w:p>
          <w:p w14:paraId="41FCBE97">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color w:val="auto"/>
                <w:kern w:val="0"/>
                <w:szCs w:val="21"/>
              </w:rPr>
            </w:pPr>
          </w:p>
          <w:p w14:paraId="0F483655">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color w:val="auto"/>
                <w:kern w:val="0"/>
                <w:szCs w:val="21"/>
              </w:rPr>
            </w:pPr>
          </w:p>
          <w:p w14:paraId="3D37A570">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color w:val="auto"/>
                <w:kern w:val="0"/>
                <w:szCs w:val="21"/>
              </w:rPr>
            </w:pPr>
          </w:p>
          <w:p w14:paraId="1632BB16">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color w:val="auto"/>
                <w:kern w:val="0"/>
                <w:szCs w:val="21"/>
              </w:rPr>
            </w:pPr>
          </w:p>
          <w:p w14:paraId="7461C7B0">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color w:val="auto"/>
                <w:kern w:val="0"/>
                <w:szCs w:val="21"/>
              </w:rPr>
            </w:pPr>
          </w:p>
          <w:p w14:paraId="67035D95">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color w:val="auto"/>
                <w:kern w:val="0"/>
                <w:szCs w:val="21"/>
              </w:rPr>
            </w:pPr>
          </w:p>
          <w:p w14:paraId="7D581E9C">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color w:val="auto"/>
                <w:kern w:val="0"/>
                <w:szCs w:val="21"/>
              </w:rPr>
            </w:pPr>
          </w:p>
          <w:p w14:paraId="72A2DC49">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color w:val="auto"/>
                <w:kern w:val="0"/>
                <w:szCs w:val="21"/>
              </w:rPr>
            </w:pPr>
          </w:p>
          <w:p w14:paraId="2E311306">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color w:val="auto"/>
                <w:kern w:val="0"/>
                <w:szCs w:val="21"/>
              </w:rPr>
            </w:pPr>
          </w:p>
        </w:tc>
      </w:tr>
    </w:tbl>
    <w:p w14:paraId="454F32E9">
      <w:pPr>
        <w:spacing w:line="360" w:lineRule="auto"/>
        <w:outlineLvl w:val="0"/>
        <w:rPr>
          <w:rFonts w:eastAsia="黑体"/>
          <w:color w:val="auto"/>
          <w:sz w:val="30"/>
        </w:rPr>
        <w:sectPr>
          <w:footerReference r:id="rId4"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4D717BFD">
      <w:pPr>
        <w:pStyle w:val="25"/>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sz w:val="30"/>
          <w:szCs w:val="30"/>
        </w:rPr>
        <w:t>二、建设项目工程分析</w:t>
      </w: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57"/>
        <w:gridCol w:w="8203"/>
      </w:tblGrid>
      <w:tr w14:paraId="6C827F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932" w:hRule="atLeast"/>
          <w:jc w:val="center"/>
        </w:trPr>
        <w:tc>
          <w:tcPr>
            <w:tcW w:w="857" w:type="dxa"/>
            <w:vAlign w:val="center"/>
          </w:tcPr>
          <w:p w14:paraId="0C419ABA">
            <w:pPr>
              <w:pStyle w:val="25"/>
              <w:adjustRightInd w:val="0"/>
              <w:snapToGrid w:val="0"/>
              <w:spacing w:before="0" w:beforeAutospacing="0" w:after="0" w:afterAutospacing="0"/>
              <w:jc w:val="center"/>
              <w:rPr>
                <w:rFonts w:ascii="Times New Roman" w:hAnsi="Times New Roman"/>
                <w:color w:val="auto"/>
                <w:sz w:val="21"/>
                <w:szCs w:val="21"/>
              </w:rPr>
            </w:pPr>
            <w:r>
              <w:rPr>
                <w:rFonts w:ascii="Times New Roman" w:hAnsi="Times New Roman"/>
                <w:color w:val="auto"/>
                <w:sz w:val="21"/>
                <w:szCs w:val="21"/>
              </w:rPr>
              <w:t>建设内容</w:t>
            </w:r>
          </w:p>
        </w:tc>
        <w:tc>
          <w:tcPr>
            <w:tcW w:w="8203" w:type="dxa"/>
          </w:tcPr>
          <w:p w14:paraId="5C0650F0">
            <w:pPr>
              <w:pStyle w:val="42"/>
              <w:keepNext w:val="0"/>
              <w:keepLines w:val="0"/>
              <w:pageBreakBefore w:val="0"/>
              <w:widowControl w:val="0"/>
              <w:numPr>
                <w:ilvl w:val="0"/>
                <w:numId w:val="6"/>
              </w:numPr>
              <w:kinsoku/>
              <w:wordWrap/>
              <w:overflowPunct/>
              <w:topLinePunct w:val="0"/>
              <w:autoSpaceDE/>
              <w:autoSpaceDN/>
              <w:bidi w:val="0"/>
              <w:adjustRightInd/>
              <w:snapToGrid/>
              <w:spacing w:line="520" w:lineRule="exact"/>
              <w:rPr>
                <w:rStyle w:val="43"/>
                <w:b/>
                <w:bCs/>
                <w:color w:val="auto"/>
                <w:sz w:val="24"/>
              </w:rPr>
            </w:pPr>
            <w:r>
              <w:rPr>
                <w:rStyle w:val="43"/>
                <w:b/>
                <w:bCs/>
                <w:color w:val="auto"/>
                <w:sz w:val="24"/>
              </w:rPr>
              <w:t>项目基本情况</w:t>
            </w:r>
          </w:p>
          <w:p w14:paraId="2EA129E3">
            <w:pPr>
              <w:pStyle w:val="10"/>
              <w:rPr>
                <w:rFonts w:hint="eastAsia"/>
                <w:b/>
                <w:bCs/>
                <w:color w:val="auto"/>
                <w:lang w:val="en-US" w:eastAsia="zh-CN"/>
              </w:rPr>
            </w:pPr>
            <w:r>
              <w:rPr>
                <w:rFonts w:hint="eastAsia"/>
                <w:b/>
                <w:bCs/>
                <w:color w:val="auto"/>
                <w:lang w:val="en-US" w:eastAsia="zh-CN"/>
              </w:rPr>
              <w:t>1.1项目建设背景</w:t>
            </w:r>
          </w:p>
          <w:p w14:paraId="5824F3C1">
            <w:pPr>
              <w:pStyle w:val="44"/>
              <w:keepNext w:val="0"/>
              <w:keepLines w:val="0"/>
              <w:pageBreakBefore w:val="0"/>
              <w:widowControl w:val="0"/>
              <w:kinsoku/>
              <w:wordWrap/>
              <w:overflowPunct/>
              <w:topLinePunct w:val="0"/>
              <w:autoSpaceDE/>
              <w:autoSpaceDN/>
              <w:bidi w:val="0"/>
              <w:adjustRightInd/>
              <w:snapToGrid/>
              <w:spacing w:line="520" w:lineRule="exact"/>
              <w:ind w:left="0" w:leftChars="0" w:firstLine="480" w:firstLineChars="200"/>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项目于2010年7月委托新疆建材环境评价部编制《成都聿杰商贸有限公司阜康市煤炭洗选分公司120万吨煤炭高效洗选项目环境影响报告书》，并于2011年3月9日取得原阜康市环境保护局批复，批复文号为阜环函〔2011〕38号，项目</w:t>
            </w:r>
            <w:r>
              <w:rPr>
                <w:rFonts w:hint="eastAsia" w:cs="Times New Roman"/>
                <w:color w:val="auto"/>
                <w:lang w:val="en-US" w:eastAsia="zh-CN"/>
              </w:rPr>
              <w:t>于2011年4月开工建设，2012年4月建成投产，</w:t>
            </w:r>
            <w:r>
              <w:rPr>
                <w:rFonts w:hint="default" w:ascii="Times New Roman" w:hAnsi="Times New Roman" w:eastAsia="宋体" w:cs="Times New Roman"/>
                <w:color w:val="auto"/>
                <w:lang w:val="en-US" w:eastAsia="zh-CN"/>
              </w:rPr>
              <w:t>2012年</w:t>
            </w:r>
            <w:r>
              <w:rPr>
                <w:rFonts w:hint="eastAsia" w:cs="Times New Roman"/>
                <w:color w:val="auto"/>
                <w:lang w:val="en-US" w:eastAsia="zh-CN"/>
              </w:rPr>
              <w:t>11月</w:t>
            </w:r>
            <w:r>
              <w:rPr>
                <w:rFonts w:hint="default" w:ascii="Times New Roman" w:hAnsi="Times New Roman" w:eastAsia="宋体" w:cs="Times New Roman"/>
                <w:color w:val="auto"/>
                <w:lang w:val="en-US" w:eastAsia="zh-CN"/>
              </w:rPr>
              <w:t>停产</w:t>
            </w:r>
            <w:r>
              <w:rPr>
                <w:rFonts w:hint="eastAsia" w:cs="Times New Roman"/>
                <w:color w:val="auto"/>
                <w:lang w:val="en-US" w:eastAsia="zh-CN"/>
              </w:rPr>
              <w:t>至今，2024年5月，现企业主收购该企业（未变更公司，仅变更法人）。</w:t>
            </w:r>
          </w:p>
          <w:p w14:paraId="09A40DCC">
            <w:pPr>
              <w:pStyle w:val="44"/>
              <w:keepNext w:val="0"/>
              <w:keepLines w:val="0"/>
              <w:pageBreakBefore w:val="0"/>
              <w:widowControl w:val="0"/>
              <w:kinsoku/>
              <w:wordWrap/>
              <w:overflowPunct/>
              <w:topLinePunct w:val="0"/>
              <w:autoSpaceDE/>
              <w:autoSpaceDN/>
              <w:bidi w:val="0"/>
              <w:adjustRightInd/>
              <w:snapToGrid/>
              <w:spacing w:line="520" w:lineRule="exact"/>
              <w:ind w:left="0" w:leftChars="0" w:firstLine="480" w:firstLineChars="200"/>
              <w:textAlignment w:val="baseline"/>
              <w:rPr>
                <w:rFonts w:hint="default" w:cs="Times New Roman"/>
                <w:color w:val="auto"/>
                <w:lang w:val="en-US" w:eastAsia="zh-CN"/>
              </w:rPr>
            </w:pPr>
            <w:r>
              <w:rPr>
                <w:rFonts w:hint="eastAsia" w:cs="Times New Roman"/>
                <w:color w:val="auto"/>
                <w:lang w:val="en-US" w:eastAsia="zh-CN"/>
              </w:rPr>
              <w:t>2</w:t>
            </w:r>
            <w:r>
              <w:rPr>
                <w:rFonts w:hint="eastAsia" w:ascii="Times New Roman" w:hAnsi="Times New Roman" w:eastAsia="宋体" w:cs="Times New Roman"/>
                <w:color w:val="auto"/>
                <w:lang w:val="en-US" w:eastAsia="zh-CN"/>
              </w:rPr>
              <w:t>023年12月，阜康市人民政府发布《阜康市煤炭洗选行业管理意见》（阜政发〔2023〕74号）</w:t>
            </w:r>
            <w:r>
              <w:rPr>
                <w:rFonts w:hint="eastAsia" w:ascii="Times New Roman" w:hAnsi="Times New Roman" w:cs="Times New Roman"/>
                <w:color w:val="auto"/>
                <w:lang w:val="en-US" w:eastAsia="zh-CN"/>
              </w:rPr>
              <w:t>对全市煤炭洗选企业进行评估，由阜康市应急管理局牵头对全市煤炭洗选行业进行评估，确定保留、整改、关停企业名单，经过阜康市应急管理局评估</w:t>
            </w:r>
            <w:r>
              <w:rPr>
                <w:rFonts w:hint="default" w:ascii="Times New Roman" w:hAnsi="Times New Roman" w:eastAsia="宋体" w:cs="Times New Roman"/>
                <w:color w:val="auto"/>
                <w:lang w:val="en-US" w:eastAsia="zh-CN"/>
              </w:rPr>
              <w:t>成都聿杰商贸有限公司阜康市煤炭洗选分公司</w:t>
            </w:r>
            <w:r>
              <w:rPr>
                <w:rFonts w:hint="eastAsia" w:ascii="Times New Roman" w:hAnsi="Times New Roman" w:cs="Times New Roman"/>
                <w:color w:val="auto"/>
                <w:lang w:val="en-US" w:eastAsia="zh-CN"/>
              </w:rPr>
              <w:t>属于保留类企业，允许企业完善相关手续后进行复产（附件4）。</w:t>
            </w:r>
          </w:p>
          <w:p w14:paraId="648E7748">
            <w:pPr>
              <w:pStyle w:val="44"/>
              <w:keepNext w:val="0"/>
              <w:keepLines w:val="0"/>
              <w:pageBreakBefore w:val="0"/>
              <w:widowControl w:val="0"/>
              <w:kinsoku/>
              <w:wordWrap/>
              <w:overflowPunct/>
              <w:topLinePunct w:val="0"/>
              <w:autoSpaceDE/>
              <w:autoSpaceDN/>
              <w:bidi w:val="0"/>
              <w:adjustRightInd/>
              <w:snapToGrid/>
              <w:spacing w:line="520" w:lineRule="exact"/>
              <w:ind w:left="0" w:leftChars="0" w:firstLine="480" w:firstLineChars="200"/>
              <w:textAlignment w:val="baseline"/>
              <w:rPr>
                <w:rStyle w:val="43"/>
                <w:rFonts w:hint="default" w:ascii="Times New Roman" w:hAnsi="Times New Roman" w:cs="Times New Roman"/>
                <w:b w:val="0"/>
                <w:bCs w:val="0"/>
                <w:color w:val="auto"/>
                <w:kern w:val="2"/>
                <w:sz w:val="24"/>
                <w:szCs w:val="24"/>
                <w:highlight w:val="yellow"/>
                <w:lang w:val="en-US" w:eastAsia="zh-CN" w:bidi="ar-SA"/>
              </w:rPr>
            </w:pPr>
            <w:r>
              <w:rPr>
                <w:rFonts w:hint="eastAsia" w:cs="Times New Roman"/>
                <w:color w:val="auto"/>
                <w:lang w:val="en-US" w:eastAsia="zh-CN"/>
              </w:rPr>
              <w:t>在此背景下，企业对现有的厂房设备、各类手续进行自查核查，因现有设备、厂房年久失修，原环保设施已无法满足现行环保要求，</w:t>
            </w:r>
            <w:r>
              <w:rPr>
                <w:rFonts w:hint="default" w:ascii="Times New Roman" w:hAnsi="Times New Roman" w:eastAsia="宋体" w:cs="Times New Roman"/>
                <w:color w:val="auto"/>
                <w:lang w:val="en-US" w:eastAsia="zh-CN"/>
              </w:rPr>
              <w:t>因此对现有工程进行改造，拆除原有厂房设备，新建全封闭式厂房</w:t>
            </w:r>
            <w:r>
              <w:rPr>
                <w:rFonts w:hint="eastAsia" w:ascii="Times New Roman" w:hAnsi="Times New Roman" w:eastAsia="宋体" w:cs="Times New Roman"/>
                <w:color w:val="auto"/>
                <w:lang w:val="en-US" w:eastAsia="zh-CN"/>
              </w:rPr>
              <w:t>，更</w:t>
            </w:r>
            <w:r>
              <w:rPr>
                <w:rFonts w:hint="default" w:ascii="Times New Roman" w:hAnsi="Times New Roman" w:eastAsia="宋体" w:cs="Times New Roman"/>
                <w:color w:val="auto"/>
                <w:lang w:val="en-US" w:eastAsia="zh-CN"/>
              </w:rPr>
              <w:t>换先进设备。</w:t>
            </w:r>
          </w:p>
          <w:p w14:paraId="3476B5B1">
            <w:pPr>
              <w:pStyle w:val="44"/>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rPr>
                <w:rStyle w:val="43"/>
                <w:rFonts w:hint="eastAsia" w:ascii="Times New Roman" w:hAnsi="Times New Roman" w:eastAsia="宋体" w:cs="Times New Roman"/>
                <w:b/>
                <w:bCs/>
                <w:color w:val="auto"/>
                <w:kern w:val="2"/>
                <w:sz w:val="24"/>
                <w:szCs w:val="24"/>
                <w:lang w:val="en-US" w:eastAsia="zh-CN" w:bidi="ar-SA"/>
              </w:rPr>
            </w:pPr>
            <w:r>
              <w:rPr>
                <w:rStyle w:val="43"/>
                <w:rFonts w:hint="eastAsia" w:ascii="Times New Roman" w:hAnsi="Times New Roman" w:eastAsia="宋体" w:cs="Times New Roman"/>
                <w:b/>
                <w:bCs/>
                <w:color w:val="auto"/>
                <w:kern w:val="2"/>
                <w:sz w:val="24"/>
                <w:szCs w:val="24"/>
                <w:lang w:val="en-US" w:eastAsia="zh-CN" w:bidi="ar-SA"/>
              </w:rPr>
              <w:t>1.</w:t>
            </w:r>
            <w:r>
              <w:rPr>
                <w:rStyle w:val="43"/>
                <w:rFonts w:hint="eastAsia" w:cs="Times New Roman"/>
                <w:b/>
                <w:bCs/>
                <w:color w:val="auto"/>
                <w:kern w:val="2"/>
                <w:sz w:val="24"/>
                <w:szCs w:val="24"/>
                <w:lang w:val="en-US" w:eastAsia="zh-CN" w:bidi="ar-SA"/>
              </w:rPr>
              <w:t xml:space="preserve">2 </w:t>
            </w:r>
            <w:r>
              <w:rPr>
                <w:rStyle w:val="43"/>
                <w:rFonts w:hint="eastAsia" w:ascii="Times New Roman" w:hAnsi="Times New Roman" w:eastAsia="宋体" w:cs="Times New Roman"/>
                <w:b/>
                <w:bCs/>
                <w:color w:val="auto"/>
                <w:kern w:val="2"/>
                <w:sz w:val="24"/>
                <w:szCs w:val="24"/>
                <w:lang w:val="en-US" w:eastAsia="zh-CN" w:bidi="ar-SA"/>
              </w:rPr>
              <w:t>项目位置及周边情况</w:t>
            </w:r>
          </w:p>
          <w:p w14:paraId="7A1DA387">
            <w:pPr>
              <w:pStyle w:val="44"/>
              <w:keepNext w:val="0"/>
              <w:keepLines w:val="0"/>
              <w:pageBreakBefore w:val="0"/>
              <w:widowControl w:val="0"/>
              <w:kinsoku/>
              <w:wordWrap/>
              <w:overflowPunct/>
              <w:topLinePunct w:val="0"/>
              <w:autoSpaceDE/>
              <w:autoSpaceDN/>
              <w:bidi w:val="0"/>
              <w:adjustRightInd/>
              <w:snapToGrid/>
              <w:spacing w:line="520" w:lineRule="exact"/>
              <w:ind w:firstLine="480"/>
              <w:rPr>
                <w:rFonts w:hint="default" w:eastAsia="宋体"/>
                <w:color w:val="auto"/>
                <w:highlight w:val="none"/>
                <w:lang w:val="en-US" w:eastAsia="zh-CN"/>
              </w:rPr>
            </w:pPr>
            <w:r>
              <w:rPr>
                <w:rFonts w:hint="eastAsia"/>
                <w:color w:val="auto"/>
                <w:highlight w:val="none"/>
                <w:lang w:val="en-US" w:eastAsia="zh-CN"/>
              </w:rPr>
              <w:t>项目选址位于阜康市甘河子镇西侧</w:t>
            </w:r>
            <w:r>
              <w:rPr>
                <w:rFonts w:hint="eastAsia"/>
                <w:color w:val="auto"/>
                <w:sz w:val="24"/>
                <w:highlight w:val="none"/>
                <w:lang w:val="en-US" w:eastAsia="zh-CN"/>
              </w:rPr>
              <w:t>，项目区中心坐标为</w:t>
            </w:r>
            <w:r>
              <w:rPr>
                <w:rFonts w:hint="default" w:ascii="Times New Roman" w:hAnsi="Times New Roman" w:cs="Times New Roman"/>
                <w:color w:val="auto"/>
                <w:sz w:val="24"/>
                <w:highlight w:val="none"/>
                <w:lang w:val="en-US" w:eastAsia="zh-CN"/>
              </w:rPr>
              <w:t>东经：8</w:t>
            </w:r>
            <w:r>
              <w:rPr>
                <w:rFonts w:hint="eastAsia" w:cs="Times New Roman"/>
                <w:color w:val="auto"/>
                <w:sz w:val="24"/>
                <w:highlight w:val="none"/>
                <w:lang w:val="en-US" w:eastAsia="zh-CN"/>
              </w:rPr>
              <w:t>8</w:t>
            </w:r>
            <w:r>
              <w:rPr>
                <w:rFonts w:hint="default" w:ascii="Times New Roman" w:hAnsi="Times New Roman" w:cs="Times New Roman"/>
                <w:color w:val="auto"/>
                <w:sz w:val="24"/>
                <w:highlight w:val="none"/>
                <w:lang w:val="en-US" w:eastAsia="zh-CN"/>
              </w:rPr>
              <w:t>°</w:t>
            </w:r>
            <w:r>
              <w:rPr>
                <w:rFonts w:hint="eastAsia" w:cs="Times New Roman"/>
                <w:color w:val="auto"/>
                <w:sz w:val="24"/>
                <w:highlight w:val="none"/>
                <w:lang w:val="en-US" w:eastAsia="zh-CN"/>
              </w:rPr>
              <w:t>20</w:t>
            </w:r>
            <w:r>
              <w:rPr>
                <w:rFonts w:hint="default" w:ascii="Times New Roman" w:hAnsi="Times New Roman" w:cs="Times New Roman"/>
                <w:color w:val="auto"/>
                <w:sz w:val="24"/>
                <w:highlight w:val="none"/>
                <w:lang w:val="en-US" w:eastAsia="zh-CN"/>
              </w:rPr>
              <w:t>′</w:t>
            </w:r>
            <w:r>
              <w:rPr>
                <w:rFonts w:hint="eastAsia" w:cs="Times New Roman"/>
                <w:color w:val="auto"/>
                <w:sz w:val="24"/>
                <w:highlight w:val="none"/>
                <w:lang w:val="en-US" w:eastAsia="zh-CN"/>
              </w:rPr>
              <w:t>04.561</w:t>
            </w:r>
            <w:r>
              <w:rPr>
                <w:rFonts w:hint="default" w:ascii="Times New Roman" w:hAnsi="Times New Roman" w:cs="Times New Roman"/>
                <w:color w:val="auto"/>
                <w:sz w:val="24"/>
                <w:highlight w:val="none"/>
                <w:lang w:val="en-US" w:eastAsia="zh-CN"/>
              </w:rPr>
              <w:t>″，北纬44°0</w:t>
            </w:r>
            <w:r>
              <w:rPr>
                <w:rFonts w:hint="eastAsia" w:cs="Times New Roman"/>
                <w:color w:val="auto"/>
                <w:sz w:val="24"/>
                <w:highlight w:val="none"/>
                <w:lang w:val="en-US" w:eastAsia="zh-CN"/>
              </w:rPr>
              <w:t>6</w:t>
            </w:r>
            <w:r>
              <w:rPr>
                <w:rFonts w:hint="default" w:ascii="Times New Roman" w:hAnsi="Times New Roman" w:cs="Times New Roman"/>
                <w:color w:val="auto"/>
                <w:sz w:val="24"/>
                <w:highlight w:val="none"/>
                <w:lang w:val="en-US" w:eastAsia="zh-CN"/>
              </w:rPr>
              <w:t>′</w:t>
            </w:r>
            <w:r>
              <w:rPr>
                <w:rFonts w:hint="eastAsia" w:cs="Times New Roman"/>
                <w:color w:val="auto"/>
                <w:sz w:val="24"/>
                <w:highlight w:val="none"/>
                <w:lang w:val="en-US" w:eastAsia="zh-CN"/>
              </w:rPr>
              <w:t>20.970</w:t>
            </w:r>
            <w:r>
              <w:rPr>
                <w:rFonts w:hint="default" w:ascii="Times New Roman" w:hAnsi="Times New Roman" w:cs="Times New Roman"/>
                <w:color w:val="auto"/>
                <w:sz w:val="24"/>
                <w:highlight w:val="none"/>
                <w:lang w:val="en-US" w:eastAsia="zh-CN"/>
              </w:rPr>
              <w:t>″。</w:t>
            </w:r>
            <w:r>
              <w:rPr>
                <w:rFonts w:hint="default" w:ascii="Times New Roman" w:hAnsi="Times New Roman" w:cs="Times New Roman"/>
                <w:color w:val="auto"/>
                <w:highlight w:val="none"/>
              </w:rPr>
              <w:t>项</w:t>
            </w:r>
            <w:r>
              <w:rPr>
                <w:color w:val="auto"/>
                <w:highlight w:val="none"/>
              </w:rPr>
              <w:t>目东侧为</w:t>
            </w:r>
            <w:r>
              <w:rPr>
                <w:rFonts w:hint="eastAsia"/>
                <w:color w:val="auto"/>
                <w:highlight w:val="none"/>
              </w:rPr>
              <w:t>阜康市泰尚实业有限责任公司</w:t>
            </w:r>
            <w:r>
              <w:rPr>
                <w:rFonts w:hint="eastAsia"/>
                <w:color w:val="auto"/>
                <w:highlight w:val="none"/>
                <w:lang w:val="en-US" w:eastAsia="zh-CN"/>
              </w:rPr>
              <w:t>，西侧为闲置厂房，北侧为空地，南侧为空地。项目地理位置图见</w:t>
            </w:r>
            <w:r>
              <w:rPr>
                <w:rFonts w:hint="eastAsia"/>
                <w:b/>
                <w:bCs/>
                <w:color w:val="auto"/>
                <w:highlight w:val="none"/>
                <w:lang w:val="en-US" w:eastAsia="zh-CN"/>
              </w:rPr>
              <w:t>附图1</w:t>
            </w:r>
            <w:r>
              <w:rPr>
                <w:rFonts w:hint="eastAsia"/>
                <w:color w:val="auto"/>
                <w:highlight w:val="none"/>
                <w:lang w:val="en-US" w:eastAsia="zh-CN"/>
              </w:rPr>
              <w:t>，周边关系图见</w:t>
            </w:r>
            <w:r>
              <w:rPr>
                <w:rFonts w:hint="eastAsia"/>
                <w:b/>
                <w:bCs/>
                <w:color w:val="auto"/>
                <w:highlight w:val="none"/>
                <w:lang w:val="en-US" w:eastAsia="zh-CN"/>
              </w:rPr>
              <w:t>附图2</w:t>
            </w:r>
            <w:r>
              <w:rPr>
                <w:rFonts w:hint="eastAsia"/>
                <w:color w:val="auto"/>
                <w:highlight w:val="none"/>
                <w:lang w:val="en-US" w:eastAsia="zh-CN"/>
              </w:rPr>
              <w:t>。</w:t>
            </w:r>
          </w:p>
          <w:p w14:paraId="024A93FE">
            <w:pPr>
              <w:pStyle w:val="44"/>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rPr>
                <w:rStyle w:val="43"/>
                <w:rFonts w:hint="default" w:ascii="Times New Roman" w:hAnsi="Times New Roman" w:eastAsia="宋体" w:cs="Times New Roman"/>
                <w:b/>
                <w:bCs/>
                <w:color w:val="auto"/>
                <w:kern w:val="2"/>
                <w:sz w:val="24"/>
                <w:szCs w:val="24"/>
                <w:lang w:val="en-US" w:eastAsia="zh-CN" w:bidi="ar-SA"/>
              </w:rPr>
            </w:pPr>
            <w:r>
              <w:rPr>
                <w:rStyle w:val="43"/>
                <w:rFonts w:hint="eastAsia" w:ascii="Times New Roman" w:hAnsi="Times New Roman" w:eastAsia="宋体" w:cs="Times New Roman"/>
                <w:b/>
                <w:bCs/>
                <w:color w:val="auto"/>
                <w:kern w:val="2"/>
                <w:sz w:val="24"/>
                <w:szCs w:val="24"/>
                <w:lang w:val="en-US" w:eastAsia="zh-CN" w:bidi="ar-SA"/>
              </w:rPr>
              <w:t>1.</w:t>
            </w:r>
            <w:r>
              <w:rPr>
                <w:rStyle w:val="43"/>
                <w:rFonts w:hint="eastAsia" w:cs="Times New Roman"/>
                <w:b/>
                <w:bCs/>
                <w:color w:val="auto"/>
                <w:kern w:val="2"/>
                <w:sz w:val="24"/>
                <w:szCs w:val="24"/>
                <w:lang w:val="en-US" w:eastAsia="zh-CN" w:bidi="ar-SA"/>
              </w:rPr>
              <w:t xml:space="preserve">3 </w:t>
            </w:r>
            <w:r>
              <w:rPr>
                <w:rStyle w:val="43"/>
                <w:rFonts w:hint="eastAsia" w:ascii="Times New Roman" w:hAnsi="Times New Roman" w:eastAsia="宋体" w:cs="Times New Roman"/>
                <w:b/>
                <w:bCs/>
                <w:color w:val="auto"/>
                <w:kern w:val="2"/>
                <w:sz w:val="24"/>
                <w:szCs w:val="24"/>
                <w:lang w:val="en-US" w:eastAsia="zh-CN" w:bidi="ar-SA"/>
              </w:rPr>
              <w:t>项目组成</w:t>
            </w:r>
          </w:p>
          <w:p w14:paraId="25B309D5">
            <w:pPr>
              <w:pStyle w:val="44"/>
              <w:keepNext w:val="0"/>
              <w:keepLines w:val="0"/>
              <w:pageBreakBefore w:val="0"/>
              <w:widowControl w:val="0"/>
              <w:kinsoku/>
              <w:wordWrap/>
              <w:overflowPunct/>
              <w:topLinePunct w:val="0"/>
              <w:autoSpaceDE/>
              <w:autoSpaceDN/>
              <w:bidi w:val="0"/>
              <w:adjustRightInd/>
              <w:snapToGrid/>
              <w:spacing w:line="520" w:lineRule="exact"/>
              <w:ind w:firstLine="480"/>
              <w:rPr>
                <w:color w:val="auto"/>
              </w:rPr>
            </w:pPr>
            <w:r>
              <w:rPr>
                <w:color w:val="auto"/>
              </w:rPr>
              <w:t>项目组成见表2-</w:t>
            </w:r>
            <w:r>
              <w:rPr>
                <w:rFonts w:hint="eastAsia"/>
                <w:color w:val="auto"/>
                <w:lang w:val="en-US" w:eastAsia="zh-CN"/>
              </w:rPr>
              <w:t>3</w:t>
            </w:r>
            <w:r>
              <w:rPr>
                <w:color w:val="auto"/>
              </w:rPr>
              <w:t>。</w:t>
            </w:r>
          </w:p>
          <w:p w14:paraId="19B4DE90">
            <w:pPr>
              <w:pStyle w:val="44"/>
              <w:keepNext w:val="0"/>
              <w:keepLines w:val="0"/>
              <w:pageBreakBefore w:val="0"/>
              <w:widowControl w:val="0"/>
              <w:kinsoku/>
              <w:wordWrap/>
              <w:overflowPunct/>
              <w:topLinePunct w:val="0"/>
              <w:autoSpaceDE/>
              <w:autoSpaceDN/>
              <w:bidi w:val="0"/>
              <w:adjustRightInd/>
              <w:snapToGrid/>
              <w:spacing w:line="520" w:lineRule="exact"/>
              <w:ind w:firstLine="480"/>
              <w:rPr>
                <w:color w:val="auto"/>
              </w:rPr>
            </w:pPr>
          </w:p>
          <w:p w14:paraId="77EDB7A6">
            <w:pPr>
              <w:pStyle w:val="44"/>
              <w:keepNext w:val="0"/>
              <w:keepLines w:val="0"/>
              <w:pageBreakBefore w:val="0"/>
              <w:widowControl w:val="0"/>
              <w:kinsoku/>
              <w:wordWrap/>
              <w:overflowPunct/>
              <w:topLinePunct w:val="0"/>
              <w:autoSpaceDE/>
              <w:autoSpaceDN/>
              <w:bidi w:val="0"/>
              <w:adjustRightInd/>
              <w:snapToGrid/>
              <w:spacing w:line="520" w:lineRule="exact"/>
              <w:ind w:firstLine="480"/>
              <w:rPr>
                <w:color w:val="auto"/>
              </w:rPr>
            </w:pPr>
          </w:p>
          <w:p w14:paraId="27E6EB91">
            <w:pPr>
              <w:overflowPunct w:val="0"/>
              <w:adjustRightInd w:val="0"/>
              <w:snapToGrid w:val="0"/>
              <w:ind w:firstLine="422" w:firstLineChars="200"/>
              <w:jc w:val="center"/>
              <w:rPr>
                <w:b/>
                <w:bCs/>
                <w:color w:val="auto"/>
                <w:szCs w:val="21"/>
              </w:rPr>
            </w:pPr>
            <w:r>
              <w:rPr>
                <w:b/>
                <w:bCs/>
                <w:color w:val="auto"/>
                <w:szCs w:val="21"/>
              </w:rPr>
              <w:t>表2-</w:t>
            </w:r>
            <w:r>
              <w:rPr>
                <w:rFonts w:hint="eastAsia"/>
                <w:b/>
                <w:bCs/>
                <w:color w:val="auto"/>
                <w:szCs w:val="21"/>
                <w:lang w:val="en-US" w:eastAsia="zh-CN"/>
              </w:rPr>
              <w:t xml:space="preserve">3   </w:t>
            </w:r>
            <w:r>
              <w:rPr>
                <w:b/>
                <w:bCs/>
                <w:color w:val="auto"/>
                <w:szCs w:val="21"/>
              </w:rPr>
              <w:t xml:space="preserve"> 工程组成一览表</w:t>
            </w:r>
          </w:p>
          <w:tbl>
            <w:tblPr>
              <w:tblStyle w:val="27"/>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095"/>
              <w:gridCol w:w="1309"/>
              <w:gridCol w:w="1727"/>
              <w:gridCol w:w="2493"/>
              <w:gridCol w:w="1363"/>
            </w:tblGrid>
            <w:tr w14:paraId="30BA478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504" w:type="pct"/>
                  <w:gridSpan w:val="2"/>
                  <w:tcBorders>
                    <w:bottom w:val="single" w:color="000000" w:sz="12" w:space="0"/>
                  </w:tcBorders>
                  <w:vAlign w:val="center"/>
                </w:tcPr>
                <w:p w14:paraId="5F4E52BC">
                  <w:pPr>
                    <w:widowControl/>
                    <w:jc w:val="center"/>
                    <w:textAlignment w:val="center"/>
                    <w:rPr>
                      <w:b/>
                      <w:bCs/>
                      <w:color w:val="auto"/>
                      <w:szCs w:val="21"/>
                    </w:rPr>
                  </w:pPr>
                  <w:r>
                    <w:rPr>
                      <w:b/>
                      <w:bCs/>
                      <w:color w:val="auto"/>
                      <w:szCs w:val="21"/>
                    </w:rPr>
                    <w:t>项目</w:t>
                  </w:r>
                </w:p>
              </w:tc>
              <w:tc>
                <w:tcPr>
                  <w:tcW w:w="2641" w:type="pct"/>
                  <w:gridSpan w:val="2"/>
                  <w:tcBorders>
                    <w:bottom w:val="single" w:color="000000" w:sz="12" w:space="0"/>
                  </w:tcBorders>
                  <w:vAlign w:val="center"/>
                </w:tcPr>
                <w:p w14:paraId="7BDBF440">
                  <w:pPr>
                    <w:widowControl/>
                    <w:jc w:val="center"/>
                    <w:textAlignment w:val="center"/>
                    <w:rPr>
                      <w:b/>
                      <w:bCs/>
                      <w:color w:val="auto"/>
                      <w:szCs w:val="21"/>
                    </w:rPr>
                  </w:pPr>
                  <w:r>
                    <w:rPr>
                      <w:b/>
                      <w:bCs/>
                      <w:color w:val="auto"/>
                      <w:szCs w:val="21"/>
                    </w:rPr>
                    <w:t>建设内容</w:t>
                  </w:r>
                </w:p>
              </w:tc>
              <w:tc>
                <w:tcPr>
                  <w:tcW w:w="853" w:type="pct"/>
                  <w:tcBorders>
                    <w:bottom w:val="single" w:color="000000" w:sz="12" w:space="0"/>
                  </w:tcBorders>
                  <w:vAlign w:val="center"/>
                </w:tcPr>
                <w:p w14:paraId="4C86FA31">
                  <w:pPr>
                    <w:widowControl/>
                    <w:jc w:val="center"/>
                    <w:textAlignment w:val="center"/>
                    <w:rPr>
                      <w:b/>
                      <w:bCs/>
                      <w:color w:val="auto"/>
                      <w:szCs w:val="21"/>
                    </w:rPr>
                  </w:pPr>
                  <w:r>
                    <w:rPr>
                      <w:b/>
                      <w:bCs/>
                      <w:color w:val="auto"/>
                      <w:szCs w:val="21"/>
                    </w:rPr>
                    <w:t>备注</w:t>
                  </w:r>
                </w:p>
              </w:tc>
            </w:tr>
            <w:tr w14:paraId="72DE599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059" w:hRule="atLeast"/>
                <w:jc w:val="center"/>
              </w:trPr>
              <w:tc>
                <w:tcPr>
                  <w:tcW w:w="685" w:type="pct"/>
                  <w:tcBorders>
                    <w:top w:val="single" w:color="000000" w:sz="12" w:space="0"/>
                    <w:tl2br w:val="nil"/>
                    <w:tr2bl w:val="nil"/>
                  </w:tcBorders>
                  <w:vAlign w:val="center"/>
                </w:tcPr>
                <w:p w14:paraId="0C1194C8">
                  <w:pPr>
                    <w:widowControl/>
                    <w:jc w:val="center"/>
                    <w:textAlignment w:val="center"/>
                    <w:rPr>
                      <w:color w:val="auto"/>
                      <w:szCs w:val="21"/>
                    </w:rPr>
                  </w:pPr>
                  <w:r>
                    <w:rPr>
                      <w:color w:val="auto"/>
                      <w:szCs w:val="21"/>
                    </w:rPr>
                    <w:t>主体工程</w:t>
                  </w:r>
                </w:p>
              </w:tc>
              <w:tc>
                <w:tcPr>
                  <w:tcW w:w="819" w:type="pct"/>
                  <w:tcBorders>
                    <w:top w:val="single" w:color="000000" w:sz="12" w:space="0"/>
                    <w:tl2br w:val="nil"/>
                    <w:tr2bl w:val="nil"/>
                  </w:tcBorders>
                  <w:vAlign w:val="center"/>
                </w:tcPr>
                <w:p w14:paraId="5F45642D">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生产车间</w:t>
                  </w:r>
                </w:p>
              </w:tc>
              <w:tc>
                <w:tcPr>
                  <w:tcW w:w="2641" w:type="pct"/>
                  <w:gridSpan w:val="2"/>
                  <w:tcBorders>
                    <w:top w:val="single" w:color="000000" w:sz="12" w:space="0"/>
                    <w:tl2br w:val="nil"/>
                    <w:tr2bl w:val="nil"/>
                  </w:tcBorders>
                  <w:vAlign w:val="center"/>
                </w:tcPr>
                <w:p w14:paraId="1933640D">
                  <w:pPr>
                    <w:widowControl/>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Cs w:val="21"/>
                      <w:lang w:val="en-US" w:eastAsia="zh-CN"/>
                    </w:rPr>
                    <w:t>新建全封闭厂房1座，面积为21562m</w:t>
                  </w:r>
                  <w:r>
                    <w:rPr>
                      <w:rFonts w:hint="eastAsia"/>
                      <w:color w:val="auto"/>
                      <w:szCs w:val="21"/>
                      <w:vertAlign w:val="superscript"/>
                      <w:lang w:val="en-US" w:eastAsia="zh-CN"/>
                    </w:rPr>
                    <w:t>2</w:t>
                  </w:r>
                  <w:r>
                    <w:rPr>
                      <w:rFonts w:hint="eastAsia"/>
                      <w:color w:val="auto"/>
                      <w:szCs w:val="21"/>
                      <w:vertAlign w:val="baseline"/>
                      <w:lang w:val="en-US" w:eastAsia="zh-CN"/>
                    </w:rPr>
                    <w:t>，</w:t>
                  </w:r>
                  <w:r>
                    <w:rPr>
                      <w:rFonts w:hint="eastAsia"/>
                      <w:color w:val="auto"/>
                      <w:szCs w:val="21"/>
                      <w:lang w:val="en-US" w:eastAsia="zh-CN"/>
                    </w:rPr>
                    <w:t>内设洗煤生产车间1座，面积为6367.68m</w:t>
                  </w:r>
                  <w:r>
                    <w:rPr>
                      <w:rFonts w:hint="eastAsia"/>
                      <w:color w:val="auto"/>
                      <w:szCs w:val="21"/>
                      <w:vertAlign w:val="superscript"/>
                      <w:lang w:val="en-US" w:eastAsia="zh-CN"/>
                    </w:rPr>
                    <w:t>2</w:t>
                  </w:r>
                  <w:r>
                    <w:rPr>
                      <w:rFonts w:hint="eastAsia"/>
                      <w:color w:val="auto"/>
                      <w:szCs w:val="21"/>
                      <w:vertAlign w:val="baseline"/>
                      <w:lang w:val="en-US" w:eastAsia="zh-CN"/>
                    </w:rPr>
                    <w:t>；</w:t>
                  </w:r>
                  <w:r>
                    <w:rPr>
                      <w:rFonts w:hint="eastAsia"/>
                      <w:color w:val="auto"/>
                      <w:szCs w:val="21"/>
                      <w:lang w:val="en-US" w:eastAsia="zh-CN"/>
                    </w:rPr>
                    <w:t>原料煤棚1座，面积为6997.704m</w:t>
                  </w:r>
                  <w:r>
                    <w:rPr>
                      <w:rFonts w:hint="eastAsia"/>
                      <w:color w:val="auto"/>
                      <w:szCs w:val="21"/>
                      <w:vertAlign w:val="superscript"/>
                      <w:lang w:val="en-US" w:eastAsia="zh-CN"/>
                    </w:rPr>
                    <w:t>2</w:t>
                  </w:r>
                  <w:r>
                    <w:rPr>
                      <w:rFonts w:hint="eastAsia"/>
                      <w:color w:val="auto"/>
                      <w:szCs w:val="21"/>
                      <w:vertAlign w:val="baseline"/>
                      <w:lang w:val="en-US" w:eastAsia="zh-CN"/>
                    </w:rPr>
                    <w:t>；</w:t>
                  </w:r>
                  <w:r>
                    <w:rPr>
                      <w:rFonts w:hint="eastAsia"/>
                      <w:color w:val="auto"/>
                      <w:szCs w:val="21"/>
                      <w:lang w:val="en-US" w:eastAsia="zh-CN"/>
                    </w:rPr>
                    <w:t>精煤棚1座，面积为4982.958m</w:t>
                  </w:r>
                  <w:r>
                    <w:rPr>
                      <w:rFonts w:hint="eastAsia"/>
                      <w:color w:val="auto"/>
                      <w:szCs w:val="21"/>
                      <w:vertAlign w:val="superscript"/>
                      <w:lang w:val="en-US" w:eastAsia="zh-CN"/>
                    </w:rPr>
                    <w:t>2</w:t>
                  </w:r>
                  <w:r>
                    <w:rPr>
                      <w:rFonts w:hint="eastAsia"/>
                      <w:color w:val="auto"/>
                      <w:szCs w:val="21"/>
                      <w:vertAlign w:val="baseline"/>
                      <w:lang w:val="en-US" w:eastAsia="zh-CN"/>
                    </w:rPr>
                    <w:t>；副产品车间1座，</w:t>
                  </w:r>
                  <w:r>
                    <w:rPr>
                      <w:rFonts w:hint="eastAsia"/>
                      <w:color w:val="auto"/>
                      <w:szCs w:val="21"/>
                      <w:lang w:val="en-US" w:eastAsia="zh-CN"/>
                    </w:rPr>
                    <w:t>3213.918m</w:t>
                  </w:r>
                  <w:r>
                    <w:rPr>
                      <w:rFonts w:hint="eastAsia"/>
                      <w:color w:val="auto"/>
                      <w:szCs w:val="21"/>
                      <w:vertAlign w:val="superscript"/>
                      <w:lang w:val="en-US" w:eastAsia="zh-CN"/>
                    </w:rPr>
                    <w:t>2</w:t>
                  </w:r>
                  <w:r>
                    <w:rPr>
                      <w:rFonts w:hint="eastAsia"/>
                      <w:color w:val="auto"/>
                      <w:szCs w:val="21"/>
                      <w:vertAlign w:val="baseline"/>
                      <w:lang w:val="en-US" w:eastAsia="zh-CN"/>
                    </w:rPr>
                    <w:t>。</w:t>
                  </w:r>
                </w:p>
              </w:tc>
              <w:tc>
                <w:tcPr>
                  <w:tcW w:w="853" w:type="pct"/>
                  <w:tcBorders>
                    <w:top w:val="single" w:color="000000" w:sz="12" w:space="0"/>
                    <w:tl2br w:val="nil"/>
                    <w:tr2bl w:val="nil"/>
                  </w:tcBorders>
                  <w:vAlign w:val="center"/>
                </w:tcPr>
                <w:p w14:paraId="34EEADAE">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新建</w:t>
                  </w:r>
                </w:p>
              </w:tc>
            </w:tr>
            <w:tr w14:paraId="2EBA480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85" w:type="pct"/>
                  <w:vMerge w:val="restart"/>
                  <w:tcBorders>
                    <w:tl2br w:val="nil"/>
                    <w:tr2bl w:val="nil"/>
                  </w:tcBorders>
                  <w:vAlign w:val="center"/>
                </w:tcPr>
                <w:p w14:paraId="0864E904">
                  <w:pPr>
                    <w:jc w:val="center"/>
                    <w:rPr>
                      <w:color w:val="auto"/>
                      <w:szCs w:val="21"/>
                    </w:rPr>
                  </w:pPr>
                  <w:r>
                    <w:rPr>
                      <w:rFonts w:hint="eastAsia"/>
                      <w:color w:val="auto"/>
                      <w:szCs w:val="21"/>
                    </w:rPr>
                    <w:t>公用工程</w:t>
                  </w:r>
                </w:p>
              </w:tc>
              <w:tc>
                <w:tcPr>
                  <w:tcW w:w="819" w:type="pct"/>
                  <w:tcBorders>
                    <w:tl2br w:val="nil"/>
                    <w:tr2bl w:val="nil"/>
                  </w:tcBorders>
                  <w:vAlign w:val="center"/>
                </w:tcPr>
                <w:p w14:paraId="6DA40B2C">
                  <w:pPr>
                    <w:widowControl/>
                    <w:jc w:val="center"/>
                    <w:textAlignment w:val="center"/>
                    <w:rPr>
                      <w:color w:val="auto"/>
                      <w:szCs w:val="21"/>
                    </w:rPr>
                  </w:pPr>
                  <w:r>
                    <w:rPr>
                      <w:rFonts w:hint="eastAsia"/>
                      <w:color w:val="auto"/>
                      <w:szCs w:val="21"/>
                    </w:rPr>
                    <w:t>供水工程</w:t>
                  </w:r>
                </w:p>
              </w:tc>
              <w:tc>
                <w:tcPr>
                  <w:tcW w:w="2641" w:type="pct"/>
                  <w:gridSpan w:val="2"/>
                  <w:tcBorders>
                    <w:tl2br w:val="nil"/>
                    <w:tr2bl w:val="nil"/>
                  </w:tcBorders>
                  <w:vAlign w:val="center"/>
                </w:tcPr>
                <w:p w14:paraId="536E49D5">
                  <w:pPr>
                    <w:widowControl/>
                    <w:jc w:val="center"/>
                    <w:textAlignment w:val="center"/>
                    <w:rPr>
                      <w:color w:val="auto"/>
                      <w:szCs w:val="21"/>
                    </w:rPr>
                  </w:pPr>
                  <w:r>
                    <w:rPr>
                      <w:rFonts w:hint="eastAsia"/>
                      <w:color w:val="auto"/>
                      <w:szCs w:val="21"/>
                      <w:lang w:val="en-US" w:eastAsia="zh-CN"/>
                    </w:rPr>
                    <w:t>市政</w:t>
                  </w:r>
                  <w:r>
                    <w:rPr>
                      <w:rFonts w:hint="eastAsia"/>
                      <w:color w:val="auto"/>
                      <w:szCs w:val="21"/>
                    </w:rPr>
                    <w:t>供水管网</w:t>
                  </w:r>
                </w:p>
              </w:tc>
              <w:tc>
                <w:tcPr>
                  <w:tcW w:w="853" w:type="pct"/>
                  <w:tcBorders>
                    <w:tl2br w:val="nil"/>
                    <w:tr2bl w:val="nil"/>
                  </w:tcBorders>
                  <w:vAlign w:val="center"/>
                </w:tcPr>
                <w:p w14:paraId="5A250AA5">
                  <w:pPr>
                    <w:widowControl/>
                    <w:jc w:val="center"/>
                    <w:textAlignment w:val="center"/>
                    <w:rPr>
                      <w:rFonts w:hint="eastAsia" w:eastAsia="宋体"/>
                      <w:color w:val="auto"/>
                      <w:szCs w:val="21"/>
                      <w:lang w:eastAsia="zh-CN"/>
                    </w:rPr>
                  </w:pPr>
                  <w:r>
                    <w:rPr>
                      <w:rFonts w:hint="eastAsia"/>
                      <w:color w:val="auto"/>
                      <w:szCs w:val="21"/>
                      <w:lang w:val="en-US" w:eastAsia="zh-CN"/>
                    </w:rPr>
                    <w:t>/</w:t>
                  </w:r>
                </w:p>
              </w:tc>
            </w:tr>
            <w:tr w14:paraId="7BC584A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85" w:type="pct"/>
                  <w:vMerge w:val="continue"/>
                  <w:tcBorders>
                    <w:tl2br w:val="nil"/>
                    <w:tr2bl w:val="nil"/>
                  </w:tcBorders>
                  <w:vAlign w:val="center"/>
                </w:tcPr>
                <w:p w14:paraId="452C799C">
                  <w:pPr>
                    <w:widowControl/>
                    <w:jc w:val="center"/>
                    <w:textAlignment w:val="center"/>
                    <w:rPr>
                      <w:color w:val="auto"/>
                    </w:rPr>
                  </w:pPr>
                </w:p>
              </w:tc>
              <w:tc>
                <w:tcPr>
                  <w:tcW w:w="819" w:type="pct"/>
                  <w:tcBorders>
                    <w:tl2br w:val="nil"/>
                    <w:tr2bl w:val="nil"/>
                  </w:tcBorders>
                  <w:vAlign w:val="center"/>
                </w:tcPr>
                <w:p w14:paraId="1802799B">
                  <w:pPr>
                    <w:widowControl/>
                    <w:jc w:val="center"/>
                    <w:textAlignment w:val="center"/>
                    <w:rPr>
                      <w:color w:val="auto"/>
                      <w:szCs w:val="21"/>
                    </w:rPr>
                  </w:pPr>
                  <w:r>
                    <w:rPr>
                      <w:rFonts w:hint="eastAsia"/>
                      <w:color w:val="auto"/>
                      <w:szCs w:val="21"/>
                    </w:rPr>
                    <w:t>排水工程</w:t>
                  </w:r>
                </w:p>
              </w:tc>
              <w:tc>
                <w:tcPr>
                  <w:tcW w:w="2641" w:type="pct"/>
                  <w:gridSpan w:val="2"/>
                  <w:tcBorders>
                    <w:tl2br w:val="nil"/>
                    <w:tr2bl w:val="nil"/>
                  </w:tcBorders>
                  <w:vAlign w:val="center"/>
                </w:tcPr>
                <w:p w14:paraId="61581D6E">
                  <w:pPr>
                    <w:widowControl/>
                    <w:jc w:val="center"/>
                    <w:textAlignment w:val="center"/>
                    <w:rPr>
                      <w:rFonts w:hint="default" w:eastAsia="宋体"/>
                      <w:color w:val="auto"/>
                      <w:szCs w:val="21"/>
                      <w:lang w:val="en-US" w:eastAsia="zh-CN"/>
                    </w:rPr>
                  </w:pPr>
                  <w:r>
                    <w:rPr>
                      <w:rFonts w:hint="eastAsia"/>
                      <w:color w:val="auto"/>
                      <w:szCs w:val="21"/>
                      <w:lang w:val="en-US" w:eastAsia="zh-CN"/>
                    </w:rPr>
                    <w:t>生产废水循环使用不外排，生活污水采用地埋式一体化污水处理设施处理达标后用于厂区洒水降尘</w:t>
                  </w:r>
                </w:p>
              </w:tc>
              <w:tc>
                <w:tcPr>
                  <w:tcW w:w="853" w:type="pct"/>
                  <w:tcBorders>
                    <w:tl2br w:val="nil"/>
                    <w:tr2bl w:val="nil"/>
                  </w:tcBorders>
                  <w:vAlign w:val="center"/>
                </w:tcPr>
                <w:p w14:paraId="3E1ADCE7">
                  <w:pPr>
                    <w:widowControl/>
                    <w:jc w:val="center"/>
                    <w:textAlignment w:val="center"/>
                    <w:rPr>
                      <w:rFonts w:hint="eastAsia" w:eastAsia="宋体"/>
                      <w:color w:val="auto"/>
                      <w:szCs w:val="21"/>
                      <w:lang w:val="en-US" w:eastAsia="zh-CN"/>
                    </w:rPr>
                  </w:pPr>
                  <w:r>
                    <w:rPr>
                      <w:rFonts w:hint="eastAsia"/>
                      <w:color w:val="auto"/>
                      <w:szCs w:val="21"/>
                      <w:lang w:val="en-US" w:eastAsia="zh-CN"/>
                    </w:rPr>
                    <w:t>新建</w:t>
                  </w:r>
                </w:p>
              </w:tc>
            </w:tr>
            <w:tr w14:paraId="351E810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85" w:type="pct"/>
                  <w:vMerge w:val="continue"/>
                  <w:tcBorders>
                    <w:tl2br w:val="nil"/>
                    <w:tr2bl w:val="nil"/>
                  </w:tcBorders>
                  <w:vAlign w:val="center"/>
                </w:tcPr>
                <w:p w14:paraId="4E3C9D98">
                  <w:pPr>
                    <w:widowControl/>
                    <w:jc w:val="center"/>
                    <w:textAlignment w:val="center"/>
                    <w:rPr>
                      <w:color w:val="auto"/>
                      <w:szCs w:val="21"/>
                    </w:rPr>
                  </w:pPr>
                </w:p>
              </w:tc>
              <w:tc>
                <w:tcPr>
                  <w:tcW w:w="819" w:type="pct"/>
                  <w:tcBorders>
                    <w:tl2br w:val="nil"/>
                    <w:tr2bl w:val="nil"/>
                  </w:tcBorders>
                  <w:vAlign w:val="center"/>
                </w:tcPr>
                <w:p w14:paraId="2E7B6FAB">
                  <w:pPr>
                    <w:widowControl/>
                    <w:jc w:val="center"/>
                    <w:textAlignment w:val="center"/>
                    <w:rPr>
                      <w:color w:val="auto"/>
                      <w:szCs w:val="21"/>
                    </w:rPr>
                  </w:pPr>
                  <w:r>
                    <w:rPr>
                      <w:rFonts w:hint="eastAsia"/>
                      <w:color w:val="auto"/>
                      <w:szCs w:val="21"/>
                    </w:rPr>
                    <w:t>供电工程</w:t>
                  </w:r>
                </w:p>
              </w:tc>
              <w:tc>
                <w:tcPr>
                  <w:tcW w:w="2641" w:type="pct"/>
                  <w:gridSpan w:val="2"/>
                  <w:tcBorders>
                    <w:tl2br w:val="nil"/>
                    <w:tr2bl w:val="nil"/>
                  </w:tcBorders>
                  <w:vAlign w:val="center"/>
                </w:tcPr>
                <w:p w14:paraId="1470EF94">
                  <w:pPr>
                    <w:widowControl/>
                    <w:jc w:val="center"/>
                    <w:textAlignment w:val="center"/>
                    <w:rPr>
                      <w:rFonts w:hint="default" w:eastAsia="宋体"/>
                      <w:color w:val="auto"/>
                      <w:lang w:val="en-US" w:eastAsia="zh-CN"/>
                    </w:rPr>
                  </w:pPr>
                  <w:r>
                    <w:rPr>
                      <w:rFonts w:hint="eastAsia"/>
                      <w:color w:val="auto"/>
                      <w:lang w:val="en-US" w:eastAsia="zh-CN"/>
                    </w:rPr>
                    <w:t>由园区电网提供</w:t>
                  </w:r>
                </w:p>
              </w:tc>
              <w:tc>
                <w:tcPr>
                  <w:tcW w:w="853" w:type="pct"/>
                  <w:tcBorders>
                    <w:tl2br w:val="nil"/>
                    <w:tr2bl w:val="nil"/>
                  </w:tcBorders>
                  <w:vAlign w:val="center"/>
                </w:tcPr>
                <w:p w14:paraId="619C2BB4">
                  <w:pPr>
                    <w:widowControl/>
                    <w:jc w:val="center"/>
                    <w:textAlignment w:val="center"/>
                    <w:rPr>
                      <w:rFonts w:hint="eastAsia" w:eastAsia="宋体"/>
                      <w:color w:val="auto"/>
                      <w:szCs w:val="21"/>
                      <w:lang w:val="en-US" w:eastAsia="zh-CN"/>
                    </w:rPr>
                  </w:pPr>
                  <w:r>
                    <w:rPr>
                      <w:rFonts w:hint="eastAsia"/>
                      <w:color w:val="auto"/>
                      <w:szCs w:val="21"/>
                      <w:lang w:val="en-US" w:eastAsia="zh-CN"/>
                    </w:rPr>
                    <w:t>/</w:t>
                  </w:r>
                </w:p>
              </w:tc>
            </w:tr>
            <w:tr w14:paraId="651CCF7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85" w:type="pct"/>
                  <w:vMerge w:val="continue"/>
                  <w:tcBorders>
                    <w:tl2br w:val="nil"/>
                    <w:tr2bl w:val="nil"/>
                  </w:tcBorders>
                  <w:vAlign w:val="center"/>
                </w:tcPr>
                <w:p w14:paraId="7D766A38">
                  <w:pPr>
                    <w:widowControl/>
                    <w:jc w:val="center"/>
                    <w:textAlignment w:val="center"/>
                    <w:rPr>
                      <w:color w:val="auto"/>
                      <w:szCs w:val="21"/>
                    </w:rPr>
                  </w:pPr>
                </w:p>
              </w:tc>
              <w:tc>
                <w:tcPr>
                  <w:tcW w:w="819" w:type="pct"/>
                  <w:tcBorders>
                    <w:tl2br w:val="nil"/>
                    <w:tr2bl w:val="nil"/>
                  </w:tcBorders>
                  <w:vAlign w:val="center"/>
                </w:tcPr>
                <w:p w14:paraId="45992DE4">
                  <w:pPr>
                    <w:widowControl/>
                    <w:jc w:val="center"/>
                    <w:textAlignment w:val="center"/>
                    <w:rPr>
                      <w:color w:val="auto"/>
                      <w:szCs w:val="21"/>
                    </w:rPr>
                  </w:pPr>
                  <w:r>
                    <w:rPr>
                      <w:rFonts w:hint="eastAsia"/>
                      <w:color w:val="auto"/>
                      <w:szCs w:val="21"/>
                    </w:rPr>
                    <w:t>供暖工程</w:t>
                  </w:r>
                </w:p>
              </w:tc>
              <w:tc>
                <w:tcPr>
                  <w:tcW w:w="2641" w:type="pct"/>
                  <w:gridSpan w:val="2"/>
                  <w:tcBorders>
                    <w:tl2br w:val="nil"/>
                    <w:tr2bl w:val="nil"/>
                  </w:tcBorders>
                  <w:vAlign w:val="center"/>
                </w:tcPr>
                <w:p w14:paraId="282E804E">
                  <w:pPr>
                    <w:widowControl/>
                    <w:jc w:val="center"/>
                    <w:textAlignment w:val="center"/>
                    <w:rPr>
                      <w:rFonts w:hint="default" w:eastAsia="宋体"/>
                      <w:color w:val="auto"/>
                      <w:szCs w:val="21"/>
                      <w:lang w:val="en-US" w:eastAsia="zh-CN"/>
                    </w:rPr>
                  </w:pPr>
                  <w:r>
                    <w:rPr>
                      <w:rFonts w:hint="eastAsia"/>
                      <w:color w:val="auto"/>
                      <w:szCs w:val="21"/>
                      <w:lang w:val="en-US" w:eastAsia="zh-CN"/>
                    </w:rPr>
                    <w:t>冬季供暖电锅炉</w:t>
                  </w:r>
                </w:p>
              </w:tc>
              <w:tc>
                <w:tcPr>
                  <w:tcW w:w="853" w:type="pct"/>
                  <w:tcBorders>
                    <w:tl2br w:val="nil"/>
                    <w:tr2bl w:val="nil"/>
                  </w:tcBorders>
                  <w:vAlign w:val="center"/>
                </w:tcPr>
                <w:p w14:paraId="3EE0E390">
                  <w:pPr>
                    <w:widowControl/>
                    <w:jc w:val="center"/>
                    <w:textAlignment w:val="center"/>
                    <w:rPr>
                      <w:rFonts w:hint="eastAsia" w:eastAsia="宋体"/>
                      <w:color w:val="auto"/>
                      <w:szCs w:val="21"/>
                      <w:lang w:val="en-US" w:eastAsia="zh-CN"/>
                    </w:rPr>
                  </w:pPr>
                  <w:r>
                    <w:rPr>
                      <w:rFonts w:hint="eastAsia"/>
                      <w:color w:val="auto"/>
                      <w:szCs w:val="21"/>
                      <w:lang w:val="en-US" w:eastAsia="zh-CN"/>
                    </w:rPr>
                    <w:t>新建</w:t>
                  </w:r>
                </w:p>
              </w:tc>
            </w:tr>
            <w:tr w14:paraId="61295AE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85" w:type="pct"/>
                  <w:vMerge w:val="restart"/>
                  <w:tcBorders>
                    <w:tl2br w:val="nil"/>
                    <w:tr2bl w:val="nil"/>
                  </w:tcBorders>
                  <w:vAlign w:val="center"/>
                </w:tcPr>
                <w:p w14:paraId="46966599">
                  <w:pPr>
                    <w:widowControl/>
                    <w:jc w:val="center"/>
                    <w:textAlignment w:val="center"/>
                    <w:rPr>
                      <w:rFonts w:hint="default" w:eastAsia="宋体"/>
                      <w:color w:val="auto"/>
                      <w:szCs w:val="21"/>
                      <w:lang w:val="en-US" w:eastAsia="zh-CN"/>
                    </w:rPr>
                  </w:pPr>
                  <w:r>
                    <w:rPr>
                      <w:rFonts w:hint="eastAsia"/>
                      <w:color w:val="auto"/>
                      <w:szCs w:val="21"/>
                      <w:lang w:val="en-US" w:eastAsia="zh-CN"/>
                    </w:rPr>
                    <w:t>储运工程</w:t>
                  </w:r>
                </w:p>
              </w:tc>
              <w:tc>
                <w:tcPr>
                  <w:tcW w:w="819" w:type="pct"/>
                  <w:tcBorders>
                    <w:tl2br w:val="nil"/>
                    <w:tr2bl w:val="nil"/>
                  </w:tcBorders>
                  <w:vAlign w:val="center"/>
                </w:tcPr>
                <w:p w14:paraId="55A5C38A">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原料煤棚</w:t>
                  </w:r>
                </w:p>
              </w:tc>
              <w:tc>
                <w:tcPr>
                  <w:tcW w:w="2641" w:type="pct"/>
                  <w:gridSpan w:val="2"/>
                  <w:tcBorders>
                    <w:tl2br w:val="nil"/>
                    <w:tr2bl w:val="nil"/>
                  </w:tcBorders>
                  <w:vAlign w:val="center"/>
                </w:tcPr>
                <w:p w14:paraId="1F4E19CA">
                  <w:pPr>
                    <w:widowControl/>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位于生产厂房内，面积6997.704m</w:t>
                  </w:r>
                  <w:r>
                    <w:rPr>
                      <w:rFonts w:hint="eastAsia" w:cs="Times New Roman"/>
                      <w:color w:val="auto"/>
                      <w:kern w:val="2"/>
                      <w:sz w:val="21"/>
                      <w:szCs w:val="21"/>
                      <w:vertAlign w:val="superscript"/>
                      <w:lang w:val="en-US" w:eastAsia="zh-CN" w:bidi="ar-SA"/>
                    </w:rPr>
                    <w:t>2</w:t>
                  </w:r>
                  <w:r>
                    <w:rPr>
                      <w:rFonts w:hint="eastAsia" w:cs="Times New Roman"/>
                      <w:color w:val="auto"/>
                      <w:kern w:val="2"/>
                      <w:sz w:val="21"/>
                      <w:szCs w:val="21"/>
                      <w:vertAlign w:val="baseline"/>
                      <w:lang w:val="en-US" w:eastAsia="zh-CN" w:bidi="ar-SA"/>
                    </w:rPr>
                    <w:t>，最大储量为5吨</w:t>
                  </w:r>
                </w:p>
              </w:tc>
              <w:tc>
                <w:tcPr>
                  <w:tcW w:w="853" w:type="pct"/>
                  <w:tcBorders>
                    <w:tl2br w:val="nil"/>
                    <w:tr2bl w:val="nil"/>
                  </w:tcBorders>
                  <w:vAlign w:val="center"/>
                </w:tcPr>
                <w:p w14:paraId="4B565D53">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新建</w:t>
                  </w:r>
                </w:p>
              </w:tc>
            </w:tr>
            <w:tr w14:paraId="2A64173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85" w:type="pct"/>
                  <w:vMerge w:val="continue"/>
                  <w:tcBorders>
                    <w:tl2br w:val="nil"/>
                    <w:tr2bl w:val="nil"/>
                  </w:tcBorders>
                  <w:vAlign w:val="center"/>
                </w:tcPr>
                <w:p w14:paraId="75BAAD4D">
                  <w:pPr>
                    <w:widowControl/>
                    <w:jc w:val="center"/>
                    <w:textAlignment w:val="center"/>
                    <w:rPr>
                      <w:rFonts w:hint="eastAsia"/>
                      <w:color w:val="auto"/>
                      <w:szCs w:val="21"/>
                      <w:lang w:val="en-US" w:eastAsia="zh-CN"/>
                    </w:rPr>
                  </w:pPr>
                </w:p>
              </w:tc>
              <w:tc>
                <w:tcPr>
                  <w:tcW w:w="819" w:type="pct"/>
                  <w:tcBorders>
                    <w:tl2br w:val="nil"/>
                    <w:tr2bl w:val="nil"/>
                  </w:tcBorders>
                  <w:vAlign w:val="center"/>
                </w:tcPr>
                <w:p w14:paraId="687D40C2">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精煤棚</w:t>
                  </w:r>
                </w:p>
              </w:tc>
              <w:tc>
                <w:tcPr>
                  <w:tcW w:w="2641" w:type="pct"/>
                  <w:gridSpan w:val="2"/>
                  <w:tcBorders>
                    <w:tl2br w:val="nil"/>
                    <w:tr2bl w:val="nil"/>
                  </w:tcBorders>
                  <w:vAlign w:val="center"/>
                </w:tcPr>
                <w:p w14:paraId="0152A3CC">
                  <w:pPr>
                    <w:widowControl/>
                    <w:jc w:val="center"/>
                    <w:textAlignment w:val="center"/>
                    <w:rPr>
                      <w:rFonts w:hint="default"/>
                      <w:color w:val="auto"/>
                      <w:vertAlign w:val="baseline"/>
                      <w:lang w:val="en-US"/>
                    </w:rPr>
                  </w:pPr>
                  <w:r>
                    <w:rPr>
                      <w:rFonts w:hint="eastAsia"/>
                      <w:color w:val="auto"/>
                      <w:szCs w:val="21"/>
                      <w:highlight w:val="none"/>
                      <w:lang w:val="en-US" w:eastAsia="zh-CN"/>
                    </w:rPr>
                    <w:t>位于生产厂房内，面积4982.958m</w:t>
                  </w:r>
                  <w:r>
                    <w:rPr>
                      <w:rFonts w:hint="eastAsia"/>
                      <w:color w:val="auto"/>
                      <w:szCs w:val="21"/>
                      <w:highlight w:val="none"/>
                      <w:vertAlign w:val="superscript"/>
                      <w:lang w:val="en-US" w:eastAsia="zh-CN"/>
                    </w:rPr>
                    <w:t>2</w:t>
                  </w:r>
                  <w:r>
                    <w:rPr>
                      <w:rFonts w:hint="eastAsia"/>
                      <w:color w:val="auto"/>
                      <w:szCs w:val="21"/>
                      <w:highlight w:val="none"/>
                      <w:vertAlign w:val="baseline"/>
                      <w:lang w:val="en-US" w:eastAsia="zh-CN"/>
                    </w:rPr>
                    <w:t>，最大储量为3吨</w:t>
                  </w:r>
                </w:p>
              </w:tc>
              <w:tc>
                <w:tcPr>
                  <w:tcW w:w="853" w:type="pct"/>
                  <w:tcBorders>
                    <w:tl2br w:val="nil"/>
                    <w:tr2bl w:val="nil"/>
                  </w:tcBorders>
                  <w:vAlign w:val="center"/>
                </w:tcPr>
                <w:p w14:paraId="1078BB93">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新建</w:t>
                  </w:r>
                </w:p>
              </w:tc>
            </w:tr>
            <w:tr w14:paraId="5222535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85" w:type="pct"/>
                  <w:vMerge w:val="continue"/>
                  <w:tcBorders>
                    <w:tl2br w:val="nil"/>
                    <w:tr2bl w:val="nil"/>
                  </w:tcBorders>
                  <w:vAlign w:val="center"/>
                </w:tcPr>
                <w:p w14:paraId="71A8A01B">
                  <w:pPr>
                    <w:widowControl/>
                    <w:jc w:val="center"/>
                    <w:textAlignment w:val="center"/>
                    <w:rPr>
                      <w:rFonts w:hint="eastAsia"/>
                      <w:color w:val="auto"/>
                      <w:szCs w:val="21"/>
                      <w:lang w:val="en-US" w:eastAsia="zh-CN"/>
                    </w:rPr>
                  </w:pPr>
                </w:p>
              </w:tc>
              <w:tc>
                <w:tcPr>
                  <w:tcW w:w="819" w:type="pct"/>
                  <w:tcBorders>
                    <w:tl2br w:val="nil"/>
                    <w:tr2bl w:val="nil"/>
                  </w:tcBorders>
                  <w:vAlign w:val="center"/>
                </w:tcPr>
                <w:p w14:paraId="4F55812C">
                  <w:pPr>
                    <w:widowControl/>
                    <w:jc w:val="center"/>
                    <w:textAlignment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副产品车间</w:t>
                  </w:r>
                </w:p>
              </w:tc>
              <w:tc>
                <w:tcPr>
                  <w:tcW w:w="2641" w:type="pct"/>
                  <w:gridSpan w:val="2"/>
                  <w:tcBorders>
                    <w:tl2br w:val="nil"/>
                    <w:tr2bl w:val="nil"/>
                  </w:tcBorders>
                  <w:vAlign w:val="center"/>
                </w:tcPr>
                <w:p w14:paraId="43679A30">
                  <w:pPr>
                    <w:widowControl/>
                    <w:jc w:val="center"/>
                    <w:textAlignment w:val="center"/>
                    <w:rPr>
                      <w:rFonts w:hint="default"/>
                      <w:color w:val="auto"/>
                      <w:szCs w:val="21"/>
                      <w:highlight w:val="none"/>
                      <w:vertAlign w:val="baseline"/>
                      <w:lang w:val="en-US" w:eastAsia="zh-CN"/>
                    </w:rPr>
                  </w:pPr>
                  <w:r>
                    <w:rPr>
                      <w:rFonts w:hint="eastAsia"/>
                      <w:color w:val="auto"/>
                      <w:szCs w:val="21"/>
                      <w:highlight w:val="none"/>
                      <w:lang w:val="en-US" w:eastAsia="zh-CN"/>
                    </w:rPr>
                    <w:t>位于生产厂房内，面积3213.918m</w:t>
                  </w:r>
                  <w:r>
                    <w:rPr>
                      <w:rFonts w:hint="eastAsia"/>
                      <w:color w:val="auto"/>
                      <w:szCs w:val="21"/>
                      <w:highlight w:val="none"/>
                      <w:vertAlign w:val="superscript"/>
                      <w:lang w:val="en-US" w:eastAsia="zh-CN"/>
                    </w:rPr>
                    <w:t>2</w:t>
                  </w:r>
                  <w:r>
                    <w:rPr>
                      <w:rFonts w:hint="eastAsia"/>
                      <w:color w:val="auto"/>
                      <w:szCs w:val="21"/>
                      <w:highlight w:val="none"/>
                      <w:vertAlign w:val="baseline"/>
                      <w:lang w:val="en-US" w:eastAsia="zh-CN"/>
                    </w:rPr>
                    <w:t>，最大储量为2吨</w:t>
                  </w:r>
                </w:p>
              </w:tc>
              <w:tc>
                <w:tcPr>
                  <w:tcW w:w="853" w:type="pct"/>
                  <w:tcBorders>
                    <w:tl2br w:val="nil"/>
                    <w:tr2bl w:val="nil"/>
                  </w:tcBorders>
                  <w:vAlign w:val="center"/>
                </w:tcPr>
                <w:p w14:paraId="74BC1D0B">
                  <w:pPr>
                    <w:widowControl/>
                    <w:jc w:val="center"/>
                    <w:textAlignment w:val="center"/>
                    <w:rPr>
                      <w:rFonts w:hint="default"/>
                      <w:color w:val="auto"/>
                      <w:szCs w:val="21"/>
                      <w:lang w:val="en-US" w:eastAsia="zh-CN"/>
                    </w:rPr>
                  </w:pPr>
                  <w:r>
                    <w:rPr>
                      <w:rFonts w:hint="eastAsia"/>
                      <w:color w:val="auto"/>
                      <w:szCs w:val="21"/>
                      <w:lang w:val="en-US" w:eastAsia="zh-CN"/>
                    </w:rPr>
                    <w:t>新建</w:t>
                  </w:r>
                </w:p>
              </w:tc>
            </w:tr>
            <w:tr w14:paraId="1D547FD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85" w:type="pct"/>
                  <w:vMerge w:val="restart"/>
                  <w:tcBorders>
                    <w:tl2br w:val="nil"/>
                    <w:tr2bl w:val="nil"/>
                  </w:tcBorders>
                  <w:vAlign w:val="center"/>
                </w:tcPr>
                <w:p w14:paraId="5A38C6A6">
                  <w:pPr>
                    <w:widowControl/>
                    <w:jc w:val="center"/>
                    <w:textAlignment w:val="center"/>
                    <w:rPr>
                      <w:color w:val="auto"/>
                      <w:szCs w:val="21"/>
                    </w:rPr>
                  </w:pPr>
                  <w:r>
                    <w:rPr>
                      <w:color w:val="auto"/>
                      <w:szCs w:val="21"/>
                    </w:rPr>
                    <w:t>环保工程</w:t>
                  </w:r>
                </w:p>
              </w:tc>
              <w:tc>
                <w:tcPr>
                  <w:tcW w:w="819" w:type="pct"/>
                  <w:tcBorders>
                    <w:tl2br w:val="nil"/>
                    <w:tr2bl w:val="nil"/>
                  </w:tcBorders>
                  <w:vAlign w:val="center"/>
                </w:tcPr>
                <w:p w14:paraId="4827AC37">
                  <w:pPr>
                    <w:widowControl/>
                    <w:jc w:val="center"/>
                    <w:textAlignment w:val="center"/>
                    <w:rPr>
                      <w:color w:val="auto"/>
                      <w:szCs w:val="21"/>
                      <w:highlight w:val="none"/>
                    </w:rPr>
                  </w:pPr>
                  <w:r>
                    <w:rPr>
                      <w:color w:val="auto"/>
                      <w:szCs w:val="21"/>
                      <w:highlight w:val="none"/>
                    </w:rPr>
                    <w:t>废气</w:t>
                  </w:r>
                </w:p>
              </w:tc>
              <w:tc>
                <w:tcPr>
                  <w:tcW w:w="2641" w:type="pct"/>
                  <w:gridSpan w:val="2"/>
                  <w:tcBorders>
                    <w:tl2br w:val="nil"/>
                    <w:tr2bl w:val="nil"/>
                  </w:tcBorders>
                  <w:vAlign w:val="center"/>
                </w:tcPr>
                <w:p w14:paraId="62603528">
                  <w:pPr>
                    <w:pStyle w:val="6"/>
                    <w:adjustRightInd w:val="0"/>
                    <w:snapToGrid w:val="0"/>
                    <w:ind w:firstLine="0"/>
                    <w:jc w:val="center"/>
                    <w:rPr>
                      <w:rFonts w:hint="default" w:eastAsia="宋体"/>
                      <w:color w:val="auto"/>
                      <w:sz w:val="24"/>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原煤破碎、筛分工序设置</w:t>
                  </w:r>
                  <w:r>
                    <w:rPr>
                      <w:rFonts w:hint="eastAsia" w:ascii="Times New Roman" w:hAnsi="Times New Roman" w:eastAsia="宋体" w:cs="Times New Roman"/>
                      <w:color w:val="auto"/>
                      <w:kern w:val="2"/>
                      <w:sz w:val="21"/>
                      <w:szCs w:val="21"/>
                      <w:highlight w:val="none"/>
                      <w:lang w:val="en-US" w:eastAsia="zh-CN" w:bidi="ar-SA"/>
                    </w:rPr>
                    <w:t>在密闭空间内</w:t>
                  </w:r>
                  <w:r>
                    <w:rPr>
                      <w:rFonts w:hint="default" w:ascii="Times New Roman" w:hAnsi="Times New Roman" w:eastAsia="宋体" w:cs="Times New Roman"/>
                      <w:color w:val="auto"/>
                      <w:kern w:val="2"/>
                      <w:sz w:val="21"/>
                      <w:szCs w:val="21"/>
                      <w:highlight w:val="none"/>
                      <w:lang w:val="en-US" w:eastAsia="zh-CN" w:bidi="ar-SA"/>
                    </w:rPr>
                    <w:t>，粉尘</w:t>
                  </w:r>
                  <w:r>
                    <w:rPr>
                      <w:rFonts w:hint="eastAsia" w:cs="Times New Roman"/>
                      <w:color w:val="auto"/>
                      <w:kern w:val="2"/>
                      <w:sz w:val="21"/>
                      <w:szCs w:val="21"/>
                      <w:highlight w:val="none"/>
                      <w:lang w:val="en-US" w:eastAsia="zh-CN" w:bidi="ar-SA"/>
                    </w:rPr>
                    <w:t>采用集气罩</w:t>
                  </w:r>
                  <w:r>
                    <w:rPr>
                      <w:rFonts w:hint="default" w:ascii="Times New Roman" w:hAnsi="Times New Roman" w:eastAsia="宋体" w:cs="Times New Roman"/>
                      <w:color w:val="auto"/>
                      <w:kern w:val="2"/>
                      <w:sz w:val="21"/>
                      <w:szCs w:val="21"/>
                      <w:highlight w:val="none"/>
                      <w:lang w:val="en-US" w:eastAsia="zh-CN" w:bidi="ar-SA"/>
                    </w:rPr>
                    <w:t>收集，经布袋除尘器处理后，通过15m高排气筒排放。</w:t>
                  </w:r>
                  <w:r>
                    <w:rPr>
                      <w:rFonts w:hint="default" w:ascii="Times New Roman" w:hAnsi="Times New Roman" w:eastAsia="宋体" w:cs="Times New Roman"/>
                      <w:color w:val="auto"/>
                      <w:sz w:val="21"/>
                      <w:szCs w:val="21"/>
                      <w:highlight w:val="none"/>
                      <w:lang w:val="en-US" w:eastAsia="zh-CN"/>
                    </w:rPr>
                    <w:t>原料、产品库均为全封闭</w:t>
                  </w:r>
                  <w:r>
                    <w:rPr>
                      <w:rFonts w:hint="eastAsia" w:ascii="Times New Roman" w:hAnsi="Times New Roman" w:eastAsia="宋体" w:cs="Times New Roman"/>
                      <w:color w:val="auto"/>
                      <w:sz w:val="21"/>
                      <w:szCs w:val="21"/>
                      <w:highlight w:val="none"/>
                      <w:lang w:val="en-US" w:eastAsia="zh-CN"/>
                    </w:rPr>
                    <w:t>结构</w:t>
                  </w:r>
                  <w:r>
                    <w:rPr>
                      <w:rFonts w:hint="default" w:ascii="Times New Roman" w:hAnsi="Times New Roman" w:eastAsia="宋体" w:cs="Times New Roman"/>
                      <w:color w:val="auto"/>
                      <w:sz w:val="21"/>
                      <w:szCs w:val="21"/>
                      <w:highlight w:val="none"/>
                      <w:lang w:val="en-US" w:eastAsia="zh-CN"/>
                    </w:rPr>
                    <w:t>，地面全部硬化，</w:t>
                  </w:r>
                  <w:r>
                    <w:rPr>
                      <w:rFonts w:hint="eastAsia" w:ascii="Times New Roman" w:hAnsi="Times New Roman" w:eastAsia="宋体" w:cs="Times New Roman"/>
                      <w:color w:val="auto"/>
                      <w:sz w:val="21"/>
                      <w:szCs w:val="21"/>
                      <w:highlight w:val="none"/>
                      <w:lang w:val="en-US" w:eastAsia="zh-CN"/>
                    </w:rPr>
                    <w:t>场</w:t>
                  </w:r>
                  <w:r>
                    <w:rPr>
                      <w:rFonts w:hint="default" w:ascii="Times New Roman" w:hAnsi="Times New Roman" w:eastAsia="宋体" w:cs="Times New Roman"/>
                      <w:color w:val="auto"/>
                      <w:sz w:val="21"/>
                      <w:szCs w:val="21"/>
                      <w:highlight w:val="none"/>
                      <w:lang w:val="en-US" w:eastAsia="zh-CN"/>
                    </w:rPr>
                    <w:t>顶部分段设置固定式</w:t>
                  </w:r>
                  <w:r>
                    <w:rPr>
                      <w:rFonts w:hint="eastAsia" w:ascii="Times New Roman" w:hAnsi="Times New Roman" w:eastAsia="宋体" w:cs="Times New Roman"/>
                      <w:color w:val="auto"/>
                      <w:sz w:val="21"/>
                      <w:szCs w:val="21"/>
                      <w:highlight w:val="none"/>
                      <w:lang w:val="en-US" w:eastAsia="zh-CN"/>
                    </w:rPr>
                    <w:t>喷雾抑尘装置</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rPr>
                    <w:t>物料输送全部为密闭通廊</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highlight w:val="none"/>
                      <w:lang w:val="en-US" w:eastAsia="zh-CN"/>
                    </w:rPr>
                    <w:t>输送廊道采用彩钢板密封罩进行封闭</w:t>
                  </w:r>
                  <w:r>
                    <w:rPr>
                      <w:rFonts w:hint="eastAsia" w:ascii="Times New Roman" w:hAnsi="Times New Roman" w:eastAsia="宋体" w:cs="Times New Roman"/>
                      <w:color w:val="auto"/>
                      <w:sz w:val="21"/>
                      <w:szCs w:val="21"/>
                      <w:highlight w:val="none"/>
                      <w:lang w:val="en-US" w:eastAsia="zh-CN"/>
                    </w:rPr>
                    <w:t>。</w:t>
                  </w:r>
                </w:p>
              </w:tc>
              <w:tc>
                <w:tcPr>
                  <w:tcW w:w="853" w:type="pct"/>
                  <w:tcBorders>
                    <w:tl2br w:val="nil"/>
                    <w:tr2bl w:val="nil"/>
                  </w:tcBorders>
                  <w:vAlign w:val="center"/>
                </w:tcPr>
                <w:p w14:paraId="1753C692">
                  <w:pPr>
                    <w:widowControl/>
                    <w:jc w:val="center"/>
                    <w:textAlignment w:val="center"/>
                    <w:rPr>
                      <w:color w:val="auto"/>
                      <w:szCs w:val="21"/>
                      <w:highlight w:val="none"/>
                    </w:rPr>
                  </w:pPr>
                  <w:r>
                    <w:rPr>
                      <w:color w:val="auto"/>
                      <w:szCs w:val="21"/>
                      <w:highlight w:val="none"/>
                    </w:rPr>
                    <w:t>新建</w:t>
                  </w:r>
                </w:p>
              </w:tc>
            </w:tr>
            <w:tr w14:paraId="2A4ABD7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85" w:type="pct"/>
                  <w:vMerge w:val="continue"/>
                  <w:tcBorders>
                    <w:tl2br w:val="nil"/>
                    <w:tr2bl w:val="nil"/>
                  </w:tcBorders>
                  <w:vAlign w:val="center"/>
                </w:tcPr>
                <w:p w14:paraId="6DFFC206">
                  <w:pPr>
                    <w:jc w:val="center"/>
                    <w:rPr>
                      <w:color w:val="auto"/>
                      <w:szCs w:val="21"/>
                    </w:rPr>
                  </w:pPr>
                </w:p>
              </w:tc>
              <w:tc>
                <w:tcPr>
                  <w:tcW w:w="819" w:type="pct"/>
                  <w:tcBorders>
                    <w:tl2br w:val="nil"/>
                    <w:tr2bl w:val="nil"/>
                  </w:tcBorders>
                  <w:vAlign w:val="center"/>
                </w:tcPr>
                <w:p w14:paraId="6F9FE120">
                  <w:pPr>
                    <w:widowControl/>
                    <w:jc w:val="center"/>
                    <w:textAlignment w:val="center"/>
                    <w:rPr>
                      <w:color w:val="auto"/>
                      <w:szCs w:val="21"/>
                      <w:highlight w:val="none"/>
                    </w:rPr>
                  </w:pPr>
                  <w:r>
                    <w:rPr>
                      <w:color w:val="auto"/>
                      <w:szCs w:val="21"/>
                      <w:highlight w:val="none"/>
                    </w:rPr>
                    <w:t>废水</w:t>
                  </w:r>
                </w:p>
              </w:tc>
              <w:tc>
                <w:tcPr>
                  <w:tcW w:w="2641" w:type="pct"/>
                  <w:gridSpan w:val="2"/>
                  <w:tcBorders>
                    <w:tl2br w:val="nil"/>
                    <w:tr2bl w:val="nil"/>
                  </w:tcBorders>
                  <w:vAlign w:val="center"/>
                </w:tcPr>
                <w:p w14:paraId="00C5CC2B">
                  <w:pPr>
                    <w:keepNext w:val="0"/>
                    <w:keepLines w:val="0"/>
                    <w:pageBreakBefore w:val="0"/>
                    <w:widowControl w:val="0"/>
                    <w:kinsoku/>
                    <w:wordWrap w:val="0"/>
                    <w:overflowPunct/>
                    <w:topLinePunct w:val="0"/>
                    <w:autoSpaceDE/>
                    <w:autoSpaceDN/>
                    <w:bidi w:val="0"/>
                    <w:adjustRightInd/>
                    <w:snapToGrid/>
                    <w:jc w:val="center"/>
                    <w:textAlignment w:val="auto"/>
                    <w:rPr>
                      <w:rFonts w:hint="default" w:eastAsia="宋体"/>
                      <w:color w:val="auto"/>
                      <w:highlight w:val="none"/>
                      <w:lang w:val="en-US" w:eastAsia="zh-CN"/>
                    </w:rPr>
                  </w:pPr>
                  <w:r>
                    <w:rPr>
                      <w:rFonts w:hint="default" w:ascii="Times New Roman" w:hAnsi="Times New Roman" w:eastAsia="宋体" w:cs="Times New Roman"/>
                      <w:color w:val="auto"/>
                      <w:sz w:val="21"/>
                      <w:szCs w:val="21"/>
                      <w:highlight w:val="none"/>
                      <w:lang w:val="en-US" w:eastAsia="zh-CN"/>
                    </w:rPr>
                    <w:t>洗选煤生产线建设浓缩池</w:t>
                  </w:r>
                  <w:r>
                    <w:rPr>
                      <w:rFonts w:hint="eastAsia" w:cs="Times New Roman"/>
                      <w:color w:val="auto"/>
                      <w:sz w:val="21"/>
                      <w:szCs w:val="21"/>
                      <w:highlight w:val="none"/>
                      <w:lang w:val="en-US" w:eastAsia="zh-CN"/>
                    </w:rPr>
                    <w:t>2座（1用1备）</w:t>
                  </w:r>
                  <w:r>
                    <w:rPr>
                      <w:rFonts w:hint="default"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浓缩池容量为12000m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lang w:val="en-US" w:eastAsia="zh-CN"/>
                    </w:rPr>
                    <w:t>并配套高效压滤机，循环水池，循环水池池底和池壁进行防渗处理，渗透系数不大于1×10</w:t>
                  </w:r>
                  <w:r>
                    <w:rPr>
                      <w:rFonts w:hint="default" w:ascii="Times New Roman" w:hAnsi="Times New Roman" w:eastAsia="宋体" w:cs="Times New Roman"/>
                      <w:color w:val="auto"/>
                      <w:sz w:val="21"/>
                      <w:szCs w:val="21"/>
                      <w:highlight w:val="none"/>
                      <w:vertAlign w:val="superscript"/>
                      <w:lang w:val="en-US" w:eastAsia="zh-CN"/>
                    </w:rPr>
                    <w:t>-7</w:t>
                  </w:r>
                  <w:r>
                    <w:rPr>
                      <w:rFonts w:hint="default" w:ascii="Times New Roman" w:hAnsi="Times New Roman" w:eastAsia="宋体" w:cs="Times New Roman"/>
                      <w:color w:val="auto"/>
                      <w:sz w:val="21"/>
                      <w:szCs w:val="21"/>
                      <w:highlight w:val="none"/>
                      <w:lang w:val="en-US" w:eastAsia="zh-CN"/>
                    </w:rPr>
                    <w:t>m/s</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生活污水经</w:t>
                  </w:r>
                  <w:r>
                    <w:rPr>
                      <w:rFonts w:hint="eastAsia" w:cs="Times New Roman"/>
                      <w:color w:val="auto"/>
                      <w:sz w:val="21"/>
                      <w:szCs w:val="21"/>
                      <w:highlight w:val="none"/>
                      <w:lang w:val="en-US" w:eastAsia="zh-CN"/>
                    </w:rPr>
                    <w:t>地埋式一体化污水处理设施处理达标后用于厂区洒水降尘</w:t>
                  </w:r>
                </w:p>
              </w:tc>
              <w:tc>
                <w:tcPr>
                  <w:tcW w:w="853" w:type="pct"/>
                  <w:tcBorders>
                    <w:tl2br w:val="nil"/>
                    <w:tr2bl w:val="nil"/>
                  </w:tcBorders>
                  <w:vAlign w:val="center"/>
                </w:tcPr>
                <w:p w14:paraId="684F591B">
                  <w:pPr>
                    <w:widowControl/>
                    <w:jc w:val="center"/>
                    <w:textAlignment w:val="center"/>
                    <w:rPr>
                      <w:rFonts w:hint="eastAsia" w:eastAsia="宋体"/>
                      <w:color w:val="auto"/>
                      <w:szCs w:val="21"/>
                      <w:highlight w:val="none"/>
                      <w:lang w:eastAsia="zh-CN"/>
                    </w:rPr>
                  </w:pPr>
                  <w:r>
                    <w:rPr>
                      <w:rFonts w:hint="eastAsia"/>
                      <w:color w:val="auto"/>
                      <w:szCs w:val="21"/>
                      <w:highlight w:val="none"/>
                      <w:lang w:val="en-US" w:eastAsia="zh-CN"/>
                    </w:rPr>
                    <w:t>新建</w:t>
                  </w:r>
                </w:p>
              </w:tc>
            </w:tr>
            <w:tr w14:paraId="47AD294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2" w:hRule="atLeast"/>
                <w:jc w:val="center"/>
              </w:trPr>
              <w:tc>
                <w:tcPr>
                  <w:tcW w:w="685" w:type="pct"/>
                  <w:vMerge w:val="continue"/>
                  <w:tcBorders>
                    <w:tl2br w:val="nil"/>
                    <w:tr2bl w:val="nil"/>
                  </w:tcBorders>
                  <w:vAlign w:val="center"/>
                </w:tcPr>
                <w:p w14:paraId="143E13A7">
                  <w:pPr>
                    <w:jc w:val="center"/>
                    <w:rPr>
                      <w:color w:val="auto"/>
                      <w:szCs w:val="21"/>
                    </w:rPr>
                  </w:pPr>
                </w:p>
              </w:tc>
              <w:tc>
                <w:tcPr>
                  <w:tcW w:w="819" w:type="pct"/>
                  <w:tcBorders>
                    <w:tl2br w:val="nil"/>
                    <w:tr2bl w:val="nil"/>
                  </w:tcBorders>
                  <w:vAlign w:val="center"/>
                </w:tcPr>
                <w:p w14:paraId="2E2FF5F2">
                  <w:pPr>
                    <w:widowControl/>
                    <w:jc w:val="center"/>
                    <w:textAlignment w:val="center"/>
                    <w:rPr>
                      <w:color w:val="auto"/>
                      <w:szCs w:val="21"/>
                      <w:highlight w:val="none"/>
                    </w:rPr>
                  </w:pPr>
                  <w:r>
                    <w:rPr>
                      <w:color w:val="auto"/>
                      <w:szCs w:val="21"/>
                      <w:highlight w:val="none"/>
                    </w:rPr>
                    <w:t>噪声</w:t>
                  </w:r>
                </w:p>
              </w:tc>
              <w:tc>
                <w:tcPr>
                  <w:tcW w:w="2641" w:type="pct"/>
                  <w:gridSpan w:val="2"/>
                  <w:tcBorders>
                    <w:tl2br w:val="nil"/>
                    <w:tr2bl w:val="nil"/>
                  </w:tcBorders>
                  <w:vAlign w:val="center"/>
                </w:tcPr>
                <w:p w14:paraId="059E7A22">
                  <w:pPr>
                    <w:widowControl/>
                    <w:jc w:val="center"/>
                    <w:textAlignment w:val="center"/>
                    <w:rPr>
                      <w:color w:val="auto"/>
                      <w:szCs w:val="21"/>
                      <w:highlight w:val="none"/>
                    </w:rPr>
                  </w:pPr>
                  <w:r>
                    <w:rPr>
                      <w:color w:val="auto"/>
                      <w:szCs w:val="21"/>
                      <w:highlight w:val="none"/>
                    </w:rPr>
                    <w:t>采取减振、密闭、隔声、消声等措施</w:t>
                  </w:r>
                </w:p>
              </w:tc>
              <w:tc>
                <w:tcPr>
                  <w:tcW w:w="853" w:type="pct"/>
                  <w:tcBorders>
                    <w:tl2br w:val="nil"/>
                    <w:tr2bl w:val="nil"/>
                  </w:tcBorders>
                  <w:vAlign w:val="center"/>
                </w:tcPr>
                <w:p w14:paraId="66D6DC77">
                  <w:pPr>
                    <w:widowControl/>
                    <w:jc w:val="center"/>
                    <w:textAlignment w:val="center"/>
                    <w:rPr>
                      <w:rFonts w:hint="eastAsia" w:eastAsia="宋体"/>
                      <w:color w:val="auto"/>
                      <w:szCs w:val="21"/>
                      <w:highlight w:val="none"/>
                      <w:lang w:eastAsia="zh-CN"/>
                    </w:rPr>
                  </w:pPr>
                  <w:r>
                    <w:rPr>
                      <w:rFonts w:hint="eastAsia"/>
                      <w:color w:val="auto"/>
                      <w:szCs w:val="21"/>
                      <w:highlight w:val="none"/>
                      <w:lang w:val="en-US" w:eastAsia="zh-CN"/>
                    </w:rPr>
                    <w:t>/</w:t>
                  </w:r>
                </w:p>
              </w:tc>
            </w:tr>
            <w:tr w14:paraId="7CDBA8D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85" w:type="pct"/>
                  <w:vMerge w:val="continue"/>
                  <w:tcBorders>
                    <w:tl2br w:val="nil"/>
                    <w:tr2bl w:val="nil"/>
                  </w:tcBorders>
                  <w:vAlign w:val="center"/>
                </w:tcPr>
                <w:p w14:paraId="638DFE90">
                  <w:pPr>
                    <w:jc w:val="center"/>
                    <w:rPr>
                      <w:color w:val="auto"/>
                      <w:szCs w:val="21"/>
                    </w:rPr>
                  </w:pPr>
                </w:p>
              </w:tc>
              <w:tc>
                <w:tcPr>
                  <w:tcW w:w="819" w:type="pct"/>
                  <w:vMerge w:val="restart"/>
                  <w:tcBorders>
                    <w:tl2br w:val="nil"/>
                    <w:tr2bl w:val="nil"/>
                  </w:tcBorders>
                  <w:vAlign w:val="center"/>
                </w:tcPr>
                <w:p w14:paraId="5BC93B44">
                  <w:pPr>
                    <w:widowControl/>
                    <w:jc w:val="center"/>
                    <w:textAlignment w:val="center"/>
                    <w:rPr>
                      <w:color w:val="auto"/>
                      <w:szCs w:val="21"/>
                      <w:highlight w:val="none"/>
                    </w:rPr>
                  </w:pPr>
                  <w:r>
                    <w:rPr>
                      <w:color w:val="auto"/>
                      <w:szCs w:val="21"/>
                      <w:highlight w:val="none"/>
                    </w:rPr>
                    <w:t>固废</w:t>
                  </w:r>
                </w:p>
                <w:p w14:paraId="3C47929D">
                  <w:pPr>
                    <w:widowControl/>
                    <w:jc w:val="center"/>
                    <w:textAlignment w:val="center"/>
                    <w:rPr>
                      <w:color w:val="auto"/>
                      <w:szCs w:val="21"/>
                      <w:highlight w:val="none"/>
                    </w:rPr>
                  </w:pPr>
                  <w:r>
                    <w:rPr>
                      <w:color w:val="auto"/>
                      <w:szCs w:val="21"/>
                      <w:highlight w:val="none"/>
                    </w:rPr>
                    <w:t>防治</w:t>
                  </w:r>
                </w:p>
              </w:tc>
              <w:tc>
                <w:tcPr>
                  <w:tcW w:w="1081" w:type="pct"/>
                  <w:tcBorders>
                    <w:tl2br w:val="nil"/>
                    <w:tr2bl w:val="nil"/>
                  </w:tcBorders>
                  <w:vAlign w:val="center"/>
                </w:tcPr>
                <w:p w14:paraId="07B53A82">
                  <w:pPr>
                    <w:widowControl/>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煤矸石</w:t>
                  </w:r>
                </w:p>
              </w:tc>
              <w:tc>
                <w:tcPr>
                  <w:tcW w:w="1560" w:type="pct"/>
                  <w:vMerge w:val="restart"/>
                  <w:tcBorders>
                    <w:tl2br w:val="nil"/>
                    <w:tr2bl w:val="nil"/>
                  </w:tcBorders>
                  <w:vAlign w:val="center"/>
                </w:tcPr>
                <w:p w14:paraId="1A674EE7">
                  <w:pPr>
                    <w:widowControl/>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暂存于副产品车间，定期外售处理</w:t>
                  </w:r>
                </w:p>
              </w:tc>
              <w:tc>
                <w:tcPr>
                  <w:tcW w:w="853" w:type="pct"/>
                  <w:tcBorders>
                    <w:tl2br w:val="nil"/>
                    <w:tr2bl w:val="nil"/>
                  </w:tcBorders>
                  <w:vAlign w:val="center"/>
                </w:tcPr>
                <w:p w14:paraId="52469988">
                  <w:pPr>
                    <w:widowControl/>
                    <w:jc w:val="center"/>
                    <w:textAlignment w:val="center"/>
                    <w:rPr>
                      <w:rFonts w:hint="eastAsia" w:eastAsia="宋体"/>
                      <w:color w:val="auto"/>
                      <w:szCs w:val="21"/>
                      <w:highlight w:val="none"/>
                      <w:lang w:eastAsia="zh-CN"/>
                    </w:rPr>
                  </w:pPr>
                  <w:r>
                    <w:rPr>
                      <w:rFonts w:hint="eastAsia"/>
                      <w:color w:val="auto"/>
                      <w:szCs w:val="21"/>
                      <w:highlight w:val="none"/>
                      <w:lang w:val="en-US" w:eastAsia="zh-CN"/>
                    </w:rPr>
                    <w:t>/</w:t>
                  </w:r>
                </w:p>
              </w:tc>
            </w:tr>
            <w:tr w14:paraId="6A52906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85" w:type="pct"/>
                  <w:vMerge w:val="continue"/>
                  <w:tcBorders>
                    <w:tl2br w:val="nil"/>
                    <w:tr2bl w:val="nil"/>
                  </w:tcBorders>
                  <w:vAlign w:val="center"/>
                </w:tcPr>
                <w:p w14:paraId="4EF454A3">
                  <w:pPr>
                    <w:jc w:val="center"/>
                    <w:rPr>
                      <w:color w:val="auto"/>
                      <w:szCs w:val="21"/>
                    </w:rPr>
                  </w:pPr>
                </w:p>
              </w:tc>
              <w:tc>
                <w:tcPr>
                  <w:tcW w:w="819" w:type="pct"/>
                  <w:vMerge w:val="continue"/>
                  <w:tcBorders>
                    <w:tl2br w:val="nil"/>
                    <w:tr2bl w:val="nil"/>
                  </w:tcBorders>
                  <w:vAlign w:val="center"/>
                </w:tcPr>
                <w:p w14:paraId="4E556AD0">
                  <w:pPr>
                    <w:widowControl/>
                    <w:jc w:val="center"/>
                    <w:textAlignment w:val="center"/>
                    <w:rPr>
                      <w:color w:val="auto"/>
                      <w:szCs w:val="21"/>
                      <w:highlight w:val="none"/>
                    </w:rPr>
                  </w:pPr>
                </w:p>
              </w:tc>
              <w:tc>
                <w:tcPr>
                  <w:tcW w:w="1081" w:type="pct"/>
                  <w:tcBorders>
                    <w:tl2br w:val="nil"/>
                    <w:tr2bl w:val="nil"/>
                  </w:tcBorders>
                  <w:vAlign w:val="center"/>
                </w:tcPr>
                <w:p w14:paraId="52239513">
                  <w:pPr>
                    <w:widowControl/>
                    <w:jc w:val="center"/>
                    <w:textAlignment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中煤</w:t>
                  </w:r>
                </w:p>
              </w:tc>
              <w:tc>
                <w:tcPr>
                  <w:tcW w:w="1560" w:type="pct"/>
                  <w:vMerge w:val="continue"/>
                  <w:tcBorders>
                    <w:tl2br w:val="nil"/>
                    <w:tr2bl w:val="nil"/>
                  </w:tcBorders>
                  <w:vAlign w:val="center"/>
                </w:tcPr>
                <w:p w14:paraId="10A3B047">
                  <w:pPr>
                    <w:widowControl/>
                    <w:jc w:val="center"/>
                    <w:textAlignment w:val="center"/>
                    <w:rPr>
                      <w:rFonts w:hint="eastAsia" w:cs="Times New Roman"/>
                      <w:color w:val="auto"/>
                      <w:kern w:val="2"/>
                      <w:sz w:val="21"/>
                      <w:szCs w:val="21"/>
                      <w:highlight w:val="none"/>
                      <w:lang w:val="en-US" w:eastAsia="zh-CN" w:bidi="ar-SA"/>
                    </w:rPr>
                  </w:pPr>
                </w:p>
              </w:tc>
              <w:tc>
                <w:tcPr>
                  <w:tcW w:w="853" w:type="pct"/>
                  <w:tcBorders>
                    <w:tl2br w:val="nil"/>
                    <w:tr2bl w:val="nil"/>
                  </w:tcBorders>
                  <w:vAlign w:val="center"/>
                </w:tcPr>
                <w:p w14:paraId="2E4934B1">
                  <w:pPr>
                    <w:widowControl/>
                    <w:jc w:val="center"/>
                    <w:textAlignment w:val="center"/>
                    <w:rPr>
                      <w:rFonts w:hint="eastAsia"/>
                      <w:color w:val="auto"/>
                      <w:szCs w:val="21"/>
                      <w:highlight w:val="none"/>
                      <w:lang w:val="en-US" w:eastAsia="zh-CN"/>
                    </w:rPr>
                  </w:pPr>
                </w:p>
              </w:tc>
            </w:tr>
            <w:tr w14:paraId="23BAAB2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85" w:type="pct"/>
                  <w:vMerge w:val="continue"/>
                  <w:tcBorders>
                    <w:tl2br w:val="nil"/>
                    <w:tr2bl w:val="nil"/>
                  </w:tcBorders>
                  <w:vAlign w:val="center"/>
                </w:tcPr>
                <w:p w14:paraId="24D7E487">
                  <w:pPr>
                    <w:jc w:val="center"/>
                    <w:rPr>
                      <w:color w:val="auto"/>
                      <w:szCs w:val="21"/>
                    </w:rPr>
                  </w:pPr>
                </w:p>
              </w:tc>
              <w:tc>
                <w:tcPr>
                  <w:tcW w:w="819" w:type="pct"/>
                  <w:vMerge w:val="continue"/>
                  <w:tcBorders>
                    <w:tl2br w:val="nil"/>
                    <w:tr2bl w:val="nil"/>
                  </w:tcBorders>
                  <w:vAlign w:val="center"/>
                </w:tcPr>
                <w:p w14:paraId="1EC7DE40">
                  <w:pPr>
                    <w:jc w:val="center"/>
                    <w:rPr>
                      <w:color w:val="auto"/>
                      <w:szCs w:val="21"/>
                      <w:highlight w:val="none"/>
                    </w:rPr>
                  </w:pPr>
                </w:p>
              </w:tc>
              <w:tc>
                <w:tcPr>
                  <w:tcW w:w="1081" w:type="pct"/>
                  <w:tcBorders>
                    <w:tl2br w:val="nil"/>
                    <w:tr2bl w:val="nil"/>
                  </w:tcBorders>
                  <w:vAlign w:val="center"/>
                </w:tcPr>
                <w:p w14:paraId="276694D5">
                  <w:pPr>
                    <w:widowControl/>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煤泥</w:t>
                  </w:r>
                </w:p>
              </w:tc>
              <w:tc>
                <w:tcPr>
                  <w:tcW w:w="1560" w:type="pct"/>
                  <w:vMerge w:val="continue"/>
                  <w:tcBorders>
                    <w:tl2br w:val="nil"/>
                    <w:tr2bl w:val="nil"/>
                  </w:tcBorders>
                  <w:vAlign w:val="center"/>
                </w:tcPr>
                <w:p w14:paraId="211C2DCA">
                  <w:pPr>
                    <w:pStyle w:val="7"/>
                    <w:spacing w:before="0" w:after="0" w:line="240" w:lineRule="auto"/>
                    <w:ind w:right="0" w:rightChars="0"/>
                    <w:jc w:val="center"/>
                    <w:rPr>
                      <w:rFonts w:hint="default" w:ascii="Times New Roman" w:hAnsi="Times New Roman" w:eastAsia="宋体" w:cs="Times New Roman"/>
                      <w:color w:val="auto"/>
                      <w:kern w:val="0"/>
                      <w:sz w:val="21"/>
                      <w:szCs w:val="21"/>
                      <w:highlight w:val="none"/>
                      <w:lang w:val="en-US" w:eastAsia="zh-CN" w:bidi="ar-SA"/>
                    </w:rPr>
                  </w:pPr>
                </w:p>
              </w:tc>
              <w:tc>
                <w:tcPr>
                  <w:tcW w:w="853" w:type="pct"/>
                  <w:tcBorders>
                    <w:tl2br w:val="nil"/>
                    <w:tr2bl w:val="nil"/>
                  </w:tcBorders>
                  <w:vAlign w:val="center"/>
                </w:tcPr>
                <w:p w14:paraId="5BA15BFA">
                  <w:pPr>
                    <w:widowControl/>
                    <w:jc w:val="center"/>
                    <w:textAlignment w:val="center"/>
                    <w:rPr>
                      <w:rFonts w:hint="eastAsia" w:eastAsia="宋体"/>
                      <w:color w:val="auto"/>
                      <w:szCs w:val="21"/>
                      <w:highlight w:val="none"/>
                      <w:lang w:eastAsia="zh-CN"/>
                    </w:rPr>
                  </w:pPr>
                  <w:r>
                    <w:rPr>
                      <w:rFonts w:hint="eastAsia"/>
                      <w:color w:val="auto"/>
                      <w:szCs w:val="21"/>
                      <w:highlight w:val="none"/>
                      <w:lang w:val="en-US" w:eastAsia="zh-CN"/>
                    </w:rPr>
                    <w:t>/</w:t>
                  </w:r>
                </w:p>
              </w:tc>
            </w:tr>
            <w:tr w14:paraId="146B132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85" w:type="pct"/>
                  <w:vMerge w:val="continue"/>
                  <w:tcBorders>
                    <w:tl2br w:val="nil"/>
                    <w:tr2bl w:val="nil"/>
                  </w:tcBorders>
                  <w:vAlign w:val="center"/>
                </w:tcPr>
                <w:p w14:paraId="67B7A2A7">
                  <w:pPr>
                    <w:jc w:val="center"/>
                    <w:rPr>
                      <w:color w:val="auto"/>
                      <w:szCs w:val="21"/>
                    </w:rPr>
                  </w:pPr>
                </w:p>
              </w:tc>
              <w:tc>
                <w:tcPr>
                  <w:tcW w:w="819" w:type="pct"/>
                  <w:vMerge w:val="continue"/>
                  <w:tcBorders>
                    <w:tl2br w:val="nil"/>
                    <w:tr2bl w:val="nil"/>
                  </w:tcBorders>
                  <w:vAlign w:val="center"/>
                </w:tcPr>
                <w:p w14:paraId="2B94D61F">
                  <w:pPr>
                    <w:jc w:val="center"/>
                    <w:rPr>
                      <w:color w:val="auto"/>
                      <w:szCs w:val="21"/>
                      <w:highlight w:val="none"/>
                    </w:rPr>
                  </w:pPr>
                </w:p>
              </w:tc>
              <w:tc>
                <w:tcPr>
                  <w:tcW w:w="1081" w:type="pct"/>
                  <w:tcBorders>
                    <w:tl2br w:val="nil"/>
                    <w:tr2bl w:val="nil"/>
                  </w:tcBorders>
                  <w:vAlign w:val="center"/>
                </w:tcPr>
                <w:p w14:paraId="2F111422">
                  <w:pPr>
                    <w:widowControl/>
                    <w:jc w:val="center"/>
                    <w:textAlignment w:val="center"/>
                    <w:rPr>
                      <w:rFonts w:hint="default"/>
                      <w:color w:val="auto"/>
                      <w:szCs w:val="21"/>
                      <w:highlight w:val="none"/>
                      <w:lang w:val="en-US" w:eastAsia="zh-CN"/>
                    </w:rPr>
                  </w:pPr>
                  <w:r>
                    <w:rPr>
                      <w:rFonts w:hint="eastAsia"/>
                      <w:color w:val="auto"/>
                      <w:szCs w:val="21"/>
                      <w:highlight w:val="none"/>
                      <w:lang w:val="en-US" w:eastAsia="zh-CN"/>
                    </w:rPr>
                    <w:t>收集尘</w:t>
                  </w:r>
                </w:p>
              </w:tc>
              <w:tc>
                <w:tcPr>
                  <w:tcW w:w="1560" w:type="pct"/>
                  <w:tcBorders>
                    <w:tl2br w:val="nil"/>
                    <w:tr2bl w:val="nil"/>
                  </w:tcBorders>
                  <w:vAlign w:val="center"/>
                </w:tcPr>
                <w:p w14:paraId="4A8D8238">
                  <w:pPr>
                    <w:widowControl/>
                    <w:jc w:val="center"/>
                    <w:textAlignment w:val="center"/>
                    <w:rPr>
                      <w:rFonts w:hint="default"/>
                      <w:color w:val="auto"/>
                      <w:szCs w:val="21"/>
                      <w:highlight w:val="none"/>
                      <w:lang w:val="en-US" w:eastAsia="zh-CN"/>
                    </w:rPr>
                  </w:pPr>
                  <w:r>
                    <w:rPr>
                      <w:rFonts w:hint="eastAsia"/>
                      <w:color w:val="auto"/>
                      <w:szCs w:val="21"/>
                      <w:highlight w:val="none"/>
                      <w:lang w:val="en-US" w:eastAsia="zh-CN"/>
                    </w:rPr>
                    <w:t>外售，不在厂区贮存</w:t>
                  </w:r>
                </w:p>
              </w:tc>
              <w:tc>
                <w:tcPr>
                  <w:tcW w:w="853" w:type="pct"/>
                  <w:tcBorders>
                    <w:tl2br w:val="nil"/>
                    <w:tr2bl w:val="nil"/>
                  </w:tcBorders>
                  <w:vAlign w:val="center"/>
                </w:tcPr>
                <w:p w14:paraId="035F64BF">
                  <w:pPr>
                    <w:widowControl/>
                    <w:jc w:val="center"/>
                    <w:textAlignment w:val="center"/>
                    <w:rPr>
                      <w:rFonts w:hint="eastAsia" w:eastAsia="宋体"/>
                      <w:color w:val="auto"/>
                      <w:szCs w:val="21"/>
                      <w:highlight w:val="none"/>
                      <w:lang w:val="en-US" w:eastAsia="zh-CN"/>
                    </w:rPr>
                  </w:pPr>
                  <w:r>
                    <w:rPr>
                      <w:rFonts w:hint="eastAsia"/>
                      <w:color w:val="auto"/>
                      <w:szCs w:val="21"/>
                      <w:highlight w:val="none"/>
                      <w:lang w:val="en-US" w:eastAsia="zh-CN"/>
                    </w:rPr>
                    <w:t>/</w:t>
                  </w:r>
                </w:p>
              </w:tc>
            </w:tr>
            <w:tr w14:paraId="6819203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85" w:type="pct"/>
                  <w:vMerge w:val="continue"/>
                  <w:tcBorders>
                    <w:tl2br w:val="nil"/>
                    <w:tr2bl w:val="nil"/>
                  </w:tcBorders>
                  <w:vAlign w:val="center"/>
                </w:tcPr>
                <w:p w14:paraId="580C4C44">
                  <w:pPr>
                    <w:jc w:val="center"/>
                    <w:rPr>
                      <w:color w:val="auto"/>
                      <w:szCs w:val="21"/>
                    </w:rPr>
                  </w:pPr>
                </w:p>
              </w:tc>
              <w:tc>
                <w:tcPr>
                  <w:tcW w:w="819" w:type="pct"/>
                  <w:vMerge w:val="continue"/>
                  <w:tcBorders>
                    <w:tl2br w:val="nil"/>
                    <w:tr2bl w:val="nil"/>
                  </w:tcBorders>
                  <w:vAlign w:val="center"/>
                </w:tcPr>
                <w:p w14:paraId="0251B991">
                  <w:pPr>
                    <w:jc w:val="center"/>
                    <w:rPr>
                      <w:color w:val="auto"/>
                      <w:szCs w:val="21"/>
                      <w:highlight w:val="none"/>
                    </w:rPr>
                  </w:pPr>
                </w:p>
              </w:tc>
              <w:tc>
                <w:tcPr>
                  <w:tcW w:w="1081" w:type="pct"/>
                  <w:vMerge w:val="restart"/>
                  <w:tcBorders>
                    <w:tl2br w:val="nil"/>
                    <w:tr2bl w:val="nil"/>
                  </w:tcBorders>
                  <w:vAlign w:val="center"/>
                </w:tcPr>
                <w:p w14:paraId="6A082683">
                  <w:pPr>
                    <w:widowControl/>
                    <w:jc w:val="center"/>
                    <w:textAlignment w:val="center"/>
                    <w:rPr>
                      <w:rFonts w:hint="default"/>
                      <w:color w:val="auto"/>
                      <w:szCs w:val="21"/>
                      <w:highlight w:val="none"/>
                      <w:lang w:val="en-US" w:eastAsia="zh-CN"/>
                    </w:rPr>
                  </w:pPr>
                  <w:r>
                    <w:rPr>
                      <w:rFonts w:hint="eastAsia"/>
                      <w:color w:val="auto"/>
                      <w:szCs w:val="21"/>
                      <w:highlight w:val="none"/>
                      <w:lang w:val="en-US" w:eastAsia="zh-CN"/>
                    </w:rPr>
                    <w:t>废机油</w:t>
                  </w:r>
                </w:p>
              </w:tc>
              <w:tc>
                <w:tcPr>
                  <w:tcW w:w="1560" w:type="pct"/>
                  <w:vMerge w:val="restart"/>
                  <w:tcBorders>
                    <w:tl2br w:val="nil"/>
                    <w:tr2bl w:val="nil"/>
                  </w:tcBorders>
                  <w:vAlign w:val="center"/>
                </w:tcPr>
                <w:p w14:paraId="2C740DF4">
                  <w:pPr>
                    <w:widowControl/>
                    <w:jc w:val="center"/>
                    <w:textAlignment w:val="center"/>
                    <w:rPr>
                      <w:rFonts w:hint="default"/>
                      <w:color w:val="auto"/>
                      <w:szCs w:val="21"/>
                      <w:highlight w:val="none"/>
                      <w:lang w:val="en-US" w:eastAsia="zh-CN"/>
                    </w:rPr>
                  </w:pPr>
                  <w:r>
                    <w:rPr>
                      <w:rFonts w:hint="eastAsia"/>
                      <w:color w:val="auto"/>
                      <w:szCs w:val="21"/>
                      <w:highlight w:val="none"/>
                      <w:lang w:val="en-US" w:eastAsia="zh-CN"/>
                    </w:rPr>
                    <w:t>集中收集后暂存于危废暂存间内，定期委托有资质单位处置</w:t>
                  </w:r>
                </w:p>
              </w:tc>
              <w:tc>
                <w:tcPr>
                  <w:tcW w:w="853" w:type="pct"/>
                  <w:tcBorders>
                    <w:tl2br w:val="nil"/>
                    <w:tr2bl w:val="nil"/>
                  </w:tcBorders>
                  <w:vAlign w:val="center"/>
                </w:tcPr>
                <w:p w14:paraId="6EC82628">
                  <w:pPr>
                    <w:widowControl/>
                    <w:jc w:val="center"/>
                    <w:textAlignment w:val="center"/>
                    <w:rPr>
                      <w:rFonts w:hint="eastAsia"/>
                      <w:color w:val="auto"/>
                      <w:szCs w:val="21"/>
                      <w:highlight w:val="none"/>
                      <w:lang w:val="en-US" w:eastAsia="zh-CN"/>
                    </w:rPr>
                  </w:pPr>
                </w:p>
              </w:tc>
            </w:tr>
            <w:tr w14:paraId="0DEFD0E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85" w:type="pct"/>
                  <w:vMerge w:val="continue"/>
                  <w:tcBorders>
                    <w:tl2br w:val="nil"/>
                    <w:tr2bl w:val="nil"/>
                  </w:tcBorders>
                  <w:vAlign w:val="center"/>
                </w:tcPr>
                <w:p w14:paraId="46FDDA79">
                  <w:pPr>
                    <w:jc w:val="center"/>
                    <w:rPr>
                      <w:color w:val="auto"/>
                      <w:szCs w:val="21"/>
                    </w:rPr>
                  </w:pPr>
                </w:p>
              </w:tc>
              <w:tc>
                <w:tcPr>
                  <w:tcW w:w="819" w:type="pct"/>
                  <w:vMerge w:val="continue"/>
                  <w:tcBorders>
                    <w:tl2br w:val="nil"/>
                    <w:tr2bl w:val="nil"/>
                  </w:tcBorders>
                  <w:vAlign w:val="center"/>
                </w:tcPr>
                <w:p w14:paraId="1641C57C">
                  <w:pPr>
                    <w:jc w:val="center"/>
                    <w:rPr>
                      <w:color w:val="auto"/>
                      <w:szCs w:val="21"/>
                      <w:highlight w:val="none"/>
                    </w:rPr>
                  </w:pPr>
                </w:p>
              </w:tc>
              <w:tc>
                <w:tcPr>
                  <w:tcW w:w="1081" w:type="pct"/>
                  <w:vMerge w:val="continue"/>
                  <w:tcBorders>
                    <w:tl2br w:val="nil"/>
                    <w:tr2bl w:val="nil"/>
                  </w:tcBorders>
                  <w:vAlign w:val="center"/>
                </w:tcPr>
                <w:p w14:paraId="36D18A8D">
                  <w:pPr>
                    <w:widowControl/>
                    <w:jc w:val="center"/>
                    <w:textAlignment w:val="center"/>
                    <w:rPr>
                      <w:rFonts w:hint="default"/>
                      <w:color w:val="auto"/>
                      <w:szCs w:val="21"/>
                      <w:highlight w:val="none"/>
                      <w:lang w:val="en-US" w:eastAsia="zh-CN"/>
                    </w:rPr>
                  </w:pPr>
                </w:p>
              </w:tc>
              <w:tc>
                <w:tcPr>
                  <w:tcW w:w="1560" w:type="pct"/>
                  <w:vMerge w:val="continue"/>
                  <w:tcBorders>
                    <w:tl2br w:val="nil"/>
                    <w:tr2bl w:val="nil"/>
                  </w:tcBorders>
                  <w:vAlign w:val="center"/>
                </w:tcPr>
                <w:p w14:paraId="251437D6">
                  <w:pPr>
                    <w:widowControl/>
                    <w:jc w:val="center"/>
                    <w:textAlignment w:val="center"/>
                    <w:rPr>
                      <w:rFonts w:hint="default"/>
                      <w:color w:val="auto"/>
                      <w:szCs w:val="21"/>
                      <w:highlight w:val="none"/>
                      <w:lang w:val="en-US" w:eastAsia="zh-CN"/>
                    </w:rPr>
                  </w:pPr>
                </w:p>
              </w:tc>
              <w:tc>
                <w:tcPr>
                  <w:tcW w:w="853" w:type="pct"/>
                  <w:tcBorders>
                    <w:tl2br w:val="nil"/>
                    <w:tr2bl w:val="nil"/>
                  </w:tcBorders>
                  <w:vAlign w:val="center"/>
                </w:tcPr>
                <w:p w14:paraId="5CC0AFAF">
                  <w:pPr>
                    <w:widowControl/>
                    <w:jc w:val="center"/>
                    <w:textAlignment w:val="center"/>
                    <w:rPr>
                      <w:rFonts w:hint="default"/>
                      <w:color w:val="auto"/>
                      <w:szCs w:val="21"/>
                      <w:highlight w:val="none"/>
                      <w:lang w:val="en-US" w:eastAsia="zh-CN"/>
                    </w:rPr>
                  </w:pPr>
                  <w:r>
                    <w:rPr>
                      <w:rFonts w:hint="eastAsia"/>
                      <w:color w:val="auto"/>
                      <w:szCs w:val="21"/>
                      <w:highlight w:val="none"/>
                      <w:lang w:val="en-US" w:eastAsia="zh-CN"/>
                    </w:rPr>
                    <w:t>/</w:t>
                  </w:r>
                </w:p>
              </w:tc>
            </w:tr>
          </w:tbl>
          <w:p w14:paraId="17D30A98">
            <w:pPr>
              <w:pStyle w:val="44"/>
              <w:keepNext w:val="0"/>
              <w:keepLines w:val="0"/>
              <w:pageBreakBefore w:val="0"/>
              <w:widowControl w:val="0"/>
              <w:numPr>
                <w:ilvl w:val="0"/>
                <w:numId w:val="6"/>
              </w:numPr>
              <w:kinsoku/>
              <w:wordWrap/>
              <w:overflowPunct/>
              <w:topLinePunct w:val="0"/>
              <w:autoSpaceDE/>
              <w:autoSpaceDN/>
              <w:bidi w:val="0"/>
              <w:adjustRightInd/>
              <w:snapToGrid/>
              <w:spacing w:line="520" w:lineRule="exact"/>
              <w:ind w:left="0" w:leftChars="0" w:firstLine="0" w:firstLineChars="0"/>
              <w:textAlignment w:val="baseline"/>
              <w:rPr>
                <w:b/>
                <w:bCs/>
                <w:color w:val="auto"/>
              </w:rPr>
            </w:pPr>
            <w:r>
              <w:rPr>
                <w:b/>
                <w:bCs/>
                <w:color w:val="auto"/>
              </w:rPr>
              <w:t>主要生产设备</w:t>
            </w:r>
          </w:p>
          <w:p w14:paraId="56287D7E">
            <w:pPr>
              <w:pStyle w:val="44"/>
              <w:keepNext w:val="0"/>
              <w:keepLines w:val="0"/>
              <w:pageBreakBefore w:val="0"/>
              <w:widowControl w:val="0"/>
              <w:kinsoku/>
              <w:wordWrap/>
              <w:overflowPunct/>
              <w:topLinePunct w:val="0"/>
              <w:autoSpaceDE/>
              <w:autoSpaceDN/>
              <w:bidi w:val="0"/>
              <w:adjustRightInd/>
              <w:snapToGrid/>
              <w:spacing w:line="520" w:lineRule="exact"/>
              <w:ind w:firstLine="480"/>
              <w:textAlignment w:val="baseline"/>
              <w:rPr>
                <w:rFonts w:hint="eastAsia"/>
                <w:color w:val="auto"/>
                <w:lang w:val="en-US" w:eastAsia="zh-CN"/>
              </w:rPr>
            </w:pPr>
            <w:r>
              <w:rPr>
                <w:color w:val="auto"/>
              </w:rPr>
              <w:t>主要设备见表2-</w:t>
            </w:r>
            <w:r>
              <w:rPr>
                <w:rFonts w:hint="eastAsia"/>
                <w:color w:val="auto"/>
                <w:lang w:val="en-US" w:eastAsia="zh-CN"/>
              </w:rPr>
              <w:t>4。</w:t>
            </w:r>
          </w:p>
          <w:p w14:paraId="58CC08A8">
            <w:pPr>
              <w:pStyle w:val="44"/>
              <w:keepNext w:val="0"/>
              <w:keepLines w:val="0"/>
              <w:pageBreakBefore w:val="0"/>
              <w:widowControl w:val="0"/>
              <w:kinsoku/>
              <w:wordWrap/>
              <w:overflowPunct/>
              <w:topLinePunct w:val="0"/>
              <w:autoSpaceDE/>
              <w:autoSpaceDN/>
              <w:bidi w:val="0"/>
              <w:adjustRightInd/>
              <w:snapToGrid/>
              <w:spacing w:line="520" w:lineRule="exact"/>
              <w:ind w:firstLine="480"/>
              <w:textAlignment w:val="baseline"/>
              <w:rPr>
                <w:rFonts w:hint="eastAsia"/>
                <w:color w:val="auto"/>
                <w:lang w:val="en-US" w:eastAsia="zh-CN"/>
              </w:rPr>
            </w:pPr>
          </w:p>
          <w:p w14:paraId="4A2EFEC6">
            <w:pPr>
              <w:pStyle w:val="44"/>
              <w:keepNext w:val="0"/>
              <w:keepLines w:val="0"/>
              <w:pageBreakBefore w:val="0"/>
              <w:widowControl w:val="0"/>
              <w:kinsoku/>
              <w:wordWrap/>
              <w:overflowPunct/>
              <w:topLinePunct w:val="0"/>
              <w:autoSpaceDE/>
              <w:autoSpaceDN/>
              <w:bidi w:val="0"/>
              <w:adjustRightInd/>
              <w:snapToGrid/>
              <w:spacing w:line="520" w:lineRule="exact"/>
              <w:ind w:firstLine="480"/>
              <w:textAlignment w:val="baseline"/>
              <w:rPr>
                <w:rFonts w:hint="default"/>
                <w:color w:val="auto"/>
                <w:lang w:val="en-US" w:eastAsia="zh-CN"/>
              </w:rPr>
            </w:pPr>
          </w:p>
          <w:p w14:paraId="18036884">
            <w:pPr>
              <w:pStyle w:val="46"/>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color w:val="auto"/>
                <w:sz w:val="21"/>
                <w:szCs w:val="21"/>
              </w:rPr>
            </w:pPr>
            <w:r>
              <w:rPr>
                <w:b/>
                <w:bCs/>
                <w:color w:val="auto"/>
                <w:sz w:val="21"/>
                <w:szCs w:val="21"/>
              </w:rPr>
              <w:t>表2-</w:t>
            </w:r>
            <w:r>
              <w:rPr>
                <w:rFonts w:hint="eastAsia"/>
                <w:b/>
                <w:bCs/>
                <w:color w:val="auto"/>
                <w:sz w:val="21"/>
                <w:szCs w:val="21"/>
                <w:lang w:val="en-US" w:eastAsia="zh-CN"/>
              </w:rPr>
              <w:t>4</w:t>
            </w:r>
            <w:r>
              <w:rPr>
                <w:b/>
                <w:bCs/>
                <w:color w:val="auto"/>
                <w:sz w:val="21"/>
                <w:szCs w:val="21"/>
              </w:rPr>
              <w:t xml:space="preserve">   </w:t>
            </w:r>
            <w:r>
              <w:rPr>
                <w:rFonts w:hint="eastAsia"/>
                <w:b/>
                <w:bCs/>
                <w:color w:val="auto"/>
                <w:sz w:val="21"/>
                <w:szCs w:val="21"/>
                <w:lang w:val="en-US" w:eastAsia="zh-CN"/>
              </w:rPr>
              <w:t xml:space="preserve"> 本</w:t>
            </w:r>
            <w:r>
              <w:rPr>
                <w:b/>
                <w:bCs/>
                <w:color w:val="auto"/>
                <w:sz w:val="21"/>
                <w:szCs w:val="21"/>
              </w:rPr>
              <w:t>项目生产设备配置表</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73"/>
              <w:gridCol w:w="1458"/>
              <w:gridCol w:w="4800"/>
              <w:gridCol w:w="574"/>
              <w:gridCol w:w="582"/>
            </w:tblGrid>
            <w:tr w14:paraId="1E58B2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5"/>
                  <w:tcBorders>
                    <w:bottom w:val="single" w:color="auto" w:sz="12" w:space="0"/>
                  </w:tcBorders>
                  <w:vAlign w:val="center"/>
                </w:tcPr>
                <w:p w14:paraId="7FCFB337">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塑料制品生产设备配置</w:t>
                  </w:r>
                </w:p>
              </w:tc>
            </w:tr>
            <w:tr w14:paraId="37DDAE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9" w:type="pct"/>
                  <w:tcBorders>
                    <w:top w:val="single" w:color="auto" w:sz="12" w:space="0"/>
                    <w:tl2br w:val="nil"/>
                    <w:tr2bl w:val="nil"/>
                  </w:tcBorders>
                  <w:vAlign w:val="center"/>
                </w:tcPr>
                <w:p w14:paraId="3C4AD370">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913" w:type="pct"/>
                  <w:tcBorders>
                    <w:top w:val="single" w:color="auto" w:sz="12" w:space="0"/>
                    <w:tl2br w:val="nil"/>
                    <w:tr2bl w:val="nil"/>
                  </w:tcBorders>
                  <w:vAlign w:val="center"/>
                </w:tcPr>
                <w:p w14:paraId="21318B17">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设备名称</w:t>
                  </w:r>
                </w:p>
              </w:tc>
              <w:tc>
                <w:tcPr>
                  <w:tcW w:w="3005" w:type="pct"/>
                  <w:tcBorders>
                    <w:top w:val="single" w:color="auto" w:sz="12" w:space="0"/>
                    <w:tl2br w:val="nil"/>
                    <w:tr2bl w:val="nil"/>
                  </w:tcBorders>
                  <w:vAlign w:val="center"/>
                </w:tcPr>
                <w:p w14:paraId="0B81E45B">
                  <w:pPr>
                    <w:keepNext w:val="0"/>
                    <w:keepLines w:val="0"/>
                    <w:pageBreakBefore w:val="0"/>
                    <w:kinsoku/>
                    <w:wordWrap/>
                    <w:overflowPunct/>
                    <w:topLinePunct w:val="0"/>
                    <w:autoSpaceDE/>
                    <w:autoSpaceDN/>
                    <w:bidi w:val="0"/>
                    <w:adjustRightInd/>
                    <w:snapToGrid/>
                    <w:jc w:val="center"/>
                    <w:rPr>
                      <w:rFonts w:hint="eastAsia"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型号</w:t>
                  </w:r>
                </w:p>
              </w:tc>
              <w:tc>
                <w:tcPr>
                  <w:tcW w:w="359" w:type="pct"/>
                  <w:tcBorders>
                    <w:top w:val="single" w:color="auto" w:sz="12" w:space="0"/>
                    <w:tl2br w:val="nil"/>
                    <w:tr2bl w:val="nil"/>
                  </w:tcBorders>
                  <w:vAlign w:val="center"/>
                </w:tcPr>
                <w:p w14:paraId="4D2EDEC7">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数量</w:t>
                  </w:r>
                </w:p>
              </w:tc>
              <w:tc>
                <w:tcPr>
                  <w:tcW w:w="360" w:type="pct"/>
                  <w:tcBorders>
                    <w:top w:val="single" w:color="auto" w:sz="12" w:space="0"/>
                    <w:tl2br w:val="nil"/>
                    <w:tr2bl w:val="nil"/>
                  </w:tcBorders>
                  <w:vAlign w:val="center"/>
                </w:tcPr>
                <w:p w14:paraId="33101C80">
                  <w:pPr>
                    <w:keepNext w:val="0"/>
                    <w:keepLines w:val="0"/>
                    <w:pageBreakBefore w:val="0"/>
                    <w:kinsoku/>
                    <w:wordWrap/>
                    <w:overflowPunct/>
                    <w:topLinePunct w:val="0"/>
                    <w:autoSpaceDE/>
                    <w:autoSpaceDN/>
                    <w:bidi w:val="0"/>
                    <w:adjustRightInd/>
                    <w:snapToGrid/>
                    <w:jc w:val="center"/>
                    <w:rPr>
                      <w:rFonts w:hint="eastAsia"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备注</w:t>
                  </w:r>
                </w:p>
              </w:tc>
            </w:tr>
            <w:tr w14:paraId="1132C7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9" w:type="pct"/>
                  <w:tcBorders>
                    <w:tl2br w:val="nil"/>
                    <w:tr2bl w:val="nil"/>
                  </w:tcBorders>
                  <w:vAlign w:val="center"/>
                </w:tcPr>
                <w:p w14:paraId="7A15DEA8">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913" w:type="pct"/>
                  <w:tcBorders>
                    <w:tl2br w:val="nil"/>
                    <w:tr2bl w:val="nil"/>
                  </w:tcBorders>
                  <w:vAlign w:val="center"/>
                </w:tcPr>
                <w:p w14:paraId="502B22C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i w:val="0"/>
                      <w:iCs w:val="0"/>
                      <w:color w:val="auto"/>
                      <w:kern w:val="0"/>
                      <w:sz w:val="21"/>
                      <w:szCs w:val="21"/>
                      <w:u w:val="none"/>
                      <w:lang w:val="en-US" w:eastAsia="zh-CN" w:bidi="ar"/>
                    </w:rPr>
                    <w:t>原煤给煤机</w:t>
                  </w:r>
                </w:p>
              </w:tc>
              <w:tc>
                <w:tcPr>
                  <w:tcW w:w="3005" w:type="pct"/>
                  <w:tcBorders>
                    <w:tl2br w:val="nil"/>
                    <w:tr2bl w:val="nil"/>
                  </w:tcBorders>
                  <w:vAlign w:val="center"/>
                </w:tcPr>
                <w:p w14:paraId="3824A6E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往复式给料机，B=1200</w:t>
                  </w:r>
                </w:p>
              </w:tc>
              <w:tc>
                <w:tcPr>
                  <w:tcW w:w="359" w:type="pct"/>
                  <w:tcBorders>
                    <w:tl2br w:val="nil"/>
                    <w:tr2bl w:val="nil"/>
                  </w:tcBorders>
                  <w:vAlign w:val="center"/>
                </w:tcPr>
                <w:p w14:paraId="79B8B45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c>
                <w:tcPr>
                  <w:tcW w:w="360" w:type="pct"/>
                  <w:tcBorders>
                    <w:tl2br w:val="nil"/>
                    <w:tr2bl w:val="nil"/>
                  </w:tcBorders>
                  <w:vAlign w:val="center"/>
                </w:tcPr>
                <w:p w14:paraId="39DF72A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新建</w:t>
                  </w:r>
                </w:p>
              </w:tc>
            </w:tr>
            <w:tr w14:paraId="167D08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9" w:type="pct"/>
                  <w:tcBorders>
                    <w:tl2br w:val="nil"/>
                    <w:tr2bl w:val="nil"/>
                  </w:tcBorders>
                  <w:vAlign w:val="center"/>
                </w:tcPr>
                <w:p w14:paraId="38919F4A">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913" w:type="pct"/>
                  <w:tcBorders>
                    <w:tl2br w:val="nil"/>
                    <w:tr2bl w:val="nil"/>
                  </w:tcBorders>
                  <w:vAlign w:val="center"/>
                </w:tcPr>
                <w:p w14:paraId="5C88880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原煤分级筛</w:t>
                  </w:r>
                </w:p>
              </w:tc>
              <w:tc>
                <w:tcPr>
                  <w:tcW w:w="3005" w:type="pct"/>
                  <w:tcBorders>
                    <w:tl2br w:val="nil"/>
                    <w:tr2bl w:val="nil"/>
                  </w:tcBorders>
                  <w:vAlign w:val="center"/>
                </w:tcPr>
                <w:p w14:paraId="2A44FEC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Y1836，筛箱主板、副板采用10厚中板，轴管10厚无缝管</w:t>
                  </w:r>
                </w:p>
              </w:tc>
              <w:tc>
                <w:tcPr>
                  <w:tcW w:w="359" w:type="pct"/>
                  <w:tcBorders>
                    <w:tl2br w:val="nil"/>
                    <w:tr2bl w:val="nil"/>
                  </w:tcBorders>
                  <w:vAlign w:val="center"/>
                </w:tcPr>
                <w:p w14:paraId="6AE3F16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c>
                <w:tcPr>
                  <w:tcW w:w="360" w:type="pct"/>
                  <w:tcBorders>
                    <w:tl2br w:val="nil"/>
                    <w:tr2bl w:val="nil"/>
                  </w:tcBorders>
                  <w:vAlign w:val="center"/>
                </w:tcPr>
                <w:p w14:paraId="6BDF4B9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新建</w:t>
                  </w:r>
                </w:p>
              </w:tc>
            </w:tr>
            <w:tr w14:paraId="3290E1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9" w:type="pct"/>
                  <w:tcBorders>
                    <w:tl2br w:val="nil"/>
                    <w:tr2bl w:val="nil"/>
                  </w:tcBorders>
                  <w:vAlign w:val="center"/>
                </w:tcPr>
                <w:p w14:paraId="03E35977">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w:t>
                  </w:r>
                </w:p>
              </w:tc>
              <w:tc>
                <w:tcPr>
                  <w:tcW w:w="913" w:type="pct"/>
                  <w:tcBorders>
                    <w:tl2br w:val="nil"/>
                    <w:tr2bl w:val="nil"/>
                  </w:tcBorders>
                  <w:vAlign w:val="center"/>
                </w:tcPr>
                <w:p w14:paraId="2402FC5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原煤锤式破碎机</w:t>
                  </w:r>
                </w:p>
              </w:tc>
              <w:tc>
                <w:tcPr>
                  <w:tcW w:w="3005" w:type="pct"/>
                  <w:tcBorders>
                    <w:tl2br w:val="nil"/>
                    <w:tr2bl w:val="nil"/>
                  </w:tcBorders>
                  <w:vAlign w:val="center"/>
                </w:tcPr>
                <w:p w14:paraId="73BFB7A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CP1410</w:t>
                  </w: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壳体主板16厚，副板16厚</w:t>
                  </w: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锻打65锰锤头</w:t>
                  </w:r>
                </w:p>
              </w:tc>
              <w:tc>
                <w:tcPr>
                  <w:tcW w:w="359" w:type="pct"/>
                  <w:tcBorders>
                    <w:tl2br w:val="nil"/>
                    <w:tr2bl w:val="nil"/>
                  </w:tcBorders>
                  <w:vAlign w:val="center"/>
                </w:tcPr>
                <w:p w14:paraId="779F477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w:t>
                  </w:r>
                </w:p>
              </w:tc>
              <w:tc>
                <w:tcPr>
                  <w:tcW w:w="360" w:type="pct"/>
                  <w:tcBorders>
                    <w:tl2br w:val="nil"/>
                    <w:tr2bl w:val="nil"/>
                  </w:tcBorders>
                  <w:vAlign w:val="center"/>
                </w:tcPr>
                <w:p w14:paraId="241BB17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新建</w:t>
                  </w:r>
                </w:p>
              </w:tc>
            </w:tr>
            <w:tr w14:paraId="25B5CC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9" w:type="pct"/>
                  <w:tcBorders>
                    <w:tl2br w:val="nil"/>
                    <w:tr2bl w:val="nil"/>
                  </w:tcBorders>
                  <w:vAlign w:val="center"/>
                </w:tcPr>
                <w:p w14:paraId="2FF0E6B3">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w:t>
                  </w:r>
                </w:p>
              </w:tc>
              <w:tc>
                <w:tcPr>
                  <w:tcW w:w="913" w:type="pct"/>
                  <w:tcBorders>
                    <w:tl2br w:val="nil"/>
                    <w:tr2bl w:val="nil"/>
                  </w:tcBorders>
                  <w:vAlign w:val="center"/>
                </w:tcPr>
                <w:p w14:paraId="07ADCB9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原煤脱泥筛</w:t>
                  </w:r>
                </w:p>
              </w:tc>
              <w:tc>
                <w:tcPr>
                  <w:tcW w:w="3005" w:type="pct"/>
                  <w:tcBorders>
                    <w:tl2br w:val="nil"/>
                    <w:tr2bl w:val="nil"/>
                  </w:tcBorders>
                  <w:vAlign w:val="center"/>
                </w:tcPr>
                <w:p w14:paraId="3540AF6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ZK2448，筛箱主板、副板采用10厚中板</w:t>
                  </w:r>
                </w:p>
              </w:tc>
              <w:tc>
                <w:tcPr>
                  <w:tcW w:w="359" w:type="pct"/>
                  <w:tcBorders>
                    <w:tl2br w:val="nil"/>
                    <w:tr2bl w:val="nil"/>
                  </w:tcBorders>
                  <w:vAlign w:val="center"/>
                </w:tcPr>
                <w:p w14:paraId="0D9E8E6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c>
                <w:tcPr>
                  <w:tcW w:w="360" w:type="pct"/>
                  <w:tcBorders>
                    <w:tl2br w:val="nil"/>
                    <w:tr2bl w:val="nil"/>
                  </w:tcBorders>
                  <w:vAlign w:val="center"/>
                </w:tcPr>
                <w:p w14:paraId="0D78216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新建</w:t>
                  </w:r>
                </w:p>
              </w:tc>
            </w:tr>
            <w:tr w14:paraId="6203E1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9" w:type="pct"/>
                  <w:tcBorders>
                    <w:tl2br w:val="nil"/>
                    <w:tr2bl w:val="nil"/>
                  </w:tcBorders>
                  <w:vAlign w:val="center"/>
                </w:tcPr>
                <w:p w14:paraId="24A61AF0">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5</w:t>
                  </w:r>
                </w:p>
              </w:tc>
              <w:tc>
                <w:tcPr>
                  <w:tcW w:w="913" w:type="pct"/>
                  <w:tcBorders>
                    <w:tl2br w:val="nil"/>
                    <w:tr2bl w:val="nil"/>
                  </w:tcBorders>
                  <w:vAlign w:val="center"/>
                </w:tcPr>
                <w:p w14:paraId="36B8045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数控洗煤机</w:t>
                  </w:r>
                </w:p>
              </w:tc>
              <w:tc>
                <w:tcPr>
                  <w:tcW w:w="3005" w:type="pct"/>
                  <w:tcBorders>
                    <w:tl2br w:val="nil"/>
                    <w:tr2bl w:val="nil"/>
                  </w:tcBorders>
                  <w:vAlign w:val="center"/>
                </w:tcPr>
                <w:p w14:paraId="77A6603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SKT-16m²主机通身采用16厚中板，冲孔筛板</w:t>
                  </w:r>
                </w:p>
              </w:tc>
              <w:tc>
                <w:tcPr>
                  <w:tcW w:w="359" w:type="pct"/>
                  <w:tcBorders>
                    <w:tl2br w:val="nil"/>
                    <w:tr2bl w:val="nil"/>
                  </w:tcBorders>
                  <w:vAlign w:val="center"/>
                </w:tcPr>
                <w:p w14:paraId="20DE031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w:t>
                  </w:r>
                </w:p>
              </w:tc>
              <w:tc>
                <w:tcPr>
                  <w:tcW w:w="360" w:type="pct"/>
                  <w:tcBorders>
                    <w:tl2br w:val="nil"/>
                    <w:tr2bl w:val="nil"/>
                  </w:tcBorders>
                  <w:vAlign w:val="center"/>
                </w:tcPr>
                <w:p w14:paraId="06C2717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新建</w:t>
                  </w:r>
                </w:p>
              </w:tc>
            </w:tr>
            <w:tr w14:paraId="276D09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9" w:type="pct"/>
                  <w:tcBorders>
                    <w:tl2br w:val="nil"/>
                    <w:tr2bl w:val="nil"/>
                  </w:tcBorders>
                  <w:vAlign w:val="center"/>
                </w:tcPr>
                <w:p w14:paraId="107F318F">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6</w:t>
                  </w:r>
                </w:p>
              </w:tc>
              <w:tc>
                <w:tcPr>
                  <w:tcW w:w="913" w:type="pct"/>
                  <w:tcBorders>
                    <w:tl2br w:val="nil"/>
                    <w:tr2bl w:val="nil"/>
                  </w:tcBorders>
                  <w:vAlign w:val="center"/>
                </w:tcPr>
                <w:p w14:paraId="3B5EE44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风箱系统</w:t>
                  </w:r>
                </w:p>
              </w:tc>
              <w:tc>
                <w:tcPr>
                  <w:tcW w:w="3005" w:type="pct"/>
                  <w:tcBorders>
                    <w:tl2br w:val="nil"/>
                    <w:tr2bl w:val="nil"/>
                  </w:tcBorders>
                  <w:vAlign w:val="center"/>
                </w:tcPr>
                <w:p w14:paraId="283086B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盖板阀，改进型风道</w:t>
                  </w:r>
                </w:p>
              </w:tc>
              <w:tc>
                <w:tcPr>
                  <w:tcW w:w="359" w:type="pct"/>
                  <w:tcBorders>
                    <w:tl2br w:val="nil"/>
                    <w:tr2bl w:val="nil"/>
                  </w:tcBorders>
                  <w:vAlign w:val="center"/>
                </w:tcPr>
                <w:p w14:paraId="42EAEB5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c>
                <w:tcPr>
                  <w:tcW w:w="360" w:type="pct"/>
                  <w:tcBorders>
                    <w:tl2br w:val="nil"/>
                    <w:tr2bl w:val="nil"/>
                  </w:tcBorders>
                  <w:vAlign w:val="center"/>
                </w:tcPr>
                <w:p w14:paraId="02783A5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新建</w:t>
                  </w:r>
                </w:p>
              </w:tc>
            </w:tr>
            <w:tr w14:paraId="11A1DB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9" w:type="pct"/>
                  <w:tcBorders>
                    <w:tl2br w:val="nil"/>
                    <w:tr2bl w:val="nil"/>
                  </w:tcBorders>
                  <w:vAlign w:val="center"/>
                </w:tcPr>
                <w:p w14:paraId="19EBF03E">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7</w:t>
                  </w:r>
                </w:p>
              </w:tc>
              <w:tc>
                <w:tcPr>
                  <w:tcW w:w="913" w:type="pct"/>
                  <w:tcBorders>
                    <w:tl2br w:val="nil"/>
                    <w:tr2bl w:val="nil"/>
                  </w:tcBorders>
                  <w:vAlign w:val="center"/>
                </w:tcPr>
                <w:p w14:paraId="443968A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风包</w:t>
                  </w:r>
                </w:p>
              </w:tc>
              <w:tc>
                <w:tcPr>
                  <w:tcW w:w="3005" w:type="pct"/>
                  <w:tcBorders>
                    <w:tl2br w:val="nil"/>
                    <w:tr2bl w:val="nil"/>
                  </w:tcBorders>
                  <w:vAlign w:val="center"/>
                </w:tcPr>
                <w:p w14:paraId="324189A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φ1510*2520高，冲压封头</w:t>
                  </w:r>
                </w:p>
              </w:tc>
              <w:tc>
                <w:tcPr>
                  <w:tcW w:w="359" w:type="pct"/>
                  <w:tcBorders>
                    <w:tl2br w:val="nil"/>
                    <w:tr2bl w:val="nil"/>
                  </w:tcBorders>
                  <w:vAlign w:val="center"/>
                </w:tcPr>
                <w:p w14:paraId="1F95C2E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c>
                <w:tcPr>
                  <w:tcW w:w="360" w:type="pct"/>
                  <w:tcBorders>
                    <w:tl2br w:val="nil"/>
                    <w:tr2bl w:val="nil"/>
                  </w:tcBorders>
                  <w:vAlign w:val="center"/>
                </w:tcPr>
                <w:p w14:paraId="209EAB8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新建</w:t>
                  </w:r>
                </w:p>
              </w:tc>
            </w:tr>
            <w:tr w14:paraId="59DBC1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9" w:type="pct"/>
                  <w:tcBorders>
                    <w:tl2br w:val="nil"/>
                    <w:tr2bl w:val="nil"/>
                  </w:tcBorders>
                  <w:vAlign w:val="center"/>
                </w:tcPr>
                <w:p w14:paraId="75DB4982">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8</w:t>
                  </w:r>
                </w:p>
              </w:tc>
              <w:tc>
                <w:tcPr>
                  <w:tcW w:w="913" w:type="pct"/>
                  <w:tcBorders>
                    <w:tl2br w:val="nil"/>
                    <w:tr2bl w:val="nil"/>
                  </w:tcBorders>
                  <w:vAlign w:val="center"/>
                </w:tcPr>
                <w:p w14:paraId="2C5AD4B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矸石斗提机</w:t>
                  </w:r>
                </w:p>
              </w:tc>
              <w:tc>
                <w:tcPr>
                  <w:tcW w:w="3005" w:type="pct"/>
                  <w:tcBorders>
                    <w:tl2br w:val="nil"/>
                    <w:tr2bl w:val="nil"/>
                  </w:tcBorders>
                  <w:vAlign w:val="center"/>
                </w:tcPr>
                <w:p w14:paraId="3053E90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T40120 （弹簧钢链板、带跑轮机身12厚，下体板厚16mm）</w:t>
                  </w:r>
                </w:p>
              </w:tc>
              <w:tc>
                <w:tcPr>
                  <w:tcW w:w="359" w:type="pct"/>
                  <w:tcBorders>
                    <w:tl2br w:val="nil"/>
                    <w:tr2bl w:val="nil"/>
                  </w:tcBorders>
                  <w:vAlign w:val="center"/>
                </w:tcPr>
                <w:p w14:paraId="17F0E34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c>
                <w:tcPr>
                  <w:tcW w:w="360" w:type="pct"/>
                  <w:tcBorders>
                    <w:tl2br w:val="nil"/>
                    <w:tr2bl w:val="nil"/>
                  </w:tcBorders>
                  <w:vAlign w:val="center"/>
                </w:tcPr>
                <w:p w14:paraId="76C2486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新建</w:t>
                  </w:r>
                </w:p>
              </w:tc>
            </w:tr>
            <w:tr w14:paraId="23D1EB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9" w:type="pct"/>
                  <w:tcBorders>
                    <w:tl2br w:val="nil"/>
                    <w:tr2bl w:val="nil"/>
                  </w:tcBorders>
                  <w:vAlign w:val="center"/>
                </w:tcPr>
                <w:p w14:paraId="272C4DC9">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9</w:t>
                  </w:r>
                </w:p>
              </w:tc>
              <w:tc>
                <w:tcPr>
                  <w:tcW w:w="913" w:type="pct"/>
                  <w:tcBorders>
                    <w:tl2br w:val="nil"/>
                    <w:tr2bl w:val="nil"/>
                  </w:tcBorders>
                  <w:vAlign w:val="center"/>
                </w:tcPr>
                <w:p w14:paraId="5DE1ED7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中煤斗提机</w:t>
                  </w:r>
                </w:p>
              </w:tc>
              <w:tc>
                <w:tcPr>
                  <w:tcW w:w="3005" w:type="pct"/>
                  <w:tcBorders>
                    <w:tl2br w:val="nil"/>
                    <w:tr2bl w:val="nil"/>
                  </w:tcBorders>
                  <w:vAlign w:val="center"/>
                </w:tcPr>
                <w:p w14:paraId="6D1345A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T32100  （弹簧钢链板、带跑轮机身10厚，下体板厚16mm）</w:t>
                  </w:r>
                </w:p>
              </w:tc>
              <w:tc>
                <w:tcPr>
                  <w:tcW w:w="359" w:type="pct"/>
                  <w:tcBorders>
                    <w:tl2br w:val="nil"/>
                    <w:tr2bl w:val="nil"/>
                  </w:tcBorders>
                  <w:vAlign w:val="center"/>
                </w:tcPr>
                <w:p w14:paraId="2E8D292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c>
                <w:tcPr>
                  <w:tcW w:w="360" w:type="pct"/>
                  <w:tcBorders>
                    <w:tl2br w:val="nil"/>
                    <w:tr2bl w:val="nil"/>
                  </w:tcBorders>
                  <w:vAlign w:val="center"/>
                </w:tcPr>
                <w:p w14:paraId="3241E24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新建</w:t>
                  </w:r>
                </w:p>
              </w:tc>
            </w:tr>
            <w:tr w14:paraId="5232AE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 w:hRule="atLeast"/>
                <w:jc w:val="center"/>
              </w:trPr>
              <w:tc>
                <w:tcPr>
                  <w:tcW w:w="359" w:type="pct"/>
                  <w:tcBorders>
                    <w:tl2br w:val="nil"/>
                    <w:tr2bl w:val="nil"/>
                  </w:tcBorders>
                  <w:vAlign w:val="center"/>
                </w:tcPr>
                <w:p w14:paraId="0833E9E5">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w:t>
                  </w:r>
                </w:p>
              </w:tc>
              <w:tc>
                <w:tcPr>
                  <w:tcW w:w="913" w:type="pct"/>
                  <w:tcBorders>
                    <w:tl2br w:val="nil"/>
                    <w:tr2bl w:val="nil"/>
                  </w:tcBorders>
                  <w:vAlign w:val="center"/>
                </w:tcPr>
                <w:p w14:paraId="5A7FF45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次精煤斗提机</w:t>
                  </w:r>
                </w:p>
              </w:tc>
              <w:tc>
                <w:tcPr>
                  <w:tcW w:w="3005" w:type="pct"/>
                  <w:tcBorders>
                    <w:tl2br w:val="nil"/>
                    <w:tr2bl w:val="nil"/>
                  </w:tcBorders>
                  <w:vAlign w:val="center"/>
                </w:tcPr>
                <w:p w14:paraId="0355821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T3280  （弹簧钢链板、带跑轮机身10厚，下体板厚12mm）</w:t>
                  </w:r>
                </w:p>
              </w:tc>
              <w:tc>
                <w:tcPr>
                  <w:tcW w:w="359" w:type="pct"/>
                  <w:tcBorders>
                    <w:tl2br w:val="nil"/>
                    <w:tr2bl w:val="nil"/>
                  </w:tcBorders>
                  <w:vAlign w:val="center"/>
                </w:tcPr>
                <w:p w14:paraId="4E021F2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c>
                <w:tcPr>
                  <w:tcW w:w="360" w:type="pct"/>
                  <w:tcBorders>
                    <w:tl2br w:val="nil"/>
                    <w:tr2bl w:val="nil"/>
                  </w:tcBorders>
                  <w:vAlign w:val="center"/>
                </w:tcPr>
                <w:p w14:paraId="283267B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新建</w:t>
                  </w:r>
                </w:p>
              </w:tc>
            </w:tr>
            <w:tr w14:paraId="3B4D64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9" w:type="pct"/>
                  <w:tcBorders>
                    <w:tl2br w:val="nil"/>
                    <w:tr2bl w:val="nil"/>
                  </w:tcBorders>
                  <w:vAlign w:val="center"/>
                </w:tcPr>
                <w:p w14:paraId="5F1C9D02">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11</w:t>
                  </w:r>
                </w:p>
              </w:tc>
              <w:tc>
                <w:tcPr>
                  <w:tcW w:w="913" w:type="pct"/>
                  <w:tcBorders>
                    <w:tl2br w:val="nil"/>
                    <w:tr2bl w:val="nil"/>
                  </w:tcBorders>
                  <w:vAlign w:val="center"/>
                </w:tcPr>
                <w:p w14:paraId="58E871E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精煤脱水筛</w:t>
                  </w:r>
                </w:p>
              </w:tc>
              <w:tc>
                <w:tcPr>
                  <w:tcW w:w="3005" w:type="pct"/>
                  <w:tcBorders>
                    <w:tl2br w:val="nil"/>
                    <w:tr2bl w:val="nil"/>
                  </w:tcBorders>
                  <w:vAlign w:val="center"/>
                </w:tcPr>
                <w:p w14:paraId="598ACB7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ZK2048，筛箱主板、副板采用10厚中板，轴管10厚无缝管</w:t>
                  </w:r>
                </w:p>
              </w:tc>
              <w:tc>
                <w:tcPr>
                  <w:tcW w:w="359" w:type="pct"/>
                  <w:tcBorders>
                    <w:tl2br w:val="nil"/>
                    <w:tr2bl w:val="nil"/>
                  </w:tcBorders>
                  <w:vAlign w:val="center"/>
                </w:tcPr>
                <w:p w14:paraId="53BFDD3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w:t>
                  </w:r>
                </w:p>
              </w:tc>
              <w:tc>
                <w:tcPr>
                  <w:tcW w:w="360" w:type="pct"/>
                  <w:tcBorders>
                    <w:tl2br w:val="nil"/>
                    <w:tr2bl w:val="nil"/>
                  </w:tcBorders>
                  <w:vAlign w:val="center"/>
                </w:tcPr>
                <w:p w14:paraId="1641BB5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新建</w:t>
                  </w:r>
                </w:p>
              </w:tc>
            </w:tr>
            <w:tr w14:paraId="64AA1B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9" w:type="pct"/>
                  <w:tcBorders>
                    <w:tl2br w:val="nil"/>
                    <w:tr2bl w:val="nil"/>
                  </w:tcBorders>
                  <w:vAlign w:val="center"/>
                </w:tcPr>
                <w:p w14:paraId="550DE356">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12</w:t>
                  </w:r>
                </w:p>
              </w:tc>
              <w:tc>
                <w:tcPr>
                  <w:tcW w:w="913" w:type="pct"/>
                  <w:tcBorders>
                    <w:tl2br w:val="nil"/>
                    <w:tr2bl w:val="nil"/>
                  </w:tcBorders>
                  <w:vAlign w:val="center"/>
                </w:tcPr>
                <w:p w14:paraId="03403AA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离心机</w:t>
                  </w:r>
                </w:p>
              </w:tc>
              <w:tc>
                <w:tcPr>
                  <w:tcW w:w="3005" w:type="pct"/>
                  <w:tcBorders>
                    <w:tl2br w:val="nil"/>
                    <w:tr2bl w:val="nil"/>
                  </w:tcBorders>
                  <w:vAlign w:val="center"/>
                </w:tcPr>
                <w:p w14:paraId="6BA4D35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TLL1150立式刮刀离心机</w:t>
                  </w:r>
                </w:p>
              </w:tc>
              <w:tc>
                <w:tcPr>
                  <w:tcW w:w="359" w:type="pct"/>
                  <w:tcBorders>
                    <w:tl2br w:val="nil"/>
                    <w:tr2bl w:val="nil"/>
                  </w:tcBorders>
                  <w:vAlign w:val="center"/>
                </w:tcPr>
                <w:p w14:paraId="49C96A6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w:t>
                  </w:r>
                </w:p>
              </w:tc>
              <w:tc>
                <w:tcPr>
                  <w:tcW w:w="360" w:type="pct"/>
                  <w:tcBorders>
                    <w:tl2br w:val="nil"/>
                    <w:tr2bl w:val="nil"/>
                  </w:tcBorders>
                  <w:vAlign w:val="center"/>
                </w:tcPr>
                <w:p w14:paraId="3A93011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新建</w:t>
                  </w:r>
                </w:p>
              </w:tc>
            </w:tr>
            <w:tr w14:paraId="3D1C83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9" w:type="pct"/>
                  <w:tcBorders>
                    <w:tl2br w:val="nil"/>
                    <w:tr2bl w:val="nil"/>
                  </w:tcBorders>
                  <w:vAlign w:val="center"/>
                </w:tcPr>
                <w:p w14:paraId="103DBEB0">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13</w:t>
                  </w:r>
                </w:p>
              </w:tc>
              <w:tc>
                <w:tcPr>
                  <w:tcW w:w="913" w:type="pct"/>
                  <w:tcBorders>
                    <w:tl2br w:val="nil"/>
                    <w:tr2bl w:val="nil"/>
                  </w:tcBorders>
                  <w:vAlign w:val="center"/>
                </w:tcPr>
                <w:p w14:paraId="0C95F01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细精煤回收筛</w:t>
                  </w:r>
                </w:p>
              </w:tc>
              <w:tc>
                <w:tcPr>
                  <w:tcW w:w="3005" w:type="pct"/>
                  <w:tcBorders>
                    <w:tl2br w:val="nil"/>
                    <w:tr2bl w:val="nil"/>
                  </w:tcBorders>
                  <w:vAlign w:val="center"/>
                </w:tcPr>
                <w:p w14:paraId="1B83CC5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ZK2043筛箱主板、副板采用8厚中板，轴管8厚无缝管</w:t>
                  </w:r>
                </w:p>
              </w:tc>
              <w:tc>
                <w:tcPr>
                  <w:tcW w:w="359" w:type="pct"/>
                  <w:tcBorders>
                    <w:tl2br w:val="nil"/>
                    <w:tr2bl w:val="nil"/>
                  </w:tcBorders>
                  <w:vAlign w:val="center"/>
                </w:tcPr>
                <w:p w14:paraId="7520FDC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6</w:t>
                  </w:r>
                </w:p>
              </w:tc>
              <w:tc>
                <w:tcPr>
                  <w:tcW w:w="360" w:type="pct"/>
                  <w:tcBorders>
                    <w:tl2br w:val="nil"/>
                    <w:tr2bl w:val="nil"/>
                  </w:tcBorders>
                  <w:vAlign w:val="center"/>
                </w:tcPr>
                <w:p w14:paraId="2C729B4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新建</w:t>
                  </w:r>
                </w:p>
              </w:tc>
            </w:tr>
            <w:tr w14:paraId="369B1F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9" w:type="pct"/>
                  <w:tcBorders>
                    <w:tl2br w:val="nil"/>
                    <w:tr2bl w:val="nil"/>
                  </w:tcBorders>
                  <w:vAlign w:val="center"/>
                </w:tcPr>
                <w:p w14:paraId="2BF3454E">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14</w:t>
                  </w:r>
                </w:p>
              </w:tc>
              <w:tc>
                <w:tcPr>
                  <w:tcW w:w="913" w:type="pct"/>
                  <w:tcBorders>
                    <w:tl2br w:val="nil"/>
                    <w:tr2bl w:val="nil"/>
                  </w:tcBorders>
                  <w:vAlign w:val="center"/>
                </w:tcPr>
                <w:p w14:paraId="729290C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螺旋矸石回收筛</w:t>
                  </w:r>
                </w:p>
              </w:tc>
              <w:tc>
                <w:tcPr>
                  <w:tcW w:w="3005" w:type="pct"/>
                  <w:tcBorders>
                    <w:tl2br w:val="nil"/>
                    <w:tr2bl w:val="nil"/>
                  </w:tcBorders>
                  <w:vAlign w:val="center"/>
                </w:tcPr>
                <w:p w14:paraId="2BD4FCF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ZK1843筛箱主板、副板采用8厚中板，轴管8厚无缝管</w:t>
                  </w:r>
                </w:p>
              </w:tc>
              <w:tc>
                <w:tcPr>
                  <w:tcW w:w="359" w:type="pct"/>
                  <w:tcBorders>
                    <w:tl2br w:val="nil"/>
                    <w:tr2bl w:val="nil"/>
                  </w:tcBorders>
                  <w:vAlign w:val="center"/>
                </w:tcPr>
                <w:p w14:paraId="0D7A48E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c>
                <w:tcPr>
                  <w:tcW w:w="360" w:type="pct"/>
                  <w:tcBorders>
                    <w:tl2br w:val="nil"/>
                    <w:tr2bl w:val="nil"/>
                  </w:tcBorders>
                  <w:vAlign w:val="center"/>
                </w:tcPr>
                <w:p w14:paraId="67F566A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新建</w:t>
                  </w:r>
                </w:p>
              </w:tc>
            </w:tr>
            <w:tr w14:paraId="0BC6EC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9" w:type="pct"/>
                  <w:tcBorders>
                    <w:tl2br w:val="nil"/>
                    <w:tr2bl w:val="nil"/>
                  </w:tcBorders>
                  <w:vAlign w:val="center"/>
                </w:tcPr>
                <w:p w14:paraId="2845150A">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15</w:t>
                  </w:r>
                </w:p>
              </w:tc>
              <w:tc>
                <w:tcPr>
                  <w:tcW w:w="913" w:type="pct"/>
                  <w:tcBorders>
                    <w:tl2br w:val="nil"/>
                    <w:tr2bl w:val="nil"/>
                  </w:tcBorders>
                  <w:vAlign w:val="center"/>
                </w:tcPr>
                <w:p w14:paraId="071B1F7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煤泥截粗筛</w:t>
                  </w:r>
                </w:p>
              </w:tc>
              <w:tc>
                <w:tcPr>
                  <w:tcW w:w="3005" w:type="pct"/>
                  <w:tcBorders>
                    <w:tl2br w:val="nil"/>
                    <w:tr2bl w:val="nil"/>
                  </w:tcBorders>
                  <w:vAlign w:val="center"/>
                </w:tcPr>
                <w:p w14:paraId="6B3A9DA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JC-1845筛箱主板、副板采用8厚中板，轴管8厚无缝管</w:t>
                  </w:r>
                </w:p>
              </w:tc>
              <w:tc>
                <w:tcPr>
                  <w:tcW w:w="359" w:type="pct"/>
                  <w:tcBorders>
                    <w:tl2br w:val="nil"/>
                    <w:tr2bl w:val="nil"/>
                  </w:tcBorders>
                  <w:vAlign w:val="center"/>
                </w:tcPr>
                <w:p w14:paraId="5CDE1C9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c>
                <w:tcPr>
                  <w:tcW w:w="360" w:type="pct"/>
                  <w:tcBorders>
                    <w:tl2br w:val="nil"/>
                    <w:tr2bl w:val="nil"/>
                  </w:tcBorders>
                  <w:vAlign w:val="center"/>
                </w:tcPr>
                <w:p w14:paraId="3970343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新建</w:t>
                  </w:r>
                </w:p>
              </w:tc>
            </w:tr>
            <w:tr w14:paraId="4B0A59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9" w:type="pct"/>
                  <w:tcBorders>
                    <w:tl2br w:val="nil"/>
                    <w:tr2bl w:val="nil"/>
                  </w:tcBorders>
                  <w:vAlign w:val="center"/>
                </w:tcPr>
                <w:p w14:paraId="58F6235E">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16</w:t>
                  </w:r>
                </w:p>
              </w:tc>
              <w:tc>
                <w:tcPr>
                  <w:tcW w:w="913" w:type="pct"/>
                  <w:tcBorders>
                    <w:tl2br w:val="nil"/>
                    <w:tr2bl w:val="nil"/>
                  </w:tcBorders>
                  <w:vAlign w:val="center"/>
                </w:tcPr>
                <w:p w14:paraId="05D7178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煤泥脱泥筛</w:t>
                  </w:r>
                </w:p>
              </w:tc>
              <w:tc>
                <w:tcPr>
                  <w:tcW w:w="3005" w:type="pct"/>
                  <w:tcBorders>
                    <w:tl2br w:val="nil"/>
                    <w:tr2bl w:val="nil"/>
                  </w:tcBorders>
                  <w:vAlign w:val="center"/>
                </w:tcPr>
                <w:p w14:paraId="1DEAFC4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ZK2043筛箱主板、副板采用8厚中板，轴管8厚无缝管</w:t>
                  </w:r>
                </w:p>
              </w:tc>
              <w:tc>
                <w:tcPr>
                  <w:tcW w:w="359" w:type="pct"/>
                  <w:tcBorders>
                    <w:tl2br w:val="nil"/>
                    <w:tr2bl w:val="nil"/>
                  </w:tcBorders>
                  <w:vAlign w:val="center"/>
                </w:tcPr>
                <w:p w14:paraId="7D85642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5</w:t>
                  </w:r>
                </w:p>
              </w:tc>
              <w:tc>
                <w:tcPr>
                  <w:tcW w:w="360" w:type="pct"/>
                  <w:tcBorders>
                    <w:tl2br w:val="nil"/>
                    <w:tr2bl w:val="nil"/>
                  </w:tcBorders>
                  <w:vAlign w:val="center"/>
                </w:tcPr>
                <w:p w14:paraId="1FDAD73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新建</w:t>
                  </w:r>
                </w:p>
              </w:tc>
            </w:tr>
            <w:tr w14:paraId="65991C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9" w:type="pct"/>
                  <w:tcBorders>
                    <w:tl2br w:val="nil"/>
                    <w:tr2bl w:val="nil"/>
                  </w:tcBorders>
                  <w:vAlign w:val="center"/>
                </w:tcPr>
                <w:p w14:paraId="1E8E9CE7">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17</w:t>
                  </w:r>
                </w:p>
              </w:tc>
              <w:tc>
                <w:tcPr>
                  <w:tcW w:w="913" w:type="pct"/>
                  <w:tcBorders>
                    <w:tl2br w:val="nil"/>
                    <w:tr2bl w:val="nil"/>
                  </w:tcBorders>
                  <w:vAlign w:val="center"/>
                </w:tcPr>
                <w:p w14:paraId="411147E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螺旋中煤回收筛</w:t>
                  </w:r>
                </w:p>
              </w:tc>
              <w:tc>
                <w:tcPr>
                  <w:tcW w:w="3005" w:type="pct"/>
                  <w:tcBorders>
                    <w:tl2br w:val="nil"/>
                    <w:tr2bl w:val="nil"/>
                  </w:tcBorders>
                  <w:vAlign w:val="center"/>
                </w:tcPr>
                <w:p w14:paraId="5AAD4D9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ZK1843筛箱主板、副板采用8厚中板，轴管8厚无缝管</w:t>
                  </w:r>
                </w:p>
              </w:tc>
              <w:tc>
                <w:tcPr>
                  <w:tcW w:w="359" w:type="pct"/>
                  <w:tcBorders>
                    <w:tl2br w:val="nil"/>
                    <w:tr2bl w:val="nil"/>
                  </w:tcBorders>
                  <w:vAlign w:val="center"/>
                </w:tcPr>
                <w:p w14:paraId="1F92B29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c>
                <w:tcPr>
                  <w:tcW w:w="360" w:type="pct"/>
                  <w:tcBorders>
                    <w:tl2br w:val="nil"/>
                    <w:tr2bl w:val="nil"/>
                  </w:tcBorders>
                  <w:vAlign w:val="center"/>
                </w:tcPr>
                <w:p w14:paraId="3577C75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新建</w:t>
                  </w:r>
                </w:p>
              </w:tc>
            </w:tr>
            <w:tr w14:paraId="5199C4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9" w:type="pct"/>
                  <w:tcBorders>
                    <w:tl2br w:val="nil"/>
                    <w:tr2bl w:val="nil"/>
                  </w:tcBorders>
                  <w:vAlign w:val="center"/>
                </w:tcPr>
                <w:p w14:paraId="64DFB519">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18</w:t>
                  </w:r>
                </w:p>
              </w:tc>
              <w:tc>
                <w:tcPr>
                  <w:tcW w:w="913" w:type="pct"/>
                  <w:tcBorders>
                    <w:tl2br w:val="nil"/>
                    <w:tr2bl w:val="nil"/>
                  </w:tcBorders>
                  <w:vAlign w:val="center"/>
                </w:tcPr>
                <w:p w14:paraId="036D5BE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21"/>
                      <w:szCs w:val="21"/>
                      <w:lang w:val="en-US" w:eastAsia="zh-CN"/>
                    </w:rPr>
                  </w:pPr>
                  <w:r>
                    <w:rPr>
                      <w:rFonts w:hint="eastAsia" w:cs="Times New Roman"/>
                      <w:i w:val="0"/>
                      <w:iCs w:val="0"/>
                      <w:color w:val="auto"/>
                      <w:kern w:val="0"/>
                      <w:sz w:val="21"/>
                      <w:szCs w:val="21"/>
                      <w:u w:val="none"/>
                      <w:lang w:val="en-US" w:eastAsia="zh-CN" w:bidi="ar"/>
                    </w:rPr>
                    <w:t>微处理器</w:t>
                  </w:r>
                </w:p>
              </w:tc>
              <w:tc>
                <w:tcPr>
                  <w:tcW w:w="3005" w:type="pct"/>
                  <w:tcBorders>
                    <w:tl2br w:val="nil"/>
                    <w:tr2bl w:val="nil"/>
                  </w:tcBorders>
                  <w:vAlign w:val="center"/>
                </w:tcPr>
                <w:p w14:paraId="4C99808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21"/>
                      <w:szCs w:val="21"/>
                      <w:lang w:val="en-US" w:eastAsia="zh-CN"/>
                    </w:rPr>
                  </w:pPr>
                  <w:r>
                    <w:rPr>
                      <w:rStyle w:val="66"/>
                      <w:rFonts w:hint="default" w:ascii="Times New Roman" w:hAnsi="Times New Roman" w:eastAsia="宋体" w:cs="Times New Roman"/>
                      <w:color w:val="auto"/>
                      <w:sz w:val="21"/>
                      <w:szCs w:val="21"/>
                      <w:lang w:val="en-US" w:eastAsia="zh-CN" w:bidi="ar"/>
                    </w:rPr>
                    <w:t>φ</w:t>
                  </w:r>
                  <w:r>
                    <w:rPr>
                      <w:rStyle w:val="67"/>
                      <w:rFonts w:hint="default" w:ascii="Times New Roman" w:hAnsi="Times New Roman" w:eastAsia="宋体" w:cs="Times New Roman"/>
                      <w:color w:val="auto"/>
                      <w:sz w:val="21"/>
                      <w:szCs w:val="21"/>
                      <w:lang w:val="en-US" w:eastAsia="zh-CN" w:bidi="ar"/>
                    </w:rPr>
                    <w:t>3500，铸钢叶轮</w:t>
                  </w:r>
                </w:p>
              </w:tc>
              <w:tc>
                <w:tcPr>
                  <w:tcW w:w="359" w:type="pct"/>
                  <w:tcBorders>
                    <w:tl2br w:val="nil"/>
                    <w:tr2bl w:val="nil"/>
                  </w:tcBorders>
                  <w:vAlign w:val="center"/>
                </w:tcPr>
                <w:p w14:paraId="534FD0B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c>
                <w:tcPr>
                  <w:tcW w:w="360" w:type="pct"/>
                  <w:tcBorders>
                    <w:tl2br w:val="nil"/>
                    <w:tr2bl w:val="nil"/>
                  </w:tcBorders>
                  <w:vAlign w:val="center"/>
                </w:tcPr>
                <w:p w14:paraId="4EA648D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新建</w:t>
                  </w:r>
                </w:p>
              </w:tc>
            </w:tr>
            <w:tr w14:paraId="4D3F12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9" w:type="pct"/>
                  <w:tcBorders>
                    <w:tl2br w:val="nil"/>
                    <w:tr2bl w:val="nil"/>
                  </w:tcBorders>
                  <w:vAlign w:val="center"/>
                </w:tcPr>
                <w:p w14:paraId="0A17E78F">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19</w:t>
                  </w:r>
                </w:p>
              </w:tc>
              <w:tc>
                <w:tcPr>
                  <w:tcW w:w="913" w:type="pct"/>
                  <w:tcBorders>
                    <w:tl2br w:val="nil"/>
                    <w:tr2bl w:val="nil"/>
                  </w:tcBorders>
                  <w:vAlign w:val="center"/>
                </w:tcPr>
                <w:p w14:paraId="74AFD4F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浮选机</w:t>
                  </w:r>
                </w:p>
              </w:tc>
              <w:tc>
                <w:tcPr>
                  <w:tcW w:w="3005" w:type="pct"/>
                  <w:tcBorders>
                    <w:tl2br w:val="nil"/>
                    <w:tr2bl w:val="nil"/>
                  </w:tcBorders>
                  <w:vAlign w:val="center"/>
                </w:tcPr>
                <w:p w14:paraId="693E71E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XJM-S20/4，铸钢叶轮、定子，壳体10厚中板</w:t>
                  </w:r>
                </w:p>
              </w:tc>
              <w:tc>
                <w:tcPr>
                  <w:tcW w:w="359" w:type="pct"/>
                  <w:tcBorders>
                    <w:tl2br w:val="nil"/>
                    <w:tr2bl w:val="nil"/>
                  </w:tcBorders>
                  <w:vAlign w:val="center"/>
                </w:tcPr>
                <w:p w14:paraId="2A6F709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w:t>
                  </w:r>
                </w:p>
              </w:tc>
              <w:tc>
                <w:tcPr>
                  <w:tcW w:w="360" w:type="pct"/>
                  <w:tcBorders>
                    <w:tl2br w:val="nil"/>
                    <w:tr2bl w:val="nil"/>
                  </w:tcBorders>
                  <w:vAlign w:val="center"/>
                </w:tcPr>
                <w:p w14:paraId="63C6AF4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新建</w:t>
                  </w:r>
                </w:p>
              </w:tc>
            </w:tr>
            <w:tr w14:paraId="2DA673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9" w:type="pct"/>
                  <w:tcBorders>
                    <w:tl2br w:val="nil"/>
                    <w:tr2bl w:val="nil"/>
                  </w:tcBorders>
                  <w:vAlign w:val="center"/>
                </w:tcPr>
                <w:p w14:paraId="5F15C36D">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20</w:t>
                  </w:r>
                </w:p>
              </w:tc>
              <w:tc>
                <w:tcPr>
                  <w:tcW w:w="913" w:type="pct"/>
                  <w:tcBorders>
                    <w:tl2br w:val="nil"/>
                    <w:tr2bl w:val="nil"/>
                  </w:tcBorders>
                  <w:vAlign w:val="center"/>
                </w:tcPr>
                <w:p w14:paraId="266654C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浓缩机芯及行走</w:t>
                  </w:r>
                </w:p>
              </w:tc>
              <w:tc>
                <w:tcPr>
                  <w:tcW w:w="3005" w:type="pct"/>
                  <w:tcBorders>
                    <w:tl2br w:val="nil"/>
                    <w:tr2bl w:val="nil"/>
                  </w:tcBorders>
                  <w:vAlign w:val="center"/>
                </w:tcPr>
                <w:p w14:paraId="4EA76B1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配套φ24m(不含机架）单轮胎行走，</w:t>
                  </w:r>
                </w:p>
              </w:tc>
              <w:tc>
                <w:tcPr>
                  <w:tcW w:w="359" w:type="pct"/>
                  <w:tcBorders>
                    <w:tl2br w:val="nil"/>
                    <w:tr2bl w:val="nil"/>
                  </w:tcBorders>
                  <w:vAlign w:val="center"/>
                </w:tcPr>
                <w:p w14:paraId="4AA7671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w:t>
                  </w:r>
                </w:p>
              </w:tc>
              <w:tc>
                <w:tcPr>
                  <w:tcW w:w="360" w:type="pct"/>
                  <w:tcBorders>
                    <w:tl2br w:val="nil"/>
                    <w:tr2bl w:val="nil"/>
                  </w:tcBorders>
                  <w:vAlign w:val="center"/>
                </w:tcPr>
                <w:p w14:paraId="0020685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新建</w:t>
                  </w:r>
                </w:p>
              </w:tc>
            </w:tr>
            <w:tr w14:paraId="5A3ACB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9" w:type="pct"/>
                  <w:tcBorders>
                    <w:tl2br w:val="nil"/>
                    <w:tr2bl w:val="nil"/>
                  </w:tcBorders>
                  <w:vAlign w:val="center"/>
                </w:tcPr>
                <w:p w14:paraId="15C4A8E3">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21</w:t>
                  </w:r>
                </w:p>
              </w:tc>
              <w:tc>
                <w:tcPr>
                  <w:tcW w:w="913" w:type="pct"/>
                  <w:tcBorders>
                    <w:tl2br w:val="nil"/>
                    <w:tr2bl w:val="nil"/>
                  </w:tcBorders>
                  <w:vAlign w:val="center"/>
                </w:tcPr>
                <w:p w14:paraId="3ADFFC2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絮凝剂搅拌桶</w:t>
                  </w:r>
                </w:p>
              </w:tc>
              <w:tc>
                <w:tcPr>
                  <w:tcW w:w="3005" w:type="pct"/>
                  <w:tcBorders>
                    <w:tl2br w:val="nil"/>
                    <w:tr2bl w:val="nil"/>
                  </w:tcBorders>
                  <w:vAlign w:val="center"/>
                </w:tcPr>
                <w:p w14:paraId="5407D3E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φ1200</w:t>
                  </w:r>
                </w:p>
              </w:tc>
              <w:tc>
                <w:tcPr>
                  <w:tcW w:w="359" w:type="pct"/>
                  <w:tcBorders>
                    <w:tl2br w:val="nil"/>
                    <w:tr2bl w:val="nil"/>
                  </w:tcBorders>
                  <w:vAlign w:val="center"/>
                </w:tcPr>
                <w:p w14:paraId="5AE71D6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w:t>
                  </w:r>
                </w:p>
              </w:tc>
              <w:tc>
                <w:tcPr>
                  <w:tcW w:w="360" w:type="pct"/>
                  <w:tcBorders>
                    <w:tl2br w:val="nil"/>
                    <w:tr2bl w:val="nil"/>
                  </w:tcBorders>
                  <w:vAlign w:val="center"/>
                </w:tcPr>
                <w:p w14:paraId="7BA591B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新建</w:t>
                  </w:r>
                </w:p>
              </w:tc>
            </w:tr>
            <w:tr w14:paraId="0EC866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9" w:type="pct"/>
                  <w:tcBorders>
                    <w:tl2br w:val="nil"/>
                    <w:tr2bl w:val="nil"/>
                  </w:tcBorders>
                  <w:vAlign w:val="center"/>
                </w:tcPr>
                <w:p w14:paraId="477F5613">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22</w:t>
                  </w:r>
                </w:p>
              </w:tc>
              <w:tc>
                <w:tcPr>
                  <w:tcW w:w="913" w:type="pct"/>
                  <w:tcBorders>
                    <w:tl2br w:val="nil"/>
                    <w:tr2bl w:val="nil"/>
                  </w:tcBorders>
                  <w:vAlign w:val="center"/>
                </w:tcPr>
                <w:p w14:paraId="118344F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原煤皮带机</w:t>
                  </w:r>
                </w:p>
              </w:tc>
              <w:tc>
                <w:tcPr>
                  <w:tcW w:w="3005" w:type="pct"/>
                  <w:tcBorders>
                    <w:tl2br w:val="nil"/>
                    <w:tr2bl w:val="nil"/>
                  </w:tcBorders>
                  <w:vAlign w:val="center"/>
                </w:tcPr>
                <w:p w14:paraId="0330CA4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TD75型，B=1200，电动滚筒</w:t>
                  </w:r>
                </w:p>
              </w:tc>
              <w:tc>
                <w:tcPr>
                  <w:tcW w:w="359" w:type="pct"/>
                  <w:tcBorders>
                    <w:tl2br w:val="nil"/>
                    <w:tr2bl w:val="nil"/>
                  </w:tcBorders>
                  <w:vAlign w:val="center"/>
                </w:tcPr>
                <w:p w14:paraId="12DB393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40</w:t>
                  </w:r>
                </w:p>
              </w:tc>
              <w:tc>
                <w:tcPr>
                  <w:tcW w:w="360" w:type="pct"/>
                  <w:tcBorders>
                    <w:tl2br w:val="nil"/>
                    <w:tr2bl w:val="nil"/>
                  </w:tcBorders>
                  <w:vAlign w:val="center"/>
                </w:tcPr>
                <w:p w14:paraId="178F5E2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新建</w:t>
                  </w:r>
                </w:p>
              </w:tc>
            </w:tr>
            <w:tr w14:paraId="748F2D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9" w:type="pct"/>
                  <w:tcBorders>
                    <w:tl2br w:val="nil"/>
                    <w:tr2bl w:val="nil"/>
                  </w:tcBorders>
                  <w:vAlign w:val="center"/>
                </w:tcPr>
                <w:p w14:paraId="29C88B9A">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23</w:t>
                  </w:r>
                </w:p>
              </w:tc>
              <w:tc>
                <w:tcPr>
                  <w:tcW w:w="913" w:type="pct"/>
                  <w:tcBorders>
                    <w:tl2br w:val="nil"/>
                    <w:tr2bl w:val="nil"/>
                  </w:tcBorders>
                  <w:vAlign w:val="center"/>
                </w:tcPr>
                <w:p w14:paraId="68566B3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手选皮带机</w:t>
                  </w:r>
                </w:p>
              </w:tc>
              <w:tc>
                <w:tcPr>
                  <w:tcW w:w="3005" w:type="pct"/>
                  <w:tcBorders>
                    <w:tl2br w:val="nil"/>
                    <w:tr2bl w:val="nil"/>
                  </w:tcBorders>
                  <w:vAlign w:val="center"/>
                </w:tcPr>
                <w:p w14:paraId="0B98DA4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TD75型，B=1000，电动滚筒</w:t>
                  </w:r>
                </w:p>
              </w:tc>
              <w:tc>
                <w:tcPr>
                  <w:tcW w:w="359" w:type="pct"/>
                  <w:tcBorders>
                    <w:tl2br w:val="nil"/>
                    <w:tr2bl w:val="nil"/>
                  </w:tcBorders>
                  <w:vAlign w:val="center"/>
                </w:tcPr>
                <w:p w14:paraId="76C254C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8</w:t>
                  </w:r>
                </w:p>
              </w:tc>
              <w:tc>
                <w:tcPr>
                  <w:tcW w:w="360" w:type="pct"/>
                  <w:tcBorders>
                    <w:tl2br w:val="nil"/>
                    <w:tr2bl w:val="nil"/>
                  </w:tcBorders>
                  <w:vAlign w:val="center"/>
                </w:tcPr>
                <w:p w14:paraId="025D2A7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新建</w:t>
                  </w:r>
                </w:p>
              </w:tc>
            </w:tr>
            <w:tr w14:paraId="195B1A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9" w:type="pct"/>
                  <w:tcBorders>
                    <w:tl2br w:val="nil"/>
                    <w:tr2bl w:val="nil"/>
                  </w:tcBorders>
                  <w:vAlign w:val="center"/>
                </w:tcPr>
                <w:p w14:paraId="6F79C67A">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24</w:t>
                  </w:r>
                </w:p>
              </w:tc>
              <w:tc>
                <w:tcPr>
                  <w:tcW w:w="913" w:type="pct"/>
                  <w:tcBorders>
                    <w:tl2br w:val="nil"/>
                    <w:tr2bl w:val="nil"/>
                  </w:tcBorders>
                  <w:vAlign w:val="center"/>
                </w:tcPr>
                <w:p w14:paraId="7BC89CC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入洗皮带机</w:t>
                  </w:r>
                </w:p>
              </w:tc>
              <w:tc>
                <w:tcPr>
                  <w:tcW w:w="3005" w:type="pct"/>
                  <w:tcBorders>
                    <w:tl2br w:val="nil"/>
                    <w:tr2bl w:val="nil"/>
                  </w:tcBorders>
                  <w:vAlign w:val="center"/>
                </w:tcPr>
                <w:p w14:paraId="62FB18C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TD75型，B=1200，电动滚筒</w:t>
                  </w:r>
                </w:p>
              </w:tc>
              <w:tc>
                <w:tcPr>
                  <w:tcW w:w="359" w:type="pct"/>
                  <w:tcBorders>
                    <w:tl2br w:val="nil"/>
                    <w:tr2bl w:val="nil"/>
                  </w:tcBorders>
                  <w:vAlign w:val="center"/>
                </w:tcPr>
                <w:p w14:paraId="04CD2DF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40</w:t>
                  </w:r>
                </w:p>
              </w:tc>
              <w:tc>
                <w:tcPr>
                  <w:tcW w:w="360" w:type="pct"/>
                  <w:tcBorders>
                    <w:tl2br w:val="nil"/>
                    <w:tr2bl w:val="nil"/>
                  </w:tcBorders>
                  <w:vAlign w:val="center"/>
                </w:tcPr>
                <w:p w14:paraId="6B8A8D2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新建</w:t>
                  </w:r>
                </w:p>
              </w:tc>
            </w:tr>
            <w:tr w14:paraId="7FC1B9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9" w:type="pct"/>
                  <w:tcBorders>
                    <w:tl2br w:val="nil"/>
                    <w:tr2bl w:val="nil"/>
                  </w:tcBorders>
                  <w:vAlign w:val="center"/>
                </w:tcPr>
                <w:p w14:paraId="1039CA5B">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25</w:t>
                  </w:r>
                </w:p>
              </w:tc>
              <w:tc>
                <w:tcPr>
                  <w:tcW w:w="913" w:type="pct"/>
                  <w:tcBorders>
                    <w:tl2br w:val="nil"/>
                    <w:tr2bl w:val="nil"/>
                  </w:tcBorders>
                  <w:vAlign w:val="center"/>
                </w:tcPr>
                <w:p w14:paraId="0E8B571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精煤皮带机</w:t>
                  </w:r>
                </w:p>
              </w:tc>
              <w:tc>
                <w:tcPr>
                  <w:tcW w:w="3005" w:type="pct"/>
                  <w:tcBorders>
                    <w:tl2br w:val="nil"/>
                    <w:tr2bl w:val="nil"/>
                  </w:tcBorders>
                  <w:vAlign w:val="center"/>
                </w:tcPr>
                <w:p w14:paraId="4972D41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TD75型，B=1000，电动滚筒</w:t>
                  </w:r>
                </w:p>
              </w:tc>
              <w:tc>
                <w:tcPr>
                  <w:tcW w:w="359" w:type="pct"/>
                  <w:tcBorders>
                    <w:tl2br w:val="nil"/>
                    <w:tr2bl w:val="nil"/>
                  </w:tcBorders>
                  <w:vAlign w:val="center"/>
                </w:tcPr>
                <w:p w14:paraId="4DC82DB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80</w:t>
                  </w:r>
                </w:p>
              </w:tc>
              <w:tc>
                <w:tcPr>
                  <w:tcW w:w="360" w:type="pct"/>
                  <w:tcBorders>
                    <w:tl2br w:val="nil"/>
                    <w:tr2bl w:val="nil"/>
                  </w:tcBorders>
                  <w:vAlign w:val="center"/>
                </w:tcPr>
                <w:p w14:paraId="2791282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新建</w:t>
                  </w:r>
                </w:p>
              </w:tc>
            </w:tr>
            <w:tr w14:paraId="793A24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9" w:type="pct"/>
                  <w:tcBorders>
                    <w:tl2br w:val="nil"/>
                    <w:tr2bl w:val="nil"/>
                  </w:tcBorders>
                  <w:vAlign w:val="center"/>
                </w:tcPr>
                <w:p w14:paraId="21FDDFB3">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26</w:t>
                  </w:r>
                </w:p>
              </w:tc>
              <w:tc>
                <w:tcPr>
                  <w:tcW w:w="913" w:type="pct"/>
                  <w:tcBorders>
                    <w:tl2br w:val="nil"/>
                    <w:tr2bl w:val="nil"/>
                  </w:tcBorders>
                  <w:vAlign w:val="center"/>
                </w:tcPr>
                <w:p w14:paraId="3B13101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数控系统</w:t>
                  </w:r>
                </w:p>
              </w:tc>
              <w:tc>
                <w:tcPr>
                  <w:tcW w:w="3005" w:type="pct"/>
                  <w:tcBorders>
                    <w:tl2br w:val="nil"/>
                    <w:tr2bl w:val="nil"/>
                  </w:tcBorders>
                  <w:vAlign w:val="center"/>
                </w:tcPr>
                <w:p w14:paraId="1C97436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台达PLC，高精度传感器</w:t>
                  </w:r>
                </w:p>
              </w:tc>
              <w:tc>
                <w:tcPr>
                  <w:tcW w:w="359" w:type="pct"/>
                  <w:tcBorders>
                    <w:tl2br w:val="nil"/>
                    <w:tr2bl w:val="nil"/>
                  </w:tcBorders>
                  <w:vAlign w:val="center"/>
                </w:tcPr>
                <w:p w14:paraId="345E53E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c>
                <w:tcPr>
                  <w:tcW w:w="360" w:type="pct"/>
                  <w:tcBorders>
                    <w:tl2br w:val="nil"/>
                    <w:tr2bl w:val="nil"/>
                  </w:tcBorders>
                  <w:vAlign w:val="center"/>
                </w:tcPr>
                <w:p w14:paraId="648819D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新建</w:t>
                  </w:r>
                </w:p>
              </w:tc>
            </w:tr>
            <w:tr w14:paraId="3775E3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9" w:type="pct"/>
                  <w:tcBorders>
                    <w:tl2br w:val="nil"/>
                    <w:tr2bl w:val="nil"/>
                  </w:tcBorders>
                  <w:vAlign w:val="center"/>
                </w:tcPr>
                <w:p w14:paraId="0245F2B8">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27</w:t>
                  </w:r>
                </w:p>
              </w:tc>
              <w:tc>
                <w:tcPr>
                  <w:tcW w:w="913" w:type="pct"/>
                  <w:tcBorders>
                    <w:tl2br w:val="nil"/>
                    <w:tr2bl w:val="nil"/>
                  </w:tcBorders>
                  <w:vAlign w:val="center"/>
                </w:tcPr>
                <w:p w14:paraId="14DA497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螺杆空压机</w:t>
                  </w:r>
                </w:p>
              </w:tc>
              <w:tc>
                <w:tcPr>
                  <w:tcW w:w="3005" w:type="pct"/>
                  <w:tcBorders>
                    <w:tl2br w:val="nil"/>
                    <w:tr2bl w:val="nil"/>
                  </w:tcBorders>
                  <w:vAlign w:val="center"/>
                </w:tcPr>
                <w:p w14:paraId="0A1D19D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W3.2/7，微电脑控制，含0.6储气罐</w:t>
                  </w:r>
                </w:p>
              </w:tc>
              <w:tc>
                <w:tcPr>
                  <w:tcW w:w="359" w:type="pct"/>
                  <w:tcBorders>
                    <w:tl2br w:val="nil"/>
                    <w:tr2bl w:val="nil"/>
                  </w:tcBorders>
                  <w:vAlign w:val="center"/>
                </w:tcPr>
                <w:p w14:paraId="2ECDE1E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c>
                <w:tcPr>
                  <w:tcW w:w="360" w:type="pct"/>
                  <w:tcBorders>
                    <w:tl2br w:val="nil"/>
                    <w:tr2bl w:val="nil"/>
                  </w:tcBorders>
                  <w:vAlign w:val="center"/>
                </w:tcPr>
                <w:p w14:paraId="0B74579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新建</w:t>
                  </w:r>
                </w:p>
              </w:tc>
            </w:tr>
            <w:tr w14:paraId="5D1D11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9" w:type="pct"/>
                  <w:tcBorders>
                    <w:tl2br w:val="nil"/>
                    <w:tr2bl w:val="nil"/>
                  </w:tcBorders>
                  <w:vAlign w:val="center"/>
                </w:tcPr>
                <w:p w14:paraId="53717D72">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28</w:t>
                  </w:r>
                </w:p>
              </w:tc>
              <w:tc>
                <w:tcPr>
                  <w:tcW w:w="913" w:type="pct"/>
                  <w:tcBorders>
                    <w:tl2br w:val="nil"/>
                    <w:tr2bl w:val="nil"/>
                  </w:tcBorders>
                  <w:vAlign w:val="center"/>
                </w:tcPr>
                <w:p w14:paraId="405A143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罗茨风机</w:t>
                  </w:r>
                </w:p>
              </w:tc>
              <w:tc>
                <w:tcPr>
                  <w:tcW w:w="3005" w:type="pct"/>
                  <w:tcBorders>
                    <w:tl2br w:val="nil"/>
                    <w:tr2bl w:val="nil"/>
                  </w:tcBorders>
                  <w:vAlign w:val="center"/>
                </w:tcPr>
                <w:p w14:paraId="4864E34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SLW350B</w:t>
                  </w:r>
                </w:p>
              </w:tc>
              <w:tc>
                <w:tcPr>
                  <w:tcW w:w="359" w:type="pct"/>
                  <w:tcBorders>
                    <w:tl2br w:val="nil"/>
                    <w:tr2bl w:val="nil"/>
                  </w:tcBorders>
                  <w:vAlign w:val="center"/>
                </w:tcPr>
                <w:p w14:paraId="7BF2A1F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c>
                <w:tcPr>
                  <w:tcW w:w="360" w:type="pct"/>
                  <w:tcBorders>
                    <w:tl2br w:val="nil"/>
                    <w:tr2bl w:val="nil"/>
                  </w:tcBorders>
                  <w:vAlign w:val="center"/>
                </w:tcPr>
                <w:p w14:paraId="5F8ADF8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新建</w:t>
                  </w:r>
                </w:p>
              </w:tc>
            </w:tr>
            <w:tr w14:paraId="7BEF41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9" w:type="pct"/>
                  <w:tcBorders>
                    <w:tl2br w:val="nil"/>
                    <w:tr2bl w:val="nil"/>
                  </w:tcBorders>
                  <w:vAlign w:val="center"/>
                </w:tcPr>
                <w:p w14:paraId="686CD680">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29</w:t>
                  </w:r>
                </w:p>
              </w:tc>
              <w:tc>
                <w:tcPr>
                  <w:tcW w:w="913" w:type="pct"/>
                  <w:tcBorders>
                    <w:tl2br w:val="nil"/>
                    <w:tr2bl w:val="nil"/>
                  </w:tcBorders>
                  <w:vAlign w:val="center"/>
                </w:tcPr>
                <w:p w14:paraId="428881C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清水泵</w:t>
                  </w:r>
                </w:p>
              </w:tc>
              <w:tc>
                <w:tcPr>
                  <w:tcW w:w="3005" w:type="pct"/>
                  <w:tcBorders>
                    <w:tl2br w:val="nil"/>
                    <w:tr2bl w:val="nil"/>
                  </w:tcBorders>
                  <w:vAlign w:val="center"/>
                </w:tcPr>
                <w:p w14:paraId="2EEE0EF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GMZ200-28-900</w:t>
                  </w:r>
                </w:p>
              </w:tc>
              <w:tc>
                <w:tcPr>
                  <w:tcW w:w="359" w:type="pct"/>
                  <w:tcBorders>
                    <w:tl2br w:val="nil"/>
                    <w:tr2bl w:val="nil"/>
                  </w:tcBorders>
                  <w:vAlign w:val="center"/>
                </w:tcPr>
                <w:p w14:paraId="417B23F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w:t>
                  </w:r>
                </w:p>
              </w:tc>
              <w:tc>
                <w:tcPr>
                  <w:tcW w:w="360" w:type="pct"/>
                  <w:tcBorders>
                    <w:tl2br w:val="nil"/>
                    <w:tr2bl w:val="nil"/>
                  </w:tcBorders>
                  <w:vAlign w:val="center"/>
                </w:tcPr>
                <w:p w14:paraId="4087EEC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新建</w:t>
                  </w:r>
                </w:p>
              </w:tc>
            </w:tr>
            <w:tr w14:paraId="15142D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9" w:type="pct"/>
                  <w:tcBorders>
                    <w:tl2br w:val="nil"/>
                    <w:tr2bl w:val="nil"/>
                  </w:tcBorders>
                  <w:vAlign w:val="center"/>
                </w:tcPr>
                <w:p w14:paraId="472C3652">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30</w:t>
                  </w:r>
                </w:p>
              </w:tc>
              <w:tc>
                <w:tcPr>
                  <w:tcW w:w="913" w:type="pct"/>
                  <w:tcBorders>
                    <w:tl2br w:val="nil"/>
                    <w:tr2bl w:val="nil"/>
                  </w:tcBorders>
                  <w:vAlign w:val="center"/>
                </w:tcPr>
                <w:p w14:paraId="5DA3F98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一次螺旋入料泵</w:t>
                  </w:r>
                </w:p>
              </w:tc>
              <w:tc>
                <w:tcPr>
                  <w:tcW w:w="3005" w:type="pct"/>
                  <w:tcBorders>
                    <w:tl2br w:val="nil"/>
                    <w:tr2bl w:val="nil"/>
                  </w:tcBorders>
                  <w:vAlign w:val="center"/>
                </w:tcPr>
                <w:p w14:paraId="734F881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GMZ200-20-550，不锈钢叶轮、高</w:t>
                  </w:r>
                  <w:r>
                    <w:rPr>
                      <w:rFonts w:hint="eastAsia" w:cs="Times New Roman"/>
                      <w:i w:val="0"/>
                      <w:iCs w:val="0"/>
                      <w:color w:val="auto"/>
                      <w:kern w:val="0"/>
                      <w:sz w:val="21"/>
                      <w:szCs w:val="21"/>
                      <w:u w:val="none"/>
                      <w:lang w:val="en-US" w:eastAsia="zh-CN" w:bidi="ar"/>
                    </w:rPr>
                    <w:t>铬</w:t>
                  </w:r>
                  <w:r>
                    <w:rPr>
                      <w:rFonts w:hint="eastAsia" w:ascii="Times New Roman" w:hAnsi="Times New Roman" w:eastAsia="宋体" w:cs="Times New Roman"/>
                      <w:i w:val="0"/>
                      <w:iCs w:val="0"/>
                      <w:color w:val="auto"/>
                      <w:kern w:val="0"/>
                      <w:sz w:val="21"/>
                      <w:szCs w:val="21"/>
                      <w:u w:val="none"/>
                      <w:lang w:val="en-US" w:eastAsia="zh-CN" w:bidi="ar"/>
                    </w:rPr>
                    <w:t>材质</w:t>
                  </w:r>
                </w:p>
              </w:tc>
              <w:tc>
                <w:tcPr>
                  <w:tcW w:w="359" w:type="pct"/>
                  <w:tcBorders>
                    <w:tl2br w:val="nil"/>
                    <w:tr2bl w:val="nil"/>
                  </w:tcBorders>
                  <w:vAlign w:val="center"/>
                </w:tcPr>
                <w:p w14:paraId="39061CE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w:t>
                  </w:r>
                </w:p>
              </w:tc>
              <w:tc>
                <w:tcPr>
                  <w:tcW w:w="360" w:type="pct"/>
                  <w:tcBorders>
                    <w:tl2br w:val="nil"/>
                    <w:tr2bl w:val="nil"/>
                  </w:tcBorders>
                  <w:vAlign w:val="center"/>
                </w:tcPr>
                <w:p w14:paraId="6903198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新建</w:t>
                  </w:r>
                </w:p>
              </w:tc>
            </w:tr>
            <w:tr w14:paraId="1D43BF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9" w:type="pct"/>
                  <w:tcBorders>
                    <w:tl2br w:val="nil"/>
                    <w:tr2bl w:val="nil"/>
                  </w:tcBorders>
                  <w:vAlign w:val="center"/>
                </w:tcPr>
                <w:p w14:paraId="35E3D6D9">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31</w:t>
                  </w:r>
                </w:p>
              </w:tc>
              <w:tc>
                <w:tcPr>
                  <w:tcW w:w="913" w:type="pct"/>
                  <w:tcBorders>
                    <w:tl2br w:val="nil"/>
                    <w:tr2bl w:val="nil"/>
                  </w:tcBorders>
                  <w:vAlign w:val="center"/>
                </w:tcPr>
                <w:p w14:paraId="4BD1110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二次螺旋入料泵</w:t>
                  </w:r>
                </w:p>
              </w:tc>
              <w:tc>
                <w:tcPr>
                  <w:tcW w:w="3005" w:type="pct"/>
                  <w:tcBorders>
                    <w:tl2br w:val="nil"/>
                    <w:tr2bl w:val="nil"/>
                  </w:tcBorders>
                  <w:vAlign w:val="center"/>
                </w:tcPr>
                <w:p w14:paraId="1F00443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GM160-20-300，不锈钢叶轮、高</w:t>
                  </w:r>
                  <w:r>
                    <w:rPr>
                      <w:rFonts w:hint="eastAsia" w:cs="Times New Roman"/>
                      <w:i w:val="0"/>
                      <w:iCs w:val="0"/>
                      <w:color w:val="auto"/>
                      <w:kern w:val="0"/>
                      <w:sz w:val="21"/>
                      <w:szCs w:val="21"/>
                      <w:u w:val="none"/>
                      <w:lang w:val="en-US" w:eastAsia="zh-CN" w:bidi="ar"/>
                    </w:rPr>
                    <w:t>铬</w:t>
                  </w:r>
                  <w:r>
                    <w:rPr>
                      <w:rFonts w:hint="eastAsia" w:ascii="Times New Roman" w:hAnsi="Times New Roman" w:eastAsia="宋体" w:cs="Times New Roman"/>
                      <w:i w:val="0"/>
                      <w:iCs w:val="0"/>
                      <w:color w:val="auto"/>
                      <w:kern w:val="0"/>
                      <w:sz w:val="21"/>
                      <w:szCs w:val="21"/>
                      <w:u w:val="none"/>
                      <w:lang w:val="en-US" w:eastAsia="zh-CN" w:bidi="ar"/>
                    </w:rPr>
                    <w:t>材质</w:t>
                  </w:r>
                </w:p>
              </w:tc>
              <w:tc>
                <w:tcPr>
                  <w:tcW w:w="359" w:type="pct"/>
                  <w:tcBorders>
                    <w:tl2br w:val="nil"/>
                    <w:tr2bl w:val="nil"/>
                  </w:tcBorders>
                  <w:vAlign w:val="center"/>
                </w:tcPr>
                <w:p w14:paraId="7D7B696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w:t>
                  </w:r>
                </w:p>
              </w:tc>
              <w:tc>
                <w:tcPr>
                  <w:tcW w:w="360" w:type="pct"/>
                  <w:tcBorders>
                    <w:tl2br w:val="nil"/>
                    <w:tr2bl w:val="nil"/>
                  </w:tcBorders>
                  <w:vAlign w:val="center"/>
                </w:tcPr>
                <w:p w14:paraId="710128C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新建</w:t>
                  </w:r>
                </w:p>
              </w:tc>
            </w:tr>
            <w:tr w14:paraId="7DEE11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9" w:type="pct"/>
                  <w:tcBorders>
                    <w:tl2br w:val="nil"/>
                    <w:tr2bl w:val="nil"/>
                  </w:tcBorders>
                  <w:vAlign w:val="center"/>
                </w:tcPr>
                <w:p w14:paraId="0C5E3DC3">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32</w:t>
                  </w:r>
                </w:p>
              </w:tc>
              <w:tc>
                <w:tcPr>
                  <w:tcW w:w="913" w:type="pct"/>
                  <w:tcBorders>
                    <w:tl2br w:val="nil"/>
                    <w:tr2bl w:val="nil"/>
                  </w:tcBorders>
                  <w:vAlign w:val="center"/>
                </w:tcPr>
                <w:p w14:paraId="176306D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三次螺旋入料泵</w:t>
                  </w:r>
                </w:p>
              </w:tc>
              <w:tc>
                <w:tcPr>
                  <w:tcW w:w="3005" w:type="pct"/>
                  <w:tcBorders>
                    <w:tl2br w:val="nil"/>
                    <w:tr2bl w:val="nil"/>
                  </w:tcBorders>
                  <w:vAlign w:val="center"/>
                </w:tcPr>
                <w:p w14:paraId="0674302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GM120-20-240，不锈钢叶轮、高</w:t>
                  </w:r>
                  <w:r>
                    <w:rPr>
                      <w:rFonts w:hint="eastAsia" w:cs="Times New Roman"/>
                      <w:i w:val="0"/>
                      <w:iCs w:val="0"/>
                      <w:color w:val="auto"/>
                      <w:kern w:val="0"/>
                      <w:sz w:val="21"/>
                      <w:szCs w:val="21"/>
                      <w:u w:val="none"/>
                      <w:lang w:val="en-US" w:eastAsia="zh-CN" w:bidi="ar"/>
                    </w:rPr>
                    <w:t>铬</w:t>
                  </w:r>
                  <w:r>
                    <w:rPr>
                      <w:rFonts w:hint="eastAsia" w:ascii="Times New Roman" w:hAnsi="Times New Roman" w:eastAsia="宋体" w:cs="Times New Roman"/>
                      <w:i w:val="0"/>
                      <w:iCs w:val="0"/>
                      <w:color w:val="auto"/>
                      <w:kern w:val="0"/>
                      <w:sz w:val="21"/>
                      <w:szCs w:val="21"/>
                      <w:u w:val="none"/>
                      <w:lang w:val="en-US" w:eastAsia="zh-CN" w:bidi="ar"/>
                    </w:rPr>
                    <w:t>材质</w:t>
                  </w:r>
                </w:p>
              </w:tc>
              <w:tc>
                <w:tcPr>
                  <w:tcW w:w="359" w:type="pct"/>
                  <w:tcBorders>
                    <w:tl2br w:val="nil"/>
                    <w:tr2bl w:val="nil"/>
                  </w:tcBorders>
                  <w:vAlign w:val="center"/>
                </w:tcPr>
                <w:p w14:paraId="21718A4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w:t>
                  </w:r>
                </w:p>
              </w:tc>
              <w:tc>
                <w:tcPr>
                  <w:tcW w:w="360" w:type="pct"/>
                  <w:tcBorders>
                    <w:tl2br w:val="nil"/>
                    <w:tr2bl w:val="nil"/>
                  </w:tcBorders>
                  <w:vAlign w:val="center"/>
                </w:tcPr>
                <w:p w14:paraId="08D869A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新建</w:t>
                  </w:r>
                </w:p>
              </w:tc>
            </w:tr>
            <w:tr w14:paraId="56496A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9" w:type="pct"/>
                  <w:tcBorders>
                    <w:tl2br w:val="nil"/>
                    <w:tr2bl w:val="nil"/>
                  </w:tcBorders>
                  <w:vAlign w:val="center"/>
                </w:tcPr>
                <w:p w14:paraId="5CE798D3">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33</w:t>
                  </w:r>
                </w:p>
              </w:tc>
              <w:tc>
                <w:tcPr>
                  <w:tcW w:w="913" w:type="pct"/>
                  <w:tcBorders>
                    <w:tl2br w:val="nil"/>
                    <w:tr2bl w:val="nil"/>
                  </w:tcBorders>
                  <w:vAlign w:val="center"/>
                </w:tcPr>
                <w:p w14:paraId="4078FBC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螺旋</w:t>
                  </w:r>
                </w:p>
              </w:tc>
              <w:tc>
                <w:tcPr>
                  <w:tcW w:w="3005" w:type="pct"/>
                  <w:tcBorders>
                    <w:tl2br w:val="nil"/>
                    <w:tr2bl w:val="nil"/>
                  </w:tcBorders>
                  <w:vAlign w:val="center"/>
                </w:tcPr>
                <w:p w14:paraId="6599D77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含管路及分煤器全套</w:t>
                  </w:r>
                </w:p>
              </w:tc>
              <w:tc>
                <w:tcPr>
                  <w:tcW w:w="359" w:type="pct"/>
                  <w:tcBorders>
                    <w:tl2br w:val="nil"/>
                    <w:tr2bl w:val="nil"/>
                  </w:tcBorders>
                  <w:vAlign w:val="center"/>
                </w:tcPr>
                <w:p w14:paraId="58AD1E4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30</w:t>
                  </w:r>
                </w:p>
              </w:tc>
              <w:tc>
                <w:tcPr>
                  <w:tcW w:w="360" w:type="pct"/>
                  <w:tcBorders>
                    <w:tl2br w:val="nil"/>
                    <w:tr2bl w:val="nil"/>
                  </w:tcBorders>
                  <w:vAlign w:val="center"/>
                </w:tcPr>
                <w:p w14:paraId="7ECE00B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新建</w:t>
                  </w:r>
                </w:p>
              </w:tc>
            </w:tr>
            <w:tr w14:paraId="6970FB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9" w:type="pct"/>
                  <w:tcBorders>
                    <w:tl2br w:val="nil"/>
                    <w:tr2bl w:val="nil"/>
                  </w:tcBorders>
                  <w:vAlign w:val="center"/>
                </w:tcPr>
                <w:p w14:paraId="6DC83C4C">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34</w:t>
                  </w:r>
                </w:p>
              </w:tc>
              <w:tc>
                <w:tcPr>
                  <w:tcW w:w="913" w:type="pct"/>
                  <w:tcBorders>
                    <w:tl2br w:val="nil"/>
                    <w:tr2bl w:val="nil"/>
                  </w:tcBorders>
                  <w:vAlign w:val="center"/>
                </w:tcPr>
                <w:p w14:paraId="2E3FA8C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尾煤压滤机入料泵</w:t>
                  </w:r>
                </w:p>
              </w:tc>
              <w:tc>
                <w:tcPr>
                  <w:tcW w:w="3005" w:type="pct"/>
                  <w:tcBorders>
                    <w:tl2br w:val="nil"/>
                    <w:tr2bl w:val="nil"/>
                  </w:tcBorders>
                  <w:vAlign w:val="center"/>
                </w:tcPr>
                <w:p w14:paraId="74370EC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GMZ100-70-280不锈钢叶轮、高</w:t>
                  </w:r>
                  <w:r>
                    <w:rPr>
                      <w:rFonts w:hint="eastAsia" w:cs="Times New Roman"/>
                      <w:i w:val="0"/>
                      <w:iCs w:val="0"/>
                      <w:color w:val="auto"/>
                      <w:kern w:val="0"/>
                      <w:sz w:val="21"/>
                      <w:szCs w:val="21"/>
                      <w:u w:val="none"/>
                      <w:lang w:val="en-US" w:eastAsia="zh-CN" w:bidi="ar"/>
                    </w:rPr>
                    <w:t>铬</w:t>
                  </w:r>
                  <w:r>
                    <w:rPr>
                      <w:rFonts w:hint="eastAsia" w:ascii="Times New Roman" w:hAnsi="Times New Roman" w:eastAsia="宋体" w:cs="Times New Roman"/>
                      <w:i w:val="0"/>
                      <w:iCs w:val="0"/>
                      <w:color w:val="auto"/>
                      <w:kern w:val="0"/>
                      <w:sz w:val="21"/>
                      <w:szCs w:val="21"/>
                      <w:u w:val="none"/>
                      <w:lang w:val="en-US" w:eastAsia="zh-CN" w:bidi="ar"/>
                    </w:rPr>
                    <w:t>材质</w:t>
                  </w:r>
                </w:p>
              </w:tc>
              <w:tc>
                <w:tcPr>
                  <w:tcW w:w="359" w:type="pct"/>
                  <w:tcBorders>
                    <w:tl2br w:val="nil"/>
                    <w:tr2bl w:val="nil"/>
                  </w:tcBorders>
                  <w:vAlign w:val="center"/>
                </w:tcPr>
                <w:p w14:paraId="561B85D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w:t>
                  </w:r>
                </w:p>
              </w:tc>
              <w:tc>
                <w:tcPr>
                  <w:tcW w:w="360" w:type="pct"/>
                  <w:tcBorders>
                    <w:tl2br w:val="nil"/>
                    <w:tr2bl w:val="nil"/>
                  </w:tcBorders>
                  <w:vAlign w:val="center"/>
                </w:tcPr>
                <w:p w14:paraId="22470FD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新建</w:t>
                  </w:r>
                </w:p>
              </w:tc>
            </w:tr>
            <w:tr w14:paraId="2D9515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9" w:type="pct"/>
                  <w:tcBorders>
                    <w:tl2br w:val="nil"/>
                    <w:tr2bl w:val="nil"/>
                  </w:tcBorders>
                  <w:vAlign w:val="center"/>
                </w:tcPr>
                <w:p w14:paraId="576F6F24">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35</w:t>
                  </w:r>
                </w:p>
              </w:tc>
              <w:tc>
                <w:tcPr>
                  <w:tcW w:w="913" w:type="pct"/>
                  <w:tcBorders>
                    <w:tl2br w:val="nil"/>
                    <w:tr2bl w:val="nil"/>
                  </w:tcBorders>
                  <w:vAlign w:val="center"/>
                </w:tcPr>
                <w:p w14:paraId="7F09865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压滤机专用入料泵</w:t>
                  </w:r>
                </w:p>
              </w:tc>
              <w:tc>
                <w:tcPr>
                  <w:tcW w:w="3005" w:type="pct"/>
                  <w:tcBorders>
                    <w:tl2br w:val="nil"/>
                    <w:tr2bl w:val="nil"/>
                  </w:tcBorders>
                  <w:vAlign w:val="center"/>
                </w:tcPr>
                <w:p w14:paraId="27FBE2A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GMZ100-70-280</w:t>
                  </w:r>
                </w:p>
              </w:tc>
              <w:tc>
                <w:tcPr>
                  <w:tcW w:w="359" w:type="pct"/>
                  <w:tcBorders>
                    <w:tl2br w:val="nil"/>
                    <w:tr2bl w:val="nil"/>
                  </w:tcBorders>
                  <w:vAlign w:val="center"/>
                </w:tcPr>
                <w:p w14:paraId="015B425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w:t>
                  </w:r>
                </w:p>
              </w:tc>
              <w:tc>
                <w:tcPr>
                  <w:tcW w:w="360" w:type="pct"/>
                  <w:tcBorders>
                    <w:tl2br w:val="nil"/>
                    <w:tr2bl w:val="nil"/>
                  </w:tcBorders>
                  <w:vAlign w:val="center"/>
                </w:tcPr>
                <w:p w14:paraId="538802F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新建</w:t>
                  </w:r>
                </w:p>
              </w:tc>
            </w:tr>
            <w:tr w14:paraId="25F5BF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9" w:type="pct"/>
                  <w:tcBorders>
                    <w:tl2br w:val="nil"/>
                    <w:tr2bl w:val="nil"/>
                  </w:tcBorders>
                  <w:vAlign w:val="center"/>
                </w:tcPr>
                <w:p w14:paraId="35640716">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36</w:t>
                  </w:r>
                </w:p>
              </w:tc>
              <w:tc>
                <w:tcPr>
                  <w:tcW w:w="913" w:type="pct"/>
                  <w:tcBorders>
                    <w:tl2br w:val="nil"/>
                    <w:tr2bl w:val="nil"/>
                  </w:tcBorders>
                  <w:vAlign w:val="center"/>
                </w:tcPr>
                <w:p w14:paraId="644FAB9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浮选入料泵</w:t>
                  </w:r>
                </w:p>
              </w:tc>
              <w:tc>
                <w:tcPr>
                  <w:tcW w:w="3005" w:type="pct"/>
                  <w:tcBorders>
                    <w:tl2br w:val="nil"/>
                    <w:tr2bl w:val="nil"/>
                  </w:tcBorders>
                  <w:vAlign w:val="center"/>
                </w:tcPr>
                <w:p w14:paraId="706F23A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GMZ200-20-840，不锈钢叶轮、高</w:t>
                  </w:r>
                  <w:r>
                    <w:rPr>
                      <w:rFonts w:hint="eastAsia" w:cs="Times New Roman"/>
                      <w:i w:val="0"/>
                      <w:iCs w:val="0"/>
                      <w:color w:val="auto"/>
                      <w:kern w:val="0"/>
                      <w:sz w:val="21"/>
                      <w:szCs w:val="21"/>
                      <w:u w:val="none"/>
                      <w:lang w:val="en-US" w:eastAsia="zh-CN" w:bidi="ar"/>
                    </w:rPr>
                    <w:t>铬</w:t>
                  </w:r>
                  <w:r>
                    <w:rPr>
                      <w:rFonts w:hint="eastAsia" w:ascii="Times New Roman" w:hAnsi="Times New Roman" w:eastAsia="宋体" w:cs="Times New Roman"/>
                      <w:i w:val="0"/>
                      <w:iCs w:val="0"/>
                      <w:color w:val="auto"/>
                      <w:kern w:val="0"/>
                      <w:sz w:val="21"/>
                      <w:szCs w:val="21"/>
                      <w:u w:val="none"/>
                      <w:lang w:val="en-US" w:eastAsia="zh-CN" w:bidi="ar"/>
                    </w:rPr>
                    <w:t>材质</w:t>
                  </w:r>
                </w:p>
              </w:tc>
              <w:tc>
                <w:tcPr>
                  <w:tcW w:w="359" w:type="pct"/>
                  <w:tcBorders>
                    <w:tl2br w:val="nil"/>
                    <w:tr2bl w:val="nil"/>
                  </w:tcBorders>
                  <w:vAlign w:val="center"/>
                </w:tcPr>
                <w:p w14:paraId="4AC78EB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w:t>
                  </w:r>
                </w:p>
              </w:tc>
              <w:tc>
                <w:tcPr>
                  <w:tcW w:w="360" w:type="pct"/>
                  <w:tcBorders>
                    <w:tl2br w:val="nil"/>
                    <w:tr2bl w:val="nil"/>
                  </w:tcBorders>
                  <w:vAlign w:val="center"/>
                </w:tcPr>
                <w:p w14:paraId="536F298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新建</w:t>
                  </w:r>
                </w:p>
              </w:tc>
            </w:tr>
            <w:tr w14:paraId="5F4B0D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9" w:type="pct"/>
                  <w:tcBorders>
                    <w:tl2br w:val="nil"/>
                    <w:tr2bl w:val="nil"/>
                  </w:tcBorders>
                  <w:vAlign w:val="center"/>
                </w:tcPr>
                <w:p w14:paraId="7CB26E3A">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37</w:t>
                  </w:r>
                </w:p>
              </w:tc>
              <w:tc>
                <w:tcPr>
                  <w:tcW w:w="913" w:type="pct"/>
                  <w:tcBorders>
                    <w:tl2br w:val="nil"/>
                    <w:tr2bl w:val="nil"/>
                  </w:tcBorders>
                  <w:vAlign w:val="center"/>
                </w:tcPr>
                <w:p w14:paraId="12211F2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精煤压滤机</w:t>
                  </w:r>
                </w:p>
              </w:tc>
              <w:tc>
                <w:tcPr>
                  <w:tcW w:w="3005" w:type="pct"/>
                  <w:tcBorders>
                    <w:tl2br w:val="nil"/>
                    <w:tr2bl w:val="nil"/>
                  </w:tcBorders>
                  <w:vAlign w:val="center"/>
                </w:tcPr>
                <w:p w14:paraId="51B586A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XMZ500-1500-U ，双油缸，单丝布</w:t>
                  </w:r>
                </w:p>
              </w:tc>
              <w:tc>
                <w:tcPr>
                  <w:tcW w:w="359" w:type="pct"/>
                  <w:tcBorders>
                    <w:tl2br w:val="nil"/>
                    <w:tr2bl w:val="nil"/>
                  </w:tcBorders>
                  <w:vAlign w:val="center"/>
                </w:tcPr>
                <w:p w14:paraId="790580A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w:t>
                  </w:r>
                </w:p>
              </w:tc>
              <w:tc>
                <w:tcPr>
                  <w:tcW w:w="360" w:type="pct"/>
                  <w:tcBorders>
                    <w:tl2br w:val="nil"/>
                    <w:tr2bl w:val="nil"/>
                  </w:tcBorders>
                  <w:vAlign w:val="center"/>
                </w:tcPr>
                <w:p w14:paraId="359E809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新建</w:t>
                  </w:r>
                </w:p>
              </w:tc>
            </w:tr>
            <w:tr w14:paraId="1B10AF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9" w:type="pct"/>
                  <w:tcBorders>
                    <w:tl2br w:val="nil"/>
                    <w:tr2bl w:val="nil"/>
                  </w:tcBorders>
                  <w:vAlign w:val="center"/>
                </w:tcPr>
                <w:p w14:paraId="7A992018">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38</w:t>
                  </w:r>
                </w:p>
              </w:tc>
              <w:tc>
                <w:tcPr>
                  <w:tcW w:w="913" w:type="pct"/>
                  <w:tcBorders>
                    <w:tl2br w:val="nil"/>
                    <w:tr2bl w:val="nil"/>
                  </w:tcBorders>
                  <w:vAlign w:val="center"/>
                </w:tcPr>
                <w:p w14:paraId="4F42124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尾煤压滤机</w:t>
                  </w:r>
                </w:p>
              </w:tc>
              <w:tc>
                <w:tcPr>
                  <w:tcW w:w="3005" w:type="pct"/>
                  <w:tcBorders>
                    <w:tl2br w:val="nil"/>
                    <w:tr2bl w:val="nil"/>
                  </w:tcBorders>
                  <w:vAlign w:val="center"/>
                </w:tcPr>
                <w:p w14:paraId="65E70AA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XMZ500-1500-U 双油缸，单丝布</w:t>
                  </w:r>
                </w:p>
              </w:tc>
              <w:tc>
                <w:tcPr>
                  <w:tcW w:w="359" w:type="pct"/>
                  <w:tcBorders>
                    <w:tl2br w:val="nil"/>
                    <w:tr2bl w:val="nil"/>
                  </w:tcBorders>
                  <w:vAlign w:val="center"/>
                </w:tcPr>
                <w:p w14:paraId="130289C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w:t>
                  </w:r>
                </w:p>
              </w:tc>
              <w:tc>
                <w:tcPr>
                  <w:tcW w:w="360" w:type="pct"/>
                  <w:tcBorders>
                    <w:tl2br w:val="nil"/>
                    <w:tr2bl w:val="nil"/>
                  </w:tcBorders>
                  <w:vAlign w:val="center"/>
                </w:tcPr>
                <w:p w14:paraId="78DDF80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新建</w:t>
                  </w:r>
                </w:p>
              </w:tc>
            </w:tr>
            <w:tr w14:paraId="28CF75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9" w:type="pct"/>
                  <w:tcBorders>
                    <w:tl2br w:val="nil"/>
                    <w:tr2bl w:val="nil"/>
                  </w:tcBorders>
                  <w:vAlign w:val="center"/>
                </w:tcPr>
                <w:p w14:paraId="6F44A62C">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39</w:t>
                  </w:r>
                </w:p>
              </w:tc>
              <w:tc>
                <w:tcPr>
                  <w:tcW w:w="913" w:type="pct"/>
                  <w:tcBorders>
                    <w:tl2br w:val="nil"/>
                    <w:tr2bl w:val="nil"/>
                  </w:tcBorders>
                  <w:vAlign w:val="center"/>
                </w:tcPr>
                <w:p w14:paraId="3C195C4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中煤压滤机</w:t>
                  </w:r>
                </w:p>
              </w:tc>
              <w:tc>
                <w:tcPr>
                  <w:tcW w:w="3005" w:type="pct"/>
                  <w:tcBorders>
                    <w:tl2br w:val="nil"/>
                    <w:tr2bl w:val="nil"/>
                  </w:tcBorders>
                  <w:vAlign w:val="center"/>
                </w:tcPr>
                <w:p w14:paraId="4F30E09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XM200-1250-U 单油缸，单丝布</w:t>
                  </w:r>
                </w:p>
              </w:tc>
              <w:tc>
                <w:tcPr>
                  <w:tcW w:w="359" w:type="pct"/>
                  <w:tcBorders>
                    <w:tl2br w:val="nil"/>
                    <w:tr2bl w:val="nil"/>
                  </w:tcBorders>
                  <w:vAlign w:val="center"/>
                </w:tcPr>
                <w:p w14:paraId="75AB0E1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w:t>
                  </w:r>
                </w:p>
              </w:tc>
              <w:tc>
                <w:tcPr>
                  <w:tcW w:w="360" w:type="pct"/>
                  <w:tcBorders>
                    <w:tl2br w:val="nil"/>
                    <w:tr2bl w:val="nil"/>
                  </w:tcBorders>
                  <w:vAlign w:val="center"/>
                </w:tcPr>
                <w:p w14:paraId="74BD445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新建</w:t>
                  </w:r>
                </w:p>
              </w:tc>
            </w:tr>
            <w:tr w14:paraId="320034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9" w:type="pct"/>
                  <w:tcBorders>
                    <w:tl2br w:val="nil"/>
                    <w:tr2bl w:val="nil"/>
                  </w:tcBorders>
                  <w:vAlign w:val="center"/>
                </w:tcPr>
                <w:p w14:paraId="1B4DEEB0">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40</w:t>
                  </w:r>
                </w:p>
              </w:tc>
              <w:tc>
                <w:tcPr>
                  <w:tcW w:w="913" w:type="pct"/>
                  <w:tcBorders>
                    <w:tl2br w:val="nil"/>
                    <w:tr2bl w:val="nil"/>
                  </w:tcBorders>
                  <w:vAlign w:val="center"/>
                </w:tcPr>
                <w:p w14:paraId="53D8DED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中煤压滤入料泵</w:t>
                  </w:r>
                </w:p>
              </w:tc>
              <w:tc>
                <w:tcPr>
                  <w:tcW w:w="3005" w:type="pct"/>
                  <w:tcBorders>
                    <w:tl2br w:val="nil"/>
                    <w:tr2bl w:val="nil"/>
                  </w:tcBorders>
                  <w:vAlign w:val="center"/>
                </w:tcPr>
                <w:p w14:paraId="388E33B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GMZ80-75-120，不锈钢叶轮、高</w:t>
                  </w:r>
                  <w:r>
                    <w:rPr>
                      <w:rFonts w:hint="eastAsia" w:cs="Times New Roman"/>
                      <w:i w:val="0"/>
                      <w:iCs w:val="0"/>
                      <w:color w:val="auto"/>
                      <w:kern w:val="0"/>
                      <w:sz w:val="21"/>
                      <w:szCs w:val="21"/>
                      <w:u w:val="none"/>
                      <w:lang w:val="en-US" w:eastAsia="zh-CN" w:bidi="ar"/>
                    </w:rPr>
                    <w:t>铬</w:t>
                  </w:r>
                  <w:r>
                    <w:rPr>
                      <w:rFonts w:hint="eastAsia" w:ascii="Times New Roman" w:hAnsi="Times New Roman" w:eastAsia="宋体" w:cs="Times New Roman"/>
                      <w:i w:val="0"/>
                      <w:iCs w:val="0"/>
                      <w:color w:val="auto"/>
                      <w:kern w:val="0"/>
                      <w:sz w:val="21"/>
                      <w:szCs w:val="21"/>
                      <w:u w:val="none"/>
                      <w:lang w:val="en-US" w:eastAsia="zh-CN" w:bidi="ar"/>
                    </w:rPr>
                    <w:t>材质</w:t>
                  </w:r>
                </w:p>
              </w:tc>
              <w:tc>
                <w:tcPr>
                  <w:tcW w:w="359" w:type="pct"/>
                  <w:tcBorders>
                    <w:tl2br w:val="nil"/>
                    <w:tr2bl w:val="nil"/>
                  </w:tcBorders>
                  <w:vAlign w:val="center"/>
                </w:tcPr>
                <w:p w14:paraId="4E983B7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w:t>
                  </w:r>
                </w:p>
              </w:tc>
              <w:tc>
                <w:tcPr>
                  <w:tcW w:w="360" w:type="pct"/>
                  <w:tcBorders>
                    <w:tl2br w:val="nil"/>
                    <w:tr2bl w:val="nil"/>
                  </w:tcBorders>
                  <w:vAlign w:val="center"/>
                </w:tcPr>
                <w:p w14:paraId="4AE29A9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新建</w:t>
                  </w:r>
                </w:p>
              </w:tc>
            </w:tr>
            <w:tr w14:paraId="5B9442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9" w:type="pct"/>
                  <w:tcBorders>
                    <w:tl2br w:val="nil"/>
                    <w:tr2bl w:val="nil"/>
                  </w:tcBorders>
                  <w:vAlign w:val="center"/>
                </w:tcPr>
                <w:p w14:paraId="6B5B94ED">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41</w:t>
                  </w:r>
                </w:p>
              </w:tc>
              <w:tc>
                <w:tcPr>
                  <w:tcW w:w="913" w:type="pct"/>
                  <w:tcBorders>
                    <w:tl2br w:val="nil"/>
                    <w:tr2bl w:val="nil"/>
                  </w:tcBorders>
                  <w:vAlign w:val="center"/>
                </w:tcPr>
                <w:p w14:paraId="46C0838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清水泵</w:t>
                  </w:r>
                </w:p>
              </w:tc>
              <w:tc>
                <w:tcPr>
                  <w:tcW w:w="3005" w:type="pct"/>
                  <w:tcBorders>
                    <w:tl2br w:val="nil"/>
                    <w:tr2bl w:val="nil"/>
                  </w:tcBorders>
                  <w:vAlign w:val="center"/>
                </w:tcPr>
                <w:p w14:paraId="6FCD5E8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GMZ200-28-900</w:t>
                  </w:r>
                </w:p>
              </w:tc>
              <w:tc>
                <w:tcPr>
                  <w:tcW w:w="359" w:type="pct"/>
                  <w:tcBorders>
                    <w:tl2br w:val="nil"/>
                    <w:tr2bl w:val="nil"/>
                  </w:tcBorders>
                  <w:vAlign w:val="center"/>
                </w:tcPr>
                <w:p w14:paraId="6C9A69C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w:t>
                  </w:r>
                </w:p>
              </w:tc>
              <w:tc>
                <w:tcPr>
                  <w:tcW w:w="360" w:type="pct"/>
                  <w:tcBorders>
                    <w:tl2br w:val="nil"/>
                    <w:tr2bl w:val="nil"/>
                  </w:tcBorders>
                  <w:vAlign w:val="center"/>
                </w:tcPr>
                <w:p w14:paraId="6182666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新建</w:t>
                  </w:r>
                </w:p>
              </w:tc>
            </w:tr>
            <w:tr w14:paraId="404E97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9" w:type="pct"/>
                  <w:tcBorders>
                    <w:tl2br w:val="nil"/>
                    <w:tr2bl w:val="nil"/>
                  </w:tcBorders>
                  <w:vAlign w:val="center"/>
                </w:tcPr>
                <w:p w14:paraId="1405DDCF">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42</w:t>
                  </w:r>
                </w:p>
              </w:tc>
              <w:tc>
                <w:tcPr>
                  <w:tcW w:w="913" w:type="pct"/>
                  <w:tcBorders>
                    <w:tl2br w:val="nil"/>
                    <w:tr2bl w:val="nil"/>
                  </w:tcBorders>
                  <w:vAlign w:val="center"/>
                </w:tcPr>
                <w:p w14:paraId="20DF0C5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清水罐</w:t>
                  </w:r>
                </w:p>
              </w:tc>
              <w:tc>
                <w:tcPr>
                  <w:tcW w:w="3005" w:type="pct"/>
                  <w:tcBorders>
                    <w:tl2br w:val="nil"/>
                    <w:tr2bl w:val="nil"/>
                  </w:tcBorders>
                  <w:vAlign w:val="center"/>
                </w:tcPr>
                <w:p w14:paraId="40F3F43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100m³</w:t>
                  </w:r>
                </w:p>
              </w:tc>
              <w:tc>
                <w:tcPr>
                  <w:tcW w:w="359" w:type="pct"/>
                  <w:tcBorders>
                    <w:tl2br w:val="nil"/>
                    <w:tr2bl w:val="nil"/>
                  </w:tcBorders>
                  <w:vAlign w:val="center"/>
                </w:tcPr>
                <w:p w14:paraId="08E15FE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w:t>
                  </w:r>
                </w:p>
              </w:tc>
              <w:tc>
                <w:tcPr>
                  <w:tcW w:w="360" w:type="pct"/>
                  <w:tcBorders>
                    <w:tl2br w:val="nil"/>
                    <w:tr2bl w:val="nil"/>
                  </w:tcBorders>
                  <w:vAlign w:val="center"/>
                </w:tcPr>
                <w:p w14:paraId="59434BB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利旧</w:t>
                  </w:r>
                </w:p>
              </w:tc>
            </w:tr>
            <w:tr w14:paraId="29BF55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9" w:type="pct"/>
                  <w:tcBorders>
                    <w:tl2br w:val="nil"/>
                    <w:tr2bl w:val="nil"/>
                  </w:tcBorders>
                  <w:vAlign w:val="center"/>
                </w:tcPr>
                <w:p w14:paraId="62EE2AF2">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43</w:t>
                  </w:r>
                </w:p>
              </w:tc>
              <w:tc>
                <w:tcPr>
                  <w:tcW w:w="913" w:type="pct"/>
                  <w:tcBorders>
                    <w:tl2br w:val="nil"/>
                    <w:tr2bl w:val="nil"/>
                  </w:tcBorders>
                  <w:vAlign w:val="center"/>
                </w:tcPr>
                <w:p w14:paraId="792628B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箱式压滤机</w:t>
                  </w:r>
                </w:p>
              </w:tc>
              <w:tc>
                <w:tcPr>
                  <w:tcW w:w="3005" w:type="pct"/>
                  <w:tcBorders>
                    <w:tl2br w:val="nil"/>
                    <w:tr2bl w:val="nil"/>
                  </w:tcBorders>
                  <w:vAlign w:val="center"/>
                </w:tcPr>
                <w:p w14:paraId="7162B48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920</w:t>
                  </w:r>
                </w:p>
              </w:tc>
              <w:tc>
                <w:tcPr>
                  <w:tcW w:w="359" w:type="pct"/>
                  <w:tcBorders>
                    <w:tl2br w:val="nil"/>
                    <w:tr2bl w:val="nil"/>
                  </w:tcBorders>
                  <w:vAlign w:val="center"/>
                </w:tcPr>
                <w:p w14:paraId="41ADE34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w:t>
                  </w:r>
                </w:p>
              </w:tc>
              <w:tc>
                <w:tcPr>
                  <w:tcW w:w="360" w:type="pct"/>
                  <w:tcBorders>
                    <w:tl2br w:val="nil"/>
                    <w:tr2bl w:val="nil"/>
                  </w:tcBorders>
                  <w:vAlign w:val="center"/>
                </w:tcPr>
                <w:p w14:paraId="5457036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利旧</w:t>
                  </w:r>
                </w:p>
              </w:tc>
            </w:tr>
            <w:tr w14:paraId="5EDA9A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9" w:type="pct"/>
                  <w:tcBorders>
                    <w:tl2br w:val="nil"/>
                    <w:tr2bl w:val="nil"/>
                  </w:tcBorders>
                  <w:vAlign w:val="center"/>
                </w:tcPr>
                <w:p w14:paraId="5AE29BB8">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44</w:t>
                  </w:r>
                </w:p>
              </w:tc>
              <w:tc>
                <w:tcPr>
                  <w:tcW w:w="913" w:type="pct"/>
                  <w:tcBorders>
                    <w:tl2br w:val="nil"/>
                    <w:tr2bl w:val="nil"/>
                  </w:tcBorders>
                  <w:vAlign w:val="center"/>
                </w:tcPr>
                <w:p w14:paraId="27E6EE9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程控隔膜压滤机</w:t>
                  </w:r>
                </w:p>
              </w:tc>
              <w:tc>
                <w:tcPr>
                  <w:tcW w:w="3005" w:type="pct"/>
                  <w:tcBorders>
                    <w:tl2br w:val="nil"/>
                    <w:tr2bl w:val="nil"/>
                  </w:tcBorders>
                  <w:vAlign w:val="center"/>
                </w:tcPr>
                <w:p w14:paraId="2ABE089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XMZG150/1250-И</w:t>
                  </w:r>
                </w:p>
              </w:tc>
              <w:tc>
                <w:tcPr>
                  <w:tcW w:w="359" w:type="pct"/>
                  <w:tcBorders>
                    <w:tl2br w:val="nil"/>
                    <w:tr2bl w:val="nil"/>
                  </w:tcBorders>
                  <w:vAlign w:val="center"/>
                </w:tcPr>
                <w:p w14:paraId="6E719B2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w:t>
                  </w:r>
                </w:p>
              </w:tc>
              <w:tc>
                <w:tcPr>
                  <w:tcW w:w="360" w:type="pct"/>
                  <w:tcBorders>
                    <w:tl2br w:val="nil"/>
                    <w:tr2bl w:val="nil"/>
                  </w:tcBorders>
                  <w:vAlign w:val="center"/>
                </w:tcPr>
                <w:p w14:paraId="5A189AA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利旧</w:t>
                  </w:r>
                </w:p>
              </w:tc>
            </w:tr>
          </w:tbl>
          <w:p w14:paraId="30E34B95">
            <w:pPr>
              <w:pStyle w:val="46"/>
              <w:keepNext w:val="0"/>
              <w:keepLines w:val="0"/>
              <w:pageBreakBefore w:val="0"/>
              <w:widowControl w:val="0"/>
              <w:numPr>
                <w:ilvl w:val="0"/>
                <w:numId w:val="7"/>
              </w:numPr>
              <w:kinsoku/>
              <w:wordWrap/>
              <w:overflowPunct/>
              <w:topLinePunct w:val="0"/>
              <w:autoSpaceDE/>
              <w:autoSpaceDN/>
              <w:bidi w:val="0"/>
              <w:adjustRightInd/>
              <w:snapToGrid/>
              <w:spacing w:line="520" w:lineRule="exact"/>
              <w:ind w:firstLine="0" w:firstLineChars="0"/>
              <w:textAlignment w:val="auto"/>
              <w:rPr>
                <w:rFonts w:hint="default" w:ascii="Times New Roman" w:hAnsi="Times New Roman" w:eastAsia="宋体" w:cs="Times New Roman"/>
                <w:b/>
                <w:bCs/>
                <w:snapToGrid w:val="0"/>
                <w:color w:val="auto"/>
                <w:kern w:val="0"/>
                <w:sz w:val="24"/>
                <w:szCs w:val="24"/>
                <w:lang w:val="en-US" w:eastAsia="zh-CN" w:bidi="ar-SA"/>
              </w:rPr>
            </w:pPr>
            <w:r>
              <w:rPr>
                <w:rFonts w:hint="eastAsia" w:ascii="Times New Roman" w:hAnsi="Times New Roman" w:eastAsia="宋体" w:cs="Times New Roman"/>
                <w:b/>
                <w:bCs/>
                <w:snapToGrid w:val="0"/>
                <w:color w:val="auto"/>
                <w:kern w:val="0"/>
                <w:sz w:val="24"/>
                <w:szCs w:val="24"/>
                <w:lang w:val="en-US" w:eastAsia="zh-CN" w:bidi="ar-SA"/>
              </w:rPr>
              <w:t>项目原辅材料消耗情况</w:t>
            </w:r>
          </w:p>
          <w:p w14:paraId="60430D8C">
            <w:pPr>
              <w:pStyle w:val="24"/>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color w:val="auto"/>
                <w:sz w:val="24"/>
                <w:szCs w:val="24"/>
                <w:lang w:val="en-US" w:eastAsia="zh-CN"/>
              </w:rPr>
              <w:t>本项目主要原料为</w:t>
            </w:r>
            <w:r>
              <w:rPr>
                <w:rFonts w:hint="eastAsia" w:cs="Times New Roman"/>
                <w:color w:val="auto"/>
                <w:sz w:val="24"/>
                <w:szCs w:val="24"/>
                <w:lang w:val="en-US" w:eastAsia="zh-CN"/>
              </w:rPr>
              <w:t>原煤，原煤来源主要由周边地区如米东区、小黄山等煤矿供应</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项目主要原辅材料能源消耗见表2-</w:t>
            </w:r>
            <w:r>
              <w:rPr>
                <w:rFonts w:hint="default" w:ascii="Times New Roman" w:hAnsi="Times New Roman" w:eastAsia="宋体" w:cs="Times New Roman"/>
                <w:color w:val="auto"/>
                <w:sz w:val="24"/>
                <w:szCs w:val="24"/>
                <w:lang w:val="en-US" w:eastAsia="zh-CN"/>
              </w:rPr>
              <w:t>5。</w:t>
            </w:r>
          </w:p>
          <w:p w14:paraId="749D8CC2">
            <w:pPr>
              <w:pStyle w:val="46"/>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b/>
                <w:bCs/>
                <w:color w:val="auto"/>
                <w:sz w:val="21"/>
                <w:szCs w:val="21"/>
              </w:rPr>
            </w:pPr>
            <w:r>
              <w:rPr>
                <w:b/>
                <w:bCs/>
                <w:color w:val="auto"/>
                <w:sz w:val="21"/>
                <w:szCs w:val="21"/>
              </w:rPr>
              <w:t>表2-</w:t>
            </w:r>
            <w:r>
              <w:rPr>
                <w:rFonts w:hint="eastAsia"/>
                <w:b/>
                <w:bCs/>
                <w:color w:val="auto"/>
                <w:sz w:val="21"/>
                <w:szCs w:val="21"/>
                <w:lang w:val="en-US" w:eastAsia="zh-CN"/>
              </w:rPr>
              <w:t>5</w:t>
            </w:r>
            <w:r>
              <w:rPr>
                <w:b/>
                <w:bCs/>
                <w:color w:val="auto"/>
                <w:sz w:val="21"/>
                <w:szCs w:val="21"/>
              </w:rPr>
              <w:t xml:space="preserve">  </w:t>
            </w:r>
            <w:r>
              <w:rPr>
                <w:rFonts w:hint="eastAsia"/>
                <w:b/>
                <w:bCs/>
                <w:color w:val="auto"/>
                <w:sz w:val="21"/>
                <w:szCs w:val="21"/>
                <w:lang w:val="en-US" w:eastAsia="zh-CN"/>
              </w:rPr>
              <w:t xml:space="preserve"> </w:t>
            </w:r>
            <w:r>
              <w:rPr>
                <w:b/>
                <w:bCs/>
                <w:color w:val="auto"/>
                <w:sz w:val="21"/>
                <w:szCs w:val="21"/>
              </w:rPr>
              <w:t xml:space="preserve"> 项目主要原辅材料及能源消耗表</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74"/>
              <w:gridCol w:w="880"/>
              <w:gridCol w:w="904"/>
              <w:gridCol w:w="871"/>
              <w:gridCol w:w="1455"/>
              <w:gridCol w:w="2400"/>
            </w:tblGrid>
            <w:tr w14:paraId="1BFDB7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23" w:type="pct"/>
                  <w:tcBorders>
                    <w:bottom w:val="single" w:color="auto" w:sz="12" w:space="0"/>
                  </w:tcBorders>
                  <w:vAlign w:val="center"/>
                </w:tcPr>
                <w:p w14:paraId="3C7189B2">
                  <w:pPr>
                    <w:pStyle w:val="46"/>
                    <w:spacing w:line="240" w:lineRule="auto"/>
                    <w:ind w:firstLine="0" w:firstLineChars="0"/>
                    <w:jc w:val="center"/>
                    <w:rPr>
                      <w:rFonts w:hint="eastAsia" w:eastAsia="宋体"/>
                      <w:b/>
                      <w:bCs/>
                      <w:color w:val="auto"/>
                      <w:sz w:val="21"/>
                      <w:szCs w:val="21"/>
                      <w:lang w:eastAsia="zh-CN"/>
                    </w:rPr>
                  </w:pPr>
                  <w:r>
                    <w:rPr>
                      <w:rFonts w:hint="eastAsia"/>
                      <w:b/>
                      <w:bCs/>
                      <w:color w:val="auto"/>
                      <w:sz w:val="21"/>
                      <w:szCs w:val="21"/>
                      <w:lang w:val="en-US" w:eastAsia="zh-CN"/>
                    </w:rPr>
                    <w:t>生产线</w:t>
                  </w:r>
                </w:p>
              </w:tc>
              <w:tc>
                <w:tcPr>
                  <w:tcW w:w="551" w:type="pct"/>
                  <w:tcBorders>
                    <w:bottom w:val="single" w:color="auto" w:sz="12" w:space="0"/>
                  </w:tcBorders>
                  <w:vAlign w:val="center"/>
                </w:tcPr>
                <w:p w14:paraId="7A95493E">
                  <w:pPr>
                    <w:pStyle w:val="46"/>
                    <w:spacing w:line="240" w:lineRule="auto"/>
                    <w:ind w:firstLine="0" w:firstLineChars="0"/>
                    <w:jc w:val="center"/>
                    <w:rPr>
                      <w:b/>
                      <w:bCs/>
                      <w:color w:val="auto"/>
                      <w:sz w:val="21"/>
                      <w:szCs w:val="21"/>
                    </w:rPr>
                  </w:pPr>
                  <w:r>
                    <w:rPr>
                      <w:b/>
                      <w:bCs/>
                      <w:color w:val="auto"/>
                      <w:sz w:val="21"/>
                      <w:szCs w:val="21"/>
                    </w:rPr>
                    <w:t>原料</w:t>
                  </w:r>
                </w:p>
              </w:tc>
              <w:tc>
                <w:tcPr>
                  <w:tcW w:w="566" w:type="pct"/>
                  <w:tcBorders>
                    <w:bottom w:val="single" w:color="auto" w:sz="12" w:space="0"/>
                  </w:tcBorders>
                  <w:vAlign w:val="center"/>
                </w:tcPr>
                <w:p w14:paraId="2AE6C9EF">
                  <w:pPr>
                    <w:pStyle w:val="46"/>
                    <w:spacing w:line="240" w:lineRule="auto"/>
                    <w:ind w:firstLine="0" w:firstLineChars="0"/>
                    <w:jc w:val="center"/>
                    <w:rPr>
                      <w:b/>
                      <w:bCs/>
                      <w:color w:val="auto"/>
                      <w:sz w:val="21"/>
                      <w:szCs w:val="21"/>
                    </w:rPr>
                  </w:pPr>
                  <w:r>
                    <w:rPr>
                      <w:b/>
                      <w:bCs/>
                      <w:color w:val="auto"/>
                      <w:sz w:val="21"/>
                      <w:szCs w:val="21"/>
                    </w:rPr>
                    <w:t>单位</w:t>
                  </w:r>
                </w:p>
              </w:tc>
              <w:tc>
                <w:tcPr>
                  <w:tcW w:w="545" w:type="pct"/>
                  <w:tcBorders>
                    <w:bottom w:val="single" w:color="auto" w:sz="12" w:space="0"/>
                  </w:tcBorders>
                  <w:vAlign w:val="center"/>
                </w:tcPr>
                <w:p w14:paraId="59D5AD81">
                  <w:pPr>
                    <w:pStyle w:val="46"/>
                    <w:spacing w:line="240" w:lineRule="auto"/>
                    <w:ind w:firstLine="0" w:firstLineChars="0"/>
                    <w:jc w:val="center"/>
                    <w:rPr>
                      <w:b/>
                      <w:bCs/>
                      <w:color w:val="auto"/>
                      <w:sz w:val="21"/>
                      <w:szCs w:val="21"/>
                    </w:rPr>
                  </w:pPr>
                  <w:r>
                    <w:rPr>
                      <w:b/>
                      <w:bCs/>
                      <w:color w:val="auto"/>
                      <w:sz w:val="21"/>
                      <w:szCs w:val="21"/>
                    </w:rPr>
                    <w:t>消耗量</w:t>
                  </w:r>
                </w:p>
              </w:tc>
              <w:tc>
                <w:tcPr>
                  <w:tcW w:w="911" w:type="pct"/>
                  <w:tcBorders>
                    <w:bottom w:val="single" w:color="auto" w:sz="12" w:space="0"/>
                  </w:tcBorders>
                  <w:vAlign w:val="center"/>
                </w:tcPr>
                <w:p w14:paraId="53C34ABF">
                  <w:pPr>
                    <w:pStyle w:val="46"/>
                    <w:spacing w:line="240" w:lineRule="auto"/>
                    <w:ind w:firstLine="0" w:firstLineChars="0"/>
                    <w:jc w:val="center"/>
                    <w:rPr>
                      <w:rFonts w:hint="default"/>
                      <w:b/>
                      <w:bCs/>
                      <w:color w:val="auto"/>
                      <w:sz w:val="21"/>
                      <w:szCs w:val="21"/>
                      <w:lang w:val="en-US" w:eastAsia="zh-CN"/>
                    </w:rPr>
                  </w:pPr>
                  <w:r>
                    <w:rPr>
                      <w:rFonts w:hint="eastAsia"/>
                      <w:b/>
                      <w:bCs/>
                      <w:color w:val="auto"/>
                      <w:sz w:val="21"/>
                      <w:szCs w:val="21"/>
                      <w:lang w:val="en-US" w:eastAsia="zh-CN"/>
                    </w:rPr>
                    <w:t>贮存方式</w:t>
                  </w:r>
                </w:p>
              </w:tc>
              <w:tc>
                <w:tcPr>
                  <w:tcW w:w="1502" w:type="pct"/>
                  <w:tcBorders>
                    <w:bottom w:val="single" w:color="auto" w:sz="12" w:space="0"/>
                  </w:tcBorders>
                  <w:vAlign w:val="center"/>
                </w:tcPr>
                <w:p w14:paraId="40DCD62D">
                  <w:pPr>
                    <w:pStyle w:val="46"/>
                    <w:spacing w:line="240" w:lineRule="auto"/>
                    <w:ind w:firstLine="0" w:firstLineChars="0"/>
                    <w:jc w:val="center"/>
                    <w:rPr>
                      <w:rFonts w:hint="eastAsia" w:eastAsia="宋体"/>
                      <w:b/>
                      <w:bCs/>
                      <w:color w:val="auto"/>
                      <w:sz w:val="21"/>
                      <w:szCs w:val="21"/>
                      <w:lang w:val="en-US" w:eastAsia="zh-CN"/>
                    </w:rPr>
                  </w:pPr>
                  <w:r>
                    <w:rPr>
                      <w:rFonts w:hint="eastAsia"/>
                      <w:b/>
                      <w:bCs/>
                      <w:color w:val="auto"/>
                      <w:sz w:val="21"/>
                      <w:szCs w:val="21"/>
                      <w:lang w:val="en-US" w:eastAsia="zh-CN"/>
                    </w:rPr>
                    <w:t>备注</w:t>
                  </w:r>
                </w:p>
              </w:tc>
            </w:tr>
            <w:tr w14:paraId="795AD2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3" w:type="pct"/>
                  <w:vMerge w:val="restart"/>
                  <w:tcBorders>
                    <w:top w:val="single" w:color="auto" w:sz="12" w:space="0"/>
                    <w:tl2br w:val="nil"/>
                    <w:tr2bl w:val="nil"/>
                  </w:tcBorders>
                  <w:vAlign w:val="center"/>
                </w:tcPr>
                <w:p w14:paraId="1CA823EF">
                  <w:pPr>
                    <w:pStyle w:val="46"/>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洗煤生产线</w:t>
                  </w:r>
                </w:p>
              </w:tc>
              <w:tc>
                <w:tcPr>
                  <w:tcW w:w="551" w:type="pct"/>
                  <w:tcBorders>
                    <w:top w:val="single" w:color="auto" w:sz="12" w:space="0"/>
                    <w:bottom w:val="single" w:color="auto" w:sz="4" w:space="0"/>
                  </w:tcBorders>
                  <w:vAlign w:val="center"/>
                </w:tcPr>
                <w:p w14:paraId="12CCAFEC">
                  <w:pPr>
                    <w:pStyle w:val="46"/>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原煤</w:t>
                  </w:r>
                </w:p>
              </w:tc>
              <w:tc>
                <w:tcPr>
                  <w:tcW w:w="566" w:type="pct"/>
                  <w:tcBorders>
                    <w:top w:val="single" w:color="auto" w:sz="12" w:space="0"/>
                    <w:bottom w:val="single" w:color="auto" w:sz="4" w:space="0"/>
                  </w:tcBorders>
                  <w:vAlign w:val="center"/>
                </w:tcPr>
                <w:p w14:paraId="6C10D240">
                  <w:pPr>
                    <w:pStyle w:val="46"/>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万t/a</w:t>
                  </w:r>
                </w:p>
              </w:tc>
              <w:tc>
                <w:tcPr>
                  <w:tcW w:w="545" w:type="pct"/>
                  <w:tcBorders>
                    <w:top w:val="single" w:color="auto" w:sz="12" w:space="0"/>
                    <w:bottom w:val="single" w:color="auto" w:sz="4" w:space="0"/>
                  </w:tcBorders>
                  <w:vAlign w:val="center"/>
                </w:tcPr>
                <w:p w14:paraId="74FDF789">
                  <w:pPr>
                    <w:pStyle w:val="46"/>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125</w:t>
                  </w:r>
                </w:p>
              </w:tc>
              <w:tc>
                <w:tcPr>
                  <w:tcW w:w="911" w:type="pct"/>
                  <w:tcBorders>
                    <w:top w:val="single" w:color="auto" w:sz="12" w:space="0"/>
                    <w:bottom w:val="single" w:color="auto" w:sz="4" w:space="0"/>
                  </w:tcBorders>
                  <w:vAlign w:val="center"/>
                </w:tcPr>
                <w:p w14:paraId="44E5FE17">
                  <w:pPr>
                    <w:pStyle w:val="46"/>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散装，贮存于原煤棚</w:t>
                  </w:r>
                </w:p>
              </w:tc>
              <w:tc>
                <w:tcPr>
                  <w:tcW w:w="1502" w:type="pct"/>
                  <w:tcBorders>
                    <w:top w:val="single" w:color="auto" w:sz="12" w:space="0"/>
                    <w:bottom w:val="single" w:color="auto" w:sz="4" w:space="0"/>
                  </w:tcBorders>
                  <w:vAlign w:val="center"/>
                </w:tcPr>
                <w:p w14:paraId="6EF06B25">
                  <w:pPr>
                    <w:pStyle w:val="46"/>
                    <w:spacing w:line="240" w:lineRule="auto"/>
                    <w:ind w:firstLine="0" w:firstLineChars="0"/>
                    <w:jc w:val="center"/>
                    <w:rPr>
                      <w:rFonts w:hint="default" w:eastAsia="宋体"/>
                      <w:color w:val="auto"/>
                      <w:sz w:val="21"/>
                      <w:szCs w:val="21"/>
                      <w:lang w:val="en-US" w:eastAsia="zh-CN"/>
                    </w:rPr>
                  </w:pPr>
                  <w:r>
                    <w:rPr>
                      <w:rFonts w:hint="default" w:ascii="Times New Roman" w:hAnsi="Times New Roman" w:eastAsia="宋体" w:cs="Times New Roman"/>
                      <w:color w:val="auto"/>
                      <w:kern w:val="2"/>
                      <w:sz w:val="21"/>
                      <w:szCs w:val="21"/>
                      <w:highlight w:val="none"/>
                      <w:lang w:val="en-US" w:eastAsia="zh-CN" w:bidi="ar-SA"/>
                    </w:rPr>
                    <w:t>外购周边地区如米东区、小黄山等煤矿供应的原煤，货车拉运</w:t>
                  </w:r>
                </w:p>
              </w:tc>
            </w:tr>
            <w:tr w14:paraId="61E526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3" w:type="pct"/>
                  <w:vMerge w:val="continue"/>
                  <w:tcBorders>
                    <w:tl2br w:val="nil"/>
                    <w:tr2bl w:val="nil"/>
                  </w:tcBorders>
                  <w:vAlign w:val="center"/>
                </w:tcPr>
                <w:p w14:paraId="0960E973">
                  <w:pPr>
                    <w:pStyle w:val="46"/>
                    <w:spacing w:line="240" w:lineRule="auto"/>
                    <w:ind w:firstLine="0" w:firstLineChars="0"/>
                    <w:jc w:val="center"/>
                    <w:rPr>
                      <w:rFonts w:hint="eastAsia"/>
                      <w:color w:val="auto"/>
                      <w:sz w:val="21"/>
                      <w:szCs w:val="21"/>
                      <w:lang w:val="en-US" w:eastAsia="zh-CN"/>
                    </w:rPr>
                  </w:pPr>
                </w:p>
              </w:tc>
              <w:tc>
                <w:tcPr>
                  <w:tcW w:w="551" w:type="pct"/>
                  <w:tcBorders>
                    <w:top w:val="single" w:color="auto" w:sz="4" w:space="0"/>
                  </w:tcBorders>
                  <w:vAlign w:val="center"/>
                </w:tcPr>
                <w:p w14:paraId="78CBBCC7">
                  <w:pPr>
                    <w:pStyle w:val="46"/>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絮凝剂</w:t>
                  </w:r>
                </w:p>
              </w:tc>
              <w:tc>
                <w:tcPr>
                  <w:tcW w:w="566" w:type="pct"/>
                  <w:tcBorders>
                    <w:top w:val="single" w:color="auto" w:sz="4" w:space="0"/>
                  </w:tcBorders>
                  <w:vAlign w:val="center"/>
                </w:tcPr>
                <w:p w14:paraId="29999DE7">
                  <w:pPr>
                    <w:keepNext w:val="0"/>
                    <w:keepLines w:val="0"/>
                    <w:pageBreakBefore w:val="0"/>
                    <w:widowControl/>
                    <w:kinsoku/>
                    <w:wordWrap/>
                    <w:topLinePunct w:val="0"/>
                    <w:bidi w:val="0"/>
                    <w:spacing w:line="240" w:lineRule="auto"/>
                    <w:ind w:firstLine="0" w:firstLineChars="0"/>
                    <w:jc w:val="center"/>
                    <w:rPr>
                      <w:rFonts w:hint="eastAsia"/>
                      <w:color w:val="auto"/>
                      <w:sz w:val="21"/>
                      <w:szCs w:val="21"/>
                      <w:lang w:val="en-US" w:eastAsia="zh-CN"/>
                    </w:rPr>
                  </w:pPr>
                  <w:r>
                    <w:rPr>
                      <w:rFonts w:hint="default" w:ascii="Times New Roman" w:hAnsi="Times New Roman" w:eastAsia="宋体" w:cs="Times New Roman"/>
                      <w:color w:val="auto"/>
                      <w:kern w:val="2"/>
                      <w:sz w:val="21"/>
                      <w:szCs w:val="21"/>
                      <w:highlight w:val="none"/>
                      <w:lang w:val="en-US" w:eastAsia="zh-CN" w:bidi="ar-SA"/>
                    </w:rPr>
                    <w:t>t/a</w:t>
                  </w:r>
                </w:p>
              </w:tc>
              <w:tc>
                <w:tcPr>
                  <w:tcW w:w="545" w:type="pct"/>
                  <w:tcBorders>
                    <w:top w:val="single" w:color="auto" w:sz="4" w:space="0"/>
                  </w:tcBorders>
                  <w:vAlign w:val="center"/>
                </w:tcPr>
                <w:p w14:paraId="78CF30D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val="en-US" w:eastAsia="zh-CN"/>
                    </w:rPr>
                  </w:pPr>
                  <w:r>
                    <w:rPr>
                      <w:rFonts w:hint="eastAsia" w:cs="Times New Roman"/>
                      <w:color w:val="auto"/>
                      <w:sz w:val="21"/>
                      <w:szCs w:val="21"/>
                      <w:highlight w:val="none"/>
                      <w:lang w:val="en-US" w:eastAsia="zh-CN"/>
                    </w:rPr>
                    <w:t>4.35</w:t>
                  </w:r>
                </w:p>
              </w:tc>
              <w:tc>
                <w:tcPr>
                  <w:tcW w:w="911" w:type="pct"/>
                  <w:tcBorders>
                    <w:top w:val="single" w:color="auto" w:sz="4" w:space="0"/>
                  </w:tcBorders>
                  <w:vAlign w:val="center"/>
                </w:tcPr>
                <w:p w14:paraId="1C8427FD">
                  <w:pPr>
                    <w:pStyle w:val="46"/>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袋装</w:t>
                  </w:r>
                </w:p>
              </w:tc>
              <w:tc>
                <w:tcPr>
                  <w:tcW w:w="1502" w:type="pct"/>
                  <w:tcBorders>
                    <w:top w:val="single" w:color="auto" w:sz="4" w:space="0"/>
                  </w:tcBorders>
                  <w:vAlign w:val="center"/>
                </w:tcPr>
                <w:p w14:paraId="523C6AB3">
                  <w:pPr>
                    <w:pStyle w:val="46"/>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外购</w:t>
                  </w:r>
                </w:p>
              </w:tc>
            </w:tr>
          </w:tbl>
          <w:p w14:paraId="73220D18">
            <w:pPr>
              <w:pStyle w:val="24"/>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①原料特性</w:t>
            </w:r>
          </w:p>
          <w:p w14:paraId="7E5C397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表</w:t>
            </w:r>
            <w:r>
              <w:rPr>
                <w:rFonts w:hint="eastAsia" w:cs="Times New Roman"/>
                <w:b/>
                <w:bCs/>
                <w:color w:val="auto"/>
                <w:sz w:val="21"/>
                <w:szCs w:val="21"/>
                <w:highlight w:val="none"/>
                <w:lang w:val="en-US" w:eastAsia="zh-CN"/>
              </w:rPr>
              <w:t xml:space="preserve">2-6 </w:t>
            </w:r>
            <w:r>
              <w:rPr>
                <w:rFonts w:hint="eastAsia" w:ascii="Times New Roman" w:hAnsi="Times New Roman" w:cs="Times New Roman"/>
                <w:b/>
                <w:bCs/>
                <w:color w:val="auto"/>
                <w:sz w:val="21"/>
                <w:szCs w:val="21"/>
                <w:highlight w:val="none"/>
                <w:lang w:val="en-US" w:eastAsia="zh-CN"/>
              </w:rPr>
              <w:t xml:space="preserve"> </w:t>
            </w:r>
            <w:r>
              <w:rPr>
                <w:rFonts w:hint="eastAsia" w:cs="Times New Roman"/>
                <w:b/>
                <w:bCs/>
                <w:color w:val="auto"/>
                <w:sz w:val="21"/>
                <w:szCs w:val="21"/>
                <w:highlight w:val="none"/>
                <w:lang w:val="en-US" w:eastAsia="zh-CN"/>
              </w:rPr>
              <w:t xml:space="preserve">  </w:t>
            </w:r>
            <w:r>
              <w:rPr>
                <w:rFonts w:hint="eastAsia" w:ascii="Times New Roman" w:hAnsi="Times New Roman" w:cs="Times New Roman"/>
                <w:b/>
                <w:bCs/>
                <w:color w:val="auto"/>
                <w:sz w:val="21"/>
                <w:szCs w:val="21"/>
                <w:highlight w:val="none"/>
                <w:lang w:val="en-US" w:eastAsia="zh-CN"/>
              </w:rPr>
              <w:t>原煤煤质成分一览表</w:t>
            </w:r>
          </w:p>
          <w:tbl>
            <w:tblPr>
              <w:tblStyle w:val="28"/>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33"/>
              <w:gridCol w:w="986"/>
              <w:gridCol w:w="1126"/>
              <w:gridCol w:w="1068"/>
              <w:gridCol w:w="1231"/>
              <w:gridCol w:w="1092"/>
              <w:gridCol w:w="1046"/>
            </w:tblGrid>
            <w:tr w14:paraId="77F854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57" w:type="dxa"/>
                  <w:tcBorders>
                    <w:tl2br w:val="nil"/>
                    <w:tr2bl w:val="nil"/>
                  </w:tcBorders>
                  <w:noWrap w:val="0"/>
                  <w:vAlign w:val="center"/>
                </w:tcPr>
                <w:p w14:paraId="785D0C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vertAlign w:val="baseline"/>
                      <w:lang w:val="en-US" w:eastAsia="zh-CN"/>
                    </w:rPr>
                  </w:pPr>
                  <w:r>
                    <w:rPr>
                      <w:rFonts w:hint="eastAsia"/>
                      <w:color w:val="auto"/>
                      <w:sz w:val="21"/>
                      <w:szCs w:val="21"/>
                      <w:highlight w:val="none"/>
                      <w:vertAlign w:val="baseline"/>
                      <w:lang w:val="en-US" w:eastAsia="zh-CN"/>
                    </w:rPr>
                    <w:t>类别</w:t>
                  </w:r>
                </w:p>
              </w:tc>
              <w:tc>
                <w:tcPr>
                  <w:tcW w:w="994" w:type="dxa"/>
                  <w:tcBorders>
                    <w:tl2br w:val="nil"/>
                    <w:tr2bl w:val="nil"/>
                  </w:tcBorders>
                  <w:noWrap w:val="0"/>
                  <w:vAlign w:val="center"/>
                </w:tcPr>
                <w:p w14:paraId="0E8493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vertAlign w:val="baseline"/>
                      <w:lang w:val="en-US" w:eastAsia="zh-CN"/>
                    </w:rPr>
                  </w:pPr>
                  <w:r>
                    <w:rPr>
                      <w:rFonts w:hint="eastAsia"/>
                      <w:color w:val="auto"/>
                      <w:sz w:val="21"/>
                      <w:szCs w:val="21"/>
                      <w:highlight w:val="none"/>
                      <w:vertAlign w:val="baseline"/>
                      <w:lang w:val="en-US" w:eastAsia="zh-CN"/>
                    </w:rPr>
                    <w:t>供煤量（万吨）</w:t>
                  </w:r>
                </w:p>
              </w:tc>
              <w:tc>
                <w:tcPr>
                  <w:tcW w:w="1126" w:type="dxa"/>
                  <w:tcBorders>
                    <w:tl2br w:val="nil"/>
                    <w:tr2bl w:val="nil"/>
                  </w:tcBorders>
                  <w:noWrap w:val="0"/>
                  <w:vAlign w:val="center"/>
                </w:tcPr>
                <w:p w14:paraId="2C5CEF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vertAlign w:val="baseline"/>
                      <w:lang w:val="en-US" w:eastAsia="zh-CN"/>
                    </w:rPr>
                  </w:pPr>
                  <w:r>
                    <w:rPr>
                      <w:rFonts w:hint="eastAsia"/>
                      <w:color w:val="auto"/>
                      <w:sz w:val="21"/>
                      <w:szCs w:val="21"/>
                      <w:highlight w:val="none"/>
                      <w:vertAlign w:val="baseline"/>
                      <w:lang w:val="en-US" w:eastAsia="zh-CN"/>
                    </w:rPr>
                    <w:t>水分（MT%）</w:t>
                  </w:r>
                </w:p>
              </w:tc>
              <w:tc>
                <w:tcPr>
                  <w:tcW w:w="1068" w:type="dxa"/>
                  <w:tcBorders>
                    <w:tl2br w:val="nil"/>
                    <w:tr2bl w:val="nil"/>
                  </w:tcBorders>
                  <w:noWrap w:val="0"/>
                  <w:vAlign w:val="center"/>
                </w:tcPr>
                <w:p w14:paraId="432AA7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vertAlign w:val="baseline"/>
                      <w:lang w:val="en-US" w:eastAsia="zh-CN"/>
                    </w:rPr>
                  </w:pPr>
                  <w:r>
                    <w:rPr>
                      <w:rFonts w:hint="eastAsia"/>
                      <w:color w:val="auto"/>
                      <w:sz w:val="21"/>
                      <w:szCs w:val="21"/>
                      <w:highlight w:val="none"/>
                      <w:vertAlign w:val="baseline"/>
                      <w:lang w:val="en-US" w:eastAsia="zh-CN"/>
                    </w:rPr>
                    <w:t>灰分（Ad%）</w:t>
                  </w:r>
                </w:p>
              </w:tc>
              <w:tc>
                <w:tcPr>
                  <w:tcW w:w="1231" w:type="dxa"/>
                  <w:tcBorders>
                    <w:tl2br w:val="nil"/>
                    <w:tr2bl w:val="nil"/>
                  </w:tcBorders>
                  <w:noWrap w:val="0"/>
                  <w:vAlign w:val="center"/>
                </w:tcPr>
                <w:p w14:paraId="79A55A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vertAlign w:val="baseline"/>
                      <w:lang w:val="en-US" w:eastAsia="zh-CN"/>
                    </w:rPr>
                  </w:pPr>
                  <w:r>
                    <w:rPr>
                      <w:rFonts w:hint="eastAsia"/>
                      <w:color w:val="auto"/>
                      <w:sz w:val="21"/>
                      <w:szCs w:val="21"/>
                      <w:highlight w:val="none"/>
                      <w:vertAlign w:val="baseline"/>
                      <w:lang w:val="en-US" w:eastAsia="zh-CN"/>
                    </w:rPr>
                    <w:t>挥发分（Vdaf%）</w:t>
                  </w:r>
                </w:p>
              </w:tc>
              <w:tc>
                <w:tcPr>
                  <w:tcW w:w="1092" w:type="dxa"/>
                  <w:tcBorders>
                    <w:tl2br w:val="nil"/>
                    <w:tr2bl w:val="nil"/>
                  </w:tcBorders>
                  <w:noWrap w:val="0"/>
                  <w:vAlign w:val="center"/>
                </w:tcPr>
                <w:p w14:paraId="0CF8DE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vertAlign w:val="baseline"/>
                      <w:lang w:val="en-US" w:eastAsia="zh-CN"/>
                    </w:rPr>
                  </w:pPr>
                  <w:r>
                    <w:rPr>
                      <w:rFonts w:hint="eastAsia"/>
                      <w:color w:val="auto"/>
                      <w:sz w:val="21"/>
                      <w:szCs w:val="21"/>
                      <w:highlight w:val="none"/>
                      <w:vertAlign w:val="baseline"/>
                      <w:lang w:val="en-US" w:eastAsia="zh-CN"/>
                    </w:rPr>
                    <w:t>全硫（Std%）</w:t>
                  </w:r>
                </w:p>
              </w:tc>
              <w:tc>
                <w:tcPr>
                  <w:tcW w:w="1056" w:type="dxa"/>
                  <w:tcBorders>
                    <w:tl2br w:val="nil"/>
                    <w:tr2bl w:val="nil"/>
                  </w:tcBorders>
                  <w:noWrap w:val="0"/>
                  <w:vAlign w:val="center"/>
                </w:tcPr>
                <w:p w14:paraId="332BA9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vertAlign w:val="baseline"/>
                      <w:lang w:val="en-US" w:eastAsia="zh-CN"/>
                    </w:rPr>
                  </w:pPr>
                  <w:r>
                    <w:rPr>
                      <w:rFonts w:hint="eastAsia"/>
                      <w:color w:val="auto"/>
                      <w:sz w:val="21"/>
                      <w:szCs w:val="21"/>
                      <w:highlight w:val="none"/>
                      <w:vertAlign w:val="baseline"/>
                      <w:lang w:val="en-US" w:eastAsia="zh-CN"/>
                    </w:rPr>
                    <w:t>发热量（卡/g）</w:t>
                  </w:r>
                </w:p>
              </w:tc>
            </w:tr>
            <w:tr w14:paraId="4BBBD5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57" w:type="dxa"/>
                  <w:tcBorders>
                    <w:tl2br w:val="nil"/>
                    <w:tr2bl w:val="nil"/>
                  </w:tcBorders>
                  <w:noWrap w:val="0"/>
                  <w:vAlign w:val="center"/>
                </w:tcPr>
                <w:p w14:paraId="73929A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vertAlign w:val="baseline"/>
                      <w:lang w:val="en-US" w:eastAsia="zh-CN"/>
                    </w:rPr>
                  </w:pPr>
                  <w:r>
                    <w:rPr>
                      <w:rFonts w:hint="eastAsia"/>
                      <w:color w:val="auto"/>
                      <w:sz w:val="21"/>
                      <w:szCs w:val="21"/>
                      <w:highlight w:val="none"/>
                      <w:vertAlign w:val="baseline"/>
                      <w:lang w:val="en-US" w:eastAsia="zh-CN"/>
                    </w:rPr>
                    <w:t>原煤</w:t>
                  </w:r>
                </w:p>
              </w:tc>
              <w:tc>
                <w:tcPr>
                  <w:tcW w:w="994" w:type="dxa"/>
                  <w:tcBorders>
                    <w:tl2br w:val="nil"/>
                    <w:tr2bl w:val="nil"/>
                  </w:tcBorders>
                  <w:noWrap w:val="0"/>
                  <w:vAlign w:val="center"/>
                </w:tcPr>
                <w:p w14:paraId="0ADB76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125</w:t>
                  </w:r>
                </w:p>
              </w:tc>
              <w:tc>
                <w:tcPr>
                  <w:tcW w:w="1126" w:type="dxa"/>
                  <w:tcBorders>
                    <w:tl2br w:val="nil"/>
                    <w:tr2bl w:val="nil"/>
                  </w:tcBorders>
                  <w:noWrap w:val="0"/>
                  <w:vAlign w:val="center"/>
                </w:tcPr>
                <w:p w14:paraId="4905A3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6.0</w:t>
                  </w:r>
                </w:p>
              </w:tc>
              <w:tc>
                <w:tcPr>
                  <w:tcW w:w="1068" w:type="dxa"/>
                  <w:tcBorders>
                    <w:tl2br w:val="nil"/>
                    <w:tr2bl w:val="nil"/>
                  </w:tcBorders>
                  <w:noWrap w:val="0"/>
                  <w:vAlign w:val="center"/>
                </w:tcPr>
                <w:p w14:paraId="7251AA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highlight w:val="none"/>
                      <w:lang w:val="en-US" w:eastAsia="zh-CN"/>
                    </w:rPr>
                  </w:pPr>
                  <w:r>
                    <w:rPr>
                      <w:rFonts w:hint="eastAsia"/>
                      <w:color w:val="auto"/>
                      <w:highlight w:val="none"/>
                      <w:lang w:val="en-US" w:eastAsia="zh-CN"/>
                    </w:rPr>
                    <w:t>17.50</w:t>
                  </w:r>
                </w:p>
              </w:tc>
              <w:tc>
                <w:tcPr>
                  <w:tcW w:w="1231" w:type="dxa"/>
                  <w:tcBorders>
                    <w:tl2br w:val="nil"/>
                    <w:tr2bl w:val="nil"/>
                  </w:tcBorders>
                  <w:noWrap w:val="0"/>
                  <w:vAlign w:val="center"/>
                </w:tcPr>
                <w:p w14:paraId="32F4AE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37.63</w:t>
                  </w:r>
                </w:p>
              </w:tc>
              <w:tc>
                <w:tcPr>
                  <w:tcW w:w="1092" w:type="dxa"/>
                  <w:tcBorders>
                    <w:tl2br w:val="nil"/>
                    <w:tr2bl w:val="nil"/>
                  </w:tcBorders>
                  <w:noWrap w:val="0"/>
                  <w:vAlign w:val="center"/>
                </w:tcPr>
                <w:p w14:paraId="1C8A0E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0.63</w:t>
                  </w:r>
                </w:p>
              </w:tc>
              <w:tc>
                <w:tcPr>
                  <w:tcW w:w="1056" w:type="dxa"/>
                  <w:tcBorders>
                    <w:tl2br w:val="nil"/>
                    <w:tr2bl w:val="nil"/>
                  </w:tcBorders>
                  <w:noWrap w:val="0"/>
                  <w:vAlign w:val="center"/>
                </w:tcPr>
                <w:p w14:paraId="77061E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3640卡</w:t>
                  </w:r>
                </w:p>
              </w:tc>
            </w:tr>
          </w:tbl>
          <w:p w14:paraId="13171E01">
            <w:pPr>
              <w:pStyle w:val="24"/>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②辅料特性</w:t>
            </w:r>
          </w:p>
          <w:p w14:paraId="54C28B1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表</w:t>
            </w:r>
            <w:r>
              <w:rPr>
                <w:rFonts w:hint="eastAsia" w:cs="Times New Roman"/>
                <w:b/>
                <w:bCs/>
                <w:color w:val="auto"/>
                <w:sz w:val="21"/>
                <w:szCs w:val="21"/>
                <w:highlight w:val="none"/>
                <w:lang w:val="en-US" w:eastAsia="zh-CN"/>
              </w:rPr>
              <w:t xml:space="preserve">2-7 </w:t>
            </w:r>
            <w:r>
              <w:rPr>
                <w:rFonts w:hint="default" w:ascii="Times New Roman" w:hAnsi="Times New Roman" w:cs="Times New Roman"/>
                <w:b/>
                <w:bCs/>
                <w:color w:val="auto"/>
                <w:sz w:val="21"/>
                <w:szCs w:val="21"/>
                <w:highlight w:val="none"/>
                <w:lang w:val="en-US" w:eastAsia="zh-CN"/>
              </w:rPr>
              <w:t xml:space="preserve">  </w:t>
            </w:r>
            <w:r>
              <w:rPr>
                <w:rFonts w:hint="eastAsia" w:cs="Times New Roman"/>
                <w:b/>
                <w:bCs/>
                <w:color w:val="auto"/>
                <w:sz w:val="21"/>
                <w:szCs w:val="21"/>
                <w:highlight w:val="none"/>
                <w:lang w:val="en-US" w:eastAsia="zh-CN"/>
              </w:rPr>
              <w:t xml:space="preserve"> </w:t>
            </w:r>
            <w:r>
              <w:rPr>
                <w:rFonts w:hint="default" w:ascii="Times New Roman" w:hAnsi="Times New Roman" w:cs="Times New Roman"/>
                <w:b/>
                <w:bCs/>
                <w:color w:val="auto"/>
                <w:sz w:val="21"/>
                <w:szCs w:val="21"/>
                <w:highlight w:val="none"/>
                <w:lang w:val="en-US" w:eastAsia="zh-CN"/>
              </w:rPr>
              <w:t>主要辅材料成分信息表</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634"/>
              <w:gridCol w:w="7350"/>
            </w:tblGrid>
            <w:tr w14:paraId="3C1EA0D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jc w:val="center"/>
              </w:trPr>
              <w:tc>
                <w:tcPr>
                  <w:tcW w:w="397" w:type="pct"/>
                  <w:tcBorders>
                    <w:tl2br w:val="nil"/>
                    <w:tr2bl w:val="nil"/>
                  </w:tcBorders>
                  <w:noWrap w:val="0"/>
                  <w:tcMar>
                    <w:top w:w="57" w:type="dxa"/>
                    <w:left w:w="108" w:type="dxa"/>
                    <w:bottom w:w="57" w:type="dxa"/>
                    <w:right w:w="108" w:type="dxa"/>
                  </w:tcMar>
                  <w:vAlign w:val="top"/>
                </w:tcPr>
                <w:p w14:paraId="239EB14E">
                  <w:pPr>
                    <w:keepNext w:val="0"/>
                    <w:keepLines w:val="0"/>
                    <w:pageBreakBefore w:val="0"/>
                    <w:widowControl/>
                    <w:kinsoku/>
                    <w:wordWrap/>
                    <w:topLinePunct w:val="0"/>
                    <w:bidi w:val="0"/>
                    <w:spacing w:line="24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名称</w:t>
                  </w:r>
                </w:p>
              </w:tc>
              <w:tc>
                <w:tcPr>
                  <w:tcW w:w="4602" w:type="pct"/>
                  <w:tcBorders>
                    <w:tl2br w:val="nil"/>
                    <w:tr2bl w:val="nil"/>
                  </w:tcBorders>
                  <w:noWrap w:val="0"/>
                  <w:tcMar>
                    <w:top w:w="57" w:type="dxa"/>
                    <w:left w:w="108" w:type="dxa"/>
                    <w:bottom w:w="57" w:type="dxa"/>
                    <w:right w:w="108" w:type="dxa"/>
                  </w:tcMar>
                  <w:vAlign w:val="top"/>
                </w:tcPr>
                <w:p w14:paraId="43ACADAD">
                  <w:pPr>
                    <w:keepNext w:val="0"/>
                    <w:keepLines w:val="0"/>
                    <w:pageBreakBefore w:val="0"/>
                    <w:widowControl/>
                    <w:kinsoku/>
                    <w:wordWrap/>
                    <w:topLinePunct w:val="0"/>
                    <w:bidi w:val="0"/>
                    <w:spacing w:line="240" w:lineRule="auto"/>
                    <w:ind w:firstLine="0" w:firstLineChars="0"/>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特性</w:t>
                  </w:r>
                </w:p>
              </w:tc>
            </w:tr>
            <w:tr w14:paraId="40181D2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900" w:hRule="atLeast"/>
                <w:jc w:val="center"/>
              </w:trPr>
              <w:tc>
                <w:tcPr>
                  <w:tcW w:w="397" w:type="pct"/>
                  <w:tcBorders>
                    <w:tl2br w:val="nil"/>
                    <w:tr2bl w:val="nil"/>
                  </w:tcBorders>
                  <w:noWrap w:val="0"/>
                  <w:tcMar>
                    <w:top w:w="57" w:type="dxa"/>
                    <w:left w:w="108" w:type="dxa"/>
                    <w:bottom w:w="57" w:type="dxa"/>
                    <w:right w:w="108" w:type="dxa"/>
                  </w:tcMar>
                  <w:vAlign w:val="center"/>
                </w:tcPr>
                <w:p w14:paraId="77E0336E">
                  <w:pPr>
                    <w:keepNext w:val="0"/>
                    <w:keepLines w:val="0"/>
                    <w:pageBreakBefore w:val="0"/>
                    <w:widowControl/>
                    <w:kinsoku/>
                    <w:wordWrap/>
                    <w:topLinePunct w:val="0"/>
                    <w:bidi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絮凝剂</w:t>
                  </w:r>
                </w:p>
              </w:tc>
              <w:tc>
                <w:tcPr>
                  <w:tcW w:w="4602" w:type="pct"/>
                  <w:tcBorders>
                    <w:tl2br w:val="nil"/>
                    <w:tr2bl w:val="nil"/>
                  </w:tcBorders>
                  <w:noWrap w:val="0"/>
                  <w:tcMar>
                    <w:top w:w="57" w:type="dxa"/>
                    <w:left w:w="108" w:type="dxa"/>
                    <w:bottom w:w="57" w:type="dxa"/>
                    <w:right w:w="108" w:type="dxa"/>
                  </w:tcMar>
                  <w:vAlign w:val="top"/>
                </w:tcPr>
                <w:p w14:paraId="19F43262">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煤泥水处理使用絮凝剂为聚丙烯酰胺（PAM），为水溶性高分子聚合物，不溶于大多数有机溶剂，具有良好的絮凝性，可以降低液体之间的摩擦阻力，聚丙烯酰胺本身及其水解体没有毒性，无腐蚀性。按离子特性可分为非离子、阴离子、阳离子和两性型四种类型，本项目使用阴离子型，分子量600-1800万，外观为白色粉末或颗粒，使用聚丙烯编织袋包装，内衬塑料袋，储存于库房。</w:t>
                  </w:r>
                </w:p>
                <w:p w14:paraId="7C315A52">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项目入洗原料煤</w:t>
                  </w:r>
                  <w:r>
                    <w:rPr>
                      <w:rFonts w:hint="eastAsia" w:ascii="Times New Roman" w:hAnsi="Times New Roman" w:cs="Times New Roman"/>
                      <w:color w:val="auto"/>
                      <w:sz w:val="21"/>
                      <w:szCs w:val="21"/>
                      <w:highlight w:val="none"/>
                      <w:lang w:val="en-US" w:eastAsia="zh-CN"/>
                    </w:rPr>
                    <w:t>120</w:t>
                  </w:r>
                  <w:r>
                    <w:rPr>
                      <w:rFonts w:hint="default" w:ascii="Times New Roman" w:hAnsi="Times New Roman" w:cs="Times New Roman"/>
                      <w:color w:val="auto"/>
                      <w:sz w:val="21"/>
                      <w:szCs w:val="21"/>
                      <w:highlight w:val="none"/>
                      <w:lang w:val="en-US" w:eastAsia="zh-CN"/>
                    </w:rPr>
                    <w:t>万t/a，全部来自周边地区如米东区、小黄山等煤矿，原料不得使用基建煤、中煤、矸石等杂煤的洗选。</w:t>
                  </w:r>
                </w:p>
              </w:tc>
            </w:tr>
          </w:tbl>
          <w:p w14:paraId="1621E8D4">
            <w:pPr>
              <w:pStyle w:val="24"/>
              <w:keepNext w:val="0"/>
              <w:keepLines w:val="0"/>
              <w:pageBreakBefore w:val="0"/>
              <w:widowControl w:val="0"/>
              <w:numPr>
                <w:ilvl w:val="0"/>
                <w:numId w:val="8"/>
              </w:numPr>
              <w:kinsoku/>
              <w:wordWrap/>
              <w:overflowPunct/>
              <w:topLinePunct w:val="0"/>
              <w:autoSpaceDE/>
              <w:autoSpaceDN/>
              <w:bidi w:val="0"/>
              <w:adjustRightInd/>
              <w:snapToGrid/>
              <w:spacing w:after="0" w:line="520" w:lineRule="exact"/>
              <w:jc w:val="both"/>
              <w:textAlignment w:val="auto"/>
              <w:rPr>
                <w:rFonts w:hint="default" w:eastAsia="宋体"/>
                <w:b/>
                <w:bCs/>
                <w:color w:val="auto"/>
                <w:sz w:val="24"/>
                <w:lang w:val="en-US" w:eastAsia="zh-CN"/>
              </w:rPr>
            </w:pPr>
            <w:r>
              <w:rPr>
                <w:rFonts w:ascii="Times New Roman" w:hAnsi="Times New Roman" w:eastAsia="宋体" w:cs="Times New Roman"/>
                <w:b/>
                <w:bCs/>
                <w:snapToGrid w:val="0"/>
                <w:color w:val="auto"/>
                <w:kern w:val="0"/>
                <w:sz w:val="24"/>
                <w:szCs w:val="24"/>
                <w:lang w:val="en-US" w:eastAsia="zh-CN" w:bidi="ar-SA"/>
              </w:rPr>
              <w:t>产品方案</w:t>
            </w:r>
          </w:p>
          <w:p w14:paraId="6664E14B">
            <w:pPr>
              <w:keepNext w:val="0"/>
              <w:keepLines w:val="0"/>
              <w:pageBreakBefore w:val="0"/>
              <w:widowControl/>
              <w:kinsoku/>
              <w:wordWrap/>
              <w:overflowPunct/>
              <w:topLinePunct w:val="0"/>
              <w:autoSpaceDE/>
              <w:autoSpaceDN/>
              <w:bidi w:val="0"/>
              <w:adjustRightInd/>
              <w:snapToGrid/>
              <w:spacing w:line="520" w:lineRule="exact"/>
              <w:ind w:firstLine="480" w:firstLineChars="200"/>
              <w:jc w:val="both"/>
              <w:textAlignment w:val="auto"/>
              <w:rPr>
                <w:color w:val="auto"/>
                <w:sz w:val="24"/>
              </w:rPr>
            </w:pPr>
            <w:r>
              <w:rPr>
                <w:color w:val="auto"/>
                <w:sz w:val="24"/>
              </w:rPr>
              <w:t>本项目</w:t>
            </w:r>
            <w:r>
              <w:rPr>
                <w:rFonts w:hint="eastAsia"/>
                <w:color w:val="auto"/>
                <w:sz w:val="24"/>
                <w:lang w:val="en-US" w:eastAsia="zh-CN"/>
              </w:rPr>
              <w:t>年产120万吨精煤。</w:t>
            </w:r>
            <w:r>
              <w:rPr>
                <w:color w:val="auto"/>
                <w:sz w:val="24"/>
              </w:rPr>
              <w:t>具体产品方案见表2-</w:t>
            </w:r>
            <w:r>
              <w:rPr>
                <w:rFonts w:hint="eastAsia"/>
                <w:color w:val="auto"/>
                <w:sz w:val="24"/>
                <w:lang w:val="en-US" w:eastAsia="zh-CN"/>
              </w:rPr>
              <w:t>8，物料平衡见表2-9。</w:t>
            </w:r>
          </w:p>
          <w:p w14:paraId="4639ACC4">
            <w:pPr>
              <w:keepNext w:val="0"/>
              <w:keepLines w:val="0"/>
              <w:pageBreakBefore w:val="0"/>
              <w:widowControl/>
              <w:kinsoku/>
              <w:wordWrap/>
              <w:overflowPunct/>
              <w:topLinePunct w:val="0"/>
              <w:autoSpaceDE/>
              <w:autoSpaceDN/>
              <w:bidi w:val="0"/>
              <w:adjustRightInd/>
              <w:snapToGrid/>
              <w:spacing w:line="520" w:lineRule="exact"/>
              <w:jc w:val="center"/>
              <w:textAlignment w:val="auto"/>
              <w:rPr>
                <w:b/>
                <w:bCs/>
                <w:color w:val="auto"/>
                <w:szCs w:val="21"/>
              </w:rPr>
            </w:pPr>
            <w:r>
              <w:rPr>
                <w:b/>
                <w:bCs/>
                <w:color w:val="auto"/>
                <w:kern w:val="0"/>
                <w:szCs w:val="21"/>
                <w:lang w:bidi="ar"/>
              </w:rPr>
              <w:t>表2-</w:t>
            </w:r>
            <w:r>
              <w:rPr>
                <w:rFonts w:hint="eastAsia"/>
                <w:b/>
                <w:bCs/>
                <w:color w:val="auto"/>
                <w:kern w:val="0"/>
                <w:szCs w:val="21"/>
                <w:lang w:val="en-US" w:eastAsia="zh-CN" w:bidi="ar"/>
              </w:rPr>
              <w:t>8</w:t>
            </w:r>
            <w:r>
              <w:rPr>
                <w:b/>
                <w:bCs/>
                <w:color w:val="auto"/>
                <w:kern w:val="0"/>
                <w:szCs w:val="21"/>
                <w:lang w:bidi="ar"/>
              </w:rPr>
              <w:t xml:space="preserve">    产品方案一览表</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1811"/>
              <w:gridCol w:w="1367"/>
              <w:gridCol w:w="1367"/>
              <w:gridCol w:w="1367"/>
              <w:gridCol w:w="1367"/>
            </w:tblGrid>
            <w:tr w14:paraId="7C0438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2" w:type="pct"/>
                  <w:tcBorders>
                    <w:bottom w:val="single" w:color="auto" w:sz="4" w:space="0"/>
                  </w:tcBorders>
                  <w:vAlign w:val="center"/>
                </w:tcPr>
                <w:p w14:paraId="4864EF70">
                  <w:pPr>
                    <w:pStyle w:val="12"/>
                    <w:keepNext w:val="0"/>
                    <w:keepLines w:val="0"/>
                    <w:pageBreakBefore w:val="0"/>
                    <w:widowControl w:val="0"/>
                    <w:kinsoku/>
                    <w:wordWrap/>
                    <w:overflowPunct/>
                    <w:topLinePunct w:val="0"/>
                    <w:autoSpaceDE/>
                    <w:autoSpaceDN/>
                    <w:bidi w:val="0"/>
                    <w:adjustRightInd/>
                    <w:snapToGrid/>
                    <w:spacing w:after="0"/>
                    <w:ind w:left="0" w:leftChars="0" w:firstLine="0"/>
                    <w:jc w:val="center"/>
                    <w:textAlignment w:val="auto"/>
                    <w:rPr>
                      <w:b/>
                      <w:bCs/>
                      <w:color w:val="auto"/>
                      <w:szCs w:val="21"/>
                    </w:rPr>
                  </w:pPr>
                  <w:r>
                    <w:rPr>
                      <w:b/>
                      <w:bCs/>
                      <w:color w:val="auto"/>
                      <w:szCs w:val="21"/>
                    </w:rPr>
                    <w:t>序号</w:t>
                  </w:r>
                </w:p>
              </w:tc>
              <w:tc>
                <w:tcPr>
                  <w:tcW w:w="1133" w:type="pct"/>
                  <w:tcBorders>
                    <w:bottom w:val="single" w:color="auto" w:sz="4" w:space="0"/>
                  </w:tcBorders>
                  <w:vAlign w:val="center"/>
                </w:tcPr>
                <w:p w14:paraId="52B4DA36">
                  <w:pPr>
                    <w:pStyle w:val="12"/>
                    <w:keepNext w:val="0"/>
                    <w:keepLines w:val="0"/>
                    <w:pageBreakBefore w:val="0"/>
                    <w:widowControl w:val="0"/>
                    <w:kinsoku/>
                    <w:wordWrap/>
                    <w:overflowPunct/>
                    <w:topLinePunct w:val="0"/>
                    <w:autoSpaceDE/>
                    <w:autoSpaceDN/>
                    <w:bidi w:val="0"/>
                    <w:adjustRightInd/>
                    <w:snapToGrid/>
                    <w:spacing w:after="0"/>
                    <w:ind w:left="0" w:leftChars="0" w:firstLine="0"/>
                    <w:jc w:val="center"/>
                    <w:textAlignment w:val="auto"/>
                    <w:rPr>
                      <w:b/>
                      <w:bCs/>
                      <w:color w:val="auto"/>
                      <w:szCs w:val="21"/>
                    </w:rPr>
                  </w:pPr>
                  <w:r>
                    <w:rPr>
                      <w:b/>
                      <w:bCs/>
                      <w:color w:val="auto"/>
                      <w:szCs w:val="21"/>
                    </w:rPr>
                    <w:t>产品名称</w:t>
                  </w:r>
                </w:p>
              </w:tc>
              <w:tc>
                <w:tcPr>
                  <w:tcW w:w="855" w:type="pct"/>
                  <w:tcBorders>
                    <w:bottom w:val="single" w:color="auto" w:sz="4" w:space="0"/>
                  </w:tcBorders>
                  <w:vAlign w:val="center"/>
                </w:tcPr>
                <w:p w14:paraId="49E1C491">
                  <w:pPr>
                    <w:pStyle w:val="12"/>
                    <w:keepNext w:val="0"/>
                    <w:keepLines w:val="0"/>
                    <w:pageBreakBefore w:val="0"/>
                    <w:widowControl w:val="0"/>
                    <w:kinsoku/>
                    <w:wordWrap/>
                    <w:overflowPunct/>
                    <w:topLinePunct w:val="0"/>
                    <w:autoSpaceDE/>
                    <w:autoSpaceDN/>
                    <w:bidi w:val="0"/>
                    <w:adjustRightInd/>
                    <w:snapToGrid/>
                    <w:spacing w:after="0"/>
                    <w:ind w:left="0" w:leftChars="0" w:firstLine="0"/>
                    <w:jc w:val="center"/>
                    <w:textAlignment w:val="auto"/>
                    <w:rPr>
                      <w:rFonts w:hint="eastAsia" w:eastAsia="宋体"/>
                      <w:b/>
                      <w:bCs/>
                      <w:color w:val="auto"/>
                      <w:szCs w:val="21"/>
                      <w:lang w:val="en-US" w:eastAsia="zh-CN"/>
                    </w:rPr>
                  </w:pPr>
                  <w:r>
                    <w:rPr>
                      <w:rFonts w:hint="eastAsia"/>
                      <w:b/>
                      <w:bCs/>
                      <w:color w:val="auto"/>
                      <w:szCs w:val="21"/>
                      <w:lang w:val="en-US" w:eastAsia="zh-CN"/>
                    </w:rPr>
                    <w:t>规格</w:t>
                  </w:r>
                </w:p>
              </w:tc>
              <w:tc>
                <w:tcPr>
                  <w:tcW w:w="855" w:type="pct"/>
                  <w:tcBorders>
                    <w:bottom w:val="single" w:color="auto" w:sz="4" w:space="0"/>
                  </w:tcBorders>
                  <w:vAlign w:val="center"/>
                </w:tcPr>
                <w:p w14:paraId="54DE4EB0">
                  <w:pPr>
                    <w:pStyle w:val="12"/>
                    <w:keepNext w:val="0"/>
                    <w:keepLines w:val="0"/>
                    <w:pageBreakBefore w:val="0"/>
                    <w:widowControl w:val="0"/>
                    <w:kinsoku/>
                    <w:wordWrap/>
                    <w:overflowPunct/>
                    <w:topLinePunct w:val="0"/>
                    <w:autoSpaceDE/>
                    <w:autoSpaceDN/>
                    <w:bidi w:val="0"/>
                    <w:adjustRightInd/>
                    <w:snapToGrid/>
                    <w:spacing w:after="0"/>
                    <w:ind w:left="0" w:leftChars="0" w:firstLine="0"/>
                    <w:jc w:val="center"/>
                    <w:textAlignment w:val="auto"/>
                    <w:rPr>
                      <w:rFonts w:hint="default" w:eastAsia="宋体"/>
                      <w:b/>
                      <w:bCs/>
                      <w:color w:val="auto"/>
                      <w:szCs w:val="21"/>
                      <w:lang w:val="en-US" w:eastAsia="zh-CN"/>
                    </w:rPr>
                  </w:pPr>
                  <w:r>
                    <w:rPr>
                      <w:rFonts w:hint="eastAsia"/>
                      <w:b/>
                      <w:bCs/>
                      <w:color w:val="auto"/>
                      <w:szCs w:val="21"/>
                      <w:lang w:val="en-US" w:eastAsia="zh-CN"/>
                    </w:rPr>
                    <w:t>单位</w:t>
                  </w:r>
                </w:p>
              </w:tc>
              <w:tc>
                <w:tcPr>
                  <w:tcW w:w="855" w:type="pct"/>
                  <w:tcBorders>
                    <w:bottom w:val="single" w:color="auto" w:sz="4" w:space="0"/>
                  </w:tcBorders>
                  <w:vAlign w:val="center"/>
                </w:tcPr>
                <w:p w14:paraId="4537341C">
                  <w:pPr>
                    <w:pStyle w:val="1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eastAsia="宋体" w:cs="Times New Roman"/>
                      <w:b/>
                      <w:bCs/>
                      <w:color w:val="auto"/>
                      <w:kern w:val="0"/>
                      <w:sz w:val="21"/>
                      <w:szCs w:val="21"/>
                      <w:lang w:val="en-US" w:eastAsia="zh-CN" w:bidi="ar-SA"/>
                    </w:rPr>
                  </w:pPr>
                  <w:r>
                    <w:rPr>
                      <w:b/>
                      <w:bCs/>
                      <w:color w:val="auto"/>
                      <w:szCs w:val="21"/>
                    </w:rPr>
                    <w:t>年产量</w:t>
                  </w:r>
                </w:p>
              </w:tc>
              <w:tc>
                <w:tcPr>
                  <w:tcW w:w="855" w:type="pct"/>
                  <w:tcBorders>
                    <w:bottom w:val="single" w:color="auto" w:sz="4" w:space="0"/>
                  </w:tcBorders>
                  <w:vAlign w:val="center"/>
                </w:tcPr>
                <w:p w14:paraId="197AC9D2">
                  <w:pPr>
                    <w:pStyle w:val="1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eastAsia="宋体" w:cs="Times New Roman"/>
                      <w:b/>
                      <w:bCs/>
                      <w:color w:val="auto"/>
                      <w:kern w:val="0"/>
                      <w:sz w:val="21"/>
                      <w:szCs w:val="21"/>
                      <w:lang w:val="en-US" w:eastAsia="zh-CN" w:bidi="ar-SA"/>
                    </w:rPr>
                  </w:pPr>
                  <w:r>
                    <w:rPr>
                      <w:rFonts w:hint="eastAsia"/>
                      <w:b/>
                      <w:bCs/>
                      <w:color w:val="auto"/>
                      <w:szCs w:val="21"/>
                      <w:lang w:val="en-US" w:eastAsia="zh-CN"/>
                    </w:rPr>
                    <w:t>备注</w:t>
                  </w:r>
                </w:p>
              </w:tc>
            </w:tr>
            <w:tr w14:paraId="6D9A0B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2" w:type="pct"/>
                  <w:tcBorders>
                    <w:top w:val="single" w:color="auto" w:sz="4" w:space="0"/>
                    <w:bottom w:val="single" w:color="auto" w:sz="12" w:space="0"/>
                  </w:tcBorders>
                  <w:vAlign w:val="center"/>
                </w:tcPr>
                <w:p w14:paraId="05BF761C">
                  <w:pPr>
                    <w:pStyle w:val="12"/>
                    <w:keepNext w:val="0"/>
                    <w:keepLines w:val="0"/>
                    <w:pageBreakBefore w:val="0"/>
                    <w:widowControl w:val="0"/>
                    <w:kinsoku/>
                    <w:wordWrap/>
                    <w:overflowPunct/>
                    <w:topLinePunct w:val="0"/>
                    <w:autoSpaceDE/>
                    <w:autoSpaceDN/>
                    <w:bidi w:val="0"/>
                    <w:adjustRightInd/>
                    <w:snapToGrid/>
                    <w:spacing w:after="0"/>
                    <w:ind w:left="0" w:leftChars="0" w:firstLine="0"/>
                    <w:jc w:val="center"/>
                    <w:textAlignment w:val="auto"/>
                    <w:rPr>
                      <w:color w:val="auto"/>
                      <w:szCs w:val="21"/>
                    </w:rPr>
                  </w:pPr>
                  <w:r>
                    <w:rPr>
                      <w:color w:val="auto"/>
                      <w:szCs w:val="21"/>
                    </w:rPr>
                    <w:t>1</w:t>
                  </w:r>
                </w:p>
              </w:tc>
              <w:tc>
                <w:tcPr>
                  <w:tcW w:w="1133" w:type="pct"/>
                  <w:tcBorders>
                    <w:top w:val="single" w:color="auto" w:sz="4" w:space="0"/>
                    <w:bottom w:val="single" w:color="auto" w:sz="12" w:space="0"/>
                  </w:tcBorders>
                  <w:vAlign w:val="center"/>
                </w:tcPr>
                <w:p w14:paraId="441360D9">
                  <w:pPr>
                    <w:pStyle w:val="12"/>
                    <w:keepNext w:val="0"/>
                    <w:keepLines w:val="0"/>
                    <w:pageBreakBefore w:val="0"/>
                    <w:widowControl w:val="0"/>
                    <w:kinsoku/>
                    <w:wordWrap/>
                    <w:overflowPunct/>
                    <w:topLinePunct w:val="0"/>
                    <w:autoSpaceDE/>
                    <w:autoSpaceDN/>
                    <w:bidi w:val="0"/>
                    <w:adjustRightInd/>
                    <w:snapToGrid/>
                    <w:spacing w:after="0"/>
                    <w:ind w:left="0" w:leftChars="0" w:firstLine="0"/>
                    <w:jc w:val="center"/>
                    <w:textAlignment w:val="auto"/>
                    <w:rPr>
                      <w:rFonts w:hint="default" w:eastAsia="宋体"/>
                      <w:color w:val="auto"/>
                      <w:szCs w:val="21"/>
                      <w:lang w:val="en-US" w:eastAsia="zh-CN"/>
                    </w:rPr>
                  </w:pPr>
                  <w:r>
                    <w:rPr>
                      <w:rFonts w:hint="eastAsia"/>
                      <w:color w:val="auto"/>
                      <w:szCs w:val="21"/>
                      <w:lang w:val="en-US" w:eastAsia="zh-CN" w:bidi="ar"/>
                    </w:rPr>
                    <w:t>精煤</w:t>
                  </w:r>
                </w:p>
              </w:tc>
              <w:tc>
                <w:tcPr>
                  <w:tcW w:w="855" w:type="pct"/>
                  <w:tcBorders>
                    <w:top w:val="single" w:color="auto" w:sz="4" w:space="0"/>
                    <w:bottom w:val="single" w:color="auto" w:sz="12" w:space="0"/>
                  </w:tcBorders>
                  <w:vAlign w:val="center"/>
                </w:tcPr>
                <w:p w14:paraId="451F55F3">
                  <w:pPr>
                    <w:pStyle w:val="12"/>
                    <w:keepNext w:val="0"/>
                    <w:keepLines w:val="0"/>
                    <w:pageBreakBefore w:val="0"/>
                    <w:widowControl w:val="0"/>
                    <w:kinsoku/>
                    <w:wordWrap/>
                    <w:overflowPunct/>
                    <w:topLinePunct w:val="0"/>
                    <w:autoSpaceDE/>
                    <w:autoSpaceDN/>
                    <w:bidi w:val="0"/>
                    <w:adjustRightInd/>
                    <w:snapToGrid/>
                    <w:spacing w:after="0"/>
                    <w:ind w:left="0" w:leftChars="0" w:firstLine="0"/>
                    <w:jc w:val="center"/>
                    <w:textAlignment w:val="auto"/>
                    <w:rPr>
                      <w:rFonts w:hint="eastAsia" w:eastAsia="宋体"/>
                      <w:color w:val="auto"/>
                      <w:szCs w:val="21"/>
                      <w:lang w:val="en-US" w:eastAsia="zh-CN"/>
                    </w:rPr>
                  </w:pPr>
                  <w:r>
                    <w:rPr>
                      <w:rFonts w:hint="eastAsia"/>
                      <w:color w:val="auto"/>
                      <w:szCs w:val="21"/>
                      <w:lang w:val="en-US" w:eastAsia="zh-CN"/>
                    </w:rPr>
                    <w:t>/</w:t>
                  </w:r>
                </w:p>
              </w:tc>
              <w:tc>
                <w:tcPr>
                  <w:tcW w:w="855" w:type="pct"/>
                  <w:tcBorders>
                    <w:top w:val="single" w:color="auto" w:sz="4" w:space="0"/>
                    <w:bottom w:val="single" w:color="auto" w:sz="12" w:space="0"/>
                  </w:tcBorders>
                  <w:vAlign w:val="center"/>
                </w:tcPr>
                <w:p w14:paraId="59CF25EB">
                  <w:pPr>
                    <w:pStyle w:val="12"/>
                    <w:keepNext w:val="0"/>
                    <w:keepLines w:val="0"/>
                    <w:pageBreakBefore w:val="0"/>
                    <w:widowControl w:val="0"/>
                    <w:kinsoku/>
                    <w:wordWrap/>
                    <w:overflowPunct/>
                    <w:topLinePunct w:val="0"/>
                    <w:autoSpaceDE/>
                    <w:autoSpaceDN/>
                    <w:bidi w:val="0"/>
                    <w:adjustRightInd/>
                    <w:snapToGrid/>
                    <w:spacing w:after="0"/>
                    <w:ind w:left="0" w:leftChars="0" w:firstLine="0"/>
                    <w:jc w:val="center"/>
                    <w:textAlignment w:val="auto"/>
                    <w:rPr>
                      <w:rFonts w:hint="default"/>
                      <w:color w:val="auto"/>
                      <w:szCs w:val="21"/>
                      <w:lang w:val="en-US" w:eastAsia="zh-CN"/>
                    </w:rPr>
                  </w:pPr>
                  <w:r>
                    <w:rPr>
                      <w:rFonts w:hint="eastAsia"/>
                      <w:color w:val="auto"/>
                      <w:szCs w:val="21"/>
                      <w:lang w:val="en-US" w:eastAsia="zh-CN"/>
                    </w:rPr>
                    <w:t>万t/a</w:t>
                  </w:r>
                </w:p>
              </w:tc>
              <w:tc>
                <w:tcPr>
                  <w:tcW w:w="855" w:type="pct"/>
                  <w:tcBorders>
                    <w:top w:val="single" w:color="auto" w:sz="4" w:space="0"/>
                    <w:bottom w:val="single" w:color="auto" w:sz="12" w:space="0"/>
                  </w:tcBorders>
                  <w:vAlign w:val="center"/>
                </w:tcPr>
                <w:p w14:paraId="3A209CCA">
                  <w:pPr>
                    <w:pStyle w:val="1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olor w:val="auto"/>
                      <w:szCs w:val="21"/>
                      <w:lang w:val="en-US" w:eastAsia="zh-CN"/>
                    </w:rPr>
                    <w:t>120</w:t>
                  </w:r>
                </w:p>
              </w:tc>
              <w:tc>
                <w:tcPr>
                  <w:tcW w:w="855" w:type="pct"/>
                  <w:tcBorders>
                    <w:top w:val="single" w:color="auto" w:sz="4" w:space="0"/>
                    <w:bottom w:val="single" w:color="auto" w:sz="12" w:space="0"/>
                  </w:tcBorders>
                  <w:vAlign w:val="center"/>
                </w:tcPr>
                <w:p w14:paraId="0CE4CD72">
                  <w:pPr>
                    <w:pStyle w:val="1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w:t>
                  </w:r>
                </w:p>
              </w:tc>
            </w:tr>
          </w:tbl>
          <w:p w14:paraId="149F35C4">
            <w:pPr>
              <w:keepNext w:val="0"/>
              <w:keepLines w:val="0"/>
              <w:pageBreakBefore w:val="0"/>
              <w:widowControl/>
              <w:kinsoku/>
              <w:wordWrap/>
              <w:overflowPunct/>
              <w:topLinePunct w:val="0"/>
              <w:autoSpaceDE/>
              <w:autoSpaceDN/>
              <w:bidi w:val="0"/>
              <w:adjustRightInd/>
              <w:snapToGrid/>
              <w:spacing w:line="520" w:lineRule="exact"/>
              <w:jc w:val="center"/>
              <w:textAlignment w:val="auto"/>
              <w:rPr>
                <w:rFonts w:hint="eastAsia"/>
                <w:b/>
                <w:bCs/>
                <w:color w:val="auto"/>
                <w:kern w:val="0"/>
                <w:szCs w:val="21"/>
                <w:highlight w:val="none"/>
                <w:lang w:val="en-US" w:eastAsia="zh-CN" w:bidi="ar"/>
              </w:rPr>
            </w:pPr>
            <w:r>
              <w:rPr>
                <w:rFonts w:hint="eastAsia"/>
                <w:b/>
                <w:bCs/>
                <w:color w:val="auto"/>
                <w:kern w:val="0"/>
                <w:szCs w:val="21"/>
                <w:highlight w:val="none"/>
                <w:lang w:val="en-US" w:eastAsia="zh-CN" w:bidi="ar"/>
              </w:rPr>
              <w:t>表2-9    物料平衡</w:t>
            </w:r>
          </w:p>
          <w:tbl>
            <w:tblPr>
              <w:tblStyle w:val="28"/>
              <w:tblW w:w="4994"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594"/>
              <w:gridCol w:w="1594"/>
              <w:gridCol w:w="1596"/>
              <w:gridCol w:w="1594"/>
              <w:gridCol w:w="1599"/>
            </w:tblGrid>
            <w:tr w14:paraId="034DA9F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c>
                <w:tcPr>
                  <w:tcW w:w="999" w:type="pct"/>
                  <w:vMerge w:val="restart"/>
                  <w:vAlign w:val="center"/>
                </w:tcPr>
                <w:p w14:paraId="54B968BA">
                  <w:pPr>
                    <w:pStyle w:val="35"/>
                    <w:keepNext w:val="0"/>
                    <w:keepLines w:val="0"/>
                    <w:pageBreakBefore w:val="0"/>
                    <w:kinsoku/>
                    <w:wordWrap/>
                    <w:overflowPunct/>
                    <w:topLinePunct w:val="0"/>
                    <w:autoSpaceDE/>
                    <w:autoSpaceDN/>
                    <w:bidi w:val="0"/>
                    <w:adjustRightInd/>
                    <w:snapToGrid/>
                    <w:spacing w:after="0" w:line="240" w:lineRule="auto"/>
                    <w:jc w:val="center"/>
                    <w:rPr>
                      <w:b/>
                      <w:bCs/>
                      <w:color w:val="auto"/>
                      <w:sz w:val="21"/>
                      <w:szCs w:val="21"/>
                      <w:highlight w:val="none"/>
                    </w:rPr>
                  </w:pPr>
                  <w:r>
                    <w:rPr>
                      <w:b/>
                      <w:bCs/>
                      <w:color w:val="auto"/>
                      <w:sz w:val="21"/>
                      <w:szCs w:val="21"/>
                      <w:highlight w:val="none"/>
                    </w:rPr>
                    <w:t>序号</w:t>
                  </w:r>
                </w:p>
              </w:tc>
              <w:tc>
                <w:tcPr>
                  <w:tcW w:w="999" w:type="pct"/>
                  <w:vAlign w:val="center"/>
                </w:tcPr>
                <w:p w14:paraId="5CD1ED2F">
                  <w:pPr>
                    <w:pStyle w:val="35"/>
                    <w:keepNext w:val="0"/>
                    <w:keepLines w:val="0"/>
                    <w:pageBreakBefore w:val="0"/>
                    <w:kinsoku/>
                    <w:wordWrap/>
                    <w:overflowPunct/>
                    <w:topLinePunct w:val="0"/>
                    <w:autoSpaceDE/>
                    <w:autoSpaceDN/>
                    <w:bidi w:val="0"/>
                    <w:adjustRightInd/>
                    <w:snapToGrid/>
                    <w:spacing w:after="0" w:line="240" w:lineRule="auto"/>
                    <w:jc w:val="center"/>
                    <w:rPr>
                      <w:b/>
                      <w:bCs/>
                      <w:color w:val="auto"/>
                      <w:sz w:val="21"/>
                      <w:szCs w:val="21"/>
                      <w:highlight w:val="none"/>
                    </w:rPr>
                  </w:pPr>
                  <w:r>
                    <w:rPr>
                      <w:b/>
                      <w:bCs/>
                      <w:color w:val="auto"/>
                      <w:sz w:val="21"/>
                      <w:szCs w:val="21"/>
                      <w:highlight w:val="none"/>
                    </w:rPr>
                    <w:t>原料名称</w:t>
                  </w:r>
                </w:p>
              </w:tc>
              <w:tc>
                <w:tcPr>
                  <w:tcW w:w="1000" w:type="pct"/>
                  <w:vAlign w:val="center"/>
                </w:tcPr>
                <w:p w14:paraId="631D0F03">
                  <w:pPr>
                    <w:pStyle w:val="35"/>
                    <w:keepNext w:val="0"/>
                    <w:keepLines w:val="0"/>
                    <w:pageBreakBefore w:val="0"/>
                    <w:kinsoku/>
                    <w:wordWrap/>
                    <w:overflowPunct/>
                    <w:topLinePunct w:val="0"/>
                    <w:autoSpaceDE/>
                    <w:autoSpaceDN/>
                    <w:bidi w:val="0"/>
                    <w:adjustRightInd/>
                    <w:snapToGrid/>
                    <w:spacing w:after="0" w:line="240" w:lineRule="auto"/>
                    <w:jc w:val="center"/>
                    <w:rPr>
                      <w:b/>
                      <w:bCs/>
                      <w:color w:val="auto"/>
                      <w:sz w:val="21"/>
                      <w:szCs w:val="21"/>
                      <w:highlight w:val="none"/>
                    </w:rPr>
                  </w:pPr>
                  <w:r>
                    <w:rPr>
                      <w:b/>
                      <w:bCs/>
                      <w:color w:val="auto"/>
                      <w:sz w:val="21"/>
                      <w:szCs w:val="21"/>
                      <w:highlight w:val="none"/>
                    </w:rPr>
                    <w:t>数量t/a</w:t>
                  </w:r>
                </w:p>
              </w:tc>
              <w:tc>
                <w:tcPr>
                  <w:tcW w:w="999" w:type="pct"/>
                  <w:vAlign w:val="center"/>
                </w:tcPr>
                <w:p w14:paraId="1580B130">
                  <w:pPr>
                    <w:pStyle w:val="35"/>
                    <w:keepNext w:val="0"/>
                    <w:keepLines w:val="0"/>
                    <w:pageBreakBefore w:val="0"/>
                    <w:kinsoku/>
                    <w:wordWrap/>
                    <w:overflowPunct/>
                    <w:topLinePunct w:val="0"/>
                    <w:autoSpaceDE/>
                    <w:autoSpaceDN/>
                    <w:bidi w:val="0"/>
                    <w:adjustRightInd/>
                    <w:snapToGrid/>
                    <w:spacing w:after="0" w:line="240" w:lineRule="auto"/>
                    <w:jc w:val="center"/>
                    <w:rPr>
                      <w:b/>
                      <w:bCs/>
                      <w:color w:val="auto"/>
                      <w:sz w:val="21"/>
                      <w:szCs w:val="21"/>
                      <w:highlight w:val="none"/>
                    </w:rPr>
                  </w:pPr>
                  <w:r>
                    <w:rPr>
                      <w:b/>
                      <w:bCs/>
                      <w:color w:val="auto"/>
                      <w:sz w:val="21"/>
                      <w:szCs w:val="21"/>
                      <w:highlight w:val="none"/>
                    </w:rPr>
                    <w:t>成品名称</w:t>
                  </w:r>
                </w:p>
              </w:tc>
              <w:tc>
                <w:tcPr>
                  <w:tcW w:w="1001" w:type="pct"/>
                  <w:vAlign w:val="center"/>
                </w:tcPr>
                <w:p w14:paraId="4E8D9A83">
                  <w:pPr>
                    <w:pStyle w:val="35"/>
                    <w:keepNext w:val="0"/>
                    <w:keepLines w:val="0"/>
                    <w:pageBreakBefore w:val="0"/>
                    <w:kinsoku/>
                    <w:wordWrap/>
                    <w:overflowPunct/>
                    <w:topLinePunct w:val="0"/>
                    <w:autoSpaceDE/>
                    <w:autoSpaceDN/>
                    <w:bidi w:val="0"/>
                    <w:adjustRightInd/>
                    <w:snapToGrid/>
                    <w:spacing w:after="0" w:line="240" w:lineRule="auto"/>
                    <w:jc w:val="center"/>
                    <w:rPr>
                      <w:b/>
                      <w:bCs/>
                      <w:color w:val="auto"/>
                      <w:sz w:val="21"/>
                      <w:szCs w:val="21"/>
                      <w:highlight w:val="none"/>
                    </w:rPr>
                  </w:pPr>
                  <w:r>
                    <w:rPr>
                      <w:b/>
                      <w:bCs/>
                      <w:color w:val="auto"/>
                      <w:sz w:val="21"/>
                      <w:szCs w:val="21"/>
                      <w:highlight w:val="none"/>
                    </w:rPr>
                    <w:t>数量t/a</w:t>
                  </w:r>
                </w:p>
              </w:tc>
            </w:tr>
            <w:tr w14:paraId="40AAB30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99" w:type="pct"/>
                  <w:vMerge w:val="continue"/>
                  <w:tcBorders>
                    <w:bottom w:val="single" w:color="auto" w:sz="12" w:space="0"/>
                  </w:tcBorders>
                  <w:vAlign w:val="center"/>
                </w:tcPr>
                <w:p w14:paraId="762F3BB2">
                  <w:pPr>
                    <w:pStyle w:val="35"/>
                    <w:keepNext w:val="0"/>
                    <w:keepLines w:val="0"/>
                    <w:pageBreakBefore w:val="0"/>
                    <w:kinsoku/>
                    <w:wordWrap/>
                    <w:overflowPunct/>
                    <w:topLinePunct w:val="0"/>
                    <w:autoSpaceDE/>
                    <w:autoSpaceDN/>
                    <w:bidi w:val="0"/>
                    <w:adjustRightInd/>
                    <w:snapToGrid/>
                    <w:spacing w:after="0" w:line="240" w:lineRule="auto"/>
                    <w:jc w:val="center"/>
                    <w:rPr>
                      <w:b/>
                      <w:bCs/>
                      <w:color w:val="auto"/>
                      <w:sz w:val="21"/>
                      <w:szCs w:val="21"/>
                      <w:highlight w:val="none"/>
                    </w:rPr>
                  </w:pPr>
                </w:p>
              </w:tc>
              <w:tc>
                <w:tcPr>
                  <w:tcW w:w="1999" w:type="pct"/>
                  <w:gridSpan w:val="2"/>
                  <w:tcBorders>
                    <w:bottom w:val="single" w:color="auto" w:sz="12" w:space="0"/>
                  </w:tcBorders>
                  <w:vAlign w:val="center"/>
                </w:tcPr>
                <w:p w14:paraId="2817B500">
                  <w:pPr>
                    <w:pStyle w:val="35"/>
                    <w:keepNext w:val="0"/>
                    <w:keepLines w:val="0"/>
                    <w:pageBreakBefore w:val="0"/>
                    <w:kinsoku/>
                    <w:wordWrap/>
                    <w:overflowPunct/>
                    <w:topLinePunct w:val="0"/>
                    <w:autoSpaceDE/>
                    <w:autoSpaceDN/>
                    <w:bidi w:val="0"/>
                    <w:adjustRightInd/>
                    <w:snapToGrid/>
                    <w:spacing w:after="0" w:line="240" w:lineRule="auto"/>
                    <w:jc w:val="center"/>
                    <w:rPr>
                      <w:b/>
                      <w:bCs/>
                      <w:color w:val="auto"/>
                      <w:sz w:val="21"/>
                      <w:szCs w:val="21"/>
                      <w:highlight w:val="none"/>
                    </w:rPr>
                  </w:pPr>
                  <w:r>
                    <w:rPr>
                      <w:b/>
                      <w:bCs/>
                      <w:color w:val="auto"/>
                      <w:sz w:val="21"/>
                      <w:szCs w:val="21"/>
                      <w:highlight w:val="none"/>
                    </w:rPr>
                    <w:t>投入</w:t>
                  </w:r>
                </w:p>
              </w:tc>
              <w:tc>
                <w:tcPr>
                  <w:tcW w:w="2000" w:type="pct"/>
                  <w:gridSpan w:val="2"/>
                  <w:tcBorders>
                    <w:bottom w:val="single" w:color="auto" w:sz="12" w:space="0"/>
                  </w:tcBorders>
                  <w:vAlign w:val="center"/>
                </w:tcPr>
                <w:p w14:paraId="4E45D693">
                  <w:pPr>
                    <w:pStyle w:val="35"/>
                    <w:keepNext w:val="0"/>
                    <w:keepLines w:val="0"/>
                    <w:pageBreakBefore w:val="0"/>
                    <w:kinsoku/>
                    <w:wordWrap/>
                    <w:overflowPunct/>
                    <w:topLinePunct w:val="0"/>
                    <w:autoSpaceDE/>
                    <w:autoSpaceDN/>
                    <w:bidi w:val="0"/>
                    <w:adjustRightInd/>
                    <w:snapToGrid/>
                    <w:spacing w:after="0" w:line="240" w:lineRule="auto"/>
                    <w:jc w:val="center"/>
                    <w:rPr>
                      <w:b/>
                      <w:bCs/>
                      <w:color w:val="auto"/>
                      <w:sz w:val="21"/>
                      <w:szCs w:val="21"/>
                      <w:highlight w:val="none"/>
                    </w:rPr>
                  </w:pPr>
                  <w:r>
                    <w:rPr>
                      <w:b/>
                      <w:bCs/>
                      <w:color w:val="auto"/>
                      <w:sz w:val="21"/>
                      <w:szCs w:val="21"/>
                      <w:highlight w:val="none"/>
                    </w:rPr>
                    <w:t>产出</w:t>
                  </w:r>
                </w:p>
              </w:tc>
            </w:tr>
            <w:tr w14:paraId="575A209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999" w:type="pct"/>
                  <w:tcBorders>
                    <w:top w:val="single" w:color="auto" w:sz="12" w:space="0"/>
                    <w:tl2br w:val="nil"/>
                    <w:tr2bl w:val="nil"/>
                  </w:tcBorders>
                  <w:vAlign w:val="center"/>
                </w:tcPr>
                <w:p w14:paraId="5D5B20F7">
                  <w:pPr>
                    <w:pStyle w:val="35"/>
                    <w:keepNext w:val="0"/>
                    <w:keepLines w:val="0"/>
                    <w:pageBreakBefore w:val="0"/>
                    <w:kinsoku/>
                    <w:wordWrap/>
                    <w:overflowPunct/>
                    <w:topLinePunct w:val="0"/>
                    <w:autoSpaceDE/>
                    <w:autoSpaceDN/>
                    <w:bidi w:val="0"/>
                    <w:adjustRightInd/>
                    <w:snapToGrid/>
                    <w:spacing w:after="0" w:line="240" w:lineRule="auto"/>
                    <w:jc w:val="center"/>
                    <w:rPr>
                      <w:color w:val="auto"/>
                      <w:sz w:val="21"/>
                      <w:szCs w:val="21"/>
                      <w:highlight w:val="none"/>
                    </w:rPr>
                  </w:pPr>
                  <w:r>
                    <w:rPr>
                      <w:color w:val="auto"/>
                      <w:sz w:val="21"/>
                      <w:szCs w:val="21"/>
                      <w:highlight w:val="none"/>
                    </w:rPr>
                    <w:t>1</w:t>
                  </w:r>
                </w:p>
              </w:tc>
              <w:tc>
                <w:tcPr>
                  <w:tcW w:w="999" w:type="pct"/>
                  <w:tcBorders>
                    <w:top w:val="single" w:color="auto" w:sz="12" w:space="0"/>
                    <w:tl2br w:val="nil"/>
                    <w:tr2bl w:val="nil"/>
                  </w:tcBorders>
                  <w:vAlign w:val="center"/>
                </w:tcPr>
                <w:p w14:paraId="096243CB">
                  <w:pPr>
                    <w:keepNext w:val="0"/>
                    <w:keepLines w:val="0"/>
                    <w:pageBreakBefore w:val="0"/>
                    <w:kinsoku/>
                    <w:wordWrap/>
                    <w:overflowPunct/>
                    <w:topLinePunct w:val="0"/>
                    <w:autoSpaceDE/>
                    <w:autoSpaceDN/>
                    <w:bidi w:val="0"/>
                    <w:adjustRightInd/>
                    <w:snapToGrid/>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原煤</w:t>
                  </w:r>
                </w:p>
              </w:tc>
              <w:tc>
                <w:tcPr>
                  <w:tcW w:w="1000" w:type="pct"/>
                  <w:tcBorders>
                    <w:top w:val="single" w:color="auto" w:sz="12" w:space="0"/>
                    <w:tl2br w:val="nil"/>
                    <w:tr2bl w:val="nil"/>
                  </w:tcBorders>
                  <w:vAlign w:val="center"/>
                </w:tcPr>
                <w:p w14:paraId="349FFF21">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sz w:val="21"/>
                      <w:szCs w:val="21"/>
                      <w:highlight w:val="none"/>
                      <w:lang w:val="en-US" w:eastAsia="zh-CN"/>
                    </w:rPr>
                  </w:pPr>
                  <w:r>
                    <w:rPr>
                      <w:rFonts w:hint="eastAsia"/>
                      <w:color w:val="auto"/>
                      <w:kern w:val="0"/>
                      <w:sz w:val="21"/>
                      <w:szCs w:val="21"/>
                      <w:highlight w:val="none"/>
                      <w:lang w:val="en-US" w:eastAsia="zh-CN" w:bidi="ar"/>
                    </w:rPr>
                    <w:t>1250000</w:t>
                  </w:r>
                </w:p>
              </w:tc>
              <w:tc>
                <w:tcPr>
                  <w:tcW w:w="999" w:type="pct"/>
                  <w:tcBorders>
                    <w:top w:val="single" w:color="auto" w:sz="12" w:space="0"/>
                    <w:tl2br w:val="nil"/>
                    <w:tr2bl w:val="nil"/>
                  </w:tcBorders>
                  <w:vAlign w:val="center"/>
                </w:tcPr>
                <w:p w14:paraId="5BAED443">
                  <w:pPr>
                    <w:pStyle w:val="35"/>
                    <w:keepNext w:val="0"/>
                    <w:keepLines w:val="0"/>
                    <w:pageBreakBefore w:val="0"/>
                    <w:kinsoku/>
                    <w:wordWrap/>
                    <w:overflowPunct/>
                    <w:topLinePunct w:val="0"/>
                    <w:autoSpaceDE/>
                    <w:autoSpaceDN/>
                    <w:bidi w:val="0"/>
                    <w:adjustRightInd/>
                    <w:snapToGrid/>
                    <w:spacing w:after="0"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精煤</w:t>
                  </w:r>
                </w:p>
              </w:tc>
              <w:tc>
                <w:tcPr>
                  <w:tcW w:w="1001" w:type="pct"/>
                  <w:tcBorders>
                    <w:top w:val="single" w:color="auto" w:sz="12" w:space="0"/>
                    <w:tl2br w:val="nil"/>
                    <w:tr2bl w:val="nil"/>
                  </w:tcBorders>
                  <w:vAlign w:val="center"/>
                </w:tcPr>
                <w:p w14:paraId="329AAA12">
                  <w:pPr>
                    <w:pStyle w:val="35"/>
                    <w:keepNext w:val="0"/>
                    <w:keepLines w:val="0"/>
                    <w:pageBreakBefore w:val="0"/>
                    <w:kinsoku/>
                    <w:wordWrap/>
                    <w:overflowPunct/>
                    <w:topLinePunct w:val="0"/>
                    <w:autoSpaceDE/>
                    <w:autoSpaceDN/>
                    <w:bidi w:val="0"/>
                    <w:adjustRightInd/>
                    <w:snapToGrid/>
                    <w:spacing w:after="0"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1200000</w:t>
                  </w:r>
                </w:p>
              </w:tc>
            </w:tr>
            <w:tr w14:paraId="72A15FE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99" w:type="pct"/>
                  <w:tcBorders>
                    <w:tl2br w:val="nil"/>
                    <w:tr2bl w:val="nil"/>
                  </w:tcBorders>
                  <w:vAlign w:val="center"/>
                </w:tcPr>
                <w:p w14:paraId="6441F235">
                  <w:pPr>
                    <w:keepNext w:val="0"/>
                    <w:keepLines w:val="0"/>
                    <w:pageBreakBefore w:val="0"/>
                    <w:kinsoku/>
                    <w:wordWrap/>
                    <w:overflowPunct/>
                    <w:topLinePunct w:val="0"/>
                    <w:autoSpaceDE/>
                    <w:autoSpaceDN/>
                    <w:bidi w:val="0"/>
                    <w:adjustRightInd/>
                    <w:snapToGrid/>
                    <w:jc w:val="center"/>
                    <w:rPr>
                      <w:color w:val="auto"/>
                      <w:sz w:val="21"/>
                      <w:szCs w:val="21"/>
                      <w:highlight w:val="none"/>
                    </w:rPr>
                  </w:pPr>
                  <w:r>
                    <w:rPr>
                      <w:color w:val="auto"/>
                      <w:sz w:val="21"/>
                      <w:szCs w:val="21"/>
                      <w:highlight w:val="none"/>
                    </w:rPr>
                    <w:t>2</w:t>
                  </w:r>
                </w:p>
              </w:tc>
              <w:tc>
                <w:tcPr>
                  <w:tcW w:w="999" w:type="pct"/>
                  <w:tcBorders>
                    <w:tl2br w:val="nil"/>
                    <w:tr2bl w:val="nil"/>
                  </w:tcBorders>
                  <w:vAlign w:val="center"/>
                </w:tcPr>
                <w:p w14:paraId="7FEA01D0">
                  <w:pPr>
                    <w:keepNext w:val="0"/>
                    <w:keepLines w:val="0"/>
                    <w:pageBreakBefore w:val="0"/>
                    <w:kinsoku/>
                    <w:wordWrap/>
                    <w:overflowPunct/>
                    <w:topLinePunct w:val="0"/>
                    <w:autoSpaceDE/>
                    <w:autoSpaceDN/>
                    <w:bidi w:val="0"/>
                    <w:adjustRightInd/>
                    <w:snapToGrid/>
                    <w:jc w:val="center"/>
                    <w:rPr>
                      <w:color w:val="auto"/>
                      <w:sz w:val="21"/>
                      <w:szCs w:val="21"/>
                      <w:highlight w:val="none"/>
                    </w:rPr>
                  </w:pPr>
                </w:p>
              </w:tc>
              <w:tc>
                <w:tcPr>
                  <w:tcW w:w="1000" w:type="pct"/>
                  <w:tcBorders>
                    <w:tl2br w:val="nil"/>
                    <w:tr2bl w:val="nil"/>
                  </w:tcBorders>
                  <w:vAlign w:val="center"/>
                </w:tcPr>
                <w:p w14:paraId="6E14EE91">
                  <w:pPr>
                    <w:keepNext w:val="0"/>
                    <w:keepLines w:val="0"/>
                    <w:pageBreakBefore w:val="0"/>
                    <w:widowControl/>
                    <w:kinsoku/>
                    <w:wordWrap/>
                    <w:overflowPunct/>
                    <w:topLinePunct w:val="0"/>
                    <w:autoSpaceDE/>
                    <w:autoSpaceDN/>
                    <w:bidi w:val="0"/>
                    <w:adjustRightInd/>
                    <w:snapToGrid/>
                    <w:jc w:val="center"/>
                    <w:textAlignment w:val="center"/>
                    <w:rPr>
                      <w:color w:val="auto"/>
                      <w:sz w:val="21"/>
                      <w:szCs w:val="21"/>
                      <w:highlight w:val="none"/>
                    </w:rPr>
                  </w:pPr>
                </w:p>
              </w:tc>
              <w:tc>
                <w:tcPr>
                  <w:tcW w:w="999" w:type="pct"/>
                  <w:tcBorders>
                    <w:tl2br w:val="nil"/>
                    <w:tr2bl w:val="nil"/>
                  </w:tcBorders>
                  <w:vAlign w:val="center"/>
                </w:tcPr>
                <w:p w14:paraId="5FC7278B">
                  <w:pPr>
                    <w:pStyle w:val="35"/>
                    <w:keepNext w:val="0"/>
                    <w:keepLines w:val="0"/>
                    <w:pageBreakBefore w:val="0"/>
                    <w:kinsoku/>
                    <w:wordWrap/>
                    <w:overflowPunct/>
                    <w:topLinePunct w:val="0"/>
                    <w:autoSpaceDE/>
                    <w:autoSpaceDN/>
                    <w:bidi w:val="0"/>
                    <w:adjustRightInd/>
                    <w:snapToGrid/>
                    <w:spacing w:after="0"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煤矸石</w:t>
                  </w:r>
                </w:p>
              </w:tc>
              <w:tc>
                <w:tcPr>
                  <w:tcW w:w="1001" w:type="pct"/>
                  <w:tcBorders>
                    <w:tl2br w:val="nil"/>
                    <w:tr2bl w:val="nil"/>
                  </w:tcBorders>
                  <w:vAlign w:val="center"/>
                </w:tcPr>
                <w:p w14:paraId="63FE6103">
                  <w:pPr>
                    <w:pStyle w:val="35"/>
                    <w:keepNext w:val="0"/>
                    <w:keepLines w:val="0"/>
                    <w:pageBreakBefore w:val="0"/>
                    <w:kinsoku/>
                    <w:wordWrap/>
                    <w:overflowPunct/>
                    <w:topLinePunct w:val="0"/>
                    <w:autoSpaceDE/>
                    <w:autoSpaceDN/>
                    <w:bidi w:val="0"/>
                    <w:adjustRightInd/>
                    <w:snapToGrid/>
                    <w:spacing w:after="0"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35800</w:t>
                  </w:r>
                </w:p>
              </w:tc>
            </w:tr>
            <w:tr w14:paraId="709B802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99" w:type="pct"/>
                  <w:tcBorders>
                    <w:tl2br w:val="nil"/>
                    <w:tr2bl w:val="nil"/>
                  </w:tcBorders>
                  <w:vAlign w:val="center"/>
                </w:tcPr>
                <w:p w14:paraId="05080C59">
                  <w:pPr>
                    <w:pStyle w:val="35"/>
                    <w:keepNext w:val="0"/>
                    <w:keepLines w:val="0"/>
                    <w:pageBreakBefore w:val="0"/>
                    <w:kinsoku/>
                    <w:wordWrap/>
                    <w:overflowPunct/>
                    <w:topLinePunct w:val="0"/>
                    <w:autoSpaceDE/>
                    <w:autoSpaceDN/>
                    <w:bidi w:val="0"/>
                    <w:adjustRightInd/>
                    <w:snapToGrid/>
                    <w:spacing w:after="0" w:line="240" w:lineRule="auto"/>
                    <w:jc w:val="center"/>
                    <w:rPr>
                      <w:color w:val="auto"/>
                      <w:sz w:val="21"/>
                      <w:szCs w:val="21"/>
                      <w:highlight w:val="none"/>
                    </w:rPr>
                  </w:pPr>
                  <w:r>
                    <w:rPr>
                      <w:color w:val="auto"/>
                      <w:sz w:val="21"/>
                      <w:szCs w:val="21"/>
                      <w:highlight w:val="none"/>
                    </w:rPr>
                    <w:t>3</w:t>
                  </w:r>
                </w:p>
              </w:tc>
              <w:tc>
                <w:tcPr>
                  <w:tcW w:w="999" w:type="pct"/>
                  <w:tcBorders>
                    <w:tl2br w:val="nil"/>
                    <w:tr2bl w:val="nil"/>
                  </w:tcBorders>
                  <w:vAlign w:val="center"/>
                </w:tcPr>
                <w:p w14:paraId="5C377204">
                  <w:pPr>
                    <w:keepNext w:val="0"/>
                    <w:keepLines w:val="0"/>
                    <w:pageBreakBefore w:val="0"/>
                    <w:kinsoku/>
                    <w:wordWrap/>
                    <w:overflowPunct/>
                    <w:topLinePunct w:val="0"/>
                    <w:autoSpaceDE/>
                    <w:autoSpaceDN/>
                    <w:bidi w:val="0"/>
                    <w:adjustRightInd/>
                    <w:snapToGrid/>
                    <w:jc w:val="center"/>
                    <w:rPr>
                      <w:color w:val="auto"/>
                      <w:sz w:val="21"/>
                      <w:szCs w:val="21"/>
                      <w:highlight w:val="none"/>
                    </w:rPr>
                  </w:pPr>
                </w:p>
              </w:tc>
              <w:tc>
                <w:tcPr>
                  <w:tcW w:w="1000" w:type="pct"/>
                  <w:tcBorders>
                    <w:tl2br w:val="nil"/>
                    <w:tr2bl w:val="nil"/>
                  </w:tcBorders>
                  <w:vAlign w:val="center"/>
                </w:tcPr>
                <w:p w14:paraId="0091E199">
                  <w:pPr>
                    <w:keepNext w:val="0"/>
                    <w:keepLines w:val="0"/>
                    <w:pageBreakBefore w:val="0"/>
                    <w:widowControl/>
                    <w:kinsoku/>
                    <w:wordWrap/>
                    <w:overflowPunct/>
                    <w:topLinePunct w:val="0"/>
                    <w:autoSpaceDE/>
                    <w:autoSpaceDN/>
                    <w:bidi w:val="0"/>
                    <w:adjustRightInd/>
                    <w:snapToGrid/>
                    <w:jc w:val="center"/>
                    <w:textAlignment w:val="center"/>
                    <w:rPr>
                      <w:color w:val="auto"/>
                      <w:sz w:val="21"/>
                      <w:szCs w:val="21"/>
                      <w:highlight w:val="none"/>
                    </w:rPr>
                  </w:pPr>
                </w:p>
              </w:tc>
              <w:tc>
                <w:tcPr>
                  <w:tcW w:w="999" w:type="pct"/>
                  <w:tcBorders>
                    <w:tl2br w:val="nil"/>
                    <w:tr2bl w:val="nil"/>
                  </w:tcBorders>
                  <w:vAlign w:val="center"/>
                </w:tcPr>
                <w:p w14:paraId="3B36AB7E">
                  <w:pPr>
                    <w:pStyle w:val="35"/>
                    <w:keepNext w:val="0"/>
                    <w:keepLines w:val="0"/>
                    <w:pageBreakBefore w:val="0"/>
                    <w:kinsoku/>
                    <w:wordWrap/>
                    <w:overflowPunct/>
                    <w:topLinePunct w:val="0"/>
                    <w:autoSpaceDE/>
                    <w:autoSpaceDN/>
                    <w:bidi w:val="0"/>
                    <w:adjustRightInd/>
                    <w:snapToGrid/>
                    <w:spacing w:after="0"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煤泥</w:t>
                  </w:r>
                </w:p>
              </w:tc>
              <w:tc>
                <w:tcPr>
                  <w:tcW w:w="1001" w:type="pct"/>
                  <w:tcBorders>
                    <w:tl2br w:val="nil"/>
                    <w:tr2bl w:val="nil"/>
                  </w:tcBorders>
                  <w:vAlign w:val="center"/>
                </w:tcPr>
                <w:p w14:paraId="62A920EA">
                  <w:pPr>
                    <w:pStyle w:val="35"/>
                    <w:keepNext w:val="0"/>
                    <w:keepLines w:val="0"/>
                    <w:pageBreakBefore w:val="0"/>
                    <w:kinsoku/>
                    <w:wordWrap/>
                    <w:overflowPunct/>
                    <w:topLinePunct w:val="0"/>
                    <w:autoSpaceDE/>
                    <w:autoSpaceDN/>
                    <w:bidi w:val="0"/>
                    <w:adjustRightInd/>
                    <w:snapToGrid/>
                    <w:spacing w:after="0"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13422.076</w:t>
                  </w:r>
                </w:p>
              </w:tc>
            </w:tr>
            <w:tr w14:paraId="1E1151B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99" w:type="pct"/>
                  <w:tcBorders>
                    <w:tl2br w:val="nil"/>
                    <w:tr2bl w:val="nil"/>
                  </w:tcBorders>
                  <w:vAlign w:val="center"/>
                </w:tcPr>
                <w:p w14:paraId="664311DB">
                  <w:pPr>
                    <w:pStyle w:val="35"/>
                    <w:keepNext w:val="0"/>
                    <w:keepLines w:val="0"/>
                    <w:pageBreakBefore w:val="0"/>
                    <w:kinsoku/>
                    <w:wordWrap/>
                    <w:overflowPunct/>
                    <w:topLinePunct w:val="0"/>
                    <w:autoSpaceDE/>
                    <w:autoSpaceDN/>
                    <w:bidi w:val="0"/>
                    <w:adjustRightInd/>
                    <w:snapToGrid/>
                    <w:spacing w:after="0" w:line="240" w:lineRule="auto"/>
                    <w:jc w:val="center"/>
                    <w:rPr>
                      <w:color w:val="auto"/>
                      <w:sz w:val="21"/>
                      <w:szCs w:val="21"/>
                      <w:highlight w:val="none"/>
                    </w:rPr>
                  </w:pPr>
                  <w:r>
                    <w:rPr>
                      <w:color w:val="auto"/>
                      <w:sz w:val="21"/>
                      <w:szCs w:val="21"/>
                      <w:highlight w:val="none"/>
                    </w:rPr>
                    <w:t>4</w:t>
                  </w:r>
                </w:p>
              </w:tc>
              <w:tc>
                <w:tcPr>
                  <w:tcW w:w="999" w:type="pct"/>
                  <w:tcBorders>
                    <w:tl2br w:val="nil"/>
                    <w:tr2bl w:val="nil"/>
                  </w:tcBorders>
                  <w:vAlign w:val="center"/>
                </w:tcPr>
                <w:p w14:paraId="1F8219E3">
                  <w:pPr>
                    <w:keepNext w:val="0"/>
                    <w:keepLines w:val="0"/>
                    <w:pageBreakBefore w:val="0"/>
                    <w:kinsoku/>
                    <w:wordWrap/>
                    <w:overflowPunct/>
                    <w:topLinePunct w:val="0"/>
                    <w:autoSpaceDE/>
                    <w:autoSpaceDN/>
                    <w:bidi w:val="0"/>
                    <w:adjustRightInd/>
                    <w:snapToGrid/>
                    <w:jc w:val="center"/>
                    <w:rPr>
                      <w:color w:val="auto"/>
                      <w:sz w:val="21"/>
                      <w:szCs w:val="21"/>
                      <w:highlight w:val="none"/>
                    </w:rPr>
                  </w:pPr>
                </w:p>
              </w:tc>
              <w:tc>
                <w:tcPr>
                  <w:tcW w:w="1000" w:type="pct"/>
                  <w:tcBorders>
                    <w:tl2br w:val="nil"/>
                    <w:tr2bl w:val="nil"/>
                  </w:tcBorders>
                  <w:vAlign w:val="center"/>
                </w:tcPr>
                <w:p w14:paraId="2DBD3026">
                  <w:pPr>
                    <w:keepNext w:val="0"/>
                    <w:keepLines w:val="0"/>
                    <w:pageBreakBefore w:val="0"/>
                    <w:widowControl/>
                    <w:kinsoku/>
                    <w:wordWrap/>
                    <w:overflowPunct/>
                    <w:topLinePunct w:val="0"/>
                    <w:autoSpaceDE/>
                    <w:autoSpaceDN/>
                    <w:bidi w:val="0"/>
                    <w:adjustRightInd/>
                    <w:snapToGrid/>
                    <w:jc w:val="center"/>
                    <w:textAlignment w:val="center"/>
                    <w:rPr>
                      <w:color w:val="auto"/>
                      <w:sz w:val="21"/>
                      <w:szCs w:val="21"/>
                      <w:highlight w:val="none"/>
                    </w:rPr>
                  </w:pPr>
                </w:p>
              </w:tc>
              <w:tc>
                <w:tcPr>
                  <w:tcW w:w="999" w:type="pct"/>
                  <w:tcBorders>
                    <w:tl2br w:val="nil"/>
                    <w:tr2bl w:val="nil"/>
                  </w:tcBorders>
                  <w:vAlign w:val="center"/>
                </w:tcPr>
                <w:p w14:paraId="15E3B81C">
                  <w:pPr>
                    <w:pStyle w:val="35"/>
                    <w:keepNext w:val="0"/>
                    <w:keepLines w:val="0"/>
                    <w:pageBreakBefore w:val="0"/>
                    <w:kinsoku/>
                    <w:wordWrap/>
                    <w:overflowPunct/>
                    <w:topLinePunct w:val="0"/>
                    <w:autoSpaceDE/>
                    <w:autoSpaceDN/>
                    <w:bidi w:val="0"/>
                    <w:adjustRightInd/>
                    <w:snapToGrid/>
                    <w:spacing w:after="0"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收集尘</w:t>
                  </w:r>
                </w:p>
              </w:tc>
              <w:tc>
                <w:tcPr>
                  <w:tcW w:w="1001" w:type="pct"/>
                  <w:tcBorders>
                    <w:tl2br w:val="nil"/>
                    <w:tr2bl w:val="nil"/>
                  </w:tcBorders>
                  <w:vAlign w:val="center"/>
                </w:tcPr>
                <w:p w14:paraId="3578F6A6">
                  <w:pPr>
                    <w:pStyle w:val="35"/>
                    <w:keepNext w:val="0"/>
                    <w:keepLines w:val="0"/>
                    <w:pageBreakBefore w:val="0"/>
                    <w:kinsoku/>
                    <w:wordWrap/>
                    <w:overflowPunct/>
                    <w:topLinePunct w:val="0"/>
                    <w:autoSpaceDE/>
                    <w:autoSpaceDN/>
                    <w:bidi w:val="0"/>
                    <w:adjustRightInd/>
                    <w:snapToGrid/>
                    <w:spacing w:after="0"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769.824</w:t>
                  </w:r>
                </w:p>
              </w:tc>
            </w:tr>
            <w:tr w14:paraId="04936F9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99" w:type="pct"/>
                  <w:tcBorders>
                    <w:tl2br w:val="nil"/>
                    <w:tr2bl w:val="nil"/>
                  </w:tcBorders>
                  <w:vAlign w:val="center"/>
                </w:tcPr>
                <w:p w14:paraId="7727C4AA">
                  <w:pPr>
                    <w:pStyle w:val="35"/>
                    <w:keepNext w:val="0"/>
                    <w:keepLines w:val="0"/>
                    <w:pageBreakBefore w:val="0"/>
                    <w:kinsoku/>
                    <w:wordWrap/>
                    <w:overflowPunct/>
                    <w:topLinePunct w:val="0"/>
                    <w:autoSpaceDE/>
                    <w:autoSpaceDN/>
                    <w:bidi w:val="0"/>
                    <w:adjustRightInd/>
                    <w:snapToGrid/>
                    <w:spacing w:after="0" w:line="240" w:lineRule="auto"/>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5</w:t>
                  </w:r>
                </w:p>
              </w:tc>
              <w:tc>
                <w:tcPr>
                  <w:tcW w:w="999" w:type="pct"/>
                  <w:tcBorders>
                    <w:tl2br w:val="nil"/>
                    <w:tr2bl w:val="nil"/>
                  </w:tcBorders>
                  <w:vAlign w:val="center"/>
                </w:tcPr>
                <w:p w14:paraId="1BB92D8C">
                  <w:pPr>
                    <w:pStyle w:val="35"/>
                    <w:keepNext w:val="0"/>
                    <w:keepLines w:val="0"/>
                    <w:pageBreakBefore w:val="0"/>
                    <w:kinsoku/>
                    <w:wordWrap/>
                    <w:overflowPunct/>
                    <w:topLinePunct w:val="0"/>
                    <w:autoSpaceDE/>
                    <w:autoSpaceDN/>
                    <w:bidi w:val="0"/>
                    <w:adjustRightInd/>
                    <w:snapToGrid/>
                    <w:spacing w:after="0" w:line="240" w:lineRule="auto"/>
                    <w:jc w:val="center"/>
                    <w:rPr>
                      <w:color w:val="auto"/>
                      <w:sz w:val="21"/>
                      <w:szCs w:val="21"/>
                      <w:highlight w:val="none"/>
                    </w:rPr>
                  </w:pPr>
                </w:p>
              </w:tc>
              <w:tc>
                <w:tcPr>
                  <w:tcW w:w="1000" w:type="pct"/>
                  <w:tcBorders>
                    <w:tl2br w:val="nil"/>
                    <w:tr2bl w:val="nil"/>
                  </w:tcBorders>
                  <w:vAlign w:val="center"/>
                </w:tcPr>
                <w:p w14:paraId="4CEE014F">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sz w:val="21"/>
                      <w:szCs w:val="21"/>
                      <w:highlight w:val="none"/>
                      <w:lang w:val="en-US" w:eastAsia="zh-CN"/>
                    </w:rPr>
                  </w:pPr>
                </w:p>
              </w:tc>
              <w:tc>
                <w:tcPr>
                  <w:tcW w:w="999" w:type="pct"/>
                  <w:tcBorders>
                    <w:tl2br w:val="nil"/>
                    <w:tr2bl w:val="nil"/>
                  </w:tcBorders>
                  <w:vAlign w:val="center"/>
                </w:tcPr>
                <w:p w14:paraId="4207DF7A">
                  <w:pPr>
                    <w:pStyle w:val="35"/>
                    <w:keepNext w:val="0"/>
                    <w:keepLines w:val="0"/>
                    <w:pageBreakBefore w:val="0"/>
                    <w:kinsoku/>
                    <w:wordWrap/>
                    <w:overflowPunct/>
                    <w:topLinePunct w:val="0"/>
                    <w:autoSpaceDE/>
                    <w:autoSpaceDN/>
                    <w:bidi w:val="0"/>
                    <w:adjustRightInd/>
                    <w:snapToGrid/>
                    <w:spacing w:after="0"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粉尘</w:t>
                  </w:r>
                </w:p>
              </w:tc>
              <w:tc>
                <w:tcPr>
                  <w:tcW w:w="1001" w:type="pct"/>
                  <w:tcBorders>
                    <w:tl2br w:val="nil"/>
                    <w:tr2bl w:val="nil"/>
                  </w:tcBorders>
                  <w:vAlign w:val="center"/>
                </w:tcPr>
                <w:p w14:paraId="30838EB0">
                  <w:pPr>
                    <w:pStyle w:val="35"/>
                    <w:keepNext w:val="0"/>
                    <w:keepLines w:val="0"/>
                    <w:pageBreakBefore w:val="0"/>
                    <w:kinsoku/>
                    <w:wordWrap/>
                    <w:overflowPunct/>
                    <w:topLinePunct w:val="0"/>
                    <w:autoSpaceDE/>
                    <w:autoSpaceDN/>
                    <w:bidi w:val="0"/>
                    <w:adjustRightInd/>
                    <w:snapToGrid/>
                    <w:spacing w:after="0"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8.1</w:t>
                  </w:r>
                </w:p>
              </w:tc>
            </w:tr>
            <w:tr w14:paraId="1862CAD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99" w:type="pct"/>
                  <w:tcBorders>
                    <w:tl2br w:val="nil"/>
                    <w:tr2bl w:val="nil"/>
                  </w:tcBorders>
                  <w:vAlign w:val="center"/>
                </w:tcPr>
                <w:p w14:paraId="6DD68DF1">
                  <w:pPr>
                    <w:pStyle w:val="35"/>
                    <w:keepNext w:val="0"/>
                    <w:keepLines w:val="0"/>
                    <w:pageBreakBefore w:val="0"/>
                    <w:kinsoku/>
                    <w:wordWrap/>
                    <w:overflowPunct/>
                    <w:topLinePunct w:val="0"/>
                    <w:autoSpaceDE/>
                    <w:autoSpaceDN/>
                    <w:bidi w:val="0"/>
                    <w:adjustRightInd/>
                    <w:snapToGrid/>
                    <w:spacing w:after="0" w:line="240" w:lineRule="auto"/>
                    <w:jc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合计</w:t>
                  </w:r>
                </w:p>
              </w:tc>
              <w:tc>
                <w:tcPr>
                  <w:tcW w:w="999" w:type="pct"/>
                  <w:tcBorders>
                    <w:tl2br w:val="nil"/>
                    <w:tr2bl w:val="nil"/>
                  </w:tcBorders>
                  <w:vAlign w:val="center"/>
                </w:tcPr>
                <w:p w14:paraId="43E105BE">
                  <w:pPr>
                    <w:pStyle w:val="35"/>
                    <w:keepNext w:val="0"/>
                    <w:keepLines w:val="0"/>
                    <w:pageBreakBefore w:val="0"/>
                    <w:kinsoku/>
                    <w:wordWrap/>
                    <w:overflowPunct/>
                    <w:topLinePunct w:val="0"/>
                    <w:autoSpaceDE/>
                    <w:autoSpaceDN/>
                    <w:bidi w:val="0"/>
                    <w:adjustRightInd/>
                    <w:snapToGrid/>
                    <w:spacing w:after="0" w:line="240" w:lineRule="auto"/>
                    <w:jc w:val="center"/>
                    <w:rPr>
                      <w:rFonts w:ascii="Times New Roman" w:hAnsi="Times New Roman" w:eastAsia="宋体" w:cs="Times New Roman"/>
                      <w:color w:val="auto"/>
                      <w:kern w:val="2"/>
                      <w:sz w:val="21"/>
                      <w:szCs w:val="21"/>
                      <w:highlight w:val="none"/>
                      <w:lang w:val="en-US" w:eastAsia="zh-CN" w:bidi="ar-SA"/>
                    </w:rPr>
                  </w:pPr>
                </w:p>
              </w:tc>
              <w:tc>
                <w:tcPr>
                  <w:tcW w:w="1000" w:type="pct"/>
                  <w:tcBorders>
                    <w:tl2br w:val="nil"/>
                    <w:tr2bl w:val="nil"/>
                  </w:tcBorders>
                  <w:vAlign w:val="center"/>
                </w:tcPr>
                <w:p w14:paraId="75A36DD8">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kern w:val="0"/>
                      <w:sz w:val="21"/>
                      <w:szCs w:val="21"/>
                      <w:highlight w:val="none"/>
                      <w:lang w:val="en-US" w:eastAsia="zh-CN" w:bidi="ar"/>
                    </w:rPr>
                    <w:t>1250000</w:t>
                  </w:r>
                </w:p>
              </w:tc>
              <w:tc>
                <w:tcPr>
                  <w:tcW w:w="999" w:type="pct"/>
                  <w:tcBorders>
                    <w:tl2br w:val="nil"/>
                    <w:tr2bl w:val="nil"/>
                  </w:tcBorders>
                  <w:vAlign w:val="center"/>
                </w:tcPr>
                <w:p w14:paraId="73F4D194">
                  <w:pPr>
                    <w:pStyle w:val="35"/>
                    <w:keepNext w:val="0"/>
                    <w:keepLines w:val="0"/>
                    <w:pageBreakBefore w:val="0"/>
                    <w:kinsoku/>
                    <w:wordWrap/>
                    <w:overflowPunct/>
                    <w:topLinePunct w:val="0"/>
                    <w:autoSpaceDE/>
                    <w:autoSpaceDN/>
                    <w:bidi w:val="0"/>
                    <w:adjustRightInd/>
                    <w:snapToGrid/>
                    <w:spacing w:after="0" w:line="240" w:lineRule="auto"/>
                    <w:jc w:val="center"/>
                    <w:rPr>
                      <w:rFonts w:ascii="Times New Roman" w:hAnsi="Times New Roman" w:eastAsia="宋体" w:cs="Times New Roman"/>
                      <w:color w:val="auto"/>
                      <w:kern w:val="2"/>
                      <w:sz w:val="21"/>
                      <w:szCs w:val="21"/>
                      <w:highlight w:val="none"/>
                      <w:lang w:val="en-US" w:eastAsia="zh-CN" w:bidi="ar-SA"/>
                    </w:rPr>
                  </w:pPr>
                </w:p>
              </w:tc>
              <w:tc>
                <w:tcPr>
                  <w:tcW w:w="1001" w:type="pct"/>
                  <w:tcBorders>
                    <w:tl2br w:val="nil"/>
                    <w:tr2bl w:val="nil"/>
                  </w:tcBorders>
                  <w:vAlign w:val="center"/>
                </w:tcPr>
                <w:p w14:paraId="4C8D28F1">
                  <w:pPr>
                    <w:pStyle w:val="35"/>
                    <w:keepNext w:val="0"/>
                    <w:keepLines w:val="0"/>
                    <w:pageBreakBefore w:val="0"/>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kern w:val="0"/>
                      <w:sz w:val="21"/>
                      <w:szCs w:val="21"/>
                      <w:highlight w:val="none"/>
                      <w:lang w:val="en-US" w:eastAsia="zh-CN" w:bidi="ar"/>
                    </w:rPr>
                    <w:t>1250000</w:t>
                  </w:r>
                </w:p>
              </w:tc>
            </w:tr>
          </w:tbl>
          <w:p w14:paraId="51654F21">
            <w:pPr>
              <w:pStyle w:val="24"/>
              <w:keepNext w:val="0"/>
              <w:keepLines w:val="0"/>
              <w:pageBreakBefore w:val="0"/>
              <w:widowControl w:val="0"/>
              <w:numPr>
                <w:ilvl w:val="0"/>
                <w:numId w:val="8"/>
              </w:numPr>
              <w:kinsoku/>
              <w:wordWrap/>
              <w:overflowPunct/>
              <w:topLinePunct w:val="0"/>
              <w:autoSpaceDE/>
              <w:autoSpaceDN/>
              <w:bidi w:val="0"/>
              <w:adjustRightInd/>
              <w:snapToGrid/>
              <w:spacing w:after="0" w:line="520" w:lineRule="exact"/>
              <w:ind w:left="0" w:leftChars="0" w:firstLine="0" w:firstLineChars="0"/>
              <w:textAlignment w:val="auto"/>
              <w:rPr>
                <w:b/>
                <w:bCs/>
                <w:color w:val="auto"/>
                <w:sz w:val="24"/>
              </w:rPr>
            </w:pPr>
            <w:r>
              <w:rPr>
                <w:b/>
                <w:bCs/>
                <w:color w:val="auto"/>
                <w:sz w:val="24"/>
              </w:rPr>
              <w:t>生产制度及劳动定员</w:t>
            </w:r>
          </w:p>
          <w:p w14:paraId="36ADB0A7">
            <w:pPr>
              <w:keepNext w:val="0"/>
              <w:keepLines w:val="0"/>
              <w:pageBreakBefore w:val="0"/>
              <w:widowControl w:val="0"/>
              <w:kinsoku/>
              <w:wordWrap/>
              <w:overflowPunct w:val="0"/>
              <w:topLinePunct w:val="0"/>
              <w:autoSpaceDE/>
              <w:autoSpaceDN/>
              <w:bidi w:val="0"/>
              <w:adjustRightInd w:val="0"/>
              <w:snapToGrid w:val="0"/>
              <w:spacing w:line="520" w:lineRule="exact"/>
              <w:ind w:firstLine="480" w:firstLineChars="200"/>
              <w:rPr>
                <w:rFonts w:hint="default" w:eastAsia="宋体"/>
                <w:color w:val="auto"/>
                <w:sz w:val="24"/>
                <w:highlight w:val="none"/>
                <w:lang w:val="en-US" w:eastAsia="zh-CN"/>
              </w:rPr>
            </w:pPr>
            <w:r>
              <w:rPr>
                <w:color w:val="auto"/>
                <w:sz w:val="24"/>
                <w:highlight w:val="none"/>
              </w:rPr>
              <w:t>本项目</w:t>
            </w:r>
            <w:r>
              <w:rPr>
                <w:rFonts w:hint="eastAsia"/>
                <w:color w:val="auto"/>
                <w:sz w:val="24"/>
                <w:highlight w:val="none"/>
                <w:lang w:val="en-US" w:eastAsia="zh-CN"/>
              </w:rPr>
              <w:t>劳动定员50人</w:t>
            </w:r>
            <w:r>
              <w:rPr>
                <w:color w:val="auto"/>
                <w:sz w:val="24"/>
                <w:highlight w:val="none"/>
              </w:rPr>
              <w:t>。</w:t>
            </w:r>
            <w:r>
              <w:rPr>
                <w:rFonts w:hint="eastAsia"/>
                <w:color w:val="auto"/>
                <w:sz w:val="24"/>
                <w:highlight w:val="none"/>
                <w:lang w:val="en-US" w:eastAsia="zh-CN"/>
              </w:rPr>
              <w:t>本项目年生产300天，2班制，有效工作时间16h，年工作时间4800h。</w:t>
            </w:r>
          </w:p>
          <w:p w14:paraId="1C9D45CD">
            <w:pPr>
              <w:keepNext w:val="0"/>
              <w:keepLines w:val="0"/>
              <w:pageBreakBefore w:val="0"/>
              <w:widowControl w:val="0"/>
              <w:numPr>
                <w:ilvl w:val="0"/>
                <w:numId w:val="8"/>
              </w:numPr>
              <w:kinsoku/>
              <w:wordWrap/>
              <w:topLinePunct w:val="0"/>
              <w:autoSpaceDE/>
              <w:autoSpaceDN/>
              <w:bidi w:val="0"/>
              <w:adjustRightInd w:val="0"/>
              <w:snapToGrid w:val="0"/>
              <w:spacing w:line="520" w:lineRule="exact"/>
              <w:ind w:left="0" w:leftChars="0" w:firstLine="0" w:firstLineChars="0"/>
              <w:rPr>
                <w:b/>
                <w:bCs/>
                <w:color w:val="auto"/>
                <w:sz w:val="24"/>
              </w:rPr>
            </w:pPr>
            <w:r>
              <w:rPr>
                <w:b/>
                <w:bCs/>
                <w:color w:val="auto"/>
                <w:sz w:val="24"/>
              </w:rPr>
              <w:t>公用工程</w:t>
            </w:r>
          </w:p>
          <w:p w14:paraId="2F7DF961">
            <w:pPr>
              <w:keepNext w:val="0"/>
              <w:keepLines w:val="0"/>
              <w:pageBreakBefore w:val="0"/>
              <w:widowControl w:val="0"/>
              <w:kinsoku/>
              <w:wordWrap/>
              <w:topLinePunct w:val="0"/>
              <w:autoSpaceDE/>
              <w:autoSpaceDN/>
              <w:bidi w:val="0"/>
              <w:spacing w:line="520" w:lineRule="exact"/>
              <w:rPr>
                <w:b/>
                <w:bCs/>
                <w:color w:val="auto"/>
                <w:sz w:val="24"/>
              </w:rPr>
            </w:pPr>
            <w:r>
              <w:rPr>
                <w:rFonts w:hint="eastAsia"/>
                <w:b/>
                <w:bCs/>
                <w:color w:val="auto"/>
                <w:sz w:val="24"/>
                <w:lang w:val="en-US" w:eastAsia="zh-CN"/>
              </w:rPr>
              <w:t>6</w:t>
            </w:r>
            <w:r>
              <w:rPr>
                <w:b/>
                <w:bCs/>
                <w:color w:val="auto"/>
                <w:sz w:val="24"/>
              </w:rPr>
              <w:t>.1</w:t>
            </w:r>
            <w:r>
              <w:rPr>
                <w:rFonts w:hint="eastAsia"/>
                <w:b/>
                <w:bCs/>
                <w:color w:val="auto"/>
                <w:sz w:val="24"/>
                <w:lang w:val="en-US" w:eastAsia="zh-CN"/>
              </w:rPr>
              <w:t xml:space="preserve"> </w:t>
            </w:r>
            <w:r>
              <w:rPr>
                <w:b/>
                <w:bCs/>
                <w:color w:val="auto"/>
                <w:sz w:val="24"/>
              </w:rPr>
              <w:t>供水</w:t>
            </w:r>
          </w:p>
          <w:p w14:paraId="6A4848B5">
            <w:pPr>
              <w:pStyle w:val="44"/>
              <w:keepNext w:val="0"/>
              <w:keepLines w:val="0"/>
              <w:pageBreakBefore w:val="0"/>
              <w:widowControl w:val="0"/>
              <w:kinsoku/>
              <w:wordWrap/>
              <w:topLinePunct w:val="0"/>
              <w:autoSpaceDE/>
              <w:autoSpaceDN/>
              <w:bidi w:val="0"/>
              <w:spacing w:line="520" w:lineRule="exact"/>
              <w:ind w:firstLine="480"/>
              <w:rPr>
                <w:rFonts w:hint="default"/>
                <w:color w:val="auto"/>
                <w:highlight w:val="none"/>
                <w:lang w:val="en-US" w:eastAsia="zh-CN"/>
              </w:rPr>
            </w:pPr>
            <w:r>
              <w:rPr>
                <w:rFonts w:hint="default"/>
                <w:color w:val="auto"/>
                <w:highlight w:val="none"/>
                <w:lang w:val="en-US" w:eastAsia="zh-CN"/>
              </w:rPr>
              <w:t>本项目用水由供水管网供给，可满足本项目的需要。</w:t>
            </w:r>
          </w:p>
          <w:p w14:paraId="026C3EDF">
            <w:pPr>
              <w:pStyle w:val="44"/>
              <w:keepNext w:val="0"/>
              <w:keepLines w:val="0"/>
              <w:pageBreakBefore w:val="0"/>
              <w:widowControl w:val="0"/>
              <w:kinsoku/>
              <w:wordWrap/>
              <w:topLinePunct w:val="0"/>
              <w:autoSpaceDE/>
              <w:autoSpaceDN/>
              <w:bidi w:val="0"/>
              <w:spacing w:line="520" w:lineRule="exact"/>
              <w:ind w:firstLine="480"/>
              <w:rPr>
                <w:rFonts w:hint="default"/>
                <w:color w:val="auto"/>
                <w:highlight w:val="none"/>
                <w:lang w:val="en-US" w:eastAsia="zh-CN"/>
              </w:rPr>
            </w:pPr>
            <w:r>
              <w:rPr>
                <w:rFonts w:hint="default"/>
                <w:color w:val="auto"/>
                <w:highlight w:val="none"/>
                <w:lang w:val="en-US" w:eastAsia="zh-CN"/>
              </w:rPr>
              <w:t>①洗煤工序用水</w:t>
            </w:r>
          </w:p>
          <w:p w14:paraId="5C8EC657">
            <w:pPr>
              <w:pStyle w:val="23"/>
              <w:keepNext w:val="0"/>
              <w:keepLines w:val="0"/>
              <w:pageBreakBefore w:val="0"/>
              <w:widowControl w:val="0"/>
              <w:kinsoku/>
              <w:wordWrap/>
              <w:overflowPunct/>
              <w:topLinePunct w:val="0"/>
              <w:autoSpaceDE/>
              <w:autoSpaceDN/>
              <w:bidi w:val="0"/>
              <w:adjustRightInd/>
              <w:snapToGrid/>
              <w:spacing w:line="520" w:lineRule="exact"/>
              <w:ind w:left="0" w:leftChars="0" w:firstLine="480" w:firstLineChars="200"/>
              <w:textAlignment w:val="auto"/>
              <w:rPr>
                <w:rFonts w:hint="default" w:eastAsia="宋体"/>
                <w:color w:val="auto"/>
                <w:sz w:val="24"/>
                <w:highlight w:val="none"/>
                <w:vertAlign w:val="baseline"/>
                <w:lang w:val="en-US" w:eastAsia="zh-CN"/>
              </w:rPr>
            </w:pPr>
            <w:r>
              <w:rPr>
                <w:color w:val="auto"/>
                <w:sz w:val="24"/>
                <w:highlight w:val="none"/>
              </w:rPr>
              <w:t>根据《煤炭洗选工程设计规范》跳汰机循环用水量的相关规定，本项目</w:t>
            </w:r>
            <w:r>
              <w:rPr>
                <w:rFonts w:hint="eastAsia"/>
                <w:color w:val="auto"/>
                <w:sz w:val="24"/>
                <w:highlight w:val="none"/>
                <w:lang w:val="en-US" w:eastAsia="zh-CN"/>
              </w:rPr>
              <w:t>日选煤能力为4166.67t，</w:t>
            </w:r>
            <w:r>
              <w:rPr>
                <w:rFonts w:hint="eastAsia"/>
                <w:color w:val="auto"/>
                <w:sz w:val="24"/>
                <w:highlight w:val="none"/>
              </w:rPr>
              <w:t>原煤带入水量</w:t>
            </w:r>
            <w:r>
              <w:rPr>
                <w:rFonts w:hint="eastAsia"/>
                <w:color w:val="auto"/>
                <w:sz w:val="24"/>
                <w:highlight w:val="none"/>
                <w:lang w:val="en-US" w:eastAsia="zh-CN"/>
              </w:rPr>
              <w:t>250</w:t>
            </w:r>
            <w:r>
              <w:rPr>
                <w:color w:val="auto"/>
                <w:sz w:val="24"/>
                <w:highlight w:val="none"/>
              </w:rPr>
              <w:t>m</w:t>
            </w:r>
            <w:r>
              <w:rPr>
                <w:color w:val="auto"/>
                <w:sz w:val="24"/>
                <w:highlight w:val="none"/>
                <w:vertAlign w:val="superscript"/>
              </w:rPr>
              <w:t>3</w:t>
            </w:r>
            <w:r>
              <w:rPr>
                <w:color w:val="auto"/>
                <w:sz w:val="24"/>
                <w:highlight w:val="none"/>
              </w:rPr>
              <w:t>/d</w:t>
            </w:r>
            <w:r>
              <w:rPr>
                <w:rFonts w:hint="eastAsia"/>
                <w:color w:val="auto"/>
                <w:sz w:val="24"/>
                <w:highlight w:val="none"/>
              </w:rPr>
              <w:t>，</w:t>
            </w:r>
            <w:r>
              <w:rPr>
                <w:color w:val="auto"/>
                <w:sz w:val="24"/>
                <w:highlight w:val="none"/>
              </w:rPr>
              <w:t>选煤循环用水量取2.5m</w:t>
            </w:r>
            <w:r>
              <w:rPr>
                <w:color w:val="auto"/>
                <w:sz w:val="24"/>
                <w:highlight w:val="none"/>
                <w:vertAlign w:val="superscript"/>
              </w:rPr>
              <w:t>3</w:t>
            </w:r>
            <w:r>
              <w:rPr>
                <w:color w:val="auto"/>
                <w:sz w:val="24"/>
                <w:highlight w:val="none"/>
              </w:rPr>
              <w:t>/t（原煤），项目日选煤能力为</w:t>
            </w:r>
            <w:r>
              <w:rPr>
                <w:rFonts w:hint="eastAsia"/>
                <w:color w:val="auto"/>
                <w:sz w:val="24"/>
                <w:highlight w:val="none"/>
                <w:lang w:val="en-US" w:eastAsia="zh-CN"/>
              </w:rPr>
              <w:t>4166.67</w:t>
            </w:r>
            <w:r>
              <w:rPr>
                <w:color w:val="auto"/>
                <w:sz w:val="24"/>
                <w:highlight w:val="none"/>
              </w:rPr>
              <w:t>t，则循环水量为</w:t>
            </w:r>
            <w:r>
              <w:rPr>
                <w:rFonts w:hint="eastAsia"/>
                <w:color w:val="auto"/>
                <w:sz w:val="24"/>
                <w:highlight w:val="none"/>
                <w:lang w:val="en-US" w:eastAsia="zh-CN"/>
              </w:rPr>
              <w:t>10416.67</w:t>
            </w:r>
            <w:r>
              <w:rPr>
                <w:color w:val="auto"/>
                <w:sz w:val="24"/>
                <w:highlight w:val="none"/>
              </w:rPr>
              <w:t>m</w:t>
            </w:r>
            <w:r>
              <w:rPr>
                <w:color w:val="auto"/>
                <w:sz w:val="24"/>
                <w:highlight w:val="none"/>
                <w:vertAlign w:val="superscript"/>
              </w:rPr>
              <w:t>3</w:t>
            </w:r>
            <w:r>
              <w:rPr>
                <w:color w:val="auto"/>
                <w:sz w:val="24"/>
                <w:highlight w:val="none"/>
              </w:rPr>
              <w:t>/d</w:t>
            </w:r>
            <w:r>
              <w:rPr>
                <w:rFonts w:hint="eastAsia"/>
                <w:color w:val="auto"/>
                <w:sz w:val="24"/>
                <w:highlight w:val="none"/>
                <w:lang w:eastAsia="zh-CN"/>
              </w:rPr>
              <w:t>，</w:t>
            </w:r>
            <w:r>
              <w:rPr>
                <w:rFonts w:hint="eastAsia"/>
                <w:color w:val="auto"/>
                <w:sz w:val="24"/>
                <w:highlight w:val="none"/>
                <w:lang w:val="en-US" w:eastAsia="zh-CN"/>
              </w:rPr>
              <w:t>补水量为循环水量的5%，即补水量为520.83m</w:t>
            </w:r>
            <w:r>
              <w:rPr>
                <w:rFonts w:hint="eastAsia"/>
                <w:color w:val="auto"/>
                <w:sz w:val="24"/>
                <w:highlight w:val="none"/>
                <w:vertAlign w:val="superscript"/>
                <w:lang w:val="en-US" w:eastAsia="zh-CN"/>
              </w:rPr>
              <w:t>3</w:t>
            </w:r>
            <w:r>
              <w:rPr>
                <w:rFonts w:hint="eastAsia"/>
                <w:color w:val="auto"/>
                <w:sz w:val="24"/>
                <w:highlight w:val="none"/>
                <w:vertAlign w:val="baseline"/>
                <w:lang w:val="en-US" w:eastAsia="zh-CN"/>
              </w:rPr>
              <w:t>/d（156250.05m</w:t>
            </w:r>
            <w:r>
              <w:rPr>
                <w:rFonts w:hint="eastAsia"/>
                <w:color w:val="auto"/>
                <w:sz w:val="24"/>
                <w:highlight w:val="none"/>
                <w:vertAlign w:val="superscript"/>
                <w:lang w:val="en-US" w:eastAsia="zh-CN"/>
              </w:rPr>
              <w:t>3</w:t>
            </w:r>
            <w:r>
              <w:rPr>
                <w:rFonts w:hint="eastAsia"/>
                <w:color w:val="auto"/>
                <w:sz w:val="24"/>
                <w:highlight w:val="none"/>
                <w:vertAlign w:val="baseline"/>
                <w:lang w:val="en-US" w:eastAsia="zh-CN"/>
              </w:rPr>
              <w:t>/a）。</w:t>
            </w:r>
          </w:p>
          <w:p w14:paraId="2F5A4907">
            <w:pPr>
              <w:pStyle w:val="38"/>
              <w:bidi w:val="0"/>
              <w:rPr>
                <w:rFonts w:hint="eastAsia"/>
                <w:color w:val="auto"/>
                <w:lang w:val="en-US" w:eastAsia="zh-CN"/>
              </w:rPr>
            </w:pPr>
            <w:r>
              <w:rPr>
                <w:rFonts w:hint="eastAsia"/>
                <w:color w:val="auto"/>
                <w:lang w:val="en-US" w:eastAsia="zh-CN"/>
              </w:rPr>
              <w:t>②降尘洒水用水</w:t>
            </w:r>
          </w:p>
          <w:p w14:paraId="3468E047">
            <w:pPr>
              <w:pStyle w:val="38"/>
              <w:bidi w:val="0"/>
              <w:rPr>
                <w:rFonts w:hint="default"/>
                <w:color w:val="auto"/>
                <w:lang w:val="en-US" w:eastAsia="zh-CN"/>
              </w:rPr>
            </w:pPr>
            <w:r>
              <w:rPr>
                <w:rFonts w:hint="default"/>
                <w:color w:val="auto"/>
                <w:lang w:val="en-US" w:eastAsia="zh-CN"/>
              </w:rPr>
              <w:t>项目原煤及产品全部储存在全封闭式储棚内，配套安装喷淋洒水装置，定期洒水降尘；原料、产品传输、转载采用全封闭的皮带走廊，下沉式投料口和转折跌落点处加设盖罩、皮挡帘并配套加装水喷雾除尘装置抑制粉尘产生。参照阜康地区洗煤厂运行数据，洒水降尘用水量为4.4m</w:t>
            </w:r>
            <w:r>
              <w:rPr>
                <w:rFonts w:hint="default"/>
                <w:color w:val="auto"/>
                <w:vertAlign w:val="superscript"/>
                <w:lang w:val="en-US" w:eastAsia="zh-CN"/>
              </w:rPr>
              <w:t>3</w:t>
            </w:r>
            <w:r>
              <w:rPr>
                <w:rFonts w:hint="default"/>
                <w:color w:val="auto"/>
                <w:lang w:val="en-US" w:eastAsia="zh-CN"/>
              </w:rPr>
              <w:t>/d（1</w:t>
            </w:r>
            <w:r>
              <w:rPr>
                <w:rFonts w:hint="eastAsia"/>
                <w:color w:val="auto"/>
                <w:lang w:val="en-US" w:eastAsia="zh-CN"/>
              </w:rPr>
              <w:t>320</w:t>
            </w:r>
            <w:r>
              <w:rPr>
                <w:rFonts w:hint="default"/>
                <w:color w:val="auto"/>
                <w:lang w:val="en-US" w:eastAsia="zh-CN"/>
              </w:rPr>
              <w:t>m</w:t>
            </w:r>
            <w:r>
              <w:rPr>
                <w:rFonts w:hint="default"/>
                <w:color w:val="auto"/>
                <w:vertAlign w:val="superscript"/>
                <w:lang w:val="en-US" w:eastAsia="zh-CN"/>
              </w:rPr>
              <w:t>3</w:t>
            </w:r>
            <w:r>
              <w:rPr>
                <w:rFonts w:hint="default"/>
                <w:color w:val="auto"/>
                <w:lang w:val="en-US" w:eastAsia="zh-CN"/>
              </w:rPr>
              <w:t>/a）</w:t>
            </w:r>
            <w:r>
              <w:rPr>
                <w:rFonts w:hint="eastAsia"/>
                <w:color w:val="auto"/>
                <w:lang w:val="en-US" w:eastAsia="zh-CN"/>
              </w:rPr>
              <w:t>全部蒸发损耗</w:t>
            </w:r>
            <w:r>
              <w:rPr>
                <w:rFonts w:hint="default"/>
                <w:color w:val="auto"/>
                <w:lang w:val="en-US" w:eastAsia="zh-CN"/>
              </w:rPr>
              <w:t>。</w:t>
            </w:r>
          </w:p>
          <w:p w14:paraId="206B902B">
            <w:pPr>
              <w:pStyle w:val="38"/>
              <w:bidi w:val="0"/>
              <w:rPr>
                <w:rFonts w:hint="eastAsia"/>
                <w:color w:val="auto"/>
                <w:lang w:val="en-US" w:eastAsia="zh-CN"/>
              </w:rPr>
            </w:pPr>
            <w:r>
              <w:rPr>
                <w:rFonts w:hint="eastAsia"/>
                <w:color w:val="auto"/>
                <w:lang w:val="en-US" w:eastAsia="zh-CN"/>
              </w:rPr>
              <w:t>③洗车用水</w:t>
            </w:r>
          </w:p>
          <w:p w14:paraId="3AB7F891">
            <w:pPr>
              <w:pStyle w:val="38"/>
              <w:bidi w:val="0"/>
              <w:rPr>
                <w:rFonts w:hint="default"/>
                <w:color w:val="auto"/>
                <w:lang w:val="en-US" w:eastAsia="zh-CN"/>
              </w:rPr>
            </w:pPr>
            <w:r>
              <w:rPr>
                <w:rFonts w:hint="eastAsia"/>
                <w:color w:val="auto"/>
                <w:lang w:val="en-US" w:eastAsia="zh-CN"/>
              </w:rPr>
              <w:t>本项目建设洗车装置1套，洗车废水循环利用，补水量2m</w:t>
            </w:r>
            <w:r>
              <w:rPr>
                <w:rFonts w:hint="eastAsia"/>
                <w:color w:val="auto"/>
                <w:vertAlign w:val="superscript"/>
                <w:lang w:val="en-US" w:eastAsia="zh-CN"/>
              </w:rPr>
              <w:t>3</w:t>
            </w:r>
            <w:r>
              <w:rPr>
                <w:rFonts w:hint="eastAsia"/>
                <w:color w:val="auto"/>
                <w:lang w:val="en-US" w:eastAsia="zh-CN"/>
              </w:rPr>
              <w:t>/d（600m</w:t>
            </w:r>
            <w:r>
              <w:rPr>
                <w:rFonts w:hint="eastAsia"/>
                <w:color w:val="auto"/>
                <w:vertAlign w:val="superscript"/>
                <w:lang w:val="en-US" w:eastAsia="zh-CN"/>
              </w:rPr>
              <w:t>3</w:t>
            </w:r>
            <w:r>
              <w:rPr>
                <w:rFonts w:hint="eastAsia"/>
                <w:color w:val="auto"/>
                <w:lang w:val="en-US" w:eastAsia="zh-CN"/>
              </w:rPr>
              <w:t>/a）。</w:t>
            </w:r>
          </w:p>
          <w:p w14:paraId="6A086494">
            <w:pPr>
              <w:pStyle w:val="38"/>
              <w:bidi w:val="0"/>
              <w:rPr>
                <w:rFonts w:hint="default"/>
                <w:color w:val="auto"/>
                <w:lang w:val="en-US" w:eastAsia="zh-CN"/>
              </w:rPr>
            </w:pPr>
            <w:r>
              <w:rPr>
                <w:rFonts w:hint="eastAsia"/>
                <w:color w:val="auto"/>
                <w:lang w:val="en-US" w:eastAsia="zh-CN"/>
              </w:rPr>
              <w:t>④</w:t>
            </w:r>
            <w:r>
              <w:rPr>
                <w:rFonts w:hint="default"/>
                <w:color w:val="auto"/>
                <w:lang w:val="en-US" w:eastAsia="zh-CN"/>
              </w:rPr>
              <w:t>生活用水</w:t>
            </w:r>
          </w:p>
          <w:p w14:paraId="149C6160">
            <w:pPr>
              <w:pStyle w:val="38"/>
              <w:bidi w:val="0"/>
              <w:rPr>
                <w:color w:val="auto"/>
              </w:rPr>
            </w:pPr>
            <w:r>
              <w:rPr>
                <w:rFonts w:hint="default"/>
                <w:color w:val="auto"/>
                <w:lang w:val="en-US" w:eastAsia="zh-CN"/>
              </w:rPr>
              <w:t>本项目</w:t>
            </w:r>
            <w:r>
              <w:rPr>
                <w:rFonts w:hint="eastAsia"/>
                <w:color w:val="auto"/>
                <w:lang w:val="en-US" w:eastAsia="zh-CN"/>
              </w:rPr>
              <w:t>新增</w:t>
            </w:r>
            <w:r>
              <w:rPr>
                <w:rFonts w:hint="default"/>
                <w:color w:val="auto"/>
                <w:lang w:val="en-US" w:eastAsia="zh-CN"/>
              </w:rPr>
              <w:t>劳动定员</w:t>
            </w:r>
            <w:r>
              <w:rPr>
                <w:rFonts w:hint="eastAsia"/>
                <w:color w:val="auto"/>
                <w:lang w:val="en-US" w:eastAsia="zh-CN"/>
              </w:rPr>
              <w:t>50</w:t>
            </w:r>
            <w:r>
              <w:rPr>
                <w:rFonts w:hint="default"/>
                <w:color w:val="auto"/>
                <w:lang w:val="en-US" w:eastAsia="zh-CN"/>
              </w:rPr>
              <w:t>人，年工作3</w:t>
            </w:r>
            <w:r>
              <w:rPr>
                <w:rFonts w:hint="eastAsia"/>
                <w:color w:val="auto"/>
                <w:lang w:val="en-US" w:eastAsia="zh-CN"/>
              </w:rPr>
              <w:t>0</w:t>
            </w:r>
            <w:r>
              <w:rPr>
                <w:rFonts w:hint="default"/>
                <w:color w:val="auto"/>
                <w:lang w:val="en-US" w:eastAsia="zh-CN"/>
              </w:rPr>
              <w:t>0d。本项目人员生活用水定额按</w:t>
            </w:r>
            <w:r>
              <w:rPr>
                <w:rFonts w:hint="eastAsia"/>
                <w:color w:val="auto"/>
                <w:lang w:val="en-US" w:eastAsia="zh-CN"/>
              </w:rPr>
              <w:t>100L</w:t>
            </w:r>
            <w:r>
              <w:rPr>
                <w:rFonts w:hint="default"/>
                <w:color w:val="auto"/>
                <w:lang w:val="en-US" w:eastAsia="zh-CN"/>
              </w:rPr>
              <w:t>/人·d 计，则员工生活用水为</w:t>
            </w:r>
            <w:r>
              <w:rPr>
                <w:rFonts w:hint="eastAsia"/>
                <w:color w:val="auto"/>
                <w:lang w:val="en-US" w:eastAsia="zh-CN"/>
              </w:rPr>
              <w:t>5</w:t>
            </w:r>
            <w:r>
              <w:rPr>
                <w:rFonts w:hint="default"/>
                <w:color w:val="auto"/>
                <w:lang w:val="en-US" w:eastAsia="zh-CN"/>
              </w:rPr>
              <w:t>m</w:t>
            </w:r>
            <w:r>
              <w:rPr>
                <w:rFonts w:hint="default"/>
                <w:color w:val="auto"/>
                <w:vertAlign w:val="superscript"/>
                <w:lang w:val="en-US" w:eastAsia="zh-CN"/>
              </w:rPr>
              <w:t>3</w:t>
            </w:r>
            <w:r>
              <w:rPr>
                <w:rFonts w:hint="default"/>
                <w:color w:val="auto"/>
                <w:lang w:val="en-US" w:eastAsia="zh-CN"/>
              </w:rPr>
              <w:t>/d（</w:t>
            </w:r>
            <w:r>
              <w:rPr>
                <w:rFonts w:hint="eastAsia"/>
                <w:color w:val="auto"/>
                <w:lang w:val="en-US" w:eastAsia="zh-CN"/>
              </w:rPr>
              <w:t>1500</w:t>
            </w:r>
            <w:r>
              <w:rPr>
                <w:rFonts w:hint="default"/>
                <w:color w:val="auto"/>
                <w:lang w:val="en-US" w:eastAsia="zh-CN"/>
              </w:rPr>
              <w:t>m</w:t>
            </w:r>
            <w:r>
              <w:rPr>
                <w:rFonts w:hint="default"/>
                <w:color w:val="auto"/>
                <w:vertAlign w:val="superscript"/>
                <w:lang w:val="en-US" w:eastAsia="zh-CN"/>
              </w:rPr>
              <w:t>3</w:t>
            </w:r>
            <w:r>
              <w:rPr>
                <w:rFonts w:hint="default"/>
                <w:color w:val="auto"/>
                <w:lang w:val="en-US" w:eastAsia="zh-CN"/>
              </w:rPr>
              <w:t>/a）。</w:t>
            </w:r>
          </w:p>
          <w:p w14:paraId="751E018A">
            <w:pPr>
              <w:pStyle w:val="38"/>
              <w:bidi w:val="0"/>
              <w:rPr>
                <w:rFonts w:hint="eastAsia"/>
                <w:color w:val="auto"/>
                <w:lang w:val="en-US" w:eastAsia="zh-CN"/>
              </w:rPr>
            </w:pPr>
            <w:r>
              <w:rPr>
                <w:rFonts w:hint="eastAsia"/>
                <w:color w:val="auto"/>
                <w:lang w:val="en-US" w:eastAsia="zh-CN"/>
              </w:rPr>
              <w:t>⑤软水制备用水</w:t>
            </w:r>
          </w:p>
          <w:p w14:paraId="498B66D1">
            <w:pPr>
              <w:pStyle w:val="38"/>
              <w:bidi w:val="0"/>
              <w:rPr>
                <w:rFonts w:hint="default"/>
                <w:color w:val="auto"/>
                <w:vertAlign w:val="baseline"/>
                <w:lang w:val="en-US" w:eastAsia="zh-CN"/>
              </w:rPr>
            </w:pPr>
            <w:r>
              <w:rPr>
                <w:rFonts w:hint="eastAsia"/>
                <w:color w:val="auto"/>
                <w:lang w:val="en-US" w:eastAsia="zh-CN"/>
              </w:rPr>
              <w:t>本项目电锅炉运行需要定期补充软水，软水制备用水为5.647m</w:t>
            </w:r>
            <w:r>
              <w:rPr>
                <w:rFonts w:hint="eastAsia"/>
                <w:color w:val="auto"/>
                <w:vertAlign w:val="superscript"/>
                <w:lang w:val="en-US" w:eastAsia="zh-CN"/>
              </w:rPr>
              <w:t>3</w:t>
            </w:r>
            <w:r>
              <w:rPr>
                <w:rFonts w:hint="eastAsia"/>
                <w:color w:val="auto"/>
                <w:vertAlign w:val="baseline"/>
                <w:lang w:val="en-US" w:eastAsia="zh-CN"/>
              </w:rPr>
              <w:t>/d（508.23m</w:t>
            </w:r>
            <w:r>
              <w:rPr>
                <w:rFonts w:hint="eastAsia"/>
                <w:color w:val="auto"/>
                <w:vertAlign w:val="superscript"/>
                <w:lang w:val="en-US" w:eastAsia="zh-CN"/>
              </w:rPr>
              <w:t>3</w:t>
            </w:r>
            <w:r>
              <w:rPr>
                <w:rFonts w:hint="eastAsia"/>
                <w:color w:val="auto"/>
                <w:vertAlign w:val="baseline"/>
                <w:lang w:val="en-US" w:eastAsia="zh-CN"/>
              </w:rPr>
              <w:t>/a）。</w:t>
            </w:r>
          </w:p>
          <w:p w14:paraId="7E5B7C0A">
            <w:pPr>
              <w:pStyle w:val="44"/>
              <w:keepNext w:val="0"/>
              <w:keepLines w:val="0"/>
              <w:pageBreakBefore w:val="0"/>
              <w:widowControl w:val="0"/>
              <w:kinsoku/>
              <w:wordWrap/>
              <w:topLinePunct w:val="0"/>
              <w:autoSpaceDE/>
              <w:autoSpaceDN/>
              <w:bidi w:val="0"/>
              <w:spacing w:line="520" w:lineRule="exact"/>
              <w:ind w:firstLine="0" w:firstLineChars="0"/>
              <w:rPr>
                <w:b/>
                <w:bCs/>
                <w:color w:val="auto"/>
              </w:rPr>
            </w:pPr>
            <w:r>
              <w:rPr>
                <w:rFonts w:hint="eastAsia"/>
                <w:b/>
                <w:bCs/>
                <w:color w:val="auto"/>
                <w:lang w:val="en-US" w:eastAsia="zh-CN"/>
              </w:rPr>
              <w:t>6</w:t>
            </w:r>
            <w:r>
              <w:rPr>
                <w:b/>
                <w:bCs/>
                <w:color w:val="auto"/>
              </w:rPr>
              <w:t>.2</w:t>
            </w:r>
            <w:r>
              <w:rPr>
                <w:rFonts w:hint="eastAsia"/>
                <w:b/>
                <w:bCs/>
                <w:color w:val="auto"/>
                <w:lang w:val="en-US" w:eastAsia="zh-CN"/>
              </w:rPr>
              <w:t xml:space="preserve"> </w:t>
            </w:r>
            <w:r>
              <w:rPr>
                <w:b/>
                <w:bCs/>
                <w:color w:val="auto"/>
              </w:rPr>
              <w:t>排水</w:t>
            </w:r>
          </w:p>
          <w:p w14:paraId="3E52522A">
            <w:pPr>
              <w:pStyle w:val="44"/>
              <w:keepNext w:val="0"/>
              <w:keepLines w:val="0"/>
              <w:pageBreakBefore w:val="0"/>
              <w:widowControl w:val="0"/>
              <w:kinsoku/>
              <w:wordWrap/>
              <w:topLinePunct w:val="0"/>
              <w:autoSpaceDE/>
              <w:autoSpaceDN/>
              <w:bidi w:val="0"/>
              <w:spacing w:line="520" w:lineRule="exact"/>
              <w:ind w:firstLine="480"/>
              <w:rPr>
                <w:rFonts w:hint="default" w:eastAsia="宋体"/>
                <w:color w:val="auto"/>
                <w:highlight w:val="none"/>
                <w:lang w:val="en-US" w:eastAsia="zh-CN"/>
              </w:rPr>
            </w:pPr>
            <w:r>
              <w:rPr>
                <w:color w:val="auto"/>
                <w:highlight w:val="none"/>
              </w:rPr>
              <w:t>本项目</w:t>
            </w:r>
            <w:r>
              <w:rPr>
                <w:rFonts w:hint="eastAsia"/>
                <w:color w:val="auto"/>
                <w:highlight w:val="none"/>
                <w:lang w:val="en-US" w:eastAsia="zh-CN"/>
              </w:rPr>
              <w:t>生产过程中无外排生产废水，洗煤废水和洗车废水循环利用不外排</w:t>
            </w:r>
            <w:r>
              <w:rPr>
                <w:color w:val="auto"/>
                <w:highlight w:val="none"/>
              </w:rPr>
              <w:t>。</w:t>
            </w:r>
            <w:r>
              <w:rPr>
                <w:rFonts w:hint="eastAsia"/>
                <w:color w:val="auto"/>
                <w:highlight w:val="none"/>
                <w:lang w:val="en-US" w:eastAsia="zh-CN"/>
              </w:rPr>
              <w:t>项目生活污水采用地埋式一体化污水处理设施处理后用于厂区洒水降尘。</w:t>
            </w:r>
          </w:p>
          <w:p w14:paraId="3F8F53FF">
            <w:pPr>
              <w:pStyle w:val="44"/>
              <w:keepNext w:val="0"/>
              <w:keepLines w:val="0"/>
              <w:pageBreakBefore w:val="0"/>
              <w:widowControl w:val="0"/>
              <w:kinsoku/>
              <w:wordWrap/>
              <w:topLinePunct w:val="0"/>
              <w:autoSpaceDE/>
              <w:autoSpaceDN/>
              <w:bidi w:val="0"/>
              <w:spacing w:line="520" w:lineRule="exact"/>
              <w:ind w:firstLine="480"/>
              <w:rPr>
                <w:rFonts w:hint="eastAsia"/>
                <w:color w:val="auto"/>
                <w:highlight w:val="none"/>
                <w:lang w:val="en-US" w:eastAsia="zh-CN"/>
              </w:rPr>
            </w:pPr>
            <w:r>
              <w:rPr>
                <w:rFonts w:hint="eastAsia"/>
                <w:color w:val="auto"/>
                <w:highlight w:val="none"/>
                <w:lang w:val="en-US" w:eastAsia="zh-CN"/>
              </w:rPr>
              <w:t>①洗煤废水</w:t>
            </w:r>
          </w:p>
          <w:p w14:paraId="54EE07D0">
            <w:pPr>
              <w:pStyle w:val="44"/>
              <w:keepNext w:val="0"/>
              <w:keepLines w:val="0"/>
              <w:pageBreakBefore w:val="0"/>
              <w:widowControl w:val="0"/>
              <w:kinsoku/>
              <w:wordWrap/>
              <w:topLinePunct w:val="0"/>
              <w:autoSpaceDE/>
              <w:autoSpaceDN/>
              <w:bidi w:val="0"/>
              <w:spacing w:line="520" w:lineRule="exact"/>
              <w:ind w:firstLine="48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洗煤生产过程产生的煤泥水采用闭路循环的工艺流程，在设计上达到洗煤水不外排的要求。</w:t>
            </w:r>
          </w:p>
          <w:p w14:paraId="4FE4DA65">
            <w:pPr>
              <w:pStyle w:val="44"/>
              <w:keepNext w:val="0"/>
              <w:keepLines w:val="0"/>
              <w:pageBreakBefore w:val="0"/>
              <w:widowControl w:val="0"/>
              <w:kinsoku/>
              <w:wordWrap/>
              <w:topLinePunct w:val="0"/>
              <w:autoSpaceDE/>
              <w:autoSpaceDN/>
              <w:bidi w:val="0"/>
              <w:spacing w:line="520" w:lineRule="exact"/>
              <w:ind w:firstLine="480"/>
              <w:rPr>
                <w:rFonts w:hint="default" w:cs="Times New Roman"/>
                <w:b w:val="0"/>
                <w:bCs w:val="0"/>
                <w:color w:val="auto"/>
                <w:sz w:val="24"/>
                <w:szCs w:val="24"/>
                <w:lang w:val="en-US" w:eastAsia="zh-CN"/>
              </w:rPr>
            </w:pPr>
            <w:r>
              <w:rPr>
                <w:rFonts w:hint="eastAsia" w:cs="Times New Roman"/>
                <w:b w:val="0"/>
                <w:bCs w:val="0"/>
                <w:color w:val="auto"/>
                <w:sz w:val="24"/>
                <w:szCs w:val="24"/>
                <w:lang w:val="en-US" w:eastAsia="zh-CN"/>
              </w:rPr>
              <w:t>②生活污水</w:t>
            </w:r>
          </w:p>
          <w:p w14:paraId="7C539039">
            <w:pPr>
              <w:pStyle w:val="44"/>
              <w:keepNext w:val="0"/>
              <w:keepLines w:val="0"/>
              <w:pageBreakBefore w:val="0"/>
              <w:widowControl w:val="0"/>
              <w:kinsoku/>
              <w:wordWrap/>
              <w:topLinePunct w:val="0"/>
              <w:autoSpaceDE/>
              <w:autoSpaceDN/>
              <w:bidi w:val="0"/>
              <w:spacing w:line="520" w:lineRule="exact"/>
              <w:ind w:firstLine="480"/>
              <w:rPr>
                <w:color w:val="auto"/>
              </w:rPr>
            </w:pPr>
            <w:r>
              <w:rPr>
                <w:rFonts w:hint="eastAsia" w:cs="Times New Roman"/>
                <w:b w:val="0"/>
                <w:bCs w:val="0"/>
                <w:color w:val="auto"/>
                <w:sz w:val="24"/>
                <w:szCs w:val="24"/>
                <w:lang w:val="en-US" w:eastAsia="zh-CN"/>
              </w:rPr>
              <w:t>本项目劳动定员50人，生活用水量为5m</w:t>
            </w:r>
            <w:r>
              <w:rPr>
                <w:rFonts w:hint="eastAsia" w:cs="Times New Roman"/>
                <w:b w:val="0"/>
                <w:bCs w:val="0"/>
                <w:color w:val="auto"/>
                <w:sz w:val="24"/>
                <w:szCs w:val="24"/>
                <w:vertAlign w:val="superscript"/>
                <w:lang w:val="en-US" w:eastAsia="zh-CN"/>
              </w:rPr>
              <w:t>3</w:t>
            </w:r>
            <w:r>
              <w:rPr>
                <w:rFonts w:hint="eastAsia" w:cs="Times New Roman"/>
                <w:b w:val="0"/>
                <w:bCs w:val="0"/>
                <w:color w:val="auto"/>
                <w:sz w:val="24"/>
                <w:szCs w:val="24"/>
                <w:vertAlign w:val="baseline"/>
                <w:lang w:val="en-US" w:eastAsia="zh-CN"/>
              </w:rPr>
              <w:t>/d（1500m</w:t>
            </w:r>
            <w:r>
              <w:rPr>
                <w:rFonts w:hint="eastAsia" w:cs="Times New Roman"/>
                <w:b w:val="0"/>
                <w:bCs w:val="0"/>
                <w:color w:val="auto"/>
                <w:sz w:val="24"/>
                <w:szCs w:val="24"/>
                <w:vertAlign w:val="superscript"/>
                <w:lang w:val="en-US" w:eastAsia="zh-CN"/>
              </w:rPr>
              <w:t>3</w:t>
            </w:r>
            <w:r>
              <w:rPr>
                <w:rFonts w:hint="eastAsia" w:cs="Times New Roman"/>
                <w:b w:val="0"/>
                <w:bCs w:val="0"/>
                <w:color w:val="auto"/>
                <w:sz w:val="24"/>
                <w:szCs w:val="24"/>
                <w:vertAlign w:val="baseline"/>
                <w:lang w:val="en-US" w:eastAsia="zh-CN"/>
              </w:rPr>
              <w:t>/a），生活污水产生量为80%，即4m</w:t>
            </w:r>
            <w:r>
              <w:rPr>
                <w:rFonts w:hint="eastAsia" w:cs="Times New Roman"/>
                <w:b w:val="0"/>
                <w:bCs w:val="0"/>
                <w:color w:val="auto"/>
                <w:sz w:val="24"/>
                <w:szCs w:val="24"/>
                <w:vertAlign w:val="superscript"/>
                <w:lang w:val="en-US" w:eastAsia="zh-CN"/>
              </w:rPr>
              <w:t>3</w:t>
            </w:r>
            <w:r>
              <w:rPr>
                <w:rFonts w:hint="eastAsia" w:cs="Times New Roman"/>
                <w:b w:val="0"/>
                <w:bCs w:val="0"/>
                <w:color w:val="auto"/>
                <w:sz w:val="24"/>
                <w:szCs w:val="24"/>
                <w:vertAlign w:val="baseline"/>
                <w:lang w:val="en-US" w:eastAsia="zh-CN"/>
              </w:rPr>
              <w:t>/d（1200m</w:t>
            </w:r>
            <w:r>
              <w:rPr>
                <w:rFonts w:hint="eastAsia" w:cs="Times New Roman"/>
                <w:b w:val="0"/>
                <w:bCs w:val="0"/>
                <w:color w:val="auto"/>
                <w:sz w:val="24"/>
                <w:szCs w:val="24"/>
                <w:vertAlign w:val="superscript"/>
                <w:lang w:val="en-US" w:eastAsia="zh-CN"/>
              </w:rPr>
              <w:t>3</w:t>
            </w:r>
            <w:r>
              <w:rPr>
                <w:rFonts w:hint="eastAsia" w:cs="Times New Roman"/>
                <w:b w:val="0"/>
                <w:bCs w:val="0"/>
                <w:color w:val="auto"/>
                <w:sz w:val="24"/>
                <w:szCs w:val="24"/>
                <w:vertAlign w:val="baseline"/>
                <w:lang w:val="en-US" w:eastAsia="zh-CN"/>
              </w:rPr>
              <w:t>/d）。</w:t>
            </w:r>
          </w:p>
          <w:p w14:paraId="00D1C35D">
            <w:pPr>
              <w:pStyle w:val="44"/>
              <w:keepNext w:val="0"/>
              <w:keepLines w:val="0"/>
              <w:pageBreakBefore w:val="0"/>
              <w:widowControl w:val="0"/>
              <w:kinsoku/>
              <w:wordWrap/>
              <w:topLinePunct w:val="0"/>
              <w:autoSpaceDE/>
              <w:autoSpaceDN/>
              <w:bidi w:val="0"/>
              <w:spacing w:line="520" w:lineRule="exact"/>
              <w:ind w:firstLine="480"/>
              <w:rPr>
                <w:rFonts w:hint="eastAsia"/>
                <w:color w:val="auto"/>
                <w:lang w:val="en-US" w:eastAsia="zh-CN"/>
              </w:rPr>
            </w:pPr>
            <w:r>
              <w:rPr>
                <w:rFonts w:hint="eastAsia"/>
                <w:color w:val="auto"/>
                <w:lang w:val="en-US" w:eastAsia="zh-CN"/>
              </w:rPr>
              <w:t>③软水制备废水</w:t>
            </w:r>
          </w:p>
          <w:p w14:paraId="393BE58C">
            <w:pPr>
              <w:pStyle w:val="44"/>
              <w:keepNext w:val="0"/>
              <w:keepLines w:val="0"/>
              <w:pageBreakBefore w:val="0"/>
              <w:widowControl w:val="0"/>
              <w:kinsoku/>
              <w:wordWrap/>
              <w:topLinePunct w:val="0"/>
              <w:autoSpaceDE/>
              <w:autoSpaceDN/>
              <w:bidi w:val="0"/>
              <w:spacing w:line="520" w:lineRule="exact"/>
              <w:ind w:firstLine="480"/>
              <w:rPr>
                <w:rFonts w:hint="eastAsia"/>
                <w:color w:val="auto"/>
                <w:vertAlign w:val="baseline"/>
                <w:lang w:val="en-US" w:eastAsia="zh-CN"/>
              </w:rPr>
            </w:pPr>
            <w:r>
              <w:rPr>
                <w:rFonts w:hint="eastAsia"/>
                <w:color w:val="auto"/>
                <w:lang w:val="en-US" w:eastAsia="zh-CN"/>
              </w:rPr>
              <w:t>本项目软水制备用水量为5.647m</w:t>
            </w:r>
            <w:r>
              <w:rPr>
                <w:rFonts w:hint="eastAsia"/>
                <w:color w:val="auto"/>
                <w:vertAlign w:val="superscript"/>
                <w:lang w:val="en-US" w:eastAsia="zh-CN"/>
              </w:rPr>
              <w:t>3</w:t>
            </w:r>
            <w:r>
              <w:rPr>
                <w:rFonts w:hint="eastAsia"/>
                <w:color w:val="auto"/>
                <w:vertAlign w:val="baseline"/>
                <w:lang w:val="en-US" w:eastAsia="zh-CN"/>
              </w:rPr>
              <w:t>/d（508.23m</w:t>
            </w:r>
            <w:r>
              <w:rPr>
                <w:rFonts w:hint="eastAsia"/>
                <w:color w:val="auto"/>
                <w:vertAlign w:val="superscript"/>
                <w:lang w:val="en-US" w:eastAsia="zh-CN"/>
              </w:rPr>
              <w:t>3</w:t>
            </w:r>
            <w:r>
              <w:rPr>
                <w:rFonts w:hint="eastAsia"/>
                <w:color w:val="auto"/>
                <w:vertAlign w:val="baseline"/>
                <w:lang w:val="en-US" w:eastAsia="zh-CN"/>
              </w:rPr>
              <w:t>/a），软水制备效率为85%，因此产生的软水制备废水为0.847m</w:t>
            </w:r>
            <w:r>
              <w:rPr>
                <w:rFonts w:hint="eastAsia"/>
                <w:color w:val="auto"/>
                <w:vertAlign w:val="superscript"/>
                <w:lang w:val="en-US" w:eastAsia="zh-CN"/>
              </w:rPr>
              <w:t>3</w:t>
            </w:r>
            <w:r>
              <w:rPr>
                <w:rFonts w:hint="eastAsia"/>
                <w:color w:val="auto"/>
                <w:vertAlign w:val="baseline"/>
                <w:lang w:val="en-US" w:eastAsia="zh-CN"/>
              </w:rPr>
              <w:t>/d（76.23m</w:t>
            </w:r>
            <w:r>
              <w:rPr>
                <w:rFonts w:hint="eastAsia"/>
                <w:color w:val="auto"/>
                <w:vertAlign w:val="superscript"/>
                <w:lang w:val="en-US" w:eastAsia="zh-CN"/>
              </w:rPr>
              <w:t>3</w:t>
            </w:r>
            <w:r>
              <w:rPr>
                <w:rFonts w:hint="eastAsia"/>
                <w:color w:val="auto"/>
                <w:vertAlign w:val="baseline"/>
                <w:lang w:val="en-US" w:eastAsia="zh-CN"/>
              </w:rPr>
              <w:t>/a）。</w:t>
            </w:r>
          </w:p>
          <w:p w14:paraId="62682D37">
            <w:pPr>
              <w:pStyle w:val="44"/>
              <w:keepNext w:val="0"/>
              <w:keepLines w:val="0"/>
              <w:pageBreakBefore w:val="0"/>
              <w:widowControl w:val="0"/>
              <w:kinsoku/>
              <w:wordWrap/>
              <w:topLinePunct w:val="0"/>
              <w:autoSpaceDE/>
              <w:autoSpaceDN/>
              <w:bidi w:val="0"/>
              <w:spacing w:line="520" w:lineRule="exact"/>
              <w:ind w:firstLine="480"/>
              <w:rPr>
                <w:rFonts w:hint="eastAsia"/>
                <w:color w:val="auto"/>
                <w:vertAlign w:val="baseline"/>
                <w:lang w:val="en-US" w:eastAsia="zh-CN"/>
              </w:rPr>
            </w:pPr>
            <w:r>
              <w:rPr>
                <w:rFonts w:hint="eastAsia"/>
                <w:color w:val="auto"/>
                <w:vertAlign w:val="baseline"/>
                <w:lang w:val="en-US" w:eastAsia="zh-CN"/>
              </w:rPr>
              <w:t>④锅炉定期排水</w:t>
            </w:r>
          </w:p>
          <w:p w14:paraId="1C2CB8AC">
            <w:pPr>
              <w:pStyle w:val="44"/>
              <w:keepNext w:val="0"/>
              <w:keepLines w:val="0"/>
              <w:pageBreakBefore w:val="0"/>
              <w:widowControl w:val="0"/>
              <w:kinsoku/>
              <w:wordWrap/>
              <w:topLinePunct w:val="0"/>
              <w:autoSpaceDE/>
              <w:autoSpaceDN/>
              <w:bidi w:val="0"/>
              <w:spacing w:line="520" w:lineRule="exact"/>
              <w:ind w:firstLine="480"/>
              <w:rPr>
                <w:rFonts w:hint="default"/>
                <w:color w:val="auto"/>
                <w:vertAlign w:val="baseline"/>
                <w:lang w:val="en-US" w:eastAsia="zh-CN"/>
              </w:rPr>
            </w:pPr>
            <w:r>
              <w:rPr>
                <w:rFonts w:hint="eastAsia"/>
                <w:color w:val="auto"/>
                <w:vertAlign w:val="baseline"/>
                <w:lang w:val="en-US" w:eastAsia="zh-CN"/>
              </w:rPr>
              <w:t>本项目拟建设1台2t/h电锅炉，锅炉运行过程中需定期排放废水，废水排放量为额定蒸发量的5%，即2.4m</w:t>
            </w:r>
            <w:r>
              <w:rPr>
                <w:rFonts w:hint="eastAsia"/>
                <w:color w:val="auto"/>
                <w:vertAlign w:val="superscript"/>
                <w:lang w:val="en-US" w:eastAsia="zh-CN"/>
              </w:rPr>
              <w:t>3</w:t>
            </w:r>
            <w:r>
              <w:rPr>
                <w:rFonts w:hint="eastAsia"/>
                <w:color w:val="auto"/>
                <w:vertAlign w:val="baseline"/>
                <w:lang w:val="en-US" w:eastAsia="zh-CN"/>
              </w:rPr>
              <w:t>/d（216m</w:t>
            </w:r>
            <w:r>
              <w:rPr>
                <w:rFonts w:hint="eastAsia"/>
                <w:color w:val="auto"/>
                <w:vertAlign w:val="superscript"/>
                <w:lang w:val="en-US" w:eastAsia="zh-CN"/>
              </w:rPr>
              <w:t>3</w:t>
            </w:r>
            <w:r>
              <w:rPr>
                <w:rFonts w:hint="eastAsia"/>
                <w:color w:val="auto"/>
                <w:vertAlign w:val="baseline"/>
                <w:lang w:val="en-US" w:eastAsia="zh-CN"/>
              </w:rPr>
              <w:t>/a）。</w:t>
            </w:r>
          </w:p>
          <w:p w14:paraId="23D95BDB">
            <w:pPr>
              <w:pStyle w:val="44"/>
              <w:keepNext w:val="0"/>
              <w:keepLines w:val="0"/>
              <w:pageBreakBefore w:val="0"/>
              <w:widowControl w:val="0"/>
              <w:kinsoku/>
              <w:wordWrap/>
              <w:topLinePunct w:val="0"/>
              <w:autoSpaceDE/>
              <w:autoSpaceDN/>
              <w:bidi w:val="0"/>
              <w:spacing w:line="520" w:lineRule="exact"/>
              <w:ind w:firstLine="480"/>
              <w:rPr>
                <w:color w:val="auto"/>
                <w:highlight w:val="none"/>
              </w:rPr>
            </w:pPr>
            <w:r>
              <w:rPr>
                <w:color w:val="auto"/>
                <w:highlight w:val="none"/>
              </w:rPr>
              <w:t>本项目水平衡见图1。</w:t>
            </w:r>
          </w:p>
          <w:p w14:paraId="0543F12F">
            <w:pPr>
              <w:pStyle w:val="44"/>
              <w:keepNext w:val="0"/>
              <w:keepLines w:val="0"/>
              <w:pageBreakBefore w:val="0"/>
              <w:widowControl w:val="0"/>
              <w:kinsoku/>
              <w:wordWrap/>
              <w:topLinePunct w:val="0"/>
              <w:autoSpaceDE/>
              <w:autoSpaceDN/>
              <w:bidi w:val="0"/>
              <w:spacing w:line="520" w:lineRule="exact"/>
              <w:ind w:firstLine="480"/>
              <w:rPr>
                <w:color w:val="auto"/>
                <w:highlight w:val="none"/>
              </w:rPr>
            </w:pPr>
          </w:p>
          <w:p w14:paraId="12D98ACA">
            <w:pPr>
              <w:pStyle w:val="44"/>
              <w:keepNext w:val="0"/>
              <w:keepLines w:val="0"/>
              <w:pageBreakBefore w:val="0"/>
              <w:widowControl w:val="0"/>
              <w:kinsoku/>
              <w:wordWrap/>
              <w:topLinePunct w:val="0"/>
              <w:autoSpaceDE/>
              <w:autoSpaceDN/>
              <w:bidi w:val="0"/>
              <w:spacing w:line="520" w:lineRule="exact"/>
              <w:ind w:firstLine="480"/>
              <w:rPr>
                <w:color w:val="auto"/>
                <w:highlight w:val="none"/>
              </w:rPr>
            </w:pPr>
          </w:p>
          <w:p w14:paraId="5FD28C51">
            <w:pPr>
              <w:pStyle w:val="44"/>
              <w:keepNext w:val="0"/>
              <w:keepLines w:val="0"/>
              <w:pageBreakBefore w:val="0"/>
              <w:widowControl w:val="0"/>
              <w:kinsoku/>
              <w:wordWrap/>
              <w:topLinePunct w:val="0"/>
              <w:autoSpaceDE/>
              <w:autoSpaceDN/>
              <w:bidi w:val="0"/>
              <w:spacing w:line="520" w:lineRule="exact"/>
              <w:ind w:firstLine="480"/>
              <w:rPr>
                <w:color w:val="auto"/>
                <w:highlight w:val="none"/>
              </w:rPr>
            </w:pPr>
          </w:p>
          <w:p w14:paraId="05CAD00E">
            <w:pPr>
              <w:pStyle w:val="44"/>
              <w:keepNext w:val="0"/>
              <w:keepLines w:val="0"/>
              <w:pageBreakBefore w:val="0"/>
              <w:widowControl w:val="0"/>
              <w:kinsoku/>
              <w:wordWrap/>
              <w:topLinePunct w:val="0"/>
              <w:autoSpaceDE/>
              <w:autoSpaceDN/>
              <w:bidi w:val="0"/>
              <w:spacing w:line="520" w:lineRule="exact"/>
              <w:ind w:firstLine="480"/>
              <w:rPr>
                <w:color w:val="auto"/>
                <w:highlight w:val="none"/>
              </w:rPr>
            </w:pPr>
          </w:p>
          <w:p w14:paraId="37B82CCD">
            <w:pPr>
              <w:pStyle w:val="44"/>
              <w:keepNext w:val="0"/>
              <w:keepLines w:val="0"/>
              <w:pageBreakBefore w:val="0"/>
              <w:widowControl w:val="0"/>
              <w:kinsoku/>
              <w:wordWrap/>
              <w:topLinePunct w:val="0"/>
              <w:autoSpaceDE/>
              <w:autoSpaceDN/>
              <w:bidi w:val="0"/>
              <w:spacing w:line="520" w:lineRule="exact"/>
              <w:ind w:firstLine="480"/>
              <w:rPr>
                <w:color w:val="auto"/>
                <w:highlight w:val="none"/>
              </w:rPr>
            </w:pPr>
          </w:p>
          <w:p w14:paraId="6C32E2F6">
            <w:pPr>
              <w:pStyle w:val="44"/>
              <w:keepNext w:val="0"/>
              <w:keepLines w:val="0"/>
              <w:pageBreakBefore w:val="0"/>
              <w:widowControl w:val="0"/>
              <w:kinsoku/>
              <w:wordWrap/>
              <w:topLinePunct w:val="0"/>
              <w:autoSpaceDE/>
              <w:autoSpaceDN/>
              <w:bidi w:val="0"/>
              <w:spacing w:line="520" w:lineRule="exact"/>
              <w:ind w:firstLine="480"/>
              <w:rPr>
                <w:color w:val="auto"/>
                <w:highlight w:val="none"/>
              </w:rPr>
            </w:pPr>
          </w:p>
          <w:p w14:paraId="634015D0">
            <w:pPr>
              <w:pStyle w:val="44"/>
              <w:keepNext w:val="0"/>
              <w:keepLines w:val="0"/>
              <w:pageBreakBefore w:val="0"/>
              <w:widowControl w:val="0"/>
              <w:kinsoku/>
              <w:wordWrap/>
              <w:topLinePunct w:val="0"/>
              <w:autoSpaceDE/>
              <w:autoSpaceDN/>
              <w:bidi w:val="0"/>
              <w:spacing w:line="520" w:lineRule="exact"/>
              <w:ind w:firstLine="480"/>
              <w:rPr>
                <w:color w:val="auto"/>
                <w:highlight w:val="none"/>
              </w:rPr>
            </w:pPr>
          </w:p>
          <w:p w14:paraId="0967365C">
            <w:pPr>
              <w:pStyle w:val="44"/>
              <w:keepNext w:val="0"/>
              <w:keepLines w:val="0"/>
              <w:pageBreakBefore w:val="0"/>
              <w:widowControl w:val="0"/>
              <w:kinsoku/>
              <w:wordWrap/>
              <w:topLinePunct w:val="0"/>
              <w:autoSpaceDE/>
              <w:autoSpaceDN/>
              <w:bidi w:val="0"/>
              <w:spacing w:line="520" w:lineRule="exact"/>
              <w:ind w:firstLine="480"/>
              <w:rPr>
                <w:color w:val="auto"/>
                <w:highlight w:val="none"/>
              </w:rPr>
            </w:pPr>
          </w:p>
          <w:p w14:paraId="195AA1A3">
            <w:pPr>
              <w:pStyle w:val="44"/>
              <w:keepNext w:val="0"/>
              <w:keepLines w:val="0"/>
              <w:pageBreakBefore w:val="0"/>
              <w:widowControl w:val="0"/>
              <w:kinsoku/>
              <w:wordWrap/>
              <w:topLinePunct w:val="0"/>
              <w:autoSpaceDE/>
              <w:autoSpaceDN/>
              <w:bidi w:val="0"/>
              <w:spacing w:line="520" w:lineRule="exact"/>
              <w:ind w:firstLine="480"/>
              <w:rPr>
                <w:color w:val="auto"/>
                <w:highlight w:val="none"/>
              </w:rPr>
            </w:pPr>
          </w:p>
          <w:p w14:paraId="386B6DEF">
            <w:pPr>
              <w:pStyle w:val="44"/>
              <w:ind w:left="0" w:leftChars="0" w:firstLine="0" w:firstLineChars="0"/>
              <w:jc w:val="center"/>
              <w:rPr>
                <w:rFonts w:hint="eastAsia" w:eastAsia="宋体"/>
                <w:color w:val="auto"/>
                <w:highlight w:val="yellow"/>
                <w:lang w:eastAsia="zh-CN"/>
              </w:rPr>
            </w:pPr>
            <w:r>
              <w:rPr>
                <w:rFonts w:hint="eastAsia" w:eastAsia="宋体"/>
                <w:color w:val="auto"/>
                <w:highlight w:val="none"/>
                <w:lang w:eastAsia="zh-CN"/>
              </w:rPr>
              <w:drawing>
                <wp:inline distT="0" distB="0" distL="114300" distR="114300">
                  <wp:extent cx="4521835" cy="4356100"/>
                  <wp:effectExtent l="0" t="0" r="0" b="0"/>
                  <wp:docPr id="38"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ECB019B1-382A-4266-B25C-5B523AA43C14-1" descr="wps"/>
                          <pic:cNvPicPr>
                            <a:picLocks noChangeAspect="1"/>
                          </pic:cNvPicPr>
                        </pic:nvPicPr>
                        <pic:blipFill>
                          <a:blip r:embed="rId8"/>
                          <a:stretch>
                            <a:fillRect/>
                          </a:stretch>
                        </pic:blipFill>
                        <pic:spPr>
                          <a:xfrm>
                            <a:off x="0" y="0"/>
                            <a:ext cx="4521835" cy="4356100"/>
                          </a:xfrm>
                          <a:prstGeom prst="rect">
                            <a:avLst/>
                          </a:prstGeom>
                        </pic:spPr>
                      </pic:pic>
                    </a:graphicData>
                  </a:graphic>
                </wp:inline>
              </w:drawing>
            </w:r>
          </w:p>
          <w:p w14:paraId="706172F7">
            <w:pPr>
              <w:pStyle w:val="44"/>
              <w:keepNext w:val="0"/>
              <w:keepLines w:val="0"/>
              <w:pageBreakBefore w:val="0"/>
              <w:widowControl w:val="0"/>
              <w:kinsoku/>
              <w:wordWrap/>
              <w:overflowPunct/>
              <w:topLinePunct w:val="0"/>
              <w:autoSpaceDE/>
              <w:autoSpaceDN/>
              <w:bidi w:val="0"/>
              <w:adjustRightInd/>
              <w:snapToGrid/>
              <w:spacing w:line="240" w:lineRule="auto"/>
              <w:ind w:firstLine="482"/>
              <w:jc w:val="center"/>
              <w:textAlignment w:val="baseline"/>
              <w:rPr>
                <w:b/>
                <w:bCs/>
                <w:color w:val="auto"/>
                <w:sz w:val="21"/>
                <w:szCs w:val="21"/>
                <w:highlight w:val="none"/>
              </w:rPr>
            </w:pPr>
            <w:r>
              <w:rPr>
                <w:b/>
                <w:bCs/>
                <w:color w:val="auto"/>
                <w:sz w:val="21"/>
                <w:szCs w:val="21"/>
                <w:highlight w:val="none"/>
              </w:rPr>
              <w:t>图</w:t>
            </w:r>
            <w:r>
              <w:rPr>
                <w:rFonts w:hint="eastAsia"/>
                <w:b/>
                <w:bCs/>
                <w:color w:val="auto"/>
                <w:sz w:val="21"/>
                <w:szCs w:val="21"/>
                <w:highlight w:val="none"/>
              </w:rPr>
              <w:t>1</w:t>
            </w:r>
            <w:r>
              <w:rPr>
                <w:b/>
                <w:bCs/>
                <w:color w:val="auto"/>
                <w:sz w:val="21"/>
                <w:szCs w:val="21"/>
                <w:highlight w:val="none"/>
              </w:rPr>
              <w:t xml:space="preserve">    项目水平衡图（单位m³/</w:t>
            </w:r>
            <w:r>
              <w:rPr>
                <w:rFonts w:hint="eastAsia"/>
                <w:b/>
                <w:bCs/>
                <w:color w:val="auto"/>
                <w:sz w:val="21"/>
                <w:szCs w:val="21"/>
                <w:highlight w:val="none"/>
                <w:lang w:val="en-US" w:eastAsia="zh-CN"/>
              </w:rPr>
              <w:t>d</w:t>
            </w:r>
            <w:r>
              <w:rPr>
                <w:b/>
                <w:bCs/>
                <w:color w:val="auto"/>
                <w:sz w:val="21"/>
                <w:szCs w:val="21"/>
                <w:highlight w:val="none"/>
              </w:rPr>
              <w:t>）</w:t>
            </w:r>
          </w:p>
          <w:p w14:paraId="020D0B1B">
            <w:pPr>
              <w:pStyle w:val="44"/>
              <w:keepNext w:val="0"/>
              <w:keepLines w:val="0"/>
              <w:pageBreakBefore w:val="0"/>
              <w:widowControl w:val="0"/>
              <w:kinsoku/>
              <w:wordWrap/>
              <w:overflowPunct/>
              <w:topLinePunct w:val="0"/>
              <w:autoSpaceDE/>
              <w:autoSpaceDN/>
              <w:bidi w:val="0"/>
              <w:adjustRightInd/>
              <w:snapToGrid/>
              <w:spacing w:line="520" w:lineRule="exact"/>
              <w:ind w:firstLine="0" w:firstLineChars="0"/>
              <w:jc w:val="left"/>
              <w:textAlignment w:val="baseline"/>
              <w:rPr>
                <w:b/>
                <w:bCs/>
                <w:color w:val="auto"/>
              </w:rPr>
            </w:pPr>
            <w:r>
              <w:rPr>
                <w:rFonts w:hint="eastAsia"/>
                <w:b/>
                <w:bCs/>
                <w:color w:val="auto"/>
                <w:lang w:val="en-US" w:eastAsia="zh-CN"/>
              </w:rPr>
              <w:t>6</w:t>
            </w:r>
            <w:r>
              <w:rPr>
                <w:b/>
                <w:bCs/>
                <w:color w:val="auto"/>
              </w:rPr>
              <w:t>.3</w:t>
            </w:r>
            <w:r>
              <w:rPr>
                <w:rFonts w:hint="eastAsia"/>
                <w:b/>
                <w:bCs/>
                <w:color w:val="auto"/>
                <w:lang w:val="en-US" w:eastAsia="zh-CN"/>
              </w:rPr>
              <w:t xml:space="preserve"> </w:t>
            </w:r>
            <w:r>
              <w:rPr>
                <w:b/>
                <w:bCs/>
                <w:color w:val="auto"/>
              </w:rPr>
              <w:t>供电</w:t>
            </w:r>
          </w:p>
          <w:p w14:paraId="7A08781B">
            <w:pPr>
              <w:pStyle w:val="44"/>
              <w:keepNext w:val="0"/>
              <w:keepLines w:val="0"/>
              <w:pageBreakBefore w:val="0"/>
              <w:widowControl w:val="0"/>
              <w:kinsoku/>
              <w:wordWrap/>
              <w:overflowPunct/>
              <w:topLinePunct w:val="0"/>
              <w:autoSpaceDE/>
              <w:autoSpaceDN/>
              <w:bidi w:val="0"/>
              <w:adjustRightInd/>
              <w:snapToGrid/>
              <w:spacing w:line="520" w:lineRule="exact"/>
              <w:ind w:firstLine="480"/>
              <w:textAlignment w:val="baseline"/>
              <w:rPr>
                <w:color w:val="auto"/>
              </w:rPr>
            </w:pPr>
            <w:r>
              <w:rPr>
                <w:rFonts w:hint="eastAsia"/>
                <w:color w:val="auto"/>
              </w:rPr>
              <w:t>本项目用电</w:t>
            </w:r>
            <w:r>
              <w:rPr>
                <w:color w:val="auto"/>
              </w:rPr>
              <w:t>由</w:t>
            </w:r>
            <w:r>
              <w:rPr>
                <w:rFonts w:hint="eastAsia"/>
                <w:color w:val="auto"/>
                <w:lang w:val="en-US" w:eastAsia="zh-CN"/>
              </w:rPr>
              <w:t>园区</w:t>
            </w:r>
            <w:r>
              <w:rPr>
                <w:color w:val="auto"/>
              </w:rPr>
              <w:t>电网供给。</w:t>
            </w:r>
          </w:p>
          <w:p w14:paraId="1BEC2457">
            <w:pPr>
              <w:pStyle w:val="44"/>
              <w:keepNext w:val="0"/>
              <w:keepLines w:val="0"/>
              <w:pageBreakBefore w:val="0"/>
              <w:widowControl w:val="0"/>
              <w:kinsoku/>
              <w:wordWrap/>
              <w:overflowPunct/>
              <w:topLinePunct w:val="0"/>
              <w:autoSpaceDE/>
              <w:autoSpaceDN/>
              <w:bidi w:val="0"/>
              <w:adjustRightInd/>
              <w:snapToGrid/>
              <w:spacing w:line="520" w:lineRule="exact"/>
              <w:ind w:firstLine="0" w:firstLineChars="0"/>
              <w:jc w:val="left"/>
              <w:textAlignment w:val="baseline"/>
              <w:rPr>
                <w:b/>
                <w:bCs/>
                <w:color w:val="auto"/>
              </w:rPr>
            </w:pPr>
            <w:r>
              <w:rPr>
                <w:rFonts w:hint="eastAsia"/>
                <w:b/>
                <w:bCs/>
                <w:color w:val="auto"/>
                <w:lang w:val="en-US" w:eastAsia="zh-CN"/>
              </w:rPr>
              <w:t>6</w:t>
            </w:r>
            <w:r>
              <w:rPr>
                <w:b/>
                <w:bCs/>
                <w:color w:val="auto"/>
              </w:rPr>
              <w:t>.4</w:t>
            </w:r>
            <w:r>
              <w:rPr>
                <w:rFonts w:hint="eastAsia"/>
                <w:b/>
                <w:bCs/>
                <w:color w:val="auto"/>
                <w:lang w:val="en-US" w:eastAsia="zh-CN"/>
              </w:rPr>
              <w:t xml:space="preserve"> </w:t>
            </w:r>
            <w:r>
              <w:rPr>
                <w:b/>
                <w:bCs/>
                <w:color w:val="auto"/>
              </w:rPr>
              <w:t>采暖与供热</w:t>
            </w:r>
          </w:p>
          <w:p w14:paraId="431B1A02">
            <w:pPr>
              <w:pStyle w:val="44"/>
              <w:keepNext w:val="0"/>
              <w:keepLines w:val="0"/>
              <w:pageBreakBefore w:val="0"/>
              <w:widowControl w:val="0"/>
              <w:kinsoku/>
              <w:wordWrap/>
              <w:overflowPunct/>
              <w:topLinePunct w:val="0"/>
              <w:autoSpaceDE/>
              <w:autoSpaceDN/>
              <w:bidi w:val="0"/>
              <w:adjustRightInd/>
              <w:snapToGrid/>
              <w:spacing w:line="520" w:lineRule="exact"/>
              <w:ind w:firstLine="480"/>
              <w:textAlignment w:val="baseline"/>
              <w:rPr>
                <w:rFonts w:hint="eastAsia" w:eastAsia="宋体"/>
                <w:color w:val="auto"/>
                <w:highlight w:val="none"/>
                <w:lang w:eastAsia="zh-CN"/>
              </w:rPr>
            </w:pPr>
            <w:r>
              <w:rPr>
                <w:rFonts w:hint="eastAsia"/>
                <w:color w:val="auto"/>
                <w:highlight w:val="none"/>
                <w:lang w:val="en-US" w:eastAsia="zh-CN"/>
              </w:rPr>
              <w:t>本项目拟建设1台2t/h电锅炉用于冬季供热</w:t>
            </w:r>
            <w:r>
              <w:rPr>
                <w:rFonts w:hint="eastAsia"/>
                <w:color w:val="auto"/>
                <w:highlight w:val="none"/>
                <w:lang w:eastAsia="zh-CN"/>
              </w:rPr>
              <w:t>。</w:t>
            </w:r>
          </w:p>
          <w:p w14:paraId="33FB6997">
            <w:pPr>
              <w:pStyle w:val="44"/>
              <w:keepNext w:val="0"/>
              <w:keepLines w:val="0"/>
              <w:pageBreakBefore w:val="0"/>
              <w:widowControl w:val="0"/>
              <w:numPr>
                <w:ilvl w:val="0"/>
                <w:numId w:val="8"/>
              </w:numPr>
              <w:kinsoku/>
              <w:wordWrap/>
              <w:overflowPunct/>
              <w:topLinePunct w:val="0"/>
              <w:autoSpaceDE/>
              <w:autoSpaceDN/>
              <w:bidi w:val="0"/>
              <w:adjustRightInd/>
              <w:snapToGrid/>
              <w:spacing w:line="520" w:lineRule="exact"/>
              <w:ind w:left="0" w:leftChars="0" w:firstLine="0" w:firstLineChars="0"/>
              <w:jc w:val="left"/>
              <w:textAlignment w:val="baseline"/>
              <w:rPr>
                <w:b/>
                <w:bCs/>
                <w:color w:val="auto"/>
              </w:rPr>
            </w:pPr>
            <w:r>
              <w:rPr>
                <w:b/>
                <w:bCs/>
                <w:color w:val="auto"/>
              </w:rPr>
              <w:t>平面布置合理性</w:t>
            </w:r>
          </w:p>
          <w:p w14:paraId="0B081337">
            <w:pPr>
              <w:pStyle w:val="44"/>
              <w:keepNext w:val="0"/>
              <w:keepLines w:val="0"/>
              <w:pageBreakBefore w:val="0"/>
              <w:widowControl w:val="0"/>
              <w:kinsoku/>
              <w:wordWrap/>
              <w:overflowPunct/>
              <w:topLinePunct w:val="0"/>
              <w:autoSpaceDE/>
              <w:autoSpaceDN/>
              <w:bidi w:val="0"/>
              <w:adjustRightInd/>
              <w:snapToGrid/>
              <w:spacing w:line="360" w:lineRule="auto"/>
              <w:ind w:firstLine="480"/>
              <w:textAlignment w:val="baseline"/>
              <w:rPr>
                <w:rFonts w:hint="eastAsia"/>
                <w:color w:val="auto"/>
                <w:highlight w:val="none"/>
                <w:lang w:eastAsia="zh-CN"/>
              </w:rPr>
            </w:pPr>
            <w:r>
              <w:rPr>
                <w:color w:val="auto"/>
                <w:highlight w:val="none"/>
              </w:rPr>
              <w:t>本项目位于</w:t>
            </w:r>
            <w:r>
              <w:rPr>
                <w:rFonts w:hint="eastAsia"/>
                <w:color w:val="auto"/>
                <w:highlight w:val="none"/>
                <w:lang w:val="en-US" w:eastAsia="zh-CN"/>
              </w:rPr>
              <w:t>阜康市甘河子镇西侧</w:t>
            </w:r>
            <w:r>
              <w:rPr>
                <w:color w:val="auto"/>
                <w:highlight w:val="none"/>
              </w:rPr>
              <w:t>，</w:t>
            </w:r>
            <w:r>
              <w:rPr>
                <w:rFonts w:hint="eastAsia"/>
                <w:color w:val="auto"/>
                <w:highlight w:val="none"/>
                <w:lang w:val="en-US" w:eastAsia="zh-CN"/>
              </w:rPr>
              <w:t>项目新建一座全封闭车间</w:t>
            </w:r>
            <w:r>
              <w:rPr>
                <w:rFonts w:hint="eastAsia"/>
                <w:color w:val="auto"/>
                <w:highlight w:val="none"/>
              </w:rPr>
              <w:t>在满足生产工艺要求的前提下，力求布置紧凑合理</w:t>
            </w:r>
            <w:r>
              <w:rPr>
                <w:rFonts w:hint="eastAsia"/>
                <w:color w:val="auto"/>
                <w:highlight w:val="none"/>
                <w:lang w:eastAsia="zh-CN"/>
              </w:rPr>
              <w:t>，</w:t>
            </w:r>
            <w:r>
              <w:rPr>
                <w:rFonts w:hint="eastAsia"/>
                <w:color w:val="auto"/>
                <w:highlight w:val="none"/>
              </w:rPr>
              <w:t>充分利用场地现状</w:t>
            </w:r>
            <w:r>
              <w:rPr>
                <w:rFonts w:hint="eastAsia"/>
                <w:color w:val="auto"/>
                <w:highlight w:val="none"/>
                <w:lang w:eastAsia="zh-CN"/>
              </w:rPr>
              <w:t>，</w:t>
            </w:r>
            <w:r>
              <w:rPr>
                <w:rFonts w:hint="eastAsia"/>
                <w:color w:val="auto"/>
                <w:highlight w:val="none"/>
                <w:lang w:val="en-US" w:eastAsia="zh-CN"/>
              </w:rPr>
              <w:t>原煤棚位于车间内东侧，筛选系统位于车间内北侧，精煤棚位于车间内西南侧，副产品堆场位于车间内东南侧</w:t>
            </w:r>
            <w:r>
              <w:rPr>
                <w:rFonts w:hint="eastAsia"/>
                <w:color w:val="auto"/>
                <w:highlight w:val="none"/>
              </w:rPr>
              <w:t>。</w:t>
            </w:r>
            <w:r>
              <w:rPr>
                <w:rFonts w:hint="eastAsia"/>
                <w:color w:val="auto"/>
                <w:highlight w:val="none"/>
                <w:lang w:val="en-US" w:eastAsia="zh-CN"/>
              </w:rPr>
              <w:t>项目所有生产设施均位于全封闭厂房内，并单独隔离设置。项目区设置1个出入口，人货分流，</w:t>
            </w:r>
            <w:r>
              <w:rPr>
                <w:color w:val="auto"/>
                <w:highlight w:val="none"/>
              </w:rPr>
              <w:t>功能分区明确，交通顺畅，生活办公区设置在</w:t>
            </w:r>
            <w:r>
              <w:rPr>
                <w:rFonts w:hint="eastAsia"/>
                <w:color w:val="auto"/>
                <w:highlight w:val="none"/>
                <w:lang w:val="en-US" w:eastAsia="zh-CN"/>
              </w:rPr>
              <w:t>项目区西北侧</w:t>
            </w:r>
            <w:r>
              <w:rPr>
                <w:color w:val="auto"/>
                <w:highlight w:val="none"/>
              </w:rPr>
              <w:t>。生活办公区</w:t>
            </w:r>
            <w:r>
              <w:rPr>
                <w:rFonts w:hint="eastAsia"/>
                <w:color w:val="auto"/>
                <w:highlight w:val="none"/>
                <w:lang w:val="en-US" w:eastAsia="zh-CN"/>
              </w:rPr>
              <w:t>位于生产加工区的侧风向</w:t>
            </w:r>
            <w:r>
              <w:rPr>
                <w:color w:val="auto"/>
                <w:highlight w:val="none"/>
              </w:rPr>
              <w:t>，</w:t>
            </w:r>
            <w:r>
              <w:rPr>
                <w:rFonts w:hint="eastAsia"/>
                <w:color w:val="auto"/>
                <w:highlight w:val="none"/>
                <w:lang w:eastAsia="zh-CN"/>
              </w:rPr>
              <w:t>可以有效地避免</w:t>
            </w:r>
            <w:r>
              <w:rPr>
                <w:color w:val="auto"/>
                <w:highlight w:val="none"/>
              </w:rPr>
              <w:t>生产加工废气的影响。</w:t>
            </w:r>
          </w:p>
        </w:tc>
      </w:tr>
      <w:tr w14:paraId="4952E8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152" w:hRule="atLeast"/>
          <w:jc w:val="center"/>
        </w:trPr>
        <w:tc>
          <w:tcPr>
            <w:tcW w:w="857" w:type="dxa"/>
            <w:vAlign w:val="center"/>
          </w:tcPr>
          <w:p w14:paraId="32F2722A">
            <w:pPr>
              <w:pStyle w:val="25"/>
              <w:adjustRightInd w:val="0"/>
              <w:snapToGrid w:val="0"/>
              <w:spacing w:before="0" w:beforeAutospacing="0" w:after="0" w:afterAutospacing="0" w:line="360" w:lineRule="auto"/>
              <w:jc w:val="center"/>
              <w:rPr>
                <w:rFonts w:ascii="Times New Roman" w:hAnsi="Times New Roman"/>
                <w:color w:val="auto"/>
                <w:sz w:val="21"/>
                <w:szCs w:val="21"/>
              </w:rPr>
            </w:pPr>
            <w:r>
              <w:rPr>
                <w:rFonts w:ascii="Times New Roman" w:hAnsi="Times New Roman"/>
                <w:color w:val="auto"/>
                <w:sz w:val="24"/>
                <w:szCs w:val="24"/>
              </w:rPr>
              <w:t>工艺流程和产排污环节</w:t>
            </w:r>
          </w:p>
        </w:tc>
        <w:tc>
          <w:tcPr>
            <w:tcW w:w="8203" w:type="dxa"/>
          </w:tcPr>
          <w:p w14:paraId="103020FF">
            <w:pPr>
              <w:keepNext w:val="0"/>
              <w:keepLines w:val="0"/>
              <w:pageBreakBefore w:val="0"/>
              <w:widowControl w:val="0"/>
              <w:numPr>
                <w:ilvl w:val="0"/>
                <w:numId w:val="9"/>
              </w:numPr>
              <w:kinsoku/>
              <w:wordWrap/>
              <w:overflowPunct/>
              <w:topLinePunct w:val="0"/>
              <w:autoSpaceDE/>
              <w:autoSpaceDN/>
              <w:bidi w:val="0"/>
              <w:adjustRightInd/>
              <w:snapToGrid/>
              <w:spacing w:line="520" w:lineRule="exact"/>
              <w:textAlignment w:val="auto"/>
              <w:rPr>
                <w:b/>
                <w:bCs/>
                <w:color w:val="auto"/>
                <w:sz w:val="24"/>
              </w:rPr>
            </w:pPr>
            <w:r>
              <w:rPr>
                <w:b/>
                <w:bCs/>
                <w:color w:val="auto"/>
                <w:sz w:val="24"/>
              </w:rPr>
              <w:t>工艺流程</w:t>
            </w:r>
          </w:p>
          <w:p w14:paraId="1B05DF66">
            <w:pPr>
              <w:pStyle w:val="7"/>
              <w:keepNext w:val="0"/>
              <w:keepLines w:val="0"/>
              <w:pageBreakBefore w:val="0"/>
              <w:widowControl/>
              <w:kinsoku/>
              <w:wordWrap/>
              <w:overflowPunct/>
              <w:topLinePunct w:val="0"/>
              <w:autoSpaceDE/>
              <w:autoSpaceDN/>
              <w:bidi w:val="0"/>
              <w:adjustRightInd/>
              <w:snapToGrid/>
              <w:spacing w:before="0" w:after="0" w:line="520" w:lineRule="exact"/>
              <w:ind w:right="0"/>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1.</w:t>
            </w:r>
            <w:r>
              <w:rPr>
                <w:rFonts w:hint="eastAsia" w:cs="Times New Roman"/>
                <w:b/>
                <w:bCs/>
                <w:color w:val="auto"/>
                <w:sz w:val="24"/>
                <w:szCs w:val="24"/>
                <w:lang w:val="en-US" w:eastAsia="zh-CN"/>
              </w:rPr>
              <w:t>1</w:t>
            </w:r>
            <w:r>
              <w:rPr>
                <w:rFonts w:hint="eastAsia" w:ascii="Times New Roman" w:hAnsi="Times New Roman" w:eastAsia="宋体" w:cs="Times New Roman"/>
                <w:b/>
                <w:bCs/>
                <w:color w:val="auto"/>
                <w:sz w:val="24"/>
                <w:szCs w:val="24"/>
                <w:lang w:val="en-US" w:eastAsia="zh-CN"/>
              </w:rPr>
              <w:t xml:space="preserve"> </w:t>
            </w:r>
            <w:r>
              <w:rPr>
                <w:rFonts w:hint="eastAsia" w:cs="Times New Roman"/>
                <w:b/>
                <w:bCs/>
                <w:color w:val="auto"/>
                <w:sz w:val="24"/>
                <w:szCs w:val="24"/>
                <w:lang w:val="en-US" w:eastAsia="zh-CN"/>
              </w:rPr>
              <w:t>洗煤</w:t>
            </w:r>
            <w:r>
              <w:rPr>
                <w:rFonts w:hint="eastAsia" w:ascii="Times New Roman" w:hAnsi="Times New Roman" w:eastAsia="宋体" w:cs="Times New Roman"/>
                <w:b/>
                <w:bCs/>
                <w:color w:val="auto"/>
                <w:sz w:val="24"/>
                <w:szCs w:val="24"/>
                <w:lang w:val="en-US" w:eastAsia="zh-CN"/>
              </w:rPr>
              <w:t>工艺流程</w:t>
            </w:r>
          </w:p>
          <w:p w14:paraId="4629A307">
            <w:pPr>
              <w:pStyle w:val="38"/>
              <w:bidi w:val="0"/>
              <w:rPr>
                <w:rFonts w:hint="default"/>
                <w:color w:val="auto"/>
                <w:lang w:val="en-US" w:eastAsia="zh-CN"/>
              </w:rPr>
            </w:pPr>
            <w:r>
              <w:rPr>
                <w:rFonts w:hint="eastAsia"/>
                <w:color w:val="auto"/>
                <w:lang w:val="en-US" w:eastAsia="zh-CN"/>
              </w:rPr>
              <w:t>（1）原煤卸料、暂存、转运投料</w:t>
            </w:r>
          </w:p>
          <w:p w14:paraId="02321D18">
            <w:pPr>
              <w:pStyle w:val="38"/>
              <w:bidi w:val="0"/>
              <w:rPr>
                <w:rFonts w:hint="eastAsia"/>
                <w:color w:val="auto"/>
                <w:lang w:val="en-US" w:eastAsia="zh-CN"/>
              </w:rPr>
            </w:pPr>
            <w:r>
              <w:rPr>
                <w:rFonts w:hint="eastAsia"/>
                <w:color w:val="auto"/>
                <w:lang w:val="en-US" w:eastAsia="zh-CN"/>
              </w:rPr>
              <w:t>原煤卸料、暂存、转运投料：本项目原煤来自米东区、小黄山等煤矿，通过汽车运至本项目厂区原煤堆场进行卸料、暂存，通过装载机转运至原煤投料口。此工序产生原料卸料、暂存、投料颗粒物和噪声。</w:t>
            </w:r>
          </w:p>
          <w:p w14:paraId="4A2563DD">
            <w:pPr>
              <w:pStyle w:val="38"/>
              <w:bidi w:val="0"/>
              <w:rPr>
                <w:rFonts w:hint="eastAsia"/>
                <w:color w:val="auto"/>
                <w:lang w:val="en-US" w:eastAsia="zh-CN"/>
              </w:rPr>
            </w:pPr>
            <w:r>
              <w:rPr>
                <w:rFonts w:hint="eastAsia"/>
                <w:color w:val="auto"/>
                <w:lang w:val="en-US" w:eastAsia="zh-CN"/>
              </w:rPr>
              <w:t>（2）破碎</w:t>
            </w:r>
          </w:p>
          <w:p w14:paraId="3C4D4F43">
            <w:pPr>
              <w:pStyle w:val="38"/>
              <w:bidi w:val="0"/>
              <w:rPr>
                <w:rFonts w:hint="default"/>
                <w:color w:val="auto"/>
              </w:rPr>
            </w:pPr>
            <w:r>
              <w:rPr>
                <w:rFonts w:hint="default"/>
                <w:color w:val="auto"/>
              </w:rPr>
              <w:t>破碎：投料口的原煤通过输送带输送至破碎机进行破碎。此工序产生破碎颗粒物和噪声。</w:t>
            </w:r>
          </w:p>
          <w:p w14:paraId="15CC98BD">
            <w:pPr>
              <w:pStyle w:val="38"/>
              <w:bidi w:val="0"/>
              <w:rPr>
                <w:rFonts w:hint="default"/>
                <w:color w:val="auto"/>
                <w:lang w:val="en-US" w:eastAsia="zh-CN"/>
              </w:rPr>
            </w:pPr>
            <w:r>
              <w:rPr>
                <w:rFonts w:hint="eastAsia"/>
                <w:color w:val="auto"/>
                <w:lang w:val="en-US" w:eastAsia="zh-CN"/>
              </w:rPr>
              <w:t>（3）洗煤</w:t>
            </w:r>
          </w:p>
          <w:p w14:paraId="399258A7">
            <w:pPr>
              <w:pStyle w:val="38"/>
              <w:bidi w:val="0"/>
              <w:rPr>
                <w:rFonts w:hint="default"/>
                <w:color w:val="auto"/>
                <w:lang w:val="en-US" w:eastAsia="zh-CN"/>
              </w:rPr>
            </w:pPr>
            <w:r>
              <w:rPr>
                <w:rFonts w:hint="eastAsia"/>
                <w:color w:val="auto"/>
                <w:lang w:val="en-US" w:eastAsia="zh-CN"/>
              </w:rPr>
              <w:t>洗煤、产品堆存装车：破碎后的原煤通过输送带运至洗煤机进行洗煤，洗出的精煤、中煤、矸石通过输送带输送至相应的堆场暂存后装车。此工序产生产品暂存装车颗粒物、洗煤废水和噪声</w:t>
            </w:r>
          </w:p>
          <w:p w14:paraId="34554E04">
            <w:pPr>
              <w:pStyle w:val="38"/>
              <w:keepNext w:val="0"/>
              <w:keepLines w:val="0"/>
              <w:pageBreakBefore w:val="0"/>
              <w:widowControl/>
              <w:kinsoku/>
              <w:wordWrap/>
              <w:overflowPunct/>
              <w:topLinePunct w:val="0"/>
              <w:autoSpaceDE/>
              <w:autoSpaceDN/>
              <w:bidi w:val="0"/>
              <w:adjustRightInd/>
              <w:snapToGrid/>
              <w:textAlignment w:val="auto"/>
              <w:rPr>
                <w:rFonts w:hint="eastAsia"/>
                <w:color w:val="auto"/>
                <w:lang w:val="en-US" w:eastAsia="zh-CN"/>
              </w:rPr>
            </w:pPr>
            <w:r>
              <w:rPr>
                <w:rFonts w:hint="eastAsia"/>
                <w:color w:val="auto"/>
                <w:lang w:val="en-US" w:eastAsia="zh-CN"/>
              </w:rPr>
              <w:t>本项目洗煤机采用三段式活塞跳汰洗煤机，洗煤机自带筛网。</w:t>
            </w:r>
          </w:p>
          <w:p w14:paraId="0476521C">
            <w:pPr>
              <w:pStyle w:val="38"/>
              <w:keepNext w:val="0"/>
              <w:keepLines w:val="0"/>
              <w:pageBreakBefore w:val="0"/>
              <w:widowControl/>
              <w:kinsoku/>
              <w:wordWrap/>
              <w:overflowPunct/>
              <w:topLinePunct w:val="0"/>
              <w:autoSpaceDE/>
              <w:autoSpaceDN/>
              <w:bidi w:val="0"/>
              <w:adjustRightInd/>
              <w:snapToGrid/>
              <w:textAlignment w:val="auto"/>
              <w:rPr>
                <w:rFonts w:hint="eastAsia"/>
                <w:color w:val="auto"/>
                <w:lang w:val="en-US" w:eastAsia="zh-CN"/>
              </w:rPr>
            </w:pPr>
            <w:r>
              <w:rPr>
                <w:rFonts w:hint="eastAsia"/>
                <w:color w:val="auto"/>
                <w:lang w:val="en-US" w:eastAsia="zh-CN"/>
              </w:rPr>
              <w:t>洗煤原理：将粒径小于50mm原煤在垂直运动的水流作用下，按密度分层达到分选的目的，密度小的矿粒位于上层，密度大的矿粒位于下层。其物料运动过程分为三步，在上升水流作用下，床层被冲起并逐渐松散，这时床层中的矿粒在水流的动力学作用下，首先被冲起的是密度小的细矿粒，其次是密度小的粗矿粒和密度大的细矿粒，最后是密度大的粗矿粒：在上升水流末期，床层得到充分地松散，矿粒开始陆续沉降和分层，密度大的粗矿粒沉得快，位于下层，其次是密度小的粗矿粒和密度大的细矿粒，密度小的细矿粒沉得最慢，位于上层：水流下降时，随着矿粒的沉降，床层逐渐紧密，粗矿粒沉到筛面上并失去活动性，但细矿粒在下降水流的吸入作用下，仍能通过粗矿粒的间隙向下钻隙运动。水流上升下降一个完整的变化形成一个洗选工作周期。</w:t>
            </w:r>
          </w:p>
          <w:p w14:paraId="52F5F6AF">
            <w:pPr>
              <w:pStyle w:val="38"/>
              <w:keepNext w:val="0"/>
              <w:keepLines w:val="0"/>
              <w:pageBreakBefore w:val="0"/>
              <w:widowControl/>
              <w:kinsoku/>
              <w:wordWrap/>
              <w:overflowPunct/>
              <w:topLinePunct w:val="0"/>
              <w:autoSpaceDE/>
              <w:autoSpaceDN/>
              <w:bidi w:val="0"/>
              <w:adjustRightInd/>
              <w:snapToGrid/>
              <w:textAlignment w:val="auto"/>
              <w:rPr>
                <w:rFonts w:hint="eastAsia"/>
                <w:color w:val="auto"/>
                <w:lang w:val="en-US" w:eastAsia="zh-CN"/>
              </w:rPr>
            </w:pPr>
            <w:r>
              <w:rPr>
                <w:rFonts w:hint="eastAsia"/>
                <w:color w:val="auto"/>
                <w:lang w:val="en-US" w:eastAsia="zh-CN"/>
              </w:rPr>
              <w:t>煤泥水处理：洗煤系统产生的煤泥水经泵输送至浓缩罐，通过向浓缩池添加絮凝剂加剧固液分离，浓缩罐上层溢流清液进入循环水池，下层泥浆进入压滤机进行压滤，滤液进行循环水池，煤泥通过输送带运至煤泥堆场暂存。此工序产生噪声、事故煤泥水和煤泥。</w:t>
            </w:r>
          </w:p>
          <w:p w14:paraId="44840376">
            <w:pPr>
              <w:pStyle w:val="38"/>
              <w:keepNext w:val="0"/>
              <w:keepLines w:val="0"/>
              <w:pageBreakBefore w:val="0"/>
              <w:widowControl/>
              <w:kinsoku/>
              <w:wordWrap/>
              <w:overflowPunct/>
              <w:topLinePunct w:val="0"/>
              <w:autoSpaceDE/>
              <w:autoSpaceDN/>
              <w:bidi w:val="0"/>
              <w:adjustRightInd/>
              <w:snapToGrid/>
              <w:textAlignment w:val="auto"/>
              <w:rPr>
                <w:rFonts w:hint="eastAsia"/>
                <w:color w:val="auto"/>
                <w:lang w:val="en-US" w:eastAsia="zh-CN"/>
              </w:rPr>
            </w:pPr>
            <w:r>
              <w:rPr>
                <w:rFonts w:hint="eastAsia"/>
                <w:color w:val="auto"/>
                <w:lang w:val="en-US" w:eastAsia="zh-CN"/>
              </w:rPr>
              <w:t>注：本项目输送带全部位于封闭厂房内，同时由于输送带封闭、输送物料含水率较高等原因，无输送粉尘产生。</w:t>
            </w:r>
          </w:p>
          <w:p w14:paraId="36B1059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bCs/>
                <w:color w:val="auto"/>
                <w:kern w:val="0"/>
                <w:sz w:val="24"/>
                <w:szCs w:val="24"/>
                <w:highlight w:val="none"/>
                <w:lang w:val="en-US" w:eastAsia="zh-CN" w:bidi="ar-SA"/>
              </w:rPr>
            </w:pPr>
            <w:r>
              <w:rPr>
                <w:rFonts w:hint="eastAsia"/>
                <w:b/>
                <w:bCs/>
                <w:color w:val="auto"/>
                <w:kern w:val="0"/>
                <w:sz w:val="24"/>
                <w:szCs w:val="24"/>
                <w:highlight w:val="none"/>
                <w:lang w:val="en-US" w:eastAsia="zh-CN" w:bidi="ar-SA"/>
              </w:rPr>
              <w:drawing>
                <wp:inline distT="0" distB="0" distL="114300" distR="114300">
                  <wp:extent cx="5064760" cy="4017645"/>
                  <wp:effectExtent l="0" t="0" r="0" b="0"/>
                  <wp:docPr id="9" name="ECB019B1-382A-4266-B25C-5B523AA43C14-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CB019B1-382A-4266-B25C-5B523AA43C14-2" descr="wps"/>
                          <pic:cNvPicPr>
                            <a:picLocks noChangeAspect="1"/>
                          </pic:cNvPicPr>
                        </pic:nvPicPr>
                        <pic:blipFill>
                          <a:blip r:embed="rId9"/>
                          <a:stretch>
                            <a:fillRect/>
                          </a:stretch>
                        </pic:blipFill>
                        <pic:spPr>
                          <a:xfrm>
                            <a:off x="0" y="0"/>
                            <a:ext cx="5064760" cy="4017645"/>
                          </a:xfrm>
                          <a:prstGeom prst="rect">
                            <a:avLst/>
                          </a:prstGeom>
                        </pic:spPr>
                      </pic:pic>
                    </a:graphicData>
                  </a:graphic>
                </wp:inline>
              </w:drawing>
            </w:r>
          </w:p>
          <w:p w14:paraId="5CC2175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bCs/>
                <w:color w:val="auto"/>
                <w:kern w:val="0"/>
                <w:sz w:val="21"/>
                <w:szCs w:val="21"/>
                <w:highlight w:val="none"/>
                <w:lang w:val="en-US" w:eastAsia="zh-CN" w:bidi="ar-SA"/>
              </w:rPr>
            </w:pPr>
            <w:r>
              <w:rPr>
                <w:rFonts w:hint="eastAsia"/>
                <w:b/>
                <w:bCs/>
                <w:color w:val="auto"/>
                <w:kern w:val="0"/>
                <w:sz w:val="21"/>
                <w:szCs w:val="21"/>
                <w:highlight w:val="none"/>
                <w:lang w:val="en-US" w:eastAsia="zh-CN" w:bidi="ar-SA"/>
              </w:rPr>
              <w:t>图3    洗选煤生产线工艺流程</w:t>
            </w:r>
          </w:p>
          <w:p w14:paraId="439BFEE7">
            <w:pPr>
              <w:keepNext w:val="0"/>
              <w:keepLines w:val="0"/>
              <w:pageBreakBefore w:val="0"/>
              <w:widowControl w:val="0"/>
              <w:numPr>
                <w:ilvl w:val="0"/>
                <w:numId w:val="9"/>
              </w:numPr>
              <w:kinsoku/>
              <w:wordWrap/>
              <w:overflowPunct/>
              <w:topLinePunct w:val="0"/>
              <w:autoSpaceDE/>
              <w:autoSpaceDN/>
              <w:bidi w:val="0"/>
              <w:adjustRightInd/>
              <w:snapToGrid/>
              <w:spacing w:line="520" w:lineRule="exact"/>
              <w:textAlignment w:val="auto"/>
              <w:rPr>
                <w:rFonts w:hint="eastAsia"/>
                <w:b/>
                <w:bCs/>
                <w:color w:val="auto"/>
                <w:sz w:val="24"/>
                <w:lang w:val="en-US" w:eastAsia="zh-CN"/>
              </w:rPr>
            </w:pPr>
            <w:r>
              <w:rPr>
                <w:rFonts w:hint="eastAsia"/>
                <w:b/>
                <w:bCs/>
                <w:color w:val="auto"/>
                <w:sz w:val="24"/>
                <w:lang w:val="en-US" w:eastAsia="zh-CN"/>
              </w:rPr>
              <w:t>污染物产排情况</w:t>
            </w:r>
          </w:p>
          <w:p w14:paraId="4E062993">
            <w:pPr>
              <w:pStyle w:val="3"/>
              <w:keepNext/>
              <w:keepLines/>
              <w:pageBreakBefore w:val="0"/>
              <w:widowControl w:val="0"/>
              <w:numPr>
                <w:ilvl w:val="1"/>
                <w:numId w:val="9"/>
              </w:numPr>
              <w:kinsoku/>
              <w:wordWrap/>
              <w:overflowPunct/>
              <w:topLinePunct w:val="0"/>
              <w:autoSpaceDE/>
              <w:autoSpaceDN/>
              <w:bidi w:val="0"/>
              <w:adjustRightInd/>
              <w:snapToGrid/>
              <w:spacing w:line="520" w:lineRule="exact"/>
              <w:ind w:leftChars="0"/>
              <w:textAlignment w:val="auto"/>
              <w:rPr>
                <w:rFonts w:hint="eastAsia"/>
                <w:b/>
                <w:bCs/>
                <w:color w:val="auto"/>
                <w:sz w:val="24"/>
                <w:szCs w:val="24"/>
                <w:lang w:val="en-US" w:eastAsia="zh-CN"/>
              </w:rPr>
            </w:pPr>
            <w:r>
              <w:rPr>
                <w:rFonts w:hint="eastAsia"/>
                <w:b/>
                <w:bCs/>
                <w:color w:val="auto"/>
                <w:sz w:val="24"/>
                <w:szCs w:val="24"/>
                <w:lang w:val="en-US" w:eastAsia="zh-CN"/>
              </w:rPr>
              <w:t>废气</w:t>
            </w:r>
          </w:p>
          <w:p w14:paraId="4EB9DA6D">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b w:val="0"/>
                <w:bCs w:val="0"/>
                <w:color w:val="auto"/>
                <w:sz w:val="24"/>
                <w:szCs w:val="24"/>
                <w:lang w:val="en-US" w:eastAsia="zh-CN"/>
              </w:rPr>
            </w:pPr>
            <w:r>
              <w:rPr>
                <w:rFonts w:hint="eastAsia"/>
                <w:b w:val="0"/>
                <w:bCs w:val="0"/>
                <w:color w:val="auto"/>
                <w:sz w:val="24"/>
                <w:szCs w:val="24"/>
                <w:lang w:val="en-US" w:eastAsia="zh-CN"/>
              </w:rPr>
              <w:t>本项目废气污染物主要为运营期原煤仓储运输和破碎工段产生的粉尘。</w:t>
            </w:r>
          </w:p>
          <w:p w14:paraId="7D6C4CB5">
            <w:pPr>
              <w:pStyle w:val="3"/>
              <w:keepNext/>
              <w:keepLines/>
              <w:pageBreakBefore w:val="0"/>
              <w:widowControl w:val="0"/>
              <w:numPr>
                <w:ilvl w:val="1"/>
                <w:numId w:val="9"/>
              </w:numPr>
              <w:kinsoku/>
              <w:wordWrap/>
              <w:overflowPunct/>
              <w:topLinePunct w:val="0"/>
              <w:autoSpaceDE/>
              <w:autoSpaceDN/>
              <w:bidi w:val="0"/>
              <w:adjustRightInd/>
              <w:snapToGrid/>
              <w:spacing w:line="520" w:lineRule="exact"/>
              <w:ind w:leftChars="0"/>
              <w:textAlignment w:val="auto"/>
              <w:rPr>
                <w:rFonts w:hint="default"/>
                <w:b/>
                <w:bCs/>
                <w:color w:val="auto"/>
                <w:sz w:val="24"/>
                <w:szCs w:val="24"/>
                <w:lang w:val="en-US" w:eastAsia="zh-CN"/>
              </w:rPr>
            </w:pPr>
            <w:r>
              <w:rPr>
                <w:rFonts w:hint="eastAsia"/>
                <w:b/>
                <w:bCs/>
                <w:color w:val="auto"/>
                <w:sz w:val="24"/>
                <w:szCs w:val="24"/>
                <w:lang w:val="en-US" w:eastAsia="zh-CN"/>
              </w:rPr>
              <w:t>废水</w:t>
            </w:r>
          </w:p>
          <w:p w14:paraId="7D34EDBF">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b w:val="0"/>
                <w:bCs w:val="0"/>
                <w:color w:val="auto"/>
                <w:sz w:val="24"/>
                <w:szCs w:val="24"/>
                <w:lang w:val="en-US" w:eastAsia="zh-CN"/>
              </w:rPr>
            </w:pPr>
            <w:r>
              <w:rPr>
                <w:rFonts w:hint="eastAsia"/>
                <w:b w:val="0"/>
                <w:bCs w:val="0"/>
                <w:color w:val="auto"/>
                <w:sz w:val="24"/>
                <w:szCs w:val="24"/>
                <w:lang w:val="en-US" w:eastAsia="zh-CN"/>
              </w:rPr>
              <w:t>本项目废水主要为洗煤废水。</w:t>
            </w:r>
          </w:p>
          <w:p w14:paraId="50C6FB44">
            <w:pPr>
              <w:pStyle w:val="3"/>
              <w:keepNext/>
              <w:keepLines/>
              <w:pageBreakBefore w:val="0"/>
              <w:widowControl w:val="0"/>
              <w:numPr>
                <w:ilvl w:val="1"/>
                <w:numId w:val="9"/>
              </w:numPr>
              <w:kinsoku/>
              <w:wordWrap/>
              <w:overflowPunct/>
              <w:topLinePunct w:val="0"/>
              <w:autoSpaceDE/>
              <w:autoSpaceDN/>
              <w:bidi w:val="0"/>
              <w:adjustRightInd/>
              <w:snapToGrid/>
              <w:spacing w:line="520" w:lineRule="exact"/>
              <w:ind w:leftChars="0"/>
              <w:textAlignment w:val="auto"/>
              <w:rPr>
                <w:rFonts w:hint="eastAsia"/>
                <w:b/>
                <w:bCs/>
                <w:color w:val="auto"/>
                <w:sz w:val="24"/>
                <w:szCs w:val="24"/>
                <w:lang w:val="en-US" w:eastAsia="zh-CN"/>
              </w:rPr>
            </w:pPr>
            <w:r>
              <w:rPr>
                <w:rFonts w:hint="eastAsia"/>
                <w:b/>
                <w:bCs/>
                <w:color w:val="auto"/>
                <w:sz w:val="24"/>
                <w:szCs w:val="24"/>
                <w:lang w:val="en-US" w:eastAsia="zh-CN"/>
              </w:rPr>
              <w:t>噪声</w:t>
            </w:r>
          </w:p>
          <w:p w14:paraId="75E0ED8F">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b w:val="0"/>
                <w:bCs w:val="0"/>
                <w:color w:val="auto"/>
                <w:sz w:val="24"/>
                <w:szCs w:val="24"/>
                <w:lang w:val="en-US" w:eastAsia="zh-CN"/>
              </w:rPr>
            </w:pPr>
            <w:r>
              <w:rPr>
                <w:rFonts w:hint="eastAsia"/>
                <w:b w:val="0"/>
                <w:bCs w:val="0"/>
                <w:color w:val="auto"/>
                <w:sz w:val="24"/>
                <w:szCs w:val="24"/>
                <w:lang w:val="en-US" w:eastAsia="zh-CN"/>
              </w:rPr>
              <w:t>本项目噪声主要来源于生产过程中设备运行产生的机械噪声（N），其声源强度为65~80dB。</w:t>
            </w:r>
          </w:p>
          <w:p w14:paraId="083A1681">
            <w:pPr>
              <w:pStyle w:val="3"/>
              <w:keepNext/>
              <w:keepLines/>
              <w:pageBreakBefore w:val="0"/>
              <w:widowControl w:val="0"/>
              <w:numPr>
                <w:ilvl w:val="1"/>
                <w:numId w:val="9"/>
              </w:numPr>
              <w:kinsoku/>
              <w:wordWrap/>
              <w:overflowPunct/>
              <w:topLinePunct w:val="0"/>
              <w:autoSpaceDE/>
              <w:autoSpaceDN/>
              <w:bidi w:val="0"/>
              <w:adjustRightInd/>
              <w:snapToGrid/>
              <w:spacing w:line="520" w:lineRule="exact"/>
              <w:ind w:leftChars="0"/>
              <w:textAlignment w:val="auto"/>
              <w:rPr>
                <w:rFonts w:hint="default"/>
                <w:b/>
                <w:bCs/>
                <w:color w:val="auto"/>
                <w:sz w:val="24"/>
                <w:szCs w:val="24"/>
                <w:lang w:val="en-US" w:eastAsia="zh-CN"/>
              </w:rPr>
            </w:pPr>
            <w:r>
              <w:rPr>
                <w:rFonts w:hint="eastAsia"/>
                <w:b/>
                <w:bCs/>
                <w:color w:val="auto"/>
                <w:sz w:val="24"/>
                <w:szCs w:val="24"/>
                <w:lang w:val="en-US" w:eastAsia="zh-CN"/>
              </w:rPr>
              <w:t>固废</w:t>
            </w:r>
          </w:p>
          <w:p w14:paraId="36020074">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b w:val="0"/>
                <w:bCs w:val="0"/>
                <w:color w:val="auto"/>
                <w:sz w:val="24"/>
                <w:szCs w:val="24"/>
                <w:lang w:val="en-US" w:eastAsia="zh-CN"/>
              </w:rPr>
            </w:pPr>
            <w:r>
              <w:rPr>
                <w:rFonts w:hint="eastAsia"/>
                <w:b w:val="0"/>
                <w:bCs w:val="0"/>
                <w:color w:val="auto"/>
                <w:sz w:val="24"/>
                <w:szCs w:val="24"/>
                <w:lang w:val="en-US" w:eastAsia="zh-CN"/>
              </w:rPr>
              <w:t>本项目固体废物主要有煤泥、矸石、布袋除尘产生的收集尘和设备检维修产生的废机油。</w:t>
            </w:r>
          </w:p>
          <w:p w14:paraId="44CE7B35">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color w:val="auto"/>
                <w:sz w:val="24"/>
              </w:rPr>
            </w:pPr>
            <w:r>
              <w:rPr>
                <w:rFonts w:hint="eastAsia"/>
                <w:color w:val="auto"/>
                <w:sz w:val="24"/>
              </w:rPr>
              <w:t>本项目产排污情况见下表。</w:t>
            </w:r>
          </w:p>
          <w:p w14:paraId="58194358">
            <w:pPr>
              <w:keepNext w:val="0"/>
              <w:keepLines w:val="0"/>
              <w:pageBreakBefore w:val="0"/>
              <w:widowControl/>
              <w:suppressLineNumbers w:val="0"/>
              <w:kinsoku/>
              <w:wordWrap/>
              <w:overflowPunct/>
              <w:topLinePunct w:val="0"/>
              <w:autoSpaceDE/>
              <w:autoSpaceDN/>
              <w:bidi w:val="0"/>
              <w:adjustRightInd/>
              <w:snapToGrid/>
              <w:spacing w:line="520" w:lineRule="exact"/>
              <w:jc w:val="center"/>
              <w:textAlignment w:val="auto"/>
              <w:rPr>
                <w:rFonts w:hint="default" w:cs="Times New Roman"/>
                <w:b/>
                <w:bCs/>
                <w:color w:val="auto"/>
                <w:kern w:val="2"/>
                <w:sz w:val="21"/>
                <w:szCs w:val="21"/>
                <w:highlight w:val="none"/>
                <w:lang w:val="en-US" w:eastAsia="zh-CN" w:bidi="ar-SA"/>
              </w:rPr>
            </w:pPr>
            <w:r>
              <w:rPr>
                <w:rFonts w:hint="eastAsia" w:cs="Times New Roman"/>
                <w:b/>
                <w:bCs/>
                <w:color w:val="auto"/>
                <w:kern w:val="2"/>
                <w:sz w:val="21"/>
                <w:szCs w:val="21"/>
                <w:highlight w:val="none"/>
                <w:lang w:val="en-US" w:eastAsia="zh-CN" w:bidi="ar-SA"/>
              </w:rPr>
              <w:t>表2-10    产排污情况一览表</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615"/>
              <w:gridCol w:w="1053"/>
              <w:gridCol w:w="1635"/>
              <w:gridCol w:w="2610"/>
              <w:gridCol w:w="2074"/>
            </w:tblGrid>
            <w:tr w14:paraId="401BD6C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385" w:type="pct"/>
                  <w:tcBorders>
                    <w:bottom w:val="single" w:color="auto" w:sz="12" w:space="0"/>
                  </w:tcBorders>
                  <w:vAlign w:val="center"/>
                </w:tcPr>
                <w:p w14:paraId="1BCA78FC">
                  <w:pPr>
                    <w:pStyle w:val="38"/>
                    <w:keepNext w:val="0"/>
                    <w:keepLines w:val="0"/>
                    <w:pageBreakBefore w:val="0"/>
                    <w:kinsoku/>
                    <w:wordWrap/>
                    <w:overflowPunct/>
                    <w:topLinePunct w:val="0"/>
                    <w:autoSpaceDE/>
                    <w:autoSpaceDN/>
                    <w:bidi w:val="0"/>
                    <w:adjustRightInd/>
                    <w:spacing w:line="240" w:lineRule="auto"/>
                    <w:ind w:firstLine="0" w:firstLineChars="0"/>
                    <w:jc w:val="center"/>
                    <w:textAlignment w:val="auto"/>
                    <w:rPr>
                      <w:b/>
                      <w:color w:val="auto"/>
                      <w:sz w:val="21"/>
                      <w:szCs w:val="21"/>
                    </w:rPr>
                  </w:pPr>
                  <w:r>
                    <w:rPr>
                      <w:rFonts w:hint="eastAsia"/>
                      <w:b/>
                      <w:color w:val="auto"/>
                      <w:sz w:val="21"/>
                      <w:szCs w:val="21"/>
                    </w:rPr>
                    <w:t>序号</w:t>
                  </w:r>
                </w:p>
              </w:tc>
              <w:tc>
                <w:tcPr>
                  <w:tcW w:w="659" w:type="pct"/>
                  <w:tcBorders>
                    <w:bottom w:val="single" w:color="auto" w:sz="12" w:space="0"/>
                  </w:tcBorders>
                  <w:vAlign w:val="center"/>
                </w:tcPr>
                <w:p w14:paraId="126C271D">
                  <w:pPr>
                    <w:pStyle w:val="38"/>
                    <w:keepNext w:val="0"/>
                    <w:keepLines w:val="0"/>
                    <w:pageBreakBefore w:val="0"/>
                    <w:kinsoku/>
                    <w:wordWrap/>
                    <w:overflowPunct/>
                    <w:topLinePunct w:val="0"/>
                    <w:autoSpaceDE/>
                    <w:autoSpaceDN/>
                    <w:bidi w:val="0"/>
                    <w:adjustRightInd/>
                    <w:spacing w:line="240" w:lineRule="auto"/>
                    <w:ind w:firstLine="0" w:firstLineChars="0"/>
                    <w:jc w:val="center"/>
                    <w:textAlignment w:val="auto"/>
                    <w:rPr>
                      <w:b/>
                      <w:color w:val="auto"/>
                      <w:sz w:val="21"/>
                      <w:szCs w:val="21"/>
                    </w:rPr>
                  </w:pPr>
                  <w:r>
                    <w:rPr>
                      <w:rFonts w:hint="eastAsia"/>
                      <w:b/>
                      <w:color w:val="auto"/>
                      <w:sz w:val="21"/>
                      <w:szCs w:val="21"/>
                    </w:rPr>
                    <w:t>污染物类别</w:t>
                  </w:r>
                </w:p>
              </w:tc>
              <w:tc>
                <w:tcPr>
                  <w:tcW w:w="1023" w:type="pct"/>
                  <w:tcBorders>
                    <w:bottom w:val="single" w:color="auto" w:sz="12" w:space="0"/>
                  </w:tcBorders>
                  <w:vAlign w:val="center"/>
                </w:tcPr>
                <w:p w14:paraId="231BEE45">
                  <w:pPr>
                    <w:pStyle w:val="38"/>
                    <w:keepNext w:val="0"/>
                    <w:keepLines w:val="0"/>
                    <w:pageBreakBefore w:val="0"/>
                    <w:kinsoku/>
                    <w:wordWrap/>
                    <w:overflowPunct/>
                    <w:topLinePunct w:val="0"/>
                    <w:autoSpaceDE/>
                    <w:autoSpaceDN/>
                    <w:bidi w:val="0"/>
                    <w:adjustRightInd/>
                    <w:spacing w:line="240" w:lineRule="auto"/>
                    <w:ind w:firstLine="0" w:firstLineChars="0"/>
                    <w:jc w:val="center"/>
                    <w:textAlignment w:val="auto"/>
                    <w:rPr>
                      <w:b/>
                      <w:color w:val="auto"/>
                      <w:sz w:val="21"/>
                      <w:szCs w:val="21"/>
                    </w:rPr>
                  </w:pPr>
                  <w:r>
                    <w:rPr>
                      <w:rFonts w:hint="eastAsia"/>
                      <w:b/>
                      <w:color w:val="auto"/>
                      <w:sz w:val="21"/>
                      <w:szCs w:val="21"/>
                    </w:rPr>
                    <w:t>产排污环节</w:t>
                  </w:r>
                </w:p>
              </w:tc>
              <w:tc>
                <w:tcPr>
                  <w:tcW w:w="1633" w:type="pct"/>
                  <w:tcBorders>
                    <w:bottom w:val="single" w:color="auto" w:sz="12" w:space="0"/>
                  </w:tcBorders>
                  <w:vAlign w:val="center"/>
                </w:tcPr>
                <w:p w14:paraId="48D3122D">
                  <w:pPr>
                    <w:pStyle w:val="38"/>
                    <w:keepNext w:val="0"/>
                    <w:keepLines w:val="0"/>
                    <w:pageBreakBefore w:val="0"/>
                    <w:kinsoku/>
                    <w:wordWrap/>
                    <w:overflowPunct/>
                    <w:topLinePunct w:val="0"/>
                    <w:autoSpaceDE/>
                    <w:autoSpaceDN/>
                    <w:bidi w:val="0"/>
                    <w:adjustRightInd/>
                    <w:spacing w:line="240" w:lineRule="auto"/>
                    <w:ind w:firstLine="0" w:firstLineChars="0"/>
                    <w:jc w:val="center"/>
                    <w:textAlignment w:val="auto"/>
                    <w:rPr>
                      <w:b/>
                      <w:color w:val="auto"/>
                      <w:sz w:val="21"/>
                      <w:szCs w:val="21"/>
                    </w:rPr>
                  </w:pPr>
                  <w:r>
                    <w:rPr>
                      <w:rFonts w:hint="eastAsia"/>
                      <w:b/>
                      <w:color w:val="auto"/>
                      <w:sz w:val="21"/>
                      <w:szCs w:val="21"/>
                    </w:rPr>
                    <w:t>污染物名称</w:t>
                  </w:r>
                </w:p>
              </w:tc>
              <w:tc>
                <w:tcPr>
                  <w:tcW w:w="1298" w:type="pct"/>
                  <w:tcBorders>
                    <w:bottom w:val="single" w:color="auto" w:sz="12" w:space="0"/>
                  </w:tcBorders>
                  <w:vAlign w:val="center"/>
                </w:tcPr>
                <w:p w14:paraId="2959B25F">
                  <w:pPr>
                    <w:pStyle w:val="38"/>
                    <w:keepNext w:val="0"/>
                    <w:keepLines w:val="0"/>
                    <w:pageBreakBefore w:val="0"/>
                    <w:kinsoku/>
                    <w:wordWrap/>
                    <w:overflowPunct/>
                    <w:topLinePunct w:val="0"/>
                    <w:autoSpaceDE/>
                    <w:autoSpaceDN/>
                    <w:bidi w:val="0"/>
                    <w:adjustRightInd/>
                    <w:spacing w:line="240" w:lineRule="auto"/>
                    <w:ind w:firstLine="0" w:firstLineChars="0"/>
                    <w:jc w:val="center"/>
                    <w:textAlignment w:val="auto"/>
                    <w:rPr>
                      <w:b/>
                      <w:color w:val="auto"/>
                      <w:sz w:val="21"/>
                      <w:szCs w:val="21"/>
                    </w:rPr>
                  </w:pPr>
                  <w:r>
                    <w:rPr>
                      <w:rFonts w:hint="eastAsia"/>
                      <w:b/>
                      <w:color w:val="auto"/>
                      <w:sz w:val="21"/>
                      <w:szCs w:val="21"/>
                    </w:rPr>
                    <w:t>污染因子</w:t>
                  </w:r>
                </w:p>
              </w:tc>
            </w:tr>
            <w:tr w14:paraId="40AEBF9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385" w:type="pct"/>
                  <w:tcBorders>
                    <w:top w:val="single" w:color="auto" w:sz="12" w:space="0"/>
                    <w:bottom w:val="single" w:color="auto" w:sz="4" w:space="0"/>
                  </w:tcBorders>
                  <w:vAlign w:val="center"/>
                </w:tcPr>
                <w:p w14:paraId="5707E226">
                  <w:pPr>
                    <w:pStyle w:val="38"/>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bCs/>
                      <w:color w:val="auto"/>
                      <w:sz w:val="21"/>
                      <w:szCs w:val="21"/>
                      <w:lang w:val="en-US" w:eastAsia="zh-CN" w:bidi="ar-SA"/>
                    </w:rPr>
                  </w:pPr>
                  <w:r>
                    <w:rPr>
                      <w:rFonts w:hint="eastAsia"/>
                      <w:bCs/>
                      <w:color w:val="auto"/>
                      <w:sz w:val="21"/>
                      <w:szCs w:val="21"/>
                    </w:rPr>
                    <w:t>1</w:t>
                  </w:r>
                </w:p>
              </w:tc>
              <w:tc>
                <w:tcPr>
                  <w:tcW w:w="659" w:type="pct"/>
                  <w:vMerge w:val="restart"/>
                  <w:tcBorders>
                    <w:top w:val="single" w:color="auto" w:sz="12" w:space="0"/>
                  </w:tcBorders>
                  <w:vAlign w:val="center"/>
                </w:tcPr>
                <w:p w14:paraId="6A7BAC7C">
                  <w:pPr>
                    <w:pStyle w:val="38"/>
                    <w:keepNext w:val="0"/>
                    <w:keepLines w:val="0"/>
                    <w:pageBreakBefore w:val="0"/>
                    <w:kinsoku/>
                    <w:wordWrap/>
                    <w:overflowPunct/>
                    <w:topLinePunct w:val="0"/>
                    <w:autoSpaceDE/>
                    <w:autoSpaceDN/>
                    <w:bidi w:val="0"/>
                    <w:adjustRightInd/>
                    <w:spacing w:line="240" w:lineRule="auto"/>
                    <w:ind w:firstLine="0" w:firstLineChars="0"/>
                    <w:jc w:val="center"/>
                    <w:textAlignment w:val="auto"/>
                    <w:rPr>
                      <w:bCs/>
                      <w:color w:val="auto"/>
                      <w:sz w:val="21"/>
                      <w:szCs w:val="21"/>
                    </w:rPr>
                  </w:pPr>
                  <w:r>
                    <w:rPr>
                      <w:rFonts w:hint="eastAsia"/>
                      <w:bCs/>
                      <w:color w:val="auto"/>
                      <w:sz w:val="21"/>
                      <w:szCs w:val="21"/>
                    </w:rPr>
                    <w:t>废气</w:t>
                  </w:r>
                </w:p>
              </w:tc>
              <w:tc>
                <w:tcPr>
                  <w:tcW w:w="1023" w:type="pct"/>
                  <w:tcBorders>
                    <w:top w:val="single" w:color="auto" w:sz="12" w:space="0"/>
                    <w:bottom w:val="single" w:color="auto" w:sz="4" w:space="0"/>
                  </w:tcBorders>
                  <w:vAlign w:val="center"/>
                </w:tcPr>
                <w:p w14:paraId="2E7121CE">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bCs/>
                      <w:color w:val="auto"/>
                      <w:sz w:val="21"/>
                      <w:szCs w:val="21"/>
                      <w:lang w:val="en-US" w:eastAsia="zh-CN"/>
                    </w:rPr>
                    <w:t>原煤仓储、运输</w:t>
                  </w:r>
                </w:p>
              </w:tc>
              <w:tc>
                <w:tcPr>
                  <w:tcW w:w="1633" w:type="pct"/>
                  <w:tcBorders>
                    <w:top w:val="single" w:color="auto" w:sz="12" w:space="0"/>
                    <w:bottom w:val="single" w:color="auto" w:sz="4" w:space="0"/>
                  </w:tcBorders>
                  <w:vAlign w:val="center"/>
                </w:tcPr>
                <w:p w14:paraId="39949131">
                  <w:pPr>
                    <w:pStyle w:val="38"/>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bidi="ar-SA"/>
                    </w:rPr>
                  </w:pPr>
                  <w:r>
                    <w:rPr>
                      <w:rFonts w:hint="eastAsia"/>
                      <w:bCs/>
                      <w:color w:val="auto"/>
                      <w:sz w:val="21"/>
                      <w:szCs w:val="21"/>
                      <w:lang w:val="en-US" w:eastAsia="zh-CN"/>
                    </w:rPr>
                    <w:t>堆场扬尘</w:t>
                  </w:r>
                </w:p>
              </w:tc>
              <w:tc>
                <w:tcPr>
                  <w:tcW w:w="1298" w:type="pct"/>
                  <w:tcBorders>
                    <w:top w:val="single" w:color="auto" w:sz="12" w:space="0"/>
                    <w:bottom w:val="single" w:color="auto" w:sz="4" w:space="0"/>
                  </w:tcBorders>
                  <w:vAlign w:val="center"/>
                </w:tcPr>
                <w:p w14:paraId="1BB992D7">
                  <w:pPr>
                    <w:pStyle w:val="38"/>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bCs/>
                      <w:color w:val="auto"/>
                      <w:sz w:val="21"/>
                      <w:szCs w:val="21"/>
                      <w:lang w:val="en-US" w:eastAsia="zh-CN" w:bidi="ar-SA"/>
                    </w:rPr>
                  </w:pPr>
                  <w:r>
                    <w:rPr>
                      <w:rFonts w:hint="eastAsia"/>
                      <w:bCs/>
                      <w:color w:val="auto"/>
                      <w:sz w:val="21"/>
                      <w:szCs w:val="21"/>
                      <w:lang w:val="en-US" w:eastAsia="zh-CN"/>
                    </w:rPr>
                    <w:t>颗粒物</w:t>
                  </w:r>
                </w:p>
              </w:tc>
            </w:tr>
            <w:tr w14:paraId="79074C8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385" w:type="pct"/>
                  <w:tcBorders>
                    <w:top w:val="single" w:color="auto" w:sz="6" w:space="0"/>
                  </w:tcBorders>
                  <w:vAlign w:val="center"/>
                </w:tcPr>
                <w:p w14:paraId="32AB72A0">
                  <w:pPr>
                    <w:pStyle w:val="38"/>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bidi="ar-SA"/>
                    </w:rPr>
                  </w:pPr>
                  <w:r>
                    <w:rPr>
                      <w:rFonts w:hint="eastAsia" w:cs="Times New Roman"/>
                      <w:bCs/>
                      <w:color w:val="auto"/>
                      <w:sz w:val="21"/>
                      <w:szCs w:val="21"/>
                      <w:lang w:val="en-US" w:eastAsia="zh-CN" w:bidi="ar-SA"/>
                    </w:rPr>
                    <w:t>2</w:t>
                  </w:r>
                </w:p>
              </w:tc>
              <w:tc>
                <w:tcPr>
                  <w:tcW w:w="659" w:type="pct"/>
                  <w:vMerge w:val="continue"/>
                  <w:vAlign w:val="center"/>
                </w:tcPr>
                <w:p w14:paraId="204FC985">
                  <w:pPr>
                    <w:pStyle w:val="38"/>
                    <w:keepNext w:val="0"/>
                    <w:keepLines w:val="0"/>
                    <w:pageBreakBefore w:val="0"/>
                    <w:kinsoku/>
                    <w:wordWrap/>
                    <w:overflowPunct/>
                    <w:topLinePunct w:val="0"/>
                    <w:autoSpaceDE/>
                    <w:autoSpaceDN/>
                    <w:bidi w:val="0"/>
                    <w:adjustRightInd/>
                    <w:spacing w:line="240" w:lineRule="auto"/>
                    <w:ind w:firstLine="0" w:firstLineChars="0"/>
                    <w:jc w:val="center"/>
                    <w:textAlignment w:val="auto"/>
                    <w:rPr>
                      <w:bCs/>
                      <w:color w:val="auto"/>
                      <w:sz w:val="21"/>
                      <w:szCs w:val="21"/>
                    </w:rPr>
                  </w:pPr>
                </w:p>
              </w:tc>
              <w:tc>
                <w:tcPr>
                  <w:tcW w:w="1023" w:type="pct"/>
                  <w:tcBorders>
                    <w:top w:val="single" w:color="auto" w:sz="6" w:space="0"/>
                  </w:tcBorders>
                  <w:vAlign w:val="center"/>
                </w:tcPr>
                <w:p w14:paraId="40954772">
                  <w:pPr>
                    <w:pStyle w:val="38"/>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eastAsia="宋体"/>
                      <w:bCs/>
                      <w:color w:val="auto"/>
                      <w:sz w:val="21"/>
                      <w:szCs w:val="21"/>
                      <w:lang w:val="en-US" w:eastAsia="zh-CN"/>
                    </w:rPr>
                  </w:pPr>
                  <w:r>
                    <w:rPr>
                      <w:rFonts w:hint="eastAsia"/>
                      <w:bCs/>
                      <w:color w:val="auto"/>
                      <w:sz w:val="21"/>
                      <w:szCs w:val="21"/>
                      <w:lang w:val="en-US" w:eastAsia="zh-CN"/>
                    </w:rPr>
                    <w:t>破碎筛分</w:t>
                  </w:r>
                </w:p>
              </w:tc>
              <w:tc>
                <w:tcPr>
                  <w:tcW w:w="1633" w:type="pct"/>
                  <w:tcBorders>
                    <w:top w:val="single" w:color="auto" w:sz="6" w:space="0"/>
                  </w:tcBorders>
                  <w:vAlign w:val="center"/>
                </w:tcPr>
                <w:p w14:paraId="5EE11227">
                  <w:pPr>
                    <w:pStyle w:val="38"/>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eastAsia="宋体"/>
                      <w:bCs/>
                      <w:color w:val="auto"/>
                      <w:sz w:val="21"/>
                      <w:szCs w:val="21"/>
                      <w:lang w:val="en-US" w:eastAsia="zh-CN"/>
                    </w:rPr>
                  </w:pPr>
                  <w:r>
                    <w:rPr>
                      <w:rFonts w:hint="eastAsia"/>
                      <w:bCs/>
                      <w:color w:val="auto"/>
                      <w:sz w:val="21"/>
                      <w:szCs w:val="21"/>
                      <w:lang w:val="en-US" w:eastAsia="zh-CN"/>
                    </w:rPr>
                    <w:t>破碎废气</w:t>
                  </w:r>
                </w:p>
              </w:tc>
              <w:tc>
                <w:tcPr>
                  <w:tcW w:w="1298" w:type="pct"/>
                  <w:tcBorders>
                    <w:top w:val="single" w:color="auto" w:sz="6" w:space="0"/>
                  </w:tcBorders>
                  <w:vAlign w:val="center"/>
                </w:tcPr>
                <w:p w14:paraId="3758A7EF">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eastAsia="宋体"/>
                      <w:color w:val="auto"/>
                      <w:kern w:val="0"/>
                      <w:sz w:val="21"/>
                      <w:szCs w:val="21"/>
                      <w:vertAlign w:val="baseline"/>
                      <w:lang w:val="en-US" w:eastAsia="zh-CN"/>
                    </w:rPr>
                  </w:pPr>
                  <w:r>
                    <w:rPr>
                      <w:rFonts w:hint="eastAsia"/>
                      <w:color w:val="auto"/>
                      <w:kern w:val="0"/>
                      <w:sz w:val="21"/>
                      <w:szCs w:val="21"/>
                      <w:lang w:val="en-US" w:eastAsia="zh-CN"/>
                    </w:rPr>
                    <w:t>颗粒物</w:t>
                  </w:r>
                </w:p>
              </w:tc>
            </w:tr>
            <w:tr w14:paraId="7605180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385" w:type="pct"/>
                  <w:tcBorders>
                    <w:top w:val="single" w:color="auto" w:sz="6" w:space="0"/>
                  </w:tcBorders>
                  <w:vAlign w:val="center"/>
                </w:tcPr>
                <w:p w14:paraId="10F5B05A">
                  <w:pPr>
                    <w:pStyle w:val="38"/>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bidi="ar-SA"/>
                    </w:rPr>
                  </w:pPr>
                  <w:r>
                    <w:rPr>
                      <w:rFonts w:hint="eastAsia" w:cs="Times New Roman"/>
                      <w:bCs/>
                      <w:color w:val="auto"/>
                      <w:sz w:val="21"/>
                      <w:szCs w:val="21"/>
                      <w:lang w:val="en-US" w:eastAsia="zh-CN" w:bidi="ar-SA"/>
                    </w:rPr>
                    <w:t>3</w:t>
                  </w:r>
                </w:p>
              </w:tc>
              <w:tc>
                <w:tcPr>
                  <w:tcW w:w="659" w:type="pct"/>
                  <w:vMerge w:val="restart"/>
                  <w:tcBorders>
                    <w:top w:val="single" w:color="auto" w:sz="6" w:space="0"/>
                  </w:tcBorders>
                  <w:vAlign w:val="center"/>
                </w:tcPr>
                <w:p w14:paraId="490EC4BA">
                  <w:pPr>
                    <w:pStyle w:val="38"/>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eastAsia" w:eastAsia="宋体"/>
                      <w:bCs/>
                      <w:color w:val="auto"/>
                      <w:sz w:val="21"/>
                      <w:szCs w:val="21"/>
                      <w:lang w:eastAsia="zh-CN"/>
                    </w:rPr>
                  </w:pPr>
                  <w:r>
                    <w:rPr>
                      <w:rFonts w:hint="eastAsia"/>
                      <w:bCs/>
                      <w:color w:val="auto"/>
                      <w:sz w:val="21"/>
                      <w:szCs w:val="21"/>
                      <w:lang w:val="en-US" w:eastAsia="zh-CN"/>
                    </w:rPr>
                    <w:t>废水</w:t>
                  </w:r>
                </w:p>
              </w:tc>
              <w:tc>
                <w:tcPr>
                  <w:tcW w:w="1023" w:type="pct"/>
                  <w:tcBorders>
                    <w:top w:val="single" w:color="auto" w:sz="6" w:space="0"/>
                  </w:tcBorders>
                  <w:vAlign w:val="center"/>
                </w:tcPr>
                <w:p w14:paraId="0945A854">
                  <w:pPr>
                    <w:pStyle w:val="38"/>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eastAsia" w:eastAsia="宋体"/>
                      <w:bCs/>
                      <w:color w:val="auto"/>
                      <w:sz w:val="21"/>
                      <w:szCs w:val="21"/>
                      <w:lang w:eastAsia="zh-CN"/>
                    </w:rPr>
                  </w:pPr>
                  <w:r>
                    <w:rPr>
                      <w:rFonts w:hint="eastAsia"/>
                      <w:bCs/>
                      <w:color w:val="auto"/>
                      <w:sz w:val="21"/>
                      <w:szCs w:val="21"/>
                      <w:lang w:val="en-US" w:eastAsia="zh-CN"/>
                    </w:rPr>
                    <w:t>洗煤</w:t>
                  </w:r>
                </w:p>
              </w:tc>
              <w:tc>
                <w:tcPr>
                  <w:tcW w:w="1633" w:type="pct"/>
                  <w:tcBorders>
                    <w:top w:val="single" w:color="auto" w:sz="6" w:space="0"/>
                  </w:tcBorders>
                  <w:vAlign w:val="center"/>
                </w:tcPr>
                <w:p w14:paraId="76D9112B">
                  <w:pPr>
                    <w:pStyle w:val="38"/>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eastAsia" w:eastAsia="宋体"/>
                      <w:bCs/>
                      <w:color w:val="auto"/>
                      <w:sz w:val="21"/>
                      <w:szCs w:val="21"/>
                      <w:lang w:eastAsia="zh-CN"/>
                    </w:rPr>
                  </w:pPr>
                  <w:r>
                    <w:rPr>
                      <w:rFonts w:hint="eastAsia"/>
                      <w:bCs/>
                      <w:color w:val="auto"/>
                      <w:sz w:val="21"/>
                      <w:szCs w:val="21"/>
                      <w:lang w:val="en-US" w:eastAsia="zh-CN"/>
                    </w:rPr>
                    <w:t>洗煤废水</w:t>
                  </w:r>
                </w:p>
              </w:tc>
              <w:tc>
                <w:tcPr>
                  <w:tcW w:w="1298" w:type="pct"/>
                  <w:tcBorders>
                    <w:top w:val="single" w:color="auto" w:sz="6" w:space="0"/>
                  </w:tcBorders>
                  <w:vAlign w:val="center"/>
                </w:tcPr>
                <w:p w14:paraId="36DEBE58">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eastAsia="宋体"/>
                      <w:color w:val="auto"/>
                      <w:kern w:val="0"/>
                      <w:sz w:val="21"/>
                      <w:szCs w:val="21"/>
                      <w:lang w:eastAsia="zh-CN"/>
                    </w:rPr>
                  </w:pPr>
                  <w:r>
                    <w:rPr>
                      <w:rFonts w:hint="eastAsia"/>
                      <w:color w:val="auto"/>
                      <w:kern w:val="0"/>
                      <w:sz w:val="21"/>
                      <w:szCs w:val="21"/>
                      <w:lang w:val="en-US" w:eastAsia="zh-CN"/>
                    </w:rPr>
                    <w:t>/</w:t>
                  </w:r>
                </w:p>
              </w:tc>
            </w:tr>
            <w:tr w14:paraId="3D78507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385" w:type="pct"/>
                  <w:tcBorders>
                    <w:tl2br w:val="nil"/>
                    <w:tr2bl w:val="nil"/>
                  </w:tcBorders>
                  <w:vAlign w:val="center"/>
                </w:tcPr>
                <w:p w14:paraId="5001C189">
                  <w:pPr>
                    <w:pStyle w:val="38"/>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bidi="ar-SA"/>
                    </w:rPr>
                  </w:pPr>
                  <w:r>
                    <w:rPr>
                      <w:rFonts w:hint="eastAsia" w:cs="Times New Roman"/>
                      <w:bCs/>
                      <w:color w:val="auto"/>
                      <w:sz w:val="21"/>
                      <w:szCs w:val="21"/>
                      <w:lang w:val="en-US" w:eastAsia="zh-CN" w:bidi="ar-SA"/>
                    </w:rPr>
                    <w:t>4</w:t>
                  </w:r>
                </w:p>
              </w:tc>
              <w:tc>
                <w:tcPr>
                  <w:tcW w:w="659" w:type="pct"/>
                  <w:vMerge w:val="continue"/>
                  <w:tcBorders>
                    <w:tl2br w:val="nil"/>
                    <w:tr2bl w:val="nil"/>
                  </w:tcBorders>
                  <w:vAlign w:val="center"/>
                </w:tcPr>
                <w:p w14:paraId="70C00E03">
                  <w:pPr>
                    <w:pStyle w:val="38"/>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eastAsia" w:eastAsia="宋体"/>
                      <w:bCs/>
                      <w:color w:val="auto"/>
                      <w:sz w:val="21"/>
                      <w:szCs w:val="21"/>
                      <w:lang w:val="en-US" w:eastAsia="zh-CN"/>
                    </w:rPr>
                  </w:pPr>
                </w:p>
              </w:tc>
              <w:tc>
                <w:tcPr>
                  <w:tcW w:w="1023" w:type="pct"/>
                  <w:tcBorders>
                    <w:tl2br w:val="nil"/>
                    <w:tr2bl w:val="nil"/>
                  </w:tcBorders>
                  <w:vAlign w:val="center"/>
                </w:tcPr>
                <w:p w14:paraId="61CB8A21">
                  <w:pPr>
                    <w:pStyle w:val="38"/>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eastAsia="宋体"/>
                      <w:bCs/>
                      <w:color w:val="auto"/>
                      <w:sz w:val="21"/>
                      <w:szCs w:val="21"/>
                      <w:lang w:val="en-US" w:eastAsia="zh-CN"/>
                    </w:rPr>
                  </w:pPr>
                  <w:r>
                    <w:rPr>
                      <w:rFonts w:hint="eastAsia"/>
                      <w:bCs/>
                      <w:color w:val="auto"/>
                      <w:sz w:val="21"/>
                      <w:szCs w:val="21"/>
                      <w:lang w:val="en-US" w:eastAsia="zh-CN"/>
                    </w:rPr>
                    <w:t>生活污水</w:t>
                  </w:r>
                </w:p>
              </w:tc>
              <w:tc>
                <w:tcPr>
                  <w:tcW w:w="1633" w:type="pct"/>
                  <w:tcBorders>
                    <w:tl2br w:val="nil"/>
                    <w:tr2bl w:val="nil"/>
                  </w:tcBorders>
                  <w:vAlign w:val="center"/>
                </w:tcPr>
                <w:p w14:paraId="4669498E">
                  <w:pPr>
                    <w:pStyle w:val="38"/>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eastAsia="宋体"/>
                      <w:bCs/>
                      <w:color w:val="auto"/>
                      <w:sz w:val="21"/>
                      <w:szCs w:val="21"/>
                      <w:lang w:val="en-US" w:eastAsia="zh-CN"/>
                    </w:rPr>
                  </w:pPr>
                  <w:r>
                    <w:rPr>
                      <w:rFonts w:hint="eastAsia"/>
                      <w:bCs/>
                      <w:color w:val="auto"/>
                      <w:sz w:val="21"/>
                      <w:szCs w:val="21"/>
                      <w:lang w:val="en-US" w:eastAsia="zh-CN"/>
                    </w:rPr>
                    <w:t>生活污水</w:t>
                  </w:r>
                </w:p>
              </w:tc>
              <w:tc>
                <w:tcPr>
                  <w:tcW w:w="1298" w:type="pct"/>
                  <w:tcBorders>
                    <w:tl2br w:val="nil"/>
                    <w:tr2bl w:val="nil"/>
                  </w:tcBorders>
                  <w:vAlign w:val="center"/>
                </w:tcPr>
                <w:p w14:paraId="3057215B">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eastAsia="宋体"/>
                      <w:color w:val="auto"/>
                      <w:kern w:val="0"/>
                      <w:sz w:val="21"/>
                      <w:szCs w:val="21"/>
                      <w:vertAlign w:val="baseline"/>
                      <w:lang w:val="en-US" w:eastAsia="zh-CN"/>
                    </w:rPr>
                  </w:pPr>
                  <w:r>
                    <w:rPr>
                      <w:rFonts w:hint="eastAsia"/>
                      <w:color w:val="auto"/>
                      <w:kern w:val="0"/>
                      <w:sz w:val="21"/>
                      <w:szCs w:val="21"/>
                      <w:lang w:val="en-US" w:eastAsia="zh-CN"/>
                    </w:rPr>
                    <w:t>COD、SS、BOD</w:t>
                  </w:r>
                  <w:r>
                    <w:rPr>
                      <w:rFonts w:hint="eastAsia"/>
                      <w:color w:val="auto"/>
                      <w:kern w:val="0"/>
                      <w:sz w:val="21"/>
                      <w:szCs w:val="21"/>
                      <w:vertAlign w:val="subscript"/>
                      <w:lang w:val="en-US" w:eastAsia="zh-CN"/>
                    </w:rPr>
                    <w:t>5</w:t>
                  </w:r>
                  <w:r>
                    <w:rPr>
                      <w:rFonts w:hint="eastAsia"/>
                      <w:color w:val="auto"/>
                      <w:kern w:val="0"/>
                      <w:sz w:val="21"/>
                      <w:szCs w:val="21"/>
                      <w:vertAlign w:val="baseline"/>
                      <w:lang w:val="en-US" w:eastAsia="zh-CN"/>
                    </w:rPr>
                    <w:t>、氨氮、动植物油</w:t>
                  </w:r>
                </w:p>
              </w:tc>
            </w:tr>
            <w:tr w14:paraId="70BD92D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385" w:type="pct"/>
                  <w:tcBorders>
                    <w:tl2br w:val="nil"/>
                    <w:tr2bl w:val="nil"/>
                  </w:tcBorders>
                  <w:vAlign w:val="center"/>
                </w:tcPr>
                <w:p w14:paraId="13853572">
                  <w:pPr>
                    <w:pStyle w:val="38"/>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bidi="ar-SA"/>
                    </w:rPr>
                  </w:pPr>
                  <w:r>
                    <w:rPr>
                      <w:rFonts w:hint="eastAsia" w:cs="Times New Roman"/>
                      <w:bCs/>
                      <w:color w:val="auto"/>
                      <w:sz w:val="21"/>
                      <w:szCs w:val="21"/>
                      <w:lang w:val="en-US" w:eastAsia="zh-CN" w:bidi="ar-SA"/>
                    </w:rPr>
                    <w:t>5</w:t>
                  </w:r>
                </w:p>
              </w:tc>
              <w:tc>
                <w:tcPr>
                  <w:tcW w:w="659" w:type="pct"/>
                  <w:tcBorders>
                    <w:tl2br w:val="nil"/>
                    <w:tr2bl w:val="nil"/>
                  </w:tcBorders>
                  <w:vAlign w:val="center"/>
                </w:tcPr>
                <w:p w14:paraId="7F7B6A81">
                  <w:pPr>
                    <w:pStyle w:val="38"/>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eastAsia" w:eastAsia="宋体"/>
                      <w:bCs/>
                      <w:color w:val="auto"/>
                      <w:sz w:val="21"/>
                      <w:szCs w:val="21"/>
                      <w:lang w:val="en-US" w:eastAsia="zh-CN"/>
                    </w:rPr>
                  </w:pPr>
                  <w:r>
                    <w:rPr>
                      <w:rFonts w:hint="eastAsia"/>
                      <w:bCs/>
                      <w:color w:val="auto"/>
                      <w:sz w:val="21"/>
                      <w:szCs w:val="21"/>
                      <w:lang w:val="en-US" w:eastAsia="zh-CN"/>
                    </w:rPr>
                    <w:t>噪声</w:t>
                  </w:r>
                </w:p>
              </w:tc>
              <w:tc>
                <w:tcPr>
                  <w:tcW w:w="1023" w:type="pct"/>
                  <w:tcBorders>
                    <w:tl2br w:val="nil"/>
                    <w:tr2bl w:val="nil"/>
                  </w:tcBorders>
                  <w:vAlign w:val="center"/>
                </w:tcPr>
                <w:p w14:paraId="548F72A0">
                  <w:pPr>
                    <w:pStyle w:val="38"/>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bCs/>
                      <w:color w:val="auto"/>
                      <w:sz w:val="21"/>
                      <w:szCs w:val="21"/>
                      <w:lang w:val="en-US" w:eastAsia="zh-CN"/>
                    </w:rPr>
                  </w:pPr>
                  <w:r>
                    <w:rPr>
                      <w:rFonts w:hint="eastAsia"/>
                      <w:bCs/>
                      <w:color w:val="auto"/>
                      <w:sz w:val="21"/>
                      <w:szCs w:val="21"/>
                      <w:lang w:val="en-US" w:eastAsia="zh-CN"/>
                    </w:rPr>
                    <w:t>机械设备运行</w:t>
                  </w:r>
                </w:p>
              </w:tc>
              <w:tc>
                <w:tcPr>
                  <w:tcW w:w="1633" w:type="pct"/>
                  <w:tcBorders>
                    <w:tl2br w:val="nil"/>
                    <w:tr2bl w:val="nil"/>
                  </w:tcBorders>
                  <w:vAlign w:val="center"/>
                </w:tcPr>
                <w:p w14:paraId="5F31CEBE">
                  <w:pPr>
                    <w:pStyle w:val="38"/>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bCs/>
                      <w:color w:val="auto"/>
                      <w:sz w:val="21"/>
                      <w:szCs w:val="21"/>
                      <w:lang w:val="en-US" w:eastAsia="zh-CN"/>
                    </w:rPr>
                  </w:pPr>
                  <w:r>
                    <w:rPr>
                      <w:rFonts w:hint="eastAsia"/>
                      <w:bCs/>
                      <w:color w:val="auto"/>
                      <w:sz w:val="21"/>
                      <w:szCs w:val="21"/>
                      <w:lang w:val="en-US" w:eastAsia="zh-CN"/>
                    </w:rPr>
                    <w:t>机械噪声</w:t>
                  </w:r>
                </w:p>
              </w:tc>
              <w:tc>
                <w:tcPr>
                  <w:tcW w:w="1298" w:type="pct"/>
                  <w:tcBorders>
                    <w:tl2br w:val="nil"/>
                    <w:tr2bl w:val="nil"/>
                  </w:tcBorders>
                  <w:vAlign w:val="center"/>
                </w:tcPr>
                <w:p w14:paraId="375D8676">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eastAsia="宋体"/>
                      <w:color w:val="auto"/>
                      <w:kern w:val="0"/>
                      <w:sz w:val="21"/>
                      <w:szCs w:val="21"/>
                      <w:lang w:val="en-US" w:eastAsia="zh-CN"/>
                    </w:rPr>
                  </w:pPr>
                  <w:r>
                    <w:rPr>
                      <w:rFonts w:hint="eastAsia" w:eastAsia="宋体"/>
                      <w:color w:val="auto"/>
                      <w:kern w:val="0"/>
                      <w:sz w:val="21"/>
                      <w:szCs w:val="21"/>
                      <w:lang w:val="en-US" w:eastAsia="zh-CN"/>
                    </w:rPr>
                    <w:t>等效连续A声级</w:t>
                  </w:r>
                </w:p>
              </w:tc>
            </w:tr>
            <w:tr w14:paraId="17F2615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385" w:type="pct"/>
                  <w:tcBorders>
                    <w:tl2br w:val="nil"/>
                    <w:tr2bl w:val="nil"/>
                  </w:tcBorders>
                  <w:vAlign w:val="center"/>
                </w:tcPr>
                <w:p w14:paraId="6B0A6CA8">
                  <w:pPr>
                    <w:pStyle w:val="38"/>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bidi="ar-SA"/>
                    </w:rPr>
                  </w:pPr>
                  <w:r>
                    <w:rPr>
                      <w:rFonts w:hint="eastAsia" w:cs="Times New Roman"/>
                      <w:bCs/>
                      <w:color w:val="auto"/>
                      <w:sz w:val="21"/>
                      <w:szCs w:val="21"/>
                      <w:lang w:val="en-US" w:eastAsia="zh-CN" w:bidi="ar-SA"/>
                    </w:rPr>
                    <w:t>6</w:t>
                  </w:r>
                </w:p>
              </w:tc>
              <w:tc>
                <w:tcPr>
                  <w:tcW w:w="659" w:type="pct"/>
                  <w:vMerge w:val="restart"/>
                  <w:tcBorders>
                    <w:tl2br w:val="nil"/>
                    <w:tr2bl w:val="nil"/>
                  </w:tcBorders>
                  <w:vAlign w:val="center"/>
                </w:tcPr>
                <w:p w14:paraId="74D4C2F2">
                  <w:pPr>
                    <w:pStyle w:val="38"/>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eastAsia" w:eastAsia="宋体"/>
                      <w:bCs/>
                      <w:color w:val="auto"/>
                      <w:sz w:val="21"/>
                      <w:szCs w:val="21"/>
                      <w:lang w:val="en-US" w:eastAsia="zh-CN"/>
                    </w:rPr>
                  </w:pPr>
                  <w:r>
                    <w:rPr>
                      <w:rFonts w:hint="eastAsia"/>
                      <w:bCs/>
                      <w:color w:val="auto"/>
                      <w:sz w:val="21"/>
                      <w:szCs w:val="21"/>
                      <w:lang w:val="en-US" w:eastAsia="zh-CN"/>
                    </w:rPr>
                    <w:t>固废</w:t>
                  </w:r>
                </w:p>
              </w:tc>
              <w:tc>
                <w:tcPr>
                  <w:tcW w:w="1023" w:type="pct"/>
                  <w:tcBorders>
                    <w:tl2br w:val="nil"/>
                    <w:tr2bl w:val="nil"/>
                  </w:tcBorders>
                  <w:vAlign w:val="center"/>
                </w:tcPr>
                <w:p w14:paraId="73939E14">
                  <w:pPr>
                    <w:pStyle w:val="38"/>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bCs/>
                      <w:color w:val="auto"/>
                      <w:sz w:val="21"/>
                      <w:szCs w:val="21"/>
                      <w:lang w:val="en-US" w:eastAsia="zh-CN"/>
                    </w:rPr>
                  </w:pPr>
                  <w:r>
                    <w:rPr>
                      <w:rFonts w:hint="eastAsia"/>
                      <w:bCs/>
                      <w:color w:val="auto"/>
                      <w:sz w:val="21"/>
                      <w:szCs w:val="21"/>
                      <w:lang w:val="en-US" w:eastAsia="zh-CN"/>
                    </w:rPr>
                    <w:t>洗选</w:t>
                  </w:r>
                </w:p>
              </w:tc>
              <w:tc>
                <w:tcPr>
                  <w:tcW w:w="1633" w:type="pct"/>
                  <w:tcBorders>
                    <w:tl2br w:val="nil"/>
                    <w:tr2bl w:val="nil"/>
                  </w:tcBorders>
                  <w:vAlign w:val="center"/>
                </w:tcPr>
                <w:p w14:paraId="1193F075">
                  <w:pPr>
                    <w:pStyle w:val="38"/>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bCs/>
                      <w:color w:val="auto"/>
                      <w:sz w:val="21"/>
                      <w:szCs w:val="21"/>
                      <w:lang w:val="en-US" w:eastAsia="zh-CN"/>
                    </w:rPr>
                  </w:pPr>
                  <w:r>
                    <w:rPr>
                      <w:rFonts w:hint="eastAsia"/>
                      <w:bCs/>
                      <w:color w:val="auto"/>
                      <w:sz w:val="21"/>
                      <w:szCs w:val="21"/>
                      <w:lang w:val="en-US" w:eastAsia="zh-CN"/>
                    </w:rPr>
                    <w:t>矸石</w:t>
                  </w:r>
                </w:p>
              </w:tc>
              <w:tc>
                <w:tcPr>
                  <w:tcW w:w="1298" w:type="pct"/>
                  <w:tcBorders>
                    <w:tl2br w:val="nil"/>
                    <w:tr2bl w:val="nil"/>
                  </w:tcBorders>
                  <w:vAlign w:val="center"/>
                </w:tcPr>
                <w:p w14:paraId="1B4AACAA">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eastAsia="宋体"/>
                      <w:color w:val="auto"/>
                      <w:kern w:val="0"/>
                      <w:sz w:val="21"/>
                      <w:szCs w:val="21"/>
                      <w:lang w:val="en-US" w:eastAsia="zh-CN"/>
                    </w:rPr>
                  </w:pPr>
                  <w:r>
                    <w:rPr>
                      <w:rFonts w:hint="eastAsia"/>
                      <w:color w:val="auto"/>
                      <w:kern w:val="0"/>
                      <w:sz w:val="21"/>
                      <w:szCs w:val="21"/>
                      <w:lang w:val="en-US" w:eastAsia="zh-CN"/>
                    </w:rPr>
                    <w:t>/</w:t>
                  </w:r>
                </w:p>
              </w:tc>
            </w:tr>
            <w:tr w14:paraId="58A8C2B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385" w:type="pct"/>
                  <w:tcBorders>
                    <w:tl2br w:val="nil"/>
                    <w:tr2bl w:val="nil"/>
                  </w:tcBorders>
                  <w:vAlign w:val="center"/>
                </w:tcPr>
                <w:p w14:paraId="18B01A26">
                  <w:pPr>
                    <w:pStyle w:val="38"/>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bidi="ar-SA"/>
                    </w:rPr>
                  </w:pPr>
                  <w:r>
                    <w:rPr>
                      <w:rFonts w:hint="eastAsia" w:cs="Times New Roman"/>
                      <w:bCs/>
                      <w:color w:val="auto"/>
                      <w:sz w:val="21"/>
                      <w:szCs w:val="21"/>
                      <w:lang w:val="en-US" w:eastAsia="zh-CN" w:bidi="ar-SA"/>
                    </w:rPr>
                    <w:t>7</w:t>
                  </w:r>
                </w:p>
              </w:tc>
              <w:tc>
                <w:tcPr>
                  <w:tcW w:w="659" w:type="pct"/>
                  <w:vMerge w:val="continue"/>
                  <w:tcBorders>
                    <w:tl2br w:val="nil"/>
                    <w:tr2bl w:val="nil"/>
                  </w:tcBorders>
                  <w:vAlign w:val="center"/>
                </w:tcPr>
                <w:p w14:paraId="1AE58C19">
                  <w:pPr>
                    <w:pStyle w:val="38"/>
                    <w:keepNext w:val="0"/>
                    <w:keepLines w:val="0"/>
                    <w:pageBreakBefore w:val="0"/>
                    <w:kinsoku/>
                    <w:wordWrap/>
                    <w:overflowPunct/>
                    <w:topLinePunct w:val="0"/>
                    <w:autoSpaceDE/>
                    <w:autoSpaceDN/>
                    <w:bidi w:val="0"/>
                    <w:adjustRightInd/>
                    <w:spacing w:line="240" w:lineRule="auto"/>
                    <w:ind w:firstLine="0" w:firstLineChars="0"/>
                    <w:jc w:val="center"/>
                    <w:textAlignment w:val="auto"/>
                    <w:rPr>
                      <w:bCs/>
                      <w:color w:val="auto"/>
                      <w:sz w:val="21"/>
                      <w:szCs w:val="21"/>
                    </w:rPr>
                  </w:pPr>
                </w:p>
              </w:tc>
              <w:tc>
                <w:tcPr>
                  <w:tcW w:w="1023" w:type="pct"/>
                  <w:tcBorders>
                    <w:tl2br w:val="nil"/>
                    <w:tr2bl w:val="nil"/>
                  </w:tcBorders>
                  <w:vAlign w:val="center"/>
                </w:tcPr>
                <w:p w14:paraId="65510A34">
                  <w:pPr>
                    <w:pStyle w:val="38"/>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eastAsia="宋体"/>
                      <w:bCs/>
                      <w:color w:val="auto"/>
                      <w:sz w:val="21"/>
                      <w:szCs w:val="21"/>
                      <w:lang w:val="en-US" w:eastAsia="zh-CN"/>
                    </w:rPr>
                  </w:pPr>
                  <w:r>
                    <w:rPr>
                      <w:rFonts w:hint="eastAsia"/>
                      <w:bCs/>
                      <w:color w:val="auto"/>
                      <w:sz w:val="21"/>
                      <w:szCs w:val="21"/>
                      <w:lang w:val="en-US" w:eastAsia="zh-CN"/>
                    </w:rPr>
                    <w:t>洗选</w:t>
                  </w:r>
                </w:p>
              </w:tc>
              <w:tc>
                <w:tcPr>
                  <w:tcW w:w="1633" w:type="pct"/>
                  <w:tcBorders>
                    <w:tl2br w:val="nil"/>
                    <w:tr2bl w:val="nil"/>
                  </w:tcBorders>
                  <w:vAlign w:val="center"/>
                </w:tcPr>
                <w:p w14:paraId="57DA8A6F">
                  <w:pPr>
                    <w:pStyle w:val="38"/>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eastAsia="宋体"/>
                      <w:bCs/>
                      <w:color w:val="auto"/>
                      <w:sz w:val="21"/>
                      <w:szCs w:val="21"/>
                      <w:lang w:val="en-US" w:eastAsia="zh-CN"/>
                    </w:rPr>
                  </w:pPr>
                  <w:r>
                    <w:rPr>
                      <w:rFonts w:hint="eastAsia"/>
                      <w:bCs/>
                      <w:color w:val="auto"/>
                      <w:sz w:val="21"/>
                      <w:szCs w:val="21"/>
                      <w:lang w:val="en-US" w:eastAsia="zh-CN"/>
                    </w:rPr>
                    <w:t>煤泥</w:t>
                  </w:r>
                </w:p>
              </w:tc>
              <w:tc>
                <w:tcPr>
                  <w:tcW w:w="1298" w:type="pct"/>
                  <w:tcBorders>
                    <w:tl2br w:val="nil"/>
                    <w:tr2bl w:val="nil"/>
                  </w:tcBorders>
                  <w:vAlign w:val="center"/>
                </w:tcPr>
                <w:p w14:paraId="36BFA4ED">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color w:val="auto"/>
                      <w:kern w:val="0"/>
                      <w:sz w:val="21"/>
                      <w:szCs w:val="21"/>
                    </w:rPr>
                  </w:pPr>
                  <w:r>
                    <w:rPr>
                      <w:rFonts w:hint="eastAsia"/>
                      <w:color w:val="auto"/>
                      <w:kern w:val="0"/>
                      <w:sz w:val="21"/>
                      <w:szCs w:val="21"/>
                    </w:rPr>
                    <w:t>/</w:t>
                  </w:r>
                </w:p>
              </w:tc>
            </w:tr>
            <w:tr w14:paraId="0C89444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385" w:type="pct"/>
                  <w:tcBorders>
                    <w:tl2br w:val="nil"/>
                    <w:tr2bl w:val="nil"/>
                  </w:tcBorders>
                  <w:vAlign w:val="center"/>
                </w:tcPr>
                <w:p w14:paraId="7A3B0A45">
                  <w:pPr>
                    <w:pStyle w:val="38"/>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bCs/>
                      <w:color w:val="auto"/>
                      <w:sz w:val="21"/>
                      <w:szCs w:val="21"/>
                      <w:lang w:val="en-US" w:eastAsia="zh-CN"/>
                    </w:rPr>
                  </w:pPr>
                  <w:r>
                    <w:rPr>
                      <w:rFonts w:hint="eastAsia"/>
                      <w:bCs/>
                      <w:color w:val="auto"/>
                      <w:sz w:val="21"/>
                      <w:szCs w:val="21"/>
                      <w:lang w:val="en-US" w:eastAsia="zh-CN"/>
                    </w:rPr>
                    <w:t>8</w:t>
                  </w:r>
                </w:p>
              </w:tc>
              <w:tc>
                <w:tcPr>
                  <w:tcW w:w="659" w:type="pct"/>
                  <w:vMerge w:val="continue"/>
                  <w:tcBorders>
                    <w:tl2br w:val="nil"/>
                    <w:tr2bl w:val="nil"/>
                  </w:tcBorders>
                  <w:vAlign w:val="center"/>
                </w:tcPr>
                <w:p w14:paraId="16486B6C">
                  <w:pPr>
                    <w:pStyle w:val="38"/>
                    <w:keepNext w:val="0"/>
                    <w:keepLines w:val="0"/>
                    <w:pageBreakBefore w:val="0"/>
                    <w:kinsoku/>
                    <w:wordWrap/>
                    <w:overflowPunct/>
                    <w:topLinePunct w:val="0"/>
                    <w:autoSpaceDE/>
                    <w:autoSpaceDN/>
                    <w:bidi w:val="0"/>
                    <w:adjustRightInd/>
                    <w:spacing w:line="240" w:lineRule="auto"/>
                    <w:ind w:firstLine="0" w:firstLineChars="0"/>
                    <w:jc w:val="center"/>
                    <w:textAlignment w:val="auto"/>
                    <w:rPr>
                      <w:bCs/>
                      <w:color w:val="auto"/>
                      <w:sz w:val="21"/>
                      <w:szCs w:val="21"/>
                    </w:rPr>
                  </w:pPr>
                </w:p>
              </w:tc>
              <w:tc>
                <w:tcPr>
                  <w:tcW w:w="1023" w:type="pct"/>
                  <w:tcBorders>
                    <w:tl2br w:val="nil"/>
                    <w:tr2bl w:val="nil"/>
                  </w:tcBorders>
                  <w:vAlign w:val="center"/>
                </w:tcPr>
                <w:p w14:paraId="34676D67">
                  <w:pPr>
                    <w:pStyle w:val="38"/>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bCs/>
                      <w:color w:val="auto"/>
                      <w:sz w:val="21"/>
                      <w:szCs w:val="21"/>
                      <w:lang w:val="en-US" w:eastAsia="zh-CN"/>
                    </w:rPr>
                  </w:pPr>
                  <w:r>
                    <w:rPr>
                      <w:rFonts w:hint="eastAsia"/>
                      <w:bCs/>
                      <w:color w:val="auto"/>
                      <w:sz w:val="21"/>
                      <w:szCs w:val="21"/>
                      <w:lang w:val="en-US" w:eastAsia="zh-CN"/>
                    </w:rPr>
                    <w:t>废气处理设施</w:t>
                  </w:r>
                </w:p>
              </w:tc>
              <w:tc>
                <w:tcPr>
                  <w:tcW w:w="1633" w:type="pct"/>
                  <w:tcBorders>
                    <w:tl2br w:val="nil"/>
                    <w:tr2bl w:val="nil"/>
                  </w:tcBorders>
                  <w:vAlign w:val="center"/>
                </w:tcPr>
                <w:p w14:paraId="1850571B">
                  <w:pPr>
                    <w:pStyle w:val="38"/>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bCs/>
                      <w:color w:val="auto"/>
                      <w:sz w:val="21"/>
                      <w:szCs w:val="21"/>
                      <w:lang w:val="en-US" w:eastAsia="zh-CN"/>
                    </w:rPr>
                  </w:pPr>
                  <w:r>
                    <w:rPr>
                      <w:rFonts w:hint="eastAsia"/>
                      <w:bCs/>
                      <w:color w:val="auto"/>
                      <w:sz w:val="21"/>
                      <w:szCs w:val="21"/>
                      <w:lang w:val="en-US" w:eastAsia="zh-CN"/>
                    </w:rPr>
                    <w:t>收集尘</w:t>
                  </w:r>
                </w:p>
              </w:tc>
              <w:tc>
                <w:tcPr>
                  <w:tcW w:w="1298" w:type="pct"/>
                  <w:tcBorders>
                    <w:tl2br w:val="nil"/>
                    <w:tr2bl w:val="nil"/>
                  </w:tcBorders>
                  <w:vAlign w:val="center"/>
                </w:tcPr>
                <w:p w14:paraId="73B40B25">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eastAsia="宋体"/>
                      <w:color w:val="auto"/>
                      <w:kern w:val="0"/>
                      <w:sz w:val="21"/>
                      <w:szCs w:val="21"/>
                      <w:lang w:val="en-US" w:eastAsia="zh-CN"/>
                    </w:rPr>
                  </w:pPr>
                  <w:r>
                    <w:rPr>
                      <w:rFonts w:hint="eastAsia"/>
                      <w:color w:val="auto"/>
                      <w:kern w:val="0"/>
                      <w:sz w:val="21"/>
                      <w:szCs w:val="21"/>
                      <w:lang w:val="en-US" w:eastAsia="zh-CN"/>
                    </w:rPr>
                    <w:t>/</w:t>
                  </w:r>
                </w:p>
              </w:tc>
            </w:tr>
            <w:tr w14:paraId="6BC8717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385" w:type="pct"/>
                  <w:tcBorders>
                    <w:tl2br w:val="nil"/>
                    <w:tr2bl w:val="nil"/>
                  </w:tcBorders>
                  <w:vAlign w:val="center"/>
                </w:tcPr>
                <w:p w14:paraId="67E99CEF">
                  <w:pPr>
                    <w:pStyle w:val="38"/>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bCs/>
                      <w:color w:val="auto"/>
                      <w:sz w:val="21"/>
                      <w:szCs w:val="21"/>
                      <w:lang w:val="en-US" w:eastAsia="zh-CN"/>
                    </w:rPr>
                  </w:pPr>
                  <w:r>
                    <w:rPr>
                      <w:rFonts w:hint="eastAsia"/>
                      <w:bCs/>
                      <w:color w:val="auto"/>
                      <w:sz w:val="21"/>
                      <w:szCs w:val="21"/>
                      <w:lang w:val="en-US" w:eastAsia="zh-CN"/>
                    </w:rPr>
                    <w:t>9</w:t>
                  </w:r>
                </w:p>
              </w:tc>
              <w:tc>
                <w:tcPr>
                  <w:tcW w:w="659" w:type="pct"/>
                  <w:vMerge w:val="continue"/>
                  <w:tcBorders>
                    <w:tl2br w:val="nil"/>
                    <w:tr2bl w:val="nil"/>
                  </w:tcBorders>
                  <w:vAlign w:val="center"/>
                </w:tcPr>
                <w:p w14:paraId="52F4207D">
                  <w:pPr>
                    <w:pStyle w:val="38"/>
                    <w:keepNext w:val="0"/>
                    <w:keepLines w:val="0"/>
                    <w:pageBreakBefore w:val="0"/>
                    <w:kinsoku/>
                    <w:wordWrap/>
                    <w:overflowPunct/>
                    <w:topLinePunct w:val="0"/>
                    <w:autoSpaceDE/>
                    <w:autoSpaceDN/>
                    <w:bidi w:val="0"/>
                    <w:adjustRightInd/>
                    <w:spacing w:line="240" w:lineRule="auto"/>
                    <w:ind w:firstLine="0" w:firstLineChars="0"/>
                    <w:jc w:val="center"/>
                    <w:textAlignment w:val="auto"/>
                    <w:rPr>
                      <w:bCs/>
                      <w:color w:val="auto"/>
                      <w:sz w:val="21"/>
                      <w:szCs w:val="21"/>
                    </w:rPr>
                  </w:pPr>
                </w:p>
              </w:tc>
              <w:tc>
                <w:tcPr>
                  <w:tcW w:w="1023" w:type="pct"/>
                  <w:tcBorders>
                    <w:tl2br w:val="nil"/>
                    <w:tr2bl w:val="nil"/>
                  </w:tcBorders>
                  <w:vAlign w:val="center"/>
                </w:tcPr>
                <w:p w14:paraId="55F3199D">
                  <w:pPr>
                    <w:pStyle w:val="38"/>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bCs/>
                      <w:color w:val="auto"/>
                      <w:sz w:val="21"/>
                      <w:szCs w:val="21"/>
                      <w:lang w:val="en-US" w:eastAsia="zh-CN"/>
                    </w:rPr>
                  </w:pPr>
                  <w:r>
                    <w:rPr>
                      <w:rFonts w:hint="eastAsia"/>
                      <w:bCs/>
                      <w:color w:val="auto"/>
                      <w:sz w:val="21"/>
                      <w:szCs w:val="21"/>
                      <w:lang w:val="en-US" w:eastAsia="zh-CN"/>
                    </w:rPr>
                    <w:t>检维修</w:t>
                  </w:r>
                </w:p>
              </w:tc>
              <w:tc>
                <w:tcPr>
                  <w:tcW w:w="1633" w:type="pct"/>
                  <w:tcBorders>
                    <w:tl2br w:val="nil"/>
                    <w:tr2bl w:val="nil"/>
                  </w:tcBorders>
                  <w:vAlign w:val="center"/>
                </w:tcPr>
                <w:p w14:paraId="5D40C03B">
                  <w:pPr>
                    <w:pStyle w:val="38"/>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bCs/>
                      <w:color w:val="auto"/>
                      <w:sz w:val="21"/>
                      <w:szCs w:val="21"/>
                      <w:lang w:val="en-US" w:eastAsia="zh-CN"/>
                    </w:rPr>
                  </w:pPr>
                  <w:r>
                    <w:rPr>
                      <w:rFonts w:hint="eastAsia"/>
                      <w:bCs/>
                      <w:color w:val="auto"/>
                      <w:sz w:val="21"/>
                      <w:szCs w:val="21"/>
                      <w:lang w:val="en-US" w:eastAsia="zh-CN"/>
                    </w:rPr>
                    <w:t>废机油</w:t>
                  </w:r>
                </w:p>
              </w:tc>
              <w:tc>
                <w:tcPr>
                  <w:tcW w:w="1298" w:type="pct"/>
                  <w:tcBorders>
                    <w:tl2br w:val="nil"/>
                    <w:tr2bl w:val="nil"/>
                  </w:tcBorders>
                  <w:vAlign w:val="center"/>
                </w:tcPr>
                <w:p w14:paraId="4D26373D">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color w:val="auto"/>
                      <w:kern w:val="0"/>
                      <w:sz w:val="21"/>
                      <w:szCs w:val="21"/>
                      <w:lang w:val="en-US" w:eastAsia="zh-CN"/>
                    </w:rPr>
                  </w:pPr>
                  <w:r>
                    <w:rPr>
                      <w:rFonts w:hint="eastAsia"/>
                      <w:color w:val="auto"/>
                      <w:kern w:val="0"/>
                      <w:sz w:val="21"/>
                      <w:szCs w:val="21"/>
                      <w:lang w:val="en-US" w:eastAsia="zh-CN"/>
                    </w:rPr>
                    <w:t>/</w:t>
                  </w:r>
                </w:p>
              </w:tc>
            </w:tr>
          </w:tbl>
          <w:p w14:paraId="14AC706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color w:val="auto"/>
                <w:sz w:val="24"/>
                <w:szCs w:val="24"/>
                <w:lang w:val="en-US"/>
              </w:rPr>
            </w:pPr>
          </w:p>
          <w:p w14:paraId="297ED6A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color w:val="auto"/>
                <w:sz w:val="24"/>
                <w:szCs w:val="24"/>
                <w:lang w:val="en-US"/>
              </w:rPr>
            </w:pPr>
          </w:p>
          <w:p w14:paraId="383107C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color w:val="auto"/>
                <w:sz w:val="24"/>
                <w:szCs w:val="24"/>
                <w:lang w:val="en-US"/>
              </w:rPr>
            </w:pPr>
          </w:p>
          <w:p w14:paraId="557C027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color w:val="auto"/>
                <w:sz w:val="24"/>
                <w:szCs w:val="24"/>
                <w:lang w:val="en-US"/>
              </w:rPr>
            </w:pPr>
          </w:p>
          <w:p w14:paraId="32805B4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color w:val="auto"/>
                <w:sz w:val="24"/>
                <w:szCs w:val="24"/>
                <w:lang w:val="en-US"/>
              </w:rPr>
            </w:pPr>
          </w:p>
          <w:p w14:paraId="44AC1A4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color w:val="auto"/>
                <w:sz w:val="24"/>
                <w:szCs w:val="24"/>
                <w:lang w:val="en-US"/>
              </w:rPr>
            </w:pPr>
          </w:p>
          <w:p w14:paraId="10EA46B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color w:val="auto"/>
                <w:sz w:val="24"/>
                <w:szCs w:val="24"/>
                <w:lang w:val="en-US"/>
              </w:rPr>
            </w:pPr>
          </w:p>
          <w:p w14:paraId="015AF22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color w:val="auto"/>
                <w:sz w:val="24"/>
                <w:szCs w:val="24"/>
                <w:lang w:val="en-US"/>
              </w:rPr>
            </w:pPr>
          </w:p>
          <w:p w14:paraId="30B4D07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color w:val="auto"/>
                <w:sz w:val="24"/>
                <w:szCs w:val="24"/>
                <w:lang w:val="en-US"/>
              </w:rPr>
            </w:pPr>
          </w:p>
          <w:p w14:paraId="5F18284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color w:val="auto"/>
                <w:sz w:val="24"/>
                <w:szCs w:val="24"/>
                <w:lang w:val="en-US"/>
              </w:rPr>
            </w:pPr>
          </w:p>
          <w:p w14:paraId="3F087F8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color w:val="auto"/>
                <w:sz w:val="24"/>
                <w:szCs w:val="24"/>
                <w:lang w:val="en-US"/>
              </w:rPr>
            </w:pPr>
          </w:p>
          <w:p w14:paraId="3E9377C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color w:val="auto"/>
                <w:sz w:val="24"/>
                <w:szCs w:val="24"/>
                <w:lang w:val="en-US"/>
              </w:rPr>
            </w:pPr>
          </w:p>
          <w:p w14:paraId="173457C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color w:val="auto"/>
                <w:sz w:val="24"/>
                <w:szCs w:val="24"/>
                <w:lang w:val="en-US"/>
              </w:rPr>
            </w:pPr>
          </w:p>
        </w:tc>
      </w:tr>
      <w:tr w14:paraId="1CA993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18" w:hRule="atLeast"/>
          <w:jc w:val="center"/>
        </w:trPr>
        <w:tc>
          <w:tcPr>
            <w:tcW w:w="857" w:type="dxa"/>
            <w:vAlign w:val="center"/>
          </w:tcPr>
          <w:p w14:paraId="46A2E071">
            <w:pPr>
              <w:pStyle w:val="25"/>
              <w:adjustRightInd w:val="0"/>
              <w:snapToGrid w:val="0"/>
              <w:spacing w:before="0" w:beforeAutospacing="0" w:after="0" w:afterAutospacing="0" w:line="360" w:lineRule="auto"/>
              <w:jc w:val="center"/>
              <w:rPr>
                <w:rFonts w:ascii="Times New Roman" w:hAnsi="Times New Roman"/>
                <w:color w:val="auto"/>
                <w:sz w:val="21"/>
                <w:szCs w:val="21"/>
              </w:rPr>
            </w:pPr>
            <w:r>
              <w:rPr>
                <w:rFonts w:ascii="Times New Roman" w:hAnsi="Times New Roman"/>
                <w:bCs/>
                <w:color w:val="auto"/>
                <w:kern w:val="2"/>
                <w:sz w:val="24"/>
                <w:szCs w:val="24"/>
              </w:rPr>
              <w:t>与项目有关的原有环境污染问题</w:t>
            </w:r>
          </w:p>
        </w:tc>
        <w:tc>
          <w:tcPr>
            <w:tcW w:w="8203" w:type="dxa"/>
            <w:vAlign w:val="center"/>
          </w:tcPr>
          <w:p w14:paraId="56EFCA3F">
            <w:pPr>
              <w:pStyle w:val="38"/>
              <w:numPr>
                <w:ilvl w:val="0"/>
                <w:numId w:val="0"/>
              </w:numPr>
              <w:bidi w:val="0"/>
              <w:spacing w:line="360" w:lineRule="auto"/>
              <w:jc w:val="both"/>
              <w:rPr>
                <w:rFonts w:hint="default" w:ascii="Times New Roman" w:hAnsi="Times New Roman" w:eastAsia="宋体" w:cs="Times New Roman"/>
                <w:b/>
                <w:bCs/>
                <w:color w:val="auto"/>
                <w:lang w:val="en-US" w:eastAsia="zh-CN"/>
              </w:rPr>
            </w:pPr>
            <w:r>
              <w:rPr>
                <w:rFonts w:hint="eastAsia" w:cs="Times New Roman"/>
                <w:b/>
                <w:bCs/>
                <w:color w:val="auto"/>
                <w:lang w:val="en-US" w:eastAsia="zh-CN"/>
              </w:rPr>
              <w:t>1.项目环保手续履行情况</w:t>
            </w:r>
          </w:p>
          <w:p w14:paraId="56C88ED5">
            <w:pPr>
              <w:pStyle w:val="38"/>
              <w:numPr>
                <w:ilvl w:val="0"/>
                <w:numId w:val="0"/>
              </w:numPr>
              <w:bidi w:val="0"/>
              <w:spacing w:line="360" w:lineRule="auto"/>
              <w:ind w:firstLine="480" w:firstLineChars="200"/>
              <w:jc w:val="both"/>
              <w:rPr>
                <w:rFonts w:hint="eastAsia" w:cs="Times New Roman"/>
                <w:color w:val="auto"/>
                <w:lang w:val="en-US" w:eastAsia="zh-CN"/>
              </w:rPr>
            </w:pPr>
            <w:r>
              <w:rPr>
                <w:rFonts w:hint="default" w:ascii="Times New Roman" w:hAnsi="Times New Roman" w:eastAsia="宋体" w:cs="Times New Roman"/>
                <w:color w:val="auto"/>
                <w:lang w:val="en-US" w:eastAsia="zh-CN"/>
              </w:rPr>
              <w:t>项目于2010年7月委托新疆建材环境评价部编制《成都聿杰商贸有限公司阜康市煤炭洗选分公司120万吨煤炭高效洗选项目环境影响报告书》，并于2011年3月9日取得原阜康市环境保护局批复，批复文号为阜环函〔2011〕38号，项目建成后于2012年停产，</w:t>
            </w:r>
            <w:r>
              <w:rPr>
                <w:rFonts w:hint="eastAsia" w:cs="Times New Roman"/>
                <w:color w:val="auto"/>
                <w:lang w:val="en-US" w:eastAsia="zh-CN"/>
              </w:rPr>
              <w:t>未进行排污许可申报，未进行竣工环保验收；</w:t>
            </w:r>
          </w:p>
          <w:p w14:paraId="15562AFF">
            <w:pPr>
              <w:pStyle w:val="38"/>
              <w:numPr>
                <w:ilvl w:val="0"/>
                <w:numId w:val="0"/>
              </w:numPr>
              <w:bidi w:val="0"/>
              <w:spacing w:line="360" w:lineRule="auto"/>
              <w:jc w:val="both"/>
              <w:rPr>
                <w:rFonts w:hint="eastAsia"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2.项目区现状</w:t>
            </w:r>
          </w:p>
          <w:p w14:paraId="0B9D1445">
            <w:pPr>
              <w:pStyle w:val="38"/>
              <w:numPr>
                <w:ilvl w:val="0"/>
                <w:numId w:val="0"/>
              </w:numPr>
              <w:bidi w:val="0"/>
              <w:spacing w:line="360" w:lineRule="auto"/>
              <w:ind w:firstLine="480" w:firstLineChars="200"/>
              <w:jc w:val="both"/>
              <w:rPr>
                <w:rFonts w:hint="eastAsia" w:ascii="Times New Roman" w:hAnsi="Times New Roman" w:cs="Times New Roman"/>
                <w:color w:val="auto"/>
                <w:lang w:val="en-US" w:eastAsia="zh-CN"/>
              </w:rPr>
            </w:pPr>
            <w:r>
              <w:rPr>
                <w:rFonts w:hint="eastAsia" w:ascii="Times New Roman" w:hAnsi="Times New Roman" w:eastAsia="宋体" w:cs="Times New Roman"/>
                <w:color w:val="auto"/>
                <w:lang w:val="en-US" w:eastAsia="zh-CN"/>
              </w:rPr>
              <w:t>根据现场踏勘，项目区现场厂房、设备仍在，但厂房破损严重，</w:t>
            </w:r>
            <w:r>
              <w:rPr>
                <w:rFonts w:hint="eastAsia" w:ascii="Times New Roman" w:hAnsi="Times New Roman" w:cs="Times New Roman"/>
                <w:color w:val="auto"/>
                <w:lang w:val="en-US" w:eastAsia="zh-CN"/>
              </w:rPr>
              <w:t>项目自2012年停产后再未进行生产，产排污活动也随之结束。</w:t>
            </w:r>
          </w:p>
          <w:p w14:paraId="26AAC974">
            <w:pPr>
              <w:pStyle w:val="38"/>
              <w:numPr>
                <w:ilvl w:val="0"/>
                <w:numId w:val="0"/>
              </w:numPr>
              <w:bidi w:val="0"/>
              <w:spacing w:line="360" w:lineRule="auto"/>
              <w:jc w:val="both"/>
              <w:rPr>
                <w:rFonts w:hint="default"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3.现场遗留的环境问题及整改措施</w:t>
            </w:r>
          </w:p>
          <w:p w14:paraId="035BBDB7">
            <w:pPr>
              <w:pStyle w:val="38"/>
              <w:numPr>
                <w:ilvl w:val="0"/>
                <w:numId w:val="0"/>
              </w:numPr>
              <w:bidi w:val="0"/>
              <w:spacing w:line="360" w:lineRule="auto"/>
              <w:ind w:firstLine="480" w:firstLineChars="200"/>
              <w:jc w:val="both"/>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根据现场踏勘，原有项目现存在环境问题如下：</w:t>
            </w:r>
          </w:p>
          <w:p w14:paraId="75170A45">
            <w:pPr>
              <w:pStyle w:val="38"/>
              <w:numPr>
                <w:ilvl w:val="0"/>
                <w:numId w:val="0"/>
              </w:numPr>
              <w:bidi w:val="0"/>
              <w:spacing w:line="360" w:lineRule="auto"/>
              <w:ind w:firstLine="480" w:firstLineChars="200"/>
              <w:jc w:val="both"/>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①厂区地面存在煤炭</w:t>
            </w:r>
            <w:r>
              <w:rPr>
                <w:rFonts w:hint="eastAsia" w:ascii="Times New Roman" w:hAnsi="Times New Roman" w:cs="Times New Roman"/>
                <w:color w:val="auto"/>
                <w:lang w:val="en-US" w:eastAsia="zh-CN"/>
              </w:rPr>
              <w:t>末，</w:t>
            </w:r>
            <w:r>
              <w:rPr>
                <w:rFonts w:hint="eastAsia" w:ascii="Times New Roman" w:hAnsi="Times New Roman" w:eastAsia="宋体" w:cs="Times New Roman"/>
                <w:color w:val="auto"/>
                <w:lang w:val="en-US" w:eastAsia="zh-CN"/>
              </w:rPr>
              <w:t>运输道路上散落着粉煤等；</w:t>
            </w:r>
          </w:p>
          <w:p w14:paraId="3ABCF50F">
            <w:pPr>
              <w:pStyle w:val="38"/>
              <w:numPr>
                <w:ilvl w:val="0"/>
                <w:numId w:val="0"/>
              </w:numPr>
              <w:bidi w:val="0"/>
              <w:spacing w:line="360" w:lineRule="auto"/>
              <w:ind w:firstLine="480" w:firstLineChars="200"/>
              <w:jc w:val="both"/>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②现场因部分厂房年久失修坍塌，建筑垃圾未及时清理；</w:t>
            </w:r>
          </w:p>
          <w:p w14:paraId="44551159">
            <w:pPr>
              <w:pStyle w:val="38"/>
              <w:numPr>
                <w:ilvl w:val="0"/>
                <w:numId w:val="0"/>
              </w:numPr>
              <w:bidi w:val="0"/>
              <w:spacing w:line="360" w:lineRule="auto"/>
              <w:ind w:firstLine="480" w:firstLineChars="200"/>
              <w:jc w:val="both"/>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针对上述问题，本次评价提出如下整改措施：</w:t>
            </w:r>
          </w:p>
          <w:p w14:paraId="27FD762B">
            <w:pPr>
              <w:pStyle w:val="38"/>
              <w:numPr>
                <w:ilvl w:val="0"/>
                <w:numId w:val="0"/>
              </w:numPr>
              <w:bidi w:val="0"/>
              <w:spacing w:line="360" w:lineRule="auto"/>
              <w:ind w:firstLine="480" w:firstLineChars="200"/>
              <w:jc w:val="both"/>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①及时清理遗留的</w:t>
            </w:r>
            <w:r>
              <w:rPr>
                <w:rFonts w:hint="eastAsia" w:ascii="Times New Roman" w:hAnsi="Times New Roman" w:eastAsia="宋体" w:cs="Times New Roman"/>
                <w:color w:val="auto"/>
                <w:lang w:val="en-US" w:eastAsia="zh-CN"/>
              </w:rPr>
              <w:t>煤炭</w:t>
            </w:r>
            <w:r>
              <w:rPr>
                <w:rFonts w:hint="eastAsia" w:ascii="Times New Roman" w:hAnsi="Times New Roman" w:cs="Times New Roman"/>
                <w:color w:val="auto"/>
                <w:lang w:val="en-US" w:eastAsia="zh-CN"/>
              </w:rPr>
              <w:t>末及建筑垃圾，保持厂区整洁；</w:t>
            </w:r>
          </w:p>
          <w:p w14:paraId="67FDF87B">
            <w:pPr>
              <w:pStyle w:val="38"/>
              <w:numPr>
                <w:ilvl w:val="0"/>
                <w:numId w:val="0"/>
              </w:numPr>
              <w:bidi w:val="0"/>
              <w:spacing w:line="360" w:lineRule="auto"/>
              <w:ind w:firstLine="480" w:firstLineChars="200"/>
              <w:jc w:val="both"/>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②</w:t>
            </w:r>
            <w:r>
              <w:rPr>
                <w:rFonts w:hint="eastAsia" w:ascii="Times New Roman" w:hAnsi="Times New Roman" w:eastAsia="宋体" w:cs="Times New Roman"/>
                <w:color w:val="auto"/>
                <w:lang w:val="en-US" w:eastAsia="zh-CN"/>
              </w:rPr>
              <w:t>同时</w:t>
            </w:r>
            <w:r>
              <w:rPr>
                <w:rFonts w:hint="default" w:ascii="Times New Roman" w:hAnsi="Times New Roman" w:eastAsia="宋体" w:cs="Times New Roman"/>
                <w:color w:val="auto"/>
                <w:lang w:val="en-US" w:eastAsia="zh-CN"/>
              </w:rPr>
              <w:t>建议建设方加强环境管理，保证清洁生产的正常进行，定期进行环境保护教育，提高全厂职工的环境意识，制订</w:t>
            </w:r>
            <w:r>
              <w:rPr>
                <w:rFonts w:hint="eastAsia" w:ascii="Times New Roman" w:hAnsi="Times New Roman" w:eastAsia="宋体" w:cs="Times New Roman"/>
                <w:color w:val="auto"/>
                <w:lang w:val="en-US" w:eastAsia="zh-CN"/>
              </w:rPr>
              <w:t>切实</w:t>
            </w:r>
            <w:r>
              <w:rPr>
                <w:rFonts w:hint="default" w:ascii="Times New Roman" w:hAnsi="Times New Roman" w:eastAsia="宋体" w:cs="Times New Roman"/>
                <w:color w:val="auto"/>
                <w:lang w:val="en-US" w:eastAsia="zh-CN"/>
              </w:rPr>
              <w:t>而可行的</w:t>
            </w:r>
            <w:r>
              <w:rPr>
                <w:rFonts w:hint="eastAsia" w:ascii="Times New Roman" w:hAnsi="Times New Roman" w:eastAsia="宋体" w:cs="Times New Roman"/>
                <w:color w:val="auto"/>
                <w:lang w:val="en-US" w:eastAsia="zh-CN"/>
              </w:rPr>
              <w:t>环保制度，保证环保设施正常运行</w:t>
            </w:r>
            <w:r>
              <w:rPr>
                <w:rFonts w:hint="default" w:ascii="Times New Roman" w:hAnsi="Times New Roman" w:eastAsia="宋体" w:cs="Times New Roman"/>
                <w:color w:val="auto"/>
                <w:lang w:val="en-US" w:eastAsia="zh-CN"/>
              </w:rPr>
              <w:t>。</w:t>
            </w:r>
          </w:p>
          <w:p w14:paraId="2DF3523E">
            <w:pPr>
              <w:pStyle w:val="38"/>
              <w:numPr>
                <w:ilvl w:val="0"/>
                <w:numId w:val="0"/>
              </w:numPr>
              <w:bidi w:val="0"/>
              <w:spacing w:line="360" w:lineRule="auto"/>
              <w:ind w:firstLine="480" w:firstLineChars="200"/>
              <w:jc w:val="both"/>
              <w:rPr>
                <w:rFonts w:hint="default" w:ascii="Times New Roman" w:hAnsi="Times New Roman" w:eastAsia="宋体" w:cs="Times New Roman"/>
                <w:color w:val="auto"/>
                <w:lang w:val="en-US" w:eastAsia="zh-CN"/>
              </w:rPr>
            </w:pPr>
          </w:p>
          <w:p w14:paraId="476CC41D">
            <w:pPr>
              <w:pStyle w:val="38"/>
              <w:numPr>
                <w:ilvl w:val="0"/>
                <w:numId w:val="0"/>
              </w:numPr>
              <w:bidi w:val="0"/>
              <w:spacing w:line="360" w:lineRule="auto"/>
              <w:ind w:firstLine="480" w:firstLineChars="200"/>
              <w:jc w:val="both"/>
              <w:rPr>
                <w:rFonts w:hint="default" w:ascii="Times New Roman" w:hAnsi="Times New Roman" w:eastAsia="宋体" w:cs="Times New Roman"/>
                <w:color w:val="auto"/>
                <w:lang w:val="en-US" w:eastAsia="zh-CN"/>
              </w:rPr>
            </w:pPr>
          </w:p>
          <w:p w14:paraId="14292AC6">
            <w:pPr>
              <w:pStyle w:val="38"/>
              <w:numPr>
                <w:ilvl w:val="0"/>
                <w:numId w:val="0"/>
              </w:numPr>
              <w:bidi w:val="0"/>
              <w:spacing w:line="360" w:lineRule="auto"/>
              <w:ind w:firstLine="480" w:firstLineChars="200"/>
              <w:jc w:val="both"/>
              <w:rPr>
                <w:rFonts w:hint="default" w:ascii="Times New Roman" w:hAnsi="Times New Roman" w:eastAsia="宋体" w:cs="Times New Roman"/>
                <w:color w:val="auto"/>
                <w:lang w:val="en-US" w:eastAsia="zh-CN"/>
              </w:rPr>
            </w:pPr>
          </w:p>
          <w:p w14:paraId="612C3B46">
            <w:pPr>
              <w:pStyle w:val="38"/>
              <w:numPr>
                <w:ilvl w:val="0"/>
                <w:numId w:val="0"/>
              </w:numPr>
              <w:bidi w:val="0"/>
              <w:spacing w:line="360" w:lineRule="auto"/>
              <w:ind w:firstLine="480" w:firstLineChars="200"/>
              <w:jc w:val="both"/>
              <w:rPr>
                <w:rFonts w:hint="default" w:ascii="Times New Roman" w:hAnsi="Times New Roman" w:eastAsia="宋体" w:cs="Times New Roman"/>
                <w:color w:val="auto"/>
                <w:lang w:val="en-US" w:eastAsia="zh-CN"/>
              </w:rPr>
            </w:pPr>
          </w:p>
          <w:p w14:paraId="23556335">
            <w:pPr>
              <w:pStyle w:val="38"/>
              <w:numPr>
                <w:ilvl w:val="0"/>
                <w:numId w:val="0"/>
              </w:numPr>
              <w:bidi w:val="0"/>
              <w:spacing w:line="360" w:lineRule="auto"/>
              <w:ind w:firstLine="480" w:firstLineChars="200"/>
              <w:jc w:val="both"/>
              <w:rPr>
                <w:rFonts w:hint="default" w:ascii="Times New Roman" w:hAnsi="Times New Roman" w:eastAsia="宋体" w:cs="Times New Roman"/>
                <w:color w:val="auto"/>
                <w:lang w:val="en-US" w:eastAsia="zh-CN"/>
              </w:rPr>
            </w:pPr>
          </w:p>
          <w:p w14:paraId="62A6514B">
            <w:pPr>
              <w:pStyle w:val="38"/>
              <w:numPr>
                <w:ilvl w:val="0"/>
                <w:numId w:val="0"/>
              </w:numPr>
              <w:bidi w:val="0"/>
              <w:spacing w:line="360" w:lineRule="auto"/>
              <w:ind w:firstLine="480" w:firstLineChars="200"/>
              <w:jc w:val="both"/>
              <w:rPr>
                <w:rFonts w:hint="default" w:ascii="Times New Roman" w:hAnsi="Times New Roman" w:eastAsia="宋体" w:cs="Times New Roman"/>
                <w:color w:val="auto"/>
                <w:lang w:val="en-US" w:eastAsia="zh-CN"/>
              </w:rPr>
            </w:pPr>
          </w:p>
          <w:p w14:paraId="79334CAA">
            <w:pPr>
              <w:pStyle w:val="38"/>
              <w:numPr>
                <w:ilvl w:val="0"/>
                <w:numId w:val="0"/>
              </w:numPr>
              <w:bidi w:val="0"/>
              <w:spacing w:line="360" w:lineRule="auto"/>
              <w:ind w:firstLine="480" w:firstLineChars="200"/>
              <w:jc w:val="both"/>
              <w:rPr>
                <w:rFonts w:hint="default" w:ascii="Times New Roman" w:hAnsi="Times New Roman" w:eastAsia="宋体" w:cs="Times New Roman"/>
                <w:color w:val="auto"/>
                <w:lang w:val="en-US" w:eastAsia="zh-CN"/>
              </w:rPr>
            </w:pPr>
          </w:p>
          <w:p w14:paraId="7A664408">
            <w:pPr>
              <w:pStyle w:val="38"/>
              <w:numPr>
                <w:ilvl w:val="0"/>
                <w:numId w:val="0"/>
              </w:numPr>
              <w:bidi w:val="0"/>
              <w:spacing w:line="360" w:lineRule="auto"/>
              <w:ind w:firstLine="480" w:firstLineChars="200"/>
              <w:jc w:val="both"/>
              <w:rPr>
                <w:rFonts w:hint="default" w:ascii="Times New Roman" w:hAnsi="Times New Roman" w:eastAsia="宋体" w:cs="Times New Roman"/>
                <w:color w:val="auto"/>
                <w:lang w:val="en-US" w:eastAsia="zh-CN"/>
              </w:rPr>
            </w:pPr>
          </w:p>
          <w:p w14:paraId="336E090A">
            <w:pPr>
              <w:pStyle w:val="38"/>
              <w:numPr>
                <w:ilvl w:val="0"/>
                <w:numId w:val="0"/>
              </w:numPr>
              <w:bidi w:val="0"/>
              <w:spacing w:line="360" w:lineRule="auto"/>
              <w:ind w:firstLine="480" w:firstLineChars="200"/>
              <w:jc w:val="both"/>
              <w:rPr>
                <w:rFonts w:hint="default" w:ascii="Times New Roman" w:hAnsi="Times New Roman" w:eastAsia="宋体" w:cs="Times New Roman"/>
                <w:color w:val="auto"/>
                <w:lang w:val="en-US" w:eastAsia="zh-CN"/>
              </w:rPr>
            </w:pPr>
          </w:p>
          <w:p w14:paraId="6487933E">
            <w:pPr>
              <w:pStyle w:val="38"/>
              <w:numPr>
                <w:ilvl w:val="0"/>
                <w:numId w:val="0"/>
              </w:numPr>
              <w:bidi w:val="0"/>
              <w:spacing w:line="360" w:lineRule="auto"/>
              <w:ind w:firstLine="480" w:firstLineChars="200"/>
              <w:jc w:val="both"/>
              <w:rPr>
                <w:rFonts w:hint="default" w:ascii="Times New Roman" w:hAnsi="Times New Roman" w:eastAsia="宋体" w:cs="Times New Roman"/>
                <w:color w:val="auto"/>
                <w:lang w:val="en-US" w:eastAsia="zh-CN"/>
              </w:rPr>
            </w:pPr>
          </w:p>
          <w:p w14:paraId="1D2C5D0A">
            <w:pPr>
              <w:pStyle w:val="38"/>
              <w:numPr>
                <w:ilvl w:val="0"/>
                <w:numId w:val="0"/>
              </w:numPr>
              <w:bidi w:val="0"/>
              <w:spacing w:line="360" w:lineRule="auto"/>
              <w:ind w:firstLine="480" w:firstLineChars="200"/>
              <w:jc w:val="both"/>
              <w:rPr>
                <w:rFonts w:hint="default" w:ascii="Times New Roman" w:hAnsi="Times New Roman" w:eastAsia="宋体" w:cs="Times New Roman"/>
                <w:color w:val="auto"/>
                <w:lang w:val="en-US" w:eastAsia="zh-CN"/>
              </w:rPr>
            </w:pPr>
          </w:p>
        </w:tc>
      </w:tr>
    </w:tbl>
    <w:p w14:paraId="4D9065B5">
      <w:pPr>
        <w:pStyle w:val="25"/>
        <w:jc w:val="center"/>
        <w:rPr>
          <w:rFonts w:ascii="Times New Roman" w:hAnsi="Times New Roman" w:eastAsia="黑体"/>
          <w:snapToGrid w:val="0"/>
          <w:color w:val="auto"/>
          <w:sz w:val="36"/>
          <w:szCs w:val="36"/>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6C3BD654">
      <w:pPr>
        <w:pStyle w:val="25"/>
        <w:adjustRightInd w:val="0"/>
        <w:snapToGrid w:val="0"/>
        <w:spacing w:before="0" w:beforeAutospacing="0" w:after="0" w:afterAutospacing="0" w:line="14" w:lineRule="auto"/>
        <w:jc w:val="center"/>
        <w:outlineLvl w:val="0"/>
        <w:rPr>
          <w:rFonts w:ascii="Times New Roman" w:hAnsi="Times New Roman" w:eastAsia="黑体"/>
          <w:snapToGrid w:val="0"/>
          <w:color w:val="auto"/>
          <w:sz w:val="30"/>
          <w:szCs w:val="30"/>
        </w:rPr>
      </w:pPr>
    </w:p>
    <w:p w14:paraId="45794E4D">
      <w:pPr>
        <w:pStyle w:val="25"/>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sz w:val="30"/>
          <w:szCs w:val="30"/>
        </w:rPr>
        <w:t>三、区域环境质量现状、环境保护目标及评价标准</w:t>
      </w: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7793"/>
      </w:tblGrid>
      <w:tr w14:paraId="2DFA1D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90" w:hRule="atLeast"/>
          <w:jc w:val="center"/>
        </w:trPr>
        <w:tc>
          <w:tcPr>
            <w:tcW w:w="800" w:type="dxa"/>
            <w:vAlign w:val="center"/>
          </w:tcPr>
          <w:p w14:paraId="3E54BC75">
            <w:pPr>
              <w:adjustRightInd w:val="0"/>
              <w:snapToGrid w:val="0"/>
              <w:spacing w:line="360" w:lineRule="auto"/>
              <w:jc w:val="center"/>
              <w:rPr>
                <w:color w:val="auto"/>
                <w:kern w:val="0"/>
                <w:sz w:val="24"/>
                <w:szCs w:val="24"/>
              </w:rPr>
            </w:pPr>
            <w:r>
              <w:rPr>
                <w:color w:val="auto"/>
                <w:kern w:val="0"/>
                <w:sz w:val="24"/>
                <w:szCs w:val="24"/>
              </w:rPr>
              <w:t>区域</w:t>
            </w:r>
          </w:p>
          <w:p w14:paraId="6D13ED59">
            <w:pPr>
              <w:adjustRightInd w:val="0"/>
              <w:snapToGrid w:val="0"/>
              <w:spacing w:line="360" w:lineRule="auto"/>
              <w:jc w:val="center"/>
              <w:rPr>
                <w:color w:val="auto"/>
                <w:kern w:val="0"/>
                <w:sz w:val="24"/>
                <w:szCs w:val="24"/>
              </w:rPr>
            </w:pPr>
            <w:r>
              <w:rPr>
                <w:color w:val="auto"/>
                <w:kern w:val="0"/>
                <w:sz w:val="24"/>
                <w:szCs w:val="24"/>
              </w:rPr>
              <w:t>环境</w:t>
            </w:r>
          </w:p>
          <w:p w14:paraId="23A0AD82">
            <w:pPr>
              <w:adjustRightInd w:val="0"/>
              <w:snapToGrid w:val="0"/>
              <w:spacing w:line="360" w:lineRule="auto"/>
              <w:jc w:val="center"/>
              <w:rPr>
                <w:color w:val="auto"/>
                <w:kern w:val="0"/>
                <w:sz w:val="24"/>
                <w:szCs w:val="24"/>
              </w:rPr>
            </w:pPr>
            <w:r>
              <w:rPr>
                <w:color w:val="auto"/>
                <w:kern w:val="0"/>
                <w:sz w:val="24"/>
                <w:szCs w:val="24"/>
              </w:rPr>
              <w:t>质量</w:t>
            </w:r>
          </w:p>
          <w:p w14:paraId="0E4BDBED">
            <w:pPr>
              <w:adjustRightInd w:val="0"/>
              <w:snapToGrid w:val="0"/>
              <w:spacing w:line="360" w:lineRule="auto"/>
              <w:jc w:val="center"/>
              <w:rPr>
                <w:color w:val="auto"/>
                <w:kern w:val="0"/>
                <w:szCs w:val="21"/>
              </w:rPr>
            </w:pPr>
            <w:r>
              <w:rPr>
                <w:color w:val="auto"/>
                <w:kern w:val="0"/>
                <w:sz w:val="24"/>
                <w:szCs w:val="24"/>
              </w:rPr>
              <w:t>现状</w:t>
            </w:r>
          </w:p>
        </w:tc>
        <w:tc>
          <w:tcPr>
            <w:tcW w:w="8190" w:type="dxa"/>
          </w:tcPr>
          <w:p w14:paraId="1E693E07">
            <w:pPr>
              <w:pStyle w:val="3"/>
              <w:keepNext/>
              <w:keepLines/>
              <w:pageBreakBefore w:val="0"/>
              <w:widowControl w:val="0"/>
              <w:numPr>
                <w:ilvl w:val="0"/>
                <w:numId w:val="10"/>
              </w:numPr>
              <w:tabs>
                <w:tab w:val="left" w:pos="1080"/>
              </w:tabs>
              <w:kinsoku/>
              <w:wordWrap/>
              <w:overflowPunct/>
              <w:topLinePunct w:val="0"/>
              <w:autoSpaceDE/>
              <w:autoSpaceDN/>
              <w:bidi w:val="0"/>
              <w:adjustRightInd/>
              <w:snapToGrid/>
              <w:spacing w:line="520" w:lineRule="exact"/>
              <w:jc w:val="both"/>
              <w:textAlignment w:val="auto"/>
              <w:rPr>
                <w:b/>
                <w:bCs/>
                <w:color w:val="auto"/>
                <w:sz w:val="24"/>
              </w:rPr>
            </w:pPr>
            <w:r>
              <w:rPr>
                <w:b/>
                <w:bCs/>
                <w:color w:val="auto"/>
                <w:sz w:val="24"/>
              </w:rPr>
              <w:t>环境空气质量现状</w:t>
            </w:r>
          </w:p>
          <w:p w14:paraId="0FF6F8AF">
            <w:pPr>
              <w:pageBreakBefore w:val="0"/>
              <w:widowControl w:val="0"/>
              <w:kinsoku/>
              <w:wordWrap/>
              <w:overflowPunct/>
              <w:topLinePunct w:val="0"/>
              <w:autoSpaceDE/>
              <w:autoSpaceDN/>
              <w:bidi w:val="0"/>
              <w:adjustRightInd w:val="0"/>
              <w:snapToGrid w:val="0"/>
              <w:spacing w:line="520" w:lineRule="exact"/>
              <w:jc w:val="left"/>
              <w:textAlignment w:val="auto"/>
              <w:rPr>
                <w:color w:val="auto"/>
              </w:rPr>
            </w:pPr>
            <w:r>
              <w:rPr>
                <w:b/>
                <w:bCs/>
                <w:color w:val="auto"/>
                <w:sz w:val="24"/>
              </w:rPr>
              <w:t>1.1 基本污染物环境质量现状评价</w:t>
            </w:r>
          </w:p>
          <w:p w14:paraId="74283A9C">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color w:val="auto"/>
                <w:sz w:val="24"/>
              </w:rPr>
            </w:pPr>
            <w:r>
              <w:rPr>
                <w:color w:val="auto"/>
                <w:sz w:val="24"/>
              </w:rPr>
              <w:t>根据《建设项目环境影响报告表编制技术指南（污染影响类）》的要求，本项目基本污染物环境质量现状评价采用环境专业知识服务系统发布的202</w:t>
            </w:r>
            <w:r>
              <w:rPr>
                <w:rFonts w:hint="eastAsia"/>
                <w:color w:val="auto"/>
                <w:sz w:val="24"/>
                <w:lang w:val="en-US" w:eastAsia="zh-CN"/>
              </w:rPr>
              <w:t>2</w:t>
            </w:r>
            <w:r>
              <w:rPr>
                <w:color w:val="auto"/>
                <w:sz w:val="24"/>
              </w:rPr>
              <w:t>年1月1日至202</w:t>
            </w:r>
            <w:r>
              <w:rPr>
                <w:rFonts w:hint="eastAsia"/>
                <w:color w:val="auto"/>
                <w:sz w:val="24"/>
                <w:lang w:val="en-US" w:eastAsia="zh-CN"/>
              </w:rPr>
              <w:t>2</w:t>
            </w:r>
            <w:r>
              <w:rPr>
                <w:color w:val="auto"/>
                <w:sz w:val="24"/>
              </w:rPr>
              <w:t>年12月31日昌吉州城市空气质量数据，</w:t>
            </w:r>
            <w:r>
              <w:rPr>
                <w:rFonts w:hint="default"/>
                <w:color w:val="auto"/>
                <w:sz w:val="24"/>
              </w:rPr>
              <w:t>本次评价选取</w:t>
            </w:r>
            <w:r>
              <w:rPr>
                <w:rFonts w:hint="eastAsia"/>
                <w:color w:val="auto"/>
                <w:sz w:val="24"/>
                <w:lang w:val="en-US" w:eastAsia="zh-CN"/>
              </w:rPr>
              <w:t>距离本项目最近的监测站（阜康市环境监测站）</w:t>
            </w:r>
            <w:r>
              <w:rPr>
                <w:rFonts w:hint="default"/>
                <w:color w:val="auto"/>
                <w:sz w:val="24"/>
              </w:rPr>
              <w:t>202</w:t>
            </w:r>
            <w:r>
              <w:rPr>
                <w:rFonts w:hint="eastAsia"/>
                <w:color w:val="auto"/>
                <w:sz w:val="24"/>
                <w:lang w:val="en-US" w:eastAsia="zh-CN"/>
              </w:rPr>
              <w:t>2</w:t>
            </w:r>
            <w:r>
              <w:rPr>
                <w:rFonts w:hint="default"/>
                <w:color w:val="auto"/>
                <w:sz w:val="24"/>
              </w:rPr>
              <w:t>年的监测数据，作为本项目环境空气现状评价基本污染物SO</w:t>
            </w:r>
            <w:r>
              <w:rPr>
                <w:rFonts w:hint="default"/>
                <w:color w:val="auto"/>
                <w:sz w:val="24"/>
                <w:vertAlign w:val="subscript"/>
              </w:rPr>
              <w:t>2</w:t>
            </w:r>
            <w:r>
              <w:rPr>
                <w:rFonts w:hint="default"/>
                <w:color w:val="auto"/>
                <w:sz w:val="24"/>
              </w:rPr>
              <w:t>、NO</w:t>
            </w:r>
            <w:r>
              <w:rPr>
                <w:rFonts w:hint="default"/>
                <w:color w:val="auto"/>
                <w:sz w:val="24"/>
                <w:vertAlign w:val="subscript"/>
              </w:rPr>
              <w:t>2</w:t>
            </w:r>
            <w:r>
              <w:rPr>
                <w:rFonts w:hint="default"/>
                <w:color w:val="auto"/>
                <w:sz w:val="24"/>
              </w:rPr>
              <w:t>、PM</w:t>
            </w:r>
            <w:r>
              <w:rPr>
                <w:rFonts w:hint="default"/>
                <w:color w:val="auto"/>
                <w:sz w:val="24"/>
                <w:vertAlign w:val="subscript"/>
              </w:rPr>
              <w:t>10</w:t>
            </w:r>
            <w:r>
              <w:rPr>
                <w:rFonts w:hint="default"/>
                <w:color w:val="auto"/>
                <w:sz w:val="24"/>
              </w:rPr>
              <w:t>、PM</w:t>
            </w:r>
            <w:r>
              <w:rPr>
                <w:rFonts w:hint="default"/>
                <w:color w:val="auto"/>
                <w:sz w:val="24"/>
                <w:vertAlign w:val="subscript"/>
              </w:rPr>
              <w:t>2.5</w:t>
            </w:r>
            <w:r>
              <w:rPr>
                <w:rFonts w:hint="default"/>
                <w:color w:val="auto"/>
                <w:sz w:val="24"/>
              </w:rPr>
              <w:t>、CO和O</w:t>
            </w:r>
            <w:r>
              <w:rPr>
                <w:rFonts w:hint="default"/>
                <w:color w:val="auto"/>
                <w:sz w:val="24"/>
                <w:vertAlign w:val="subscript"/>
              </w:rPr>
              <w:t>3</w:t>
            </w:r>
            <w:r>
              <w:rPr>
                <w:rFonts w:hint="default"/>
                <w:color w:val="auto"/>
                <w:sz w:val="24"/>
              </w:rPr>
              <w:t>的数据来源。</w:t>
            </w:r>
          </w:p>
          <w:p w14:paraId="2C30F9A2">
            <w:pPr>
              <w:keepNext w:val="0"/>
              <w:keepLines w:val="0"/>
              <w:pageBreakBefore w:val="0"/>
              <w:widowControl w:val="0"/>
              <w:kinsoku/>
              <w:wordWrap/>
              <w:overflowPunct/>
              <w:topLinePunct w:val="0"/>
              <w:autoSpaceDE/>
              <w:autoSpaceDN/>
              <w:bidi w:val="0"/>
              <w:adjustRightInd/>
              <w:snapToGrid w:val="0"/>
              <w:spacing w:line="520" w:lineRule="exact"/>
              <w:ind w:firstLine="480" w:firstLineChars="200"/>
              <w:textAlignment w:val="auto"/>
              <w:rPr>
                <w:color w:val="auto"/>
                <w:sz w:val="24"/>
              </w:rPr>
            </w:pPr>
            <w:r>
              <w:rPr>
                <w:color w:val="auto"/>
                <w:sz w:val="24"/>
              </w:rPr>
              <w:t>（1）评价标准</w:t>
            </w:r>
          </w:p>
          <w:p w14:paraId="1A0E7F3A">
            <w:pPr>
              <w:keepNext w:val="0"/>
              <w:keepLines w:val="0"/>
              <w:pageBreakBefore w:val="0"/>
              <w:widowControl w:val="0"/>
              <w:kinsoku/>
              <w:wordWrap/>
              <w:overflowPunct/>
              <w:topLinePunct w:val="0"/>
              <w:autoSpaceDE/>
              <w:autoSpaceDN/>
              <w:bidi w:val="0"/>
              <w:adjustRightInd/>
              <w:spacing w:line="520" w:lineRule="exact"/>
              <w:ind w:firstLine="480" w:firstLineChars="200"/>
              <w:textAlignment w:val="auto"/>
              <w:rPr>
                <w:color w:val="auto"/>
                <w:sz w:val="24"/>
              </w:rPr>
            </w:pPr>
            <w:r>
              <w:rPr>
                <w:color w:val="auto"/>
                <w:sz w:val="24"/>
              </w:rPr>
              <w:t>项目所在区域环境空气质量执行《环境空气质量标准》（GB3095-2012）二级标准。</w:t>
            </w:r>
          </w:p>
          <w:p w14:paraId="63A5B101">
            <w:pPr>
              <w:keepNext w:val="0"/>
              <w:keepLines w:val="0"/>
              <w:pageBreakBefore w:val="0"/>
              <w:widowControl w:val="0"/>
              <w:kinsoku/>
              <w:wordWrap/>
              <w:overflowPunct/>
              <w:topLinePunct w:val="0"/>
              <w:autoSpaceDE/>
              <w:autoSpaceDN/>
              <w:bidi w:val="0"/>
              <w:adjustRightInd/>
              <w:spacing w:line="520" w:lineRule="exact"/>
              <w:ind w:firstLine="480" w:firstLineChars="200"/>
              <w:textAlignment w:val="auto"/>
              <w:rPr>
                <w:color w:val="auto"/>
                <w:sz w:val="24"/>
              </w:rPr>
            </w:pPr>
            <w:r>
              <w:rPr>
                <w:color w:val="auto"/>
                <w:sz w:val="24"/>
              </w:rPr>
              <w:t>（2）评价结果统计</w:t>
            </w:r>
          </w:p>
          <w:p w14:paraId="45DADDCC">
            <w:pPr>
              <w:keepNext w:val="0"/>
              <w:keepLines w:val="0"/>
              <w:pageBreakBefore w:val="0"/>
              <w:widowControl w:val="0"/>
              <w:kinsoku/>
              <w:wordWrap/>
              <w:overflowPunct/>
              <w:topLinePunct w:val="0"/>
              <w:autoSpaceDE/>
              <w:autoSpaceDN/>
              <w:bidi w:val="0"/>
              <w:adjustRightInd/>
              <w:spacing w:line="520" w:lineRule="exact"/>
              <w:ind w:firstLine="480" w:firstLineChars="200"/>
              <w:textAlignment w:val="auto"/>
              <w:rPr>
                <w:color w:val="auto"/>
                <w:sz w:val="24"/>
              </w:rPr>
            </w:pPr>
            <w:r>
              <w:rPr>
                <w:color w:val="auto"/>
                <w:sz w:val="24"/>
              </w:rPr>
              <w:t>区域环境空气质量现状评价结果见表3-1。</w:t>
            </w:r>
          </w:p>
          <w:p w14:paraId="2D74FB4B">
            <w:pPr>
              <w:pStyle w:val="9"/>
              <w:keepNext w:val="0"/>
              <w:keepLines w:val="0"/>
              <w:pageBreakBefore w:val="0"/>
              <w:widowControl w:val="0"/>
              <w:kinsoku/>
              <w:wordWrap/>
              <w:overflowPunct/>
              <w:topLinePunct w:val="0"/>
              <w:autoSpaceDE/>
              <w:autoSpaceDN/>
              <w:bidi w:val="0"/>
              <w:adjustRightInd/>
              <w:snapToGrid w:val="0"/>
              <w:spacing w:before="0" w:after="0" w:line="520" w:lineRule="exact"/>
              <w:textAlignment w:val="auto"/>
              <w:rPr>
                <w:b/>
                <w:bCs/>
                <w:color w:val="auto"/>
                <w:sz w:val="21"/>
                <w:szCs w:val="21"/>
              </w:rPr>
            </w:pPr>
            <w:r>
              <w:rPr>
                <w:b/>
                <w:bCs/>
                <w:color w:val="auto"/>
                <w:sz w:val="21"/>
                <w:szCs w:val="21"/>
              </w:rPr>
              <w:t xml:space="preserve">表3-1  </w:t>
            </w:r>
            <w:r>
              <w:rPr>
                <w:rFonts w:hint="eastAsia"/>
                <w:b/>
                <w:bCs/>
                <w:color w:val="auto"/>
                <w:sz w:val="21"/>
                <w:szCs w:val="21"/>
                <w:lang w:val="en-US" w:eastAsia="zh-CN"/>
              </w:rPr>
              <w:t xml:space="preserve">  </w:t>
            </w:r>
            <w:r>
              <w:rPr>
                <w:b/>
                <w:bCs/>
                <w:color w:val="auto"/>
                <w:sz w:val="21"/>
                <w:szCs w:val="21"/>
              </w:rPr>
              <w:t>区域环境空气质量现状评价结果表</w:t>
            </w:r>
          </w:p>
          <w:tbl>
            <w:tblPr>
              <w:tblStyle w:val="27"/>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051"/>
              <w:gridCol w:w="10"/>
              <w:gridCol w:w="2914"/>
              <w:gridCol w:w="1013"/>
              <w:gridCol w:w="15"/>
              <w:gridCol w:w="1063"/>
              <w:gridCol w:w="811"/>
              <w:gridCol w:w="697"/>
            </w:tblGrid>
            <w:tr w14:paraId="38EA99F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3" w:hRule="atLeast"/>
                <w:jc w:val="center"/>
              </w:trPr>
              <w:tc>
                <w:tcPr>
                  <w:tcW w:w="697" w:type="pct"/>
                  <w:vMerge w:val="restart"/>
                  <w:noWrap w:val="0"/>
                  <w:vAlign w:val="center"/>
                </w:tcPr>
                <w:p w14:paraId="21C255D6">
                  <w:pPr>
                    <w:pStyle w:val="55"/>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评价因子</w:t>
                  </w:r>
                </w:p>
              </w:tc>
              <w:tc>
                <w:tcPr>
                  <w:tcW w:w="1935" w:type="pct"/>
                  <w:gridSpan w:val="2"/>
                  <w:vMerge w:val="restart"/>
                  <w:noWrap w:val="0"/>
                  <w:vAlign w:val="center"/>
                </w:tcPr>
                <w:p w14:paraId="528391F5">
                  <w:pPr>
                    <w:pStyle w:val="55"/>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平均时段</w:t>
                  </w:r>
                </w:p>
              </w:tc>
              <w:tc>
                <w:tcPr>
                  <w:tcW w:w="684" w:type="pct"/>
                  <w:gridSpan w:val="2"/>
                  <w:noWrap w:val="0"/>
                  <w:vAlign w:val="center"/>
                </w:tcPr>
                <w:p w14:paraId="2F7CB5C8">
                  <w:pPr>
                    <w:pStyle w:val="55"/>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评价标准</w:t>
                  </w:r>
                </w:p>
              </w:tc>
              <w:tc>
                <w:tcPr>
                  <w:tcW w:w="706" w:type="pct"/>
                  <w:noWrap w:val="0"/>
                  <w:vAlign w:val="center"/>
                </w:tcPr>
                <w:p w14:paraId="669FC87A">
                  <w:pPr>
                    <w:pStyle w:val="55"/>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现状浓度</w:t>
                  </w:r>
                </w:p>
              </w:tc>
              <w:tc>
                <w:tcPr>
                  <w:tcW w:w="512" w:type="pct"/>
                  <w:noWrap w:val="0"/>
                  <w:vAlign w:val="center"/>
                </w:tcPr>
                <w:p w14:paraId="42513EA1">
                  <w:pPr>
                    <w:pStyle w:val="55"/>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占标</w:t>
                  </w:r>
                </w:p>
              </w:tc>
              <w:tc>
                <w:tcPr>
                  <w:tcW w:w="463" w:type="pct"/>
                  <w:noWrap w:val="0"/>
                  <w:vAlign w:val="center"/>
                </w:tcPr>
                <w:p w14:paraId="1000D193">
                  <w:pPr>
                    <w:pStyle w:val="55"/>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6BEED33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3" w:hRule="atLeast"/>
                <w:jc w:val="center"/>
              </w:trPr>
              <w:tc>
                <w:tcPr>
                  <w:tcW w:w="697" w:type="pct"/>
                  <w:vMerge w:val="continue"/>
                  <w:tcBorders>
                    <w:bottom w:val="single" w:color="000000" w:sz="12" w:space="0"/>
                  </w:tcBorders>
                  <w:noWrap w:val="0"/>
                  <w:vAlign w:val="center"/>
                </w:tcPr>
                <w:p w14:paraId="5DEC2FEE">
                  <w:pPr>
                    <w:pStyle w:val="55"/>
                    <w:rPr>
                      <w:rFonts w:hint="default" w:ascii="Times New Roman" w:hAnsi="Times New Roman" w:eastAsia="宋体" w:cs="Times New Roman"/>
                      <w:color w:val="auto"/>
                      <w:sz w:val="21"/>
                      <w:szCs w:val="21"/>
                    </w:rPr>
                  </w:pPr>
                </w:p>
              </w:tc>
              <w:tc>
                <w:tcPr>
                  <w:tcW w:w="1935" w:type="pct"/>
                  <w:gridSpan w:val="2"/>
                  <w:vMerge w:val="continue"/>
                  <w:tcBorders>
                    <w:bottom w:val="single" w:color="000000" w:sz="12" w:space="0"/>
                  </w:tcBorders>
                  <w:noWrap w:val="0"/>
                  <w:vAlign w:val="center"/>
                </w:tcPr>
                <w:p w14:paraId="3A125A62">
                  <w:pPr>
                    <w:pStyle w:val="55"/>
                    <w:rPr>
                      <w:rFonts w:hint="default" w:ascii="Times New Roman" w:hAnsi="Times New Roman" w:eastAsia="宋体" w:cs="Times New Roman"/>
                      <w:color w:val="auto"/>
                      <w:sz w:val="21"/>
                      <w:szCs w:val="21"/>
                    </w:rPr>
                  </w:pPr>
                </w:p>
              </w:tc>
              <w:tc>
                <w:tcPr>
                  <w:tcW w:w="684" w:type="pct"/>
                  <w:gridSpan w:val="2"/>
                  <w:tcBorders>
                    <w:bottom w:val="single" w:color="000000" w:sz="12" w:space="0"/>
                  </w:tcBorders>
                  <w:noWrap w:val="0"/>
                  <w:vAlign w:val="center"/>
                </w:tcPr>
                <w:p w14:paraId="12D83C27">
                  <w:pPr>
                    <w:pStyle w:val="55"/>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(μg/m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706" w:type="pct"/>
                  <w:tcBorders>
                    <w:bottom w:val="single" w:color="000000" w:sz="12" w:space="0"/>
                  </w:tcBorders>
                  <w:noWrap w:val="0"/>
                  <w:vAlign w:val="center"/>
                </w:tcPr>
                <w:p w14:paraId="7C8F014D">
                  <w:pPr>
                    <w:pStyle w:val="55"/>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(μg/m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512" w:type="pct"/>
                  <w:tcBorders>
                    <w:bottom w:val="single" w:color="000000" w:sz="12" w:space="0"/>
                  </w:tcBorders>
                  <w:noWrap w:val="0"/>
                  <w:vAlign w:val="center"/>
                </w:tcPr>
                <w:p w14:paraId="4EF59B93">
                  <w:pPr>
                    <w:pStyle w:val="55"/>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率</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w:t>
                  </w:r>
                  <w:r>
                    <w:rPr>
                      <w:rFonts w:hint="eastAsia" w:cs="Times New Roman"/>
                      <w:color w:val="auto"/>
                      <w:sz w:val="21"/>
                      <w:szCs w:val="21"/>
                      <w:lang w:eastAsia="zh-CN"/>
                    </w:rPr>
                    <w:t>）</w:t>
                  </w:r>
                </w:p>
              </w:tc>
              <w:tc>
                <w:tcPr>
                  <w:tcW w:w="463" w:type="pct"/>
                  <w:tcBorders>
                    <w:bottom w:val="single" w:color="000000" w:sz="12" w:space="0"/>
                  </w:tcBorders>
                  <w:noWrap w:val="0"/>
                  <w:vAlign w:val="center"/>
                </w:tcPr>
                <w:p w14:paraId="07BCADC6">
                  <w:pPr>
                    <w:pStyle w:val="55"/>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情况</w:t>
                  </w:r>
                </w:p>
              </w:tc>
            </w:tr>
            <w:tr w14:paraId="5F18924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07" w:hRule="atLeast"/>
                <w:jc w:val="center"/>
              </w:trPr>
              <w:tc>
                <w:tcPr>
                  <w:tcW w:w="697" w:type="pct"/>
                  <w:tcBorders>
                    <w:top w:val="single" w:color="000000" w:sz="12" w:space="0"/>
                    <w:tl2br w:val="nil"/>
                    <w:tr2bl w:val="nil"/>
                  </w:tcBorders>
                  <w:noWrap w:val="0"/>
                  <w:vAlign w:val="center"/>
                </w:tcPr>
                <w:p w14:paraId="60EE3D6A">
                  <w:pPr>
                    <w:pStyle w:val="55"/>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SO</w:t>
                  </w:r>
                  <w:r>
                    <w:rPr>
                      <w:rFonts w:hint="default" w:ascii="Times New Roman" w:hAnsi="Times New Roman" w:eastAsia="宋体" w:cs="Times New Roman"/>
                      <w:color w:val="auto"/>
                      <w:sz w:val="21"/>
                      <w:szCs w:val="21"/>
                      <w:vertAlign w:val="subscript"/>
                    </w:rPr>
                    <w:t>2</w:t>
                  </w:r>
                </w:p>
              </w:tc>
              <w:tc>
                <w:tcPr>
                  <w:tcW w:w="1935" w:type="pct"/>
                  <w:gridSpan w:val="2"/>
                  <w:tcBorders>
                    <w:top w:val="single" w:color="000000" w:sz="12" w:space="0"/>
                    <w:tl2br w:val="nil"/>
                    <w:tr2bl w:val="nil"/>
                  </w:tcBorders>
                  <w:noWrap w:val="0"/>
                  <w:vAlign w:val="center"/>
                </w:tcPr>
                <w:p w14:paraId="0285346D">
                  <w:pPr>
                    <w:pStyle w:val="55"/>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年平均浓度</w:t>
                  </w:r>
                </w:p>
              </w:tc>
              <w:tc>
                <w:tcPr>
                  <w:tcW w:w="684" w:type="pct"/>
                  <w:gridSpan w:val="2"/>
                  <w:tcBorders>
                    <w:top w:val="single" w:color="000000" w:sz="12" w:space="0"/>
                    <w:tl2br w:val="nil"/>
                    <w:tr2bl w:val="nil"/>
                  </w:tcBorders>
                  <w:noWrap w:val="0"/>
                  <w:vAlign w:val="center"/>
                </w:tcPr>
                <w:p w14:paraId="71217A35">
                  <w:pPr>
                    <w:pStyle w:val="55"/>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60</w:t>
                  </w:r>
                </w:p>
              </w:tc>
              <w:tc>
                <w:tcPr>
                  <w:tcW w:w="706" w:type="pct"/>
                  <w:tcBorders>
                    <w:top w:val="single" w:color="000000" w:sz="12" w:space="0"/>
                    <w:tl2br w:val="nil"/>
                    <w:tr2bl w:val="nil"/>
                  </w:tcBorders>
                  <w:noWrap w:val="0"/>
                  <w:vAlign w:val="center"/>
                </w:tcPr>
                <w:p w14:paraId="6AF8DBD5">
                  <w:pPr>
                    <w:pStyle w:val="55"/>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w:t>
                  </w:r>
                </w:p>
              </w:tc>
              <w:tc>
                <w:tcPr>
                  <w:tcW w:w="512" w:type="pct"/>
                  <w:tcBorders>
                    <w:top w:val="single" w:color="000000" w:sz="12" w:space="0"/>
                    <w:tl2br w:val="nil"/>
                    <w:tr2bl w:val="nil"/>
                  </w:tcBorders>
                  <w:noWrap w:val="0"/>
                  <w:vAlign w:val="center"/>
                </w:tcPr>
                <w:p w14:paraId="2D8BC40A">
                  <w:pPr>
                    <w:pStyle w:val="55"/>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15.00</w:t>
                  </w:r>
                </w:p>
              </w:tc>
              <w:tc>
                <w:tcPr>
                  <w:tcW w:w="463" w:type="pct"/>
                  <w:tcBorders>
                    <w:top w:val="single" w:color="000000" w:sz="12" w:space="0"/>
                    <w:tl2br w:val="nil"/>
                    <w:tr2bl w:val="nil"/>
                  </w:tcBorders>
                  <w:noWrap w:val="0"/>
                  <w:vAlign w:val="center"/>
                </w:tcPr>
                <w:p w14:paraId="5421DD6B">
                  <w:pPr>
                    <w:pStyle w:val="55"/>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68CF11D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07" w:hRule="atLeast"/>
                <w:jc w:val="center"/>
              </w:trPr>
              <w:tc>
                <w:tcPr>
                  <w:tcW w:w="697" w:type="pct"/>
                  <w:tcBorders>
                    <w:tl2br w:val="nil"/>
                    <w:tr2bl w:val="nil"/>
                  </w:tcBorders>
                  <w:noWrap w:val="0"/>
                  <w:vAlign w:val="center"/>
                </w:tcPr>
                <w:p w14:paraId="10FE08FA">
                  <w:pPr>
                    <w:pStyle w:val="55"/>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NO</w:t>
                  </w:r>
                  <w:r>
                    <w:rPr>
                      <w:rFonts w:hint="default" w:ascii="Times New Roman" w:hAnsi="Times New Roman" w:eastAsia="宋体" w:cs="Times New Roman"/>
                      <w:color w:val="auto"/>
                      <w:sz w:val="21"/>
                      <w:szCs w:val="21"/>
                      <w:vertAlign w:val="subscript"/>
                    </w:rPr>
                    <w:t>2</w:t>
                  </w:r>
                </w:p>
              </w:tc>
              <w:tc>
                <w:tcPr>
                  <w:tcW w:w="1935" w:type="pct"/>
                  <w:gridSpan w:val="2"/>
                  <w:tcBorders>
                    <w:tl2br w:val="nil"/>
                    <w:tr2bl w:val="nil"/>
                  </w:tcBorders>
                  <w:noWrap w:val="0"/>
                  <w:vAlign w:val="center"/>
                </w:tcPr>
                <w:p w14:paraId="6FC71B46">
                  <w:pPr>
                    <w:pStyle w:val="55"/>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年平均浓度</w:t>
                  </w:r>
                </w:p>
              </w:tc>
              <w:tc>
                <w:tcPr>
                  <w:tcW w:w="684" w:type="pct"/>
                  <w:gridSpan w:val="2"/>
                  <w:tcBorders>
                    <w:tl2br w:val="nil"/>
                    <w:tr2bl w:val="nil"/>
                  </w:tcBorders>
                  <w:noWrap w:val="0"/>
                  <w:vAlign w:val="center"/>
                </w:tcPr>
                <w:p w14:paraId="52B9A83E">
                  <w:pPr>
                    <w:pStyle w:val="55"/>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40</w:t>
                  </w:r>
                </w:p>
              </w:tc>
              <w:tc>
                <w:tcPr>
                  <w:tcW w:w="706" w:type="pct"/>
                  <w:tcBorders>
                    <w:tl2br w:val="nil"/>
                    <w:tr2bl w:val="nil"/>
                  </w:tcBorders>
                  <w:noWrap w:val="0"/>
                  <w:vAlign w:val="center"/>
                </w:tcPr>
                <w:p w14:paraId="03F80D43">
                  <w:pPr>
                    <w:pStyle w:val="55"/>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26</w:t>
                  </w:r>
                </w:p>
              </w:tc>
              <w:tc>
                <w:tcPr>
                  <w:tcW w:w="512" w:type="pct"/>
                  <w:tcBorders>
                    <w:tl2br w:val="nil"/>
                    <w:tr2bl w:val="nil"/>
                  </w:tcBorders>
                  <w:noWrap w:val="0"/>
                  <w:vAlign w:val="center"/>
                </w:tcPr>
                <w:p w14:paraId="19ADA63B">
                  <w:pPr>
                    <w:pStyle w:val="55"/>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65.00</w:t>
                  </w:r>
                </w:p>
              </w:tc>
              <w:tc>
                <w:tcPr>
                  <w:tcW w:w="463" w:type="pct"/>
                  <w:tcBorders>
                    <w:tl2br w:val="nil"/>
                    <w:tr2bl w:val="nil"/>
                  </w:tcBorders>
                  <w:noWrap w:val="0"/>
                  <w:vAlign w:val="center"/>
                </w:tcPr>
                <w:p w14:paraId="4E3EACF3">
                  <w:pPr>
                    <w:pStyle w:val="55"/>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6235AEA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92" w:hRule="atLeast"/>
                <w:jc w:val="center"/>
              </w:trPr>
              <w:tc>
                <w:tcPr>
                  <w:tcW w:w="697" w:type="pct"/>
                  <w:tcBorders>
                    <w:tl2br w:val="nil"/>
                    <w:tr2bl w:val="nil"/>
                  </w:tcBorders>
                  <w:noWrap w:val="0"/>
                  <w:vAlign w:val="center"/>
                </w:tcPr>
                <w:p w14:paraId="32B0F0E3">
                  <w:pPr>
                    <w:pStyle w:val="55"/>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PM</w:t>
                  </w:r>
                  <w:r>
                    <w:rPr>
                      <w:rFonts w:hint="default" w:ascii="Times New Roman" w:hAnsi="Times New Roman" w:eastAsia="宋体" w:cs="Times New Roman"/>
                      <w:color w:val="auto"/>
                      <w:sz w:val="21"/>
                      <w:szCs w:val="21"/>
                      <w:vertAlign w:val="subscript"/>
                    </w:rPr>
                    <w:t>10</w:t>
                  </w:r>
                </w:p>
              </w:tc>
              <w:tc>
                <w:tcPr>
                  <w:tcW w:w="1935" w:type="pct"/>
                  <w:gridSpan w:val="2"/>
                  <w:tcBorders>
                    <w:tl2br w:val="nil"/>
                    <w:tr2bl w:val="nil"/>
                  </w:tcBorders>
                  <w:noWrap w:val="0"/>
                  <w:vAlign w:val="center"/>
                </w:tcPr>
                <w:p w14:paraId="29EE4F6B">
                  <w:pPr>
                    <w:pStyle w:val="55"/>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年平均浓度</w:t>
                  </w:r>
                </w:p>
              </w:tc>
              <w:tc>
                <w:tcPr>
                  <w:tcW w:w="684" w:type="pct"/>
                  <w:gridSpan w:val="2"/>
                  <w:tcBorders>
                    <w:tl2br w:val="nil"/>
                    <w:tr2bl w:val="nil"/>
                  </w:tcBorders>
                  <w:noWrap w:val="0"/>
                  <w:vAlign w:val="center"/>
                </w:tcPr>
                <w:p w14:paraId="45C7544E">
                  <w:pPr>
                    <w:pStyle w:val="55"/>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70</w:t>
                  </w:r>
                </w:p>
              </w:tc>
              <w:tc>
                <w:tcPr>
                  <w:tcW w:w="706" w:type="pct"/>
                  <w:tcBorders>
                    <w:tl2br w:val="nil"/>
                    <w:tr2bl w:val="nil"/>
                  </w:tcBorders>
                  <w:noWrap w:val="0"/>
                  <w:vAlign w:val="center"/>
                </w:tcPr>
                <w:p w14:paraId="6B42309F">
                  <w:pPr>
                    <w:pStyle w:val="55"/>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82</w:t>
                  </w:r>
                </w:p>
              </w:tc>
              <w:tc>
                <w:tcPr>
                  <w:tcW w:w="512" w:type="pct"/>
                  <w:tcBorders>
                    <w:tl2br w:val="nil"/>
                    <w:tr2bl w:val="nil"/>
                  </w:tcBorders>
                  <w:noWrap w:val="0"/>
                  <w:vAlign w:val="center"/>
                </w:tcPr>
                <w:p w14:paraId="495FD6DF">
                  <w:pPr>
                    <w:pStyle w:val="55"/>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117.14</w:t>
                  </w:r>
                </w:p>
              </w:tc>
              <w:tc>
                <w:tcPr>
                  <w:tcW w:w="463" w:type="pct"/>
                  <w:tcBorders>
                    <w:tl2br w:val="nil"/>
                    <w:tr2bl w:val="nil"/>
                  </w:tcBorders>
                  <w:noWrap w:val="0"/>
                  <w:vAlign w:val="center"/>
                </w:tcPr>
                <w:p w14:paraId="66E3E1B1">
                  <w:pPr>
                    <w:pStyle w:val="55"/>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超标</w:t>
                  </w:r>
                </w:p>
              </w:tc>
            </w:tr>
            <w:tr w14:paraId="49503ED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22" w:hRule="atLeast"/>
                <w:jc w:val="center"/>
              </w:trPr>
              <w:tc>
                <w:tcPr>
                  <w:tcW w:w="697" w:type="pct"/>
                  <w:tcBorders>
                    <w:tl2br w:val="nil"/>
                    <w:tr2bl w:val="nil"/>
                  </w:tcBorders>
                  <w:noWrap w:val="0"/>
                  <w:vAlign w:val="center"/>
                </w:tcPr>
                <w:p w14:paraId="59E376BA">
                  <w:pPr>
                    <w:pStyle w:val="55"/>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PM</w:t>
                  </w:r>
                  <w:r>
                    <w:rPr>
                      <w:rFonts w:hint="default" w:ascii="Times New Roman" w:hAnsi="Times New Roman" w:eastAsia="宋体" w:cs="Times New Roman"/>
                      <w:color w:val="auto"/>
                      <w:sz w:val="21"/>
                      <w:szCs w:val="21"/>
                      <w:vertAlign w:val="subscript"/>
                    </w:rPr>
                    <w:t>2.5</w:t>
                  </w:r>
                </w:p>
              </w:tc>
              <w:tc>
                <w:tcPr>
                  <w:tcW w:w="1935" w:type="pct"/>
                  <w:gridSpan w:val="2"/>
                  <w:tcBorders>
                    <w:tl2br w:val="nil"/>
                    <w:tr2bl w:val="nil"/>
                  </w:tcBorders>
                  <w:noWrap w:val="0"/>
                  <w:vAlign w:val="center"/>
                </w:tcPr>
                <w:p w14:paraId="40A9F658">
                  <w:pPr>
                    <w:pStyle w:val="55"/>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年平均浓度</w:t>
                  </w:r>
                </w:p>
              </w:tc>
              <w:tc>
                <w:tcPr>
                  <w:tcW w:w="684" w:type="pct"/>
                  <w:gridSpan w:val="2"/>
                  <w:tcBorders>
                    <w:tl2br w:val="nil"/>
                    <w:tr2bl w:val="nil"/>
                  </w:tcBorders>
                  <w:noWrap w:val="0"/>
                  <w:vAlign w:val="center"/>
                </w:tcPr>
                <w:p w14:paraId="636659CB">
                  <w:pPr>
                    <w:pStyle w:val="55"/>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35</w:t>
                  </w:r>
                </w:p>
              </w:tc>
              <w:tc>
                <w:tcPr>
                  <w:tcW w:w="706" w:type="pct"/>
                  <w:tcBorders>
                    <w:tl2br w:val="nil"/>
                    <w:tr2bl w:val="nil"/>
                  </w:tcBorders>
                  <w:noWrap w:val="0"/>
                  <w:vAlign w:val="center"/>
                </w:tcPr>
                <w:p w14:paraId="74478C06">
                  <w:pPr>
                    <w:pStyle w:val="55"/>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50</w:t>
                  </w:r>
                </w:p>
              </w:tc>
              <w:tc>
                <w:tcPr>
                  <w:tcW w:w="512" w:type="pct"/>
                  <w:tcBorders>
                    <w:tl2br w:val="nil"/>
                    <w:tr2bl w:val="nil"/>
                  </w:tcBorders>
                  <w:noWrap w:val="0"/>
                  <w:vAlign w:val="center"/>
                </w:tcPr>
                <w:p w14:paraId="2760CDC4">
                  <w:pPr>
                    <w:pStyle w:val="55"/>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142.86</w:t>
                  </w:r>
                </w:p>
              </w:tc>
              <w:tc>
                <w:tcPr>
                  <w:tcW w:w="463" w:type="pct"/>
                  <w:tcBorders>
                    <w:tl2br w:val="nil"/>
                    <w:tr2bl w:val="nil"/>
                  </w:tcBorders>
                  <w:noWrap w:val="0"/>
                  <w:vAlign w:val="center"/>
                </w:tcPr>
                <w:p w14:paraId="7DE95E5A">
                  <w:pPr>
                    <w:pStyle w:val="55"/>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超标</w:t>
                  </w:r>
                </w:p>
              </w:tc>
            </w:tr>
            <w:tr w14:paraId="5717715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07" w:hRule="atLeast"/>
                <w:jc w:val="center"/>
              </w:trPr>
              <w:tc>
                <w:tcPr>
                  <w:tcW w:w="697" w:type="pct"/>
                  <w:tcBorders>
                    <w:tl2br w:val="nil"/>
                    <w:tr2bl w:val="nil"/>
                  </w:tcBorders>
                  <w:noWrap w:val="0"/>
                  <w:vAlign w:val="center"/>
                </w:tcPr>
                <w:p w14:paraId="15F38FCA">
                  <w:pPr>
                    <w:pStyle w:val="55"/>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w:t>
                  </w:r>
                </w:p>
              </w:tc>
              <w:tc>
                <w:tcPr>
                  <w:tcW w:w="1935" w:type="pct"/>
                  <w:gridSpan w:val="2"/>
                  <w:tcBorders>
                    <w:tl2br w:val="nil"/>
                    <w:tr2bl w:val="nil"/>
                  </w:tcBorders>
                  <w:noWrap w:val="0"/>
                  <w:vAlign w:val="center"/>
                </w:tcPr>
                <w:p w14:paraId="5DF018F7">
                  <w:pPr>
                    <w:pStyle w:val="55"/>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24h平均第95百分位数</w:t>
                  </w:r>
                </w:p>
              </w:tc>
              <w:tc>
                <w:tcPr>
                  <w:tcW w:w="684" w:type="pct"/>
                  <w:gridSpan w:val="2"/>
                  <w:tcBorders>
                    <w:tl2br w:val="nil"/>
                    <w:tr2bl w:val="nil"/>
                  </w:tcBorders>
                  <w:noWrap w:val="0"/>
                  <w:vAlign w:val="center"/>
                </w:tcPr>
                <w:p w14:paraId="1C8CACAB">
                  <w:pPr>
                    <w:pStyle w:val="55"/>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4mg/m</w:t>
                  </w:r>
                  <w:r>
                    <w:rPr>
                      <w:rFonts w:hint="default" w:ascii="Times New Roman" w:hAnsi="Times New Roman" w:eastAsia="宋体" w:cs="Times New Roman"/>
                      <w:color w:val="auto"/>
                      <w:sz w:val="21"/>
                      <w:szCs w:val="21"/>
                      <w:vertAlign w:val="superscript"/>
                    </w:rPr>
                    <w:t>3</w:t>
                  </w:r>
                </w:p>
              </w:tc>
              <w:tc>
                <w:tcPr>
                  <w:tcW w:w="706" w:type="pct"/>
                  <w:tcBorders>
                    <w:tl2br w:val="nil"/>
                    <w:tr2bl w:val="nil"/>
                  </w:tcBorders>
                  <w:noWrap w:val="0"/>
                  <w:vAlign w:val="center"/>
                </w:tcPr>
                <w:p w14:paraId="55102380">
                  <w:pPr>
                    <w:pStyle w:val="55"/>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2.3</w:t>
                  </w: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512" w:type="pct"/>
                  <w:tcBorders>
                    <w:tl2br w:val="nil"/>
                    <w:tr2bl w:val="nil"/>
                  </w:tcBorders>
                  <w:noWrap w:val="0"/>
                  <w:vAlign w:val="center"/>
                </w:tcPr>
                <w:p w14:paraId="5459C220">
                  <w:pPr>
                    <w:pStyle w:val="55"/>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57.50</w:t>
                  </w:r>
                </w:p>
              </w:tc>
              <w:tc>
                <w:tcPr>
                  <w:tcW w:w="463" w:type="pct"/>
                  <w:tcBorders>
                    <w:tl2br w:val="nil"/>
                    <w:tr2bl w:val="nil"/>
                  </w:tcBorders>
                  <w:noWrap w:val="0"/>
                  <w:vAlign w:val="center"/>
                </w:tcPr>
                <w:p w14:paraId="0141D819">
                  <w:pPr>
                    <w:pStyle w:val="55"/>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6E0197F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3" w:hRule="atLeast"/>
                <w:jc w:val="center"/>
              </w:trPr>
              <w:tc>
                <w:tcPr>
                  <w:tcW w:w="707" w:type="pct"/>
                  <w:gridSpan w:val="2"/>
                  <w:tcBorders>
                    <w:tl2br w:val="nil"/>
                    <w:tr2bl w:val="nil"/>
                  </w:tcBorders>
                  <w:noWrap w:val="0"/>
                  <w:vAlign w:val="center"/>
                </w:tcPr>
                <w:p w14:paraId="0747866B">
                  <w:pPr>
                    <w:pStyle w:val="55"/>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O</w:t>
                  </w:r>
                  <w:r>
                    <w:rPr>
                      <w:rFonts w:hint="default" w:ascii="Times New Roman" w:hAnsi="Times New Roman" w:eastAsia="宋体" w:cs="Times New Roman"/>
                      <w:color w:val="auto"/>
                      <w:sz w:val="21"/>
                      <w:szCs w:val="21"/>
                      <w:vertAlign w:val="subscript"/>
                    </w:rPr>
                    <w:t>3</w:t>
                  </w:r>
                </w:p>
              </w:tc>
              <w:tc>
                <w:tcPr>
                  <w:tcW w:w="1926" w:type="pct"/>
                  <w:tcBorders>
                    <w:tl2br w:val="nil"/>
                    <w:tr2bl w:val="nil"/>
                  </w:tcBorders>
                  <w:noWrap w:val="0"/>
                  <w:vAlign w:val="center"/>
                </w:tcPr>
                <w:p w14:paraId="63E4C85B">
                  <w:pPr>
                    <w:pStyle w:val="55"/>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日最大8h滑动平均值的</w:t>
                  </w:r>
                </w:p>
                <w:p w14:paraId="45B8225E">
                  <w:pPr>
                    <w:pStyle w:val="55"/>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第90百分位数</w:t>
                  </w:r>
                </w:p>
              </w:tc>
              <w:tc>
                <w:tcPr>
                  <w:tcW w:w="672" w:type="pct"/>
                  <w:tcBorders>
                    <w:tl2br w:val="nil"/>
                    <w:tr2bl w:val="nil"/>
                  </w:tcBorders>
                  <w:noWrap w:val="0"/>
                  <w:vAlign w:val="center"/>
                </w:tcPr>
                <w:p w14:paraId="7142A211">
                  <w:pPr>
                    <w:pStyle w:val="55"/>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160</w:t>
                  </w:r>
                </w:p>
              </w:tc>
              <w:tc>
                <w:tcPr>
                  <w:tcW w:w="718" w:type="pct"/>
                  <w:gridSpan w:val="2"/>
                  <w:tcBorders>
                    <w:tl2br w:val="nil"/>
                    <w:tr2bl w:val="nil"/>
                  </w:tcBorders>
                  <w:noWrap w:val="0"/>
                  <w:vAlign w:val="center"/>
                </w:tcPr>
                <w:p w14:paraId="4FB66B2C">
                  <w:pPr>
                    <w:pStyle w:val="55"/>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126</w:t>
                  </w:r>
                </w:p>
              </w:tc>
              <w:tc>
                <w:tcPr>
                  <w:tcW w:w="512" w:type="pct"/>
                  <w:tcBorders>
                    <w:tl2br w:val="nil"/>
                    <w:tr2bl w:val="nil"/>
                  </w:tcBorders>
                  <w:noWrap w:val="0"/>
                  <w:vAlign w:val="center"/>
                </w:tcPr>
                <w:p w14:paraId="141F0A53">
                  <w:pPr>
                    <w:pStyle w:val="55"/>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78.75</w:t>
                  </w:r>
                </w:p>
              </w:tc>
              <w:tc>
                <w:tcPr>
                  <w:tcW w:w="463" w:type="pct"/>
                  <w:tcBorders>
                    <w:tl2br w:val="nil"/>
                    <w:tr2bl w:val="nil"/>
                  </w:tcBorders>
                  <w:noWrap w:val="0"/>
                  <w:vAlign w:val="center"/>
                </w:tcPr>
                <w:p w14:paraId="0E9D8F1D">
                  <w:pPr>
                    <w:pStyle w:val="55"/>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bl>
          <w:p w14:paraId="531F45C2">
            <w:pPr>
              <w:pStyle w:val="7"/>
              <w:keepNext w:val="0"/>
              <w:keepLines w:val="0"/>
              <w:pageBreakBefore w:val="0"/>
              <w:widowControl/>
              <w:kinsoku/>
              <w:wordWrap/>
              <w:overflowPunct/>
              <w:topLinePunct w:val="0"/>
              <w:autoSpaceDE/>
              <w:autoSpaceDN/>
              <w:bidi w:val="0"/>
              <w:adjustRightInd/>
              <w:snapToGrid/>
              <w:spacing w:before="0" w:after="0" w:line="520" w:lineRule="exact"/>
              <w:ind w:right="0" w:firstLine="480" w:firstLineChars="200"/>
              <w:textAlignment w:val="auto"/>
              <w:rPr>
                <w:rFonts w:hint="eastAsia"/>
                <w:color w:val="auto"/>
                <w:kern w:val="2"/>
                <w:sz w:val="24"/>
                <w:szCs w:val="24"/>
                <w:lang w:val="en-US" w:eastAsia="zh-CN"/>
              </w:rPr>
            </w:pPr>
            <w:r>
              <w:rPr>
                <w:color w:val="auto"/>
                <w:kern w:val="2"/>
                <w:sz w:val="24"/>
                <w:szCs w:val="24"/>
              </w:rPr>
              <w:t>由上表可知，本项目所在区域SO</w:t>
            </w:r>
            <w:r>
              <w:rPr>
                <w:color w:val="auto"/>
                <w:kern w:val="2"/>
                <w:sz w:val="24"/>
                <w:szCs w:val="24"/>
                <w:vertAlign w:val="subscript"/>
              </w:rPr>
              <w:t>2</w:t>
            </w:r>
            <w:r>
              <w:rPr>
                <w:color w:val="auto"/>
                <w:kern w:val="2"/>
                <w:sz w:val="24"/>
                <w:szCs w:val="24"/>
              </w:rPr>
              <w:t>、NO</w:t>
            </w:r>
            <w:r>
              <w:rPr>
                <w:color w:val="auto"/>
                <w:kern w:val="2"/>
                <w:sz w:val="24"/>
                <w:szCs w:val="24"/>
                <w:vertAlign w:val="subscript"/>
              </w:rPr>
              <w:t>2</w:t>
            </w:r>
            <w:r>
              <w:rPr>
                <w:color w:val="auto"/>
                <w:kern w:val="2"/>
                <w:sz w:val="24"/>
                <w:szCs w:val="24"/>
              </w:rPr>
              <w:t>、CO、O</w:t>
            </w:r>
            <w:r>
              <w:rPr>
                <w:color w:val="auto"/>
                <w:kern w:val="2"/>
                <w:sz w:val="24"/>
                <w:szCs w:val="24"/>
                <w:vertAlign w:val="subscript"/>
              </w:rPr>
              <w:t>3</w:t>
            </w:r>
            <w:r>
              <w:rPr>
                <w:color w:val="auto"/>
                <w:kern w:val="2"/>
                <w:sz w:val="24"/>
                <w:szCs w:val="24"/>
              </w:rPr>
              <w:t>的浓度均可满足《环境空气质量标准》（GB3095-2012）二级浓度限值，PM</w:t>
            </w:r>
            <w:r>
              <w:rPr>
                <w:color w:val="auto"/>
                <w:kern w:val="2"/>
                <w:sz w:val="24"/>
                <w:szCs w:val="24"/>
                <w:vertAlign w:val="subscript"/>
              </w:rPr>
              <w:t>10</w:t>
            </w:r>
            <w:r>
              <w:rPr>
                <w:color w:val="auto"/>
                <w:kern w:val="2"/>
                <w:sz w:val="24"/>
                <w:szCs w:val="24"/>
              </w:rPr>
              <w:t>、PM</w:t>
            </w:r>
            <w:r>
              <w:rPr>
                <w:color w:val="auto"/>
                <w:kern w:val="2"/>
                <w:sz w:val="24"/>
                <w:szCs w:val="24"/>
                <w:vertAlign w:val="subscript"/>
              </w:rPr>
              <w:t>2.5</w:t>
            </w:r>
            <w:r>
              <w:rPr>
                <w:color w:val="auto"/>
                <w:kern w:val="2"/>
                <w:sz w:val="24"/>
                <w:szCs w:val="24"/>
              </w:rPr>
              <w:t>浓度超过《环境空气质量标准》（GB3095-2012）二级浓度限值。</w:t>
            </w:r>
            <w:r>
              <w:rPr>
                <w:rFonts w:hint="eastAsia"/>
                <w:color w:val="auto"/>
                <w:kern w:val="2"/>
                <w:sz w:val="24"/>
                <w:szCs w:val="24"/>
                <w:lang w:val="en-US" w:eastAsia="zh-CN"/>
              </w:rPr>
              <w:t>超标原因主要是因为新疆气候干燥，浮尘天气等因素影响。因此，项目所在区域为不达标区</w:t>
            </w:r>
          </w:p>
          <w:p w14:paraId="57E4122A">
            <w:pPr>
              <w:pStyle w:val="35"/>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b/>
                <w:bCs/>
                <w:color w:val="auto"/>
                <w:kern w:val="2"/>
                <w:sz w:val="24"/>
                <w:szCs w:val="24"/>
                <w:lang w:val="en-US" w:eastAsia="zh-CN"/>
              </w:rPr>
            </w:pPr>
            <w:r>
              <w:rPr>
                <w:rFonts w:hint="eastAsia"/>
                <w:b/>
                <w:bCs/>
                <w:color w:val="auto"/>
                <w:kern w:val="2"/>
                <w:sz w:val="24"/>
                <w:szCs w:val="24"/>
                <w:lang w:val="en-US" w:eastAsia="zh-CN"/>
              </w:rPr>
              <w:t>1.2 其他污染物环境质量现状</w:t>
            </w:r>
          </w:p>
          <w:p w14:paraId="550DE43C">
            <w:pPr>
              <w:pStyle w:val="35"/>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eastAsia"/>
                <w:color w:val="auto"/>
                <w:kern w:val="2"/>
                <w:sz w:val="24"/>
                <w:szCs w:val="24"/>
                <w:lang w:val="en-US" w:eastAsia="zh-CN"/>
              </w:rPr>
            </w:pPr>
            <w:r>
              <w:rPr>
                <w:rFonts w:hint="eastAsia"/>
                <w:color w:val="auto"/>
                <w:kern w:val="2"/>
                <w:sz w:val="24"/>
                <w:szCs w:val="24"/>
                <w:lang w:val="en-US" w:eastAsia="zh-CN"/>
              </w:rPr>
              <w:t>根据《建设项目环境影响报告表编制技术指南（污染影响类）》（试行），本项目环境空气污染物其他项目选取《环境空气质量标准》（GB3095-2012）表2中的TSP作为特征污染物来评价项目区域环境空气质量现状，本次评价引用新疆国泰民康职业环境检测评价有限责任公司在《新疆昌吉州阜康市泰尚实业有限责任公司废旧资源回收利用建设项目》中现状监测数据，监测点位于本项目南侧300m处，监测时间为2022年10月10日-2022年10月13日，引用数据具有有效性。</w:t>
            </w:r>
          </w:p>
          <w:p w14:paraId="4D24CBF4">
            <w:pPr>
              <w:pStyle w:val="35"/>
              <w:keepNext w:val="0"/>
              <w:keepLines w:val="0"/>
              <w:pageBreakBefore w:val="0"/>
              <w:widowControl w:val="0"/>
              <w:kinsoku/>
              <w:wordWrap/>
              <w:overflowPunct/>
              <w:topLinePunct w:val="0"/>
              <w:autoSpaceDE/>
              <w:autoSpaceDN/>
              <w:bidi w:val="0"/>
              <w:adjustRightInd/>
              <w:snapToGrid/>
              <w:spacing w:after="0" w:line="520" w:lineRule="exact"/>
              <w:jc w:val="center"/>
              <w:textAlignment w:val="auto"/>
              <w:rPr>
                <w:rFonts w:hint="eastAsia"/>
                <w:b/>
                <w:bCs/>
                <w:color w:val="auto"/>
                <w:kern w:val="2"/>
                <w:sz w:val="21"/>
                <w:szCs w:val="21"/>
                <w:lang w:val="en-US" w:eastAsia="zh-CN"/>
              </w:rPr>
            </w:pPr>
            <w:r>
              <w:rPr>
                <w:rFonts w:hint="eastAsia"/>
                <w:b/>
                <w:bCs/>
                <w:color w:val="auto"/>
                <w:kern w:val="2"/>
                <w:sz w:val="21"/>
                <w:szCs w:val="21"/>
                <w:lang w:val="en-US" w:eastAsia="zh-CN"/>
              </w:rPr>
              <w:t>表3-2    TSP监测评价结果一览表</w:t>
            </w:r>
          </w:p>
          <w:tbl>
            <w:tblPr>
              <w:tblStyle w:val="2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3"/>
              <w:gridCol w:w="2176"/>
              <w:gridCol w:w="1012"/>
              <w:gridCol w:w="1245"/>
              <w:gridCol w:w="1238"/>
              <w:gridCol w:w="953"/>
            </w:tblGrid>
            <w:tr w14:paraId="1D430E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55" w:hRule="atLeast"/>
                <w:jc w:val="center"/>
              </w:trPr>
              <w:tc>
                <w:tcPr>
                  <w:tcW w:w="1089" w:type="dxa"/>
                  <w:vMerge w:val="restart"/>
                  <w:tcBorders>
                    <w:tl2br w:val="nil"/>
                    <w:tr2bl w:val="nil"/>
                  </w:tcBorders>
                  <w:vAlign w:val="center"/>
                </w:tcPr>
                <w:p w14:paraId="3F355A15">
                  <w:pPr>
                    <w:pStyle w:val="35"/>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b w:val="0"/>
                      <w:bCs w:val="0"/>
                      <w:color w:val="auto"/>
                      <w:kern w:val="2"/>
                      <w:sz w:val="21"/>
                      <w:szCs w:val="21"/>
                      <w:vertAlign w:val="baseline"/>
                      <w:lang w:val="en-US" w:eastAsia="zh-CN"/>
                    </w:rPr>
                  </w:pPr>
                  <w:r>
                    <w:rPr>
                      <w:rFonts w:hint="eastAsia"/>
                      <w:b w:val="0"/>
                      <w:bCs w:val="0"/>
                      <w:color w:val="auto"/>
                      <w:kern w:val="2"/>
                      <w:sz w:val="21"/>
                      <w:szCs w:val="21"/>
                      <w:vertAlign w:val="baseline"/>
                      <w:lang w:val="en-US" w:eastAsia="zh-CN"/>
                    </w:rPr>
                    <w:t>监测点</w:t>
                  </w:r>
                </w:p>
              </w:tc>
              <w:tc>
                <w:tcPr>
                  <w:tcW w:w="1756" w:type="dxa"/>
                  <w:vMerge w:val="restart"/>
                  <w:tcBorders>
                    <w:tl2br w:val="nil"/>
                    <w:tr2bl w:val="nil"/>
                  </w:tcBorders>
                  <w:vAlign w:val="center"/>
                </w:tcPr>
                <w:p w14:paraId="4E4A6BCA">
                  <w:pPr>
                    <w:pStyle w:val="35"/>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b w:val="0"/>
                      <w:bCs w:val="0"/>
                      <w:color w:val="auto"/>
                      <w:kern w:val="2"/>
                      <w:sz w:val="21"/>
                      <w:szCs w:val="21"/>
                      <w:vertAlign w:val="baseline"/>
                      <w:lang w:val="en-US" w:eastAsia="zh-CN"/>
                    </w:rPr>
                  </w:pPr>
                  <w:r>
                    <w:rPr>
                      <w:rFonts w:hint="eastAsia"/>
                      <w:b w:val="0"/>
                      <w:bCs w:val="0"/>
                      <w:color w:val="auto"/>
                      <w:kern w:val="2"/>
                      <w:sz w:val="21"/>
                      <w:szCs w:val="21"/>
                      <w:vertAlign w:val="baseline"/>
                      <w:lang w:val="en-US" w:eastAsia="zh-CN"/>
                    </w:rPr>
                    <w:t>监测时间</w:t>
                  </w:r>
                </w:p>
              </w:tc>
              <w:tc>
                <w:tcPr>
                  <w:tcW w:w="1124" w:type="dxa"/>
                  <w:vMerge w:val="restart"/>
                  <w:tcBorders>
                    <w:tl2br w:val="nil"/>
                    <w:tr2bl w:val="nil"/>
                  </w:tcBorders>
                  <w:vAlign w:val="center"/>
                </w:tcPr>
                <w:p w14:paraId="6FC6EE49">
                  <w:pPr>
                    <w:pStyle w:val="35"/>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b w:val="0"/>
                      <w:bCs w:val="0"/>
                      <w:color w:val="auto"/>
                      <w:kern w:val="2"/>
                      <w:sz w:val="21"/>
                      <w:szCs w:val="21"/>
                      <w:vertAlign w:val="baseline"/>
                      <w:lang w:val="en-US" w:eastAsia="zh-CN"/>
                    </w:rPr>
                  </w:pPr>
                  <w:r>
                    <w:rPr>
                      <w:rFonts w:hint="eastAsia"/>
                      <w:b w:val="0"/>
                      <w:bCs w:val="0"/>
                      <w:color w:val="auto"/>
                      <w:kern w:val="2"/>
                      <w:sz w:val="21"/>
                      <w:szCs w:val="21"/>
                      <w:vertAlign w:val="baseline"/>
                      <w:lang w:val="en-US" w:eastAsia="zh-CN"/>
                    </w:rPr>
                    <w:t>污染物</w:t>
                  </w:r>
                </w:p>
              </w:tc>
              <w:tc>
                <w:tcPr>
                  <w:tcW w:w="2498" w:type="dxa"/>
                  <w:gridSpan w:val="2"/>
                  <w:tcBorders>
                    <w:tl2br w:val="nil"/>
                    <w:tr2bl w:val="nil"/>
                  </w:tcBorders>
                  <w:vAlign w:val="center"/>
                </w:tcPr>
                <w:p w14:paraId="6BBB37AF">
                  <w:pPr>
                    <w:pStyle w:val="35"/>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b w:val="0"/>
                      <w:bCs w:val="0"/>
                      <w:color w:val="auto"/>
                      <w:kern w:val="2"/>
                      <w:sz w:val="21"/>
                      <w:szCs w:val="21"/>
                      <w:vertAlign w:val="baseline"/>
                      <w:lang w:val="en-US" w:eastAsia="zh-CN"/>
                    </w:rPr>
                  </w:pPr>
                  <w:r>
                    <w:rPr>
                      <w:rFonts w:hint="eastAsia"/>
                      <w:b w:val="0"/>
                      <w:bCs w:val="0"/>
                      <w:color w:val="auto"/>
                      <w:kern w:val="2"/>
                      <w:sz w:val="21"/>
                      <w:szCs w:val="21"/>
                      <w:vertAlign w:val="baseline"/>
                      <w:lang w:val="en-US" w:eastAsia="zh-CN"/>
                    </w:rPr>
                    <w:t>小时浓度</w:t>
                  </w:r>
                </w:p>
              </w:tc>
              <w:tc>
                <w:tcPr>
                  <w:tcW w:w="1090" w:type="dxa"/>
                  <w:vMerge w:val="restart"/>
                  <w:tcBorders>
                    <w:tl2br w:val="nil"/>
                    <w:tr2bl w:val="nil"/>
                  </w:tcBorders>
                  <w:vAlign w:val="center"/>
                </w:tcPr>
                <w:p w14:paraId="5C2A744E">
                  <w:pPr>
                    <w:pStyle w:val="35"/>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b w:val="0"/>
                      <w:bCs w:val="0"/>
                      <w:color w:val="auto"/>
                      <w:kern w:val="2"/>
                      <w:sz w:val="21"/>
                      <w:szCs w:val="21"/>
                      <w:vertAlign w:val="baseline"/>
                      <w:lang w:val="en-US" w:eastAsia="zh-CN"/>
                    </w:rPr>
                  </w:pPr>
                  <w:r>
                    <w:rPr>
                      <w:rFonts w:hint="eastAsia"/>
                      <w:b w:val="0"/>
                      <w:bCs w:val="0"/>
                      <w:color w:val="auto"/>
                      <w:kern w:val="2"/>
                      <w:sz w:val="21"/>
                      <w:szCs w:val="21"/>
                      <w:vertAlign w:val="baseline"/>
                      <w:lang w:val="en-US" w:eastAsia="zh-CN"/>
                    </w:rPr>
                    <w:t>达标情况</w:t>
                  </w:r>
                </w:p>
              </w:tc>
            </w:tr>
            <w:tr w14:paraId="5D27C0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089" w:type="dxa"/>
                  <w:vMerge w:val="continue"/>
                  <w:tcBorders>
                    <w:tl2br w:val="nil"/>
                    <w:tr2bl w:val="nil"/>
                  </w:tcBorders>
                  <w:vAlign w:val="center"/>
                </w:tcPr>
                <w:p w14:paraId="4CABBA4C">
                  <w:pPr>
                    <w:pStyle w:val="35"/>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b w:val="0"/>
                      <w:bCs w:val="0"/>
                      <w:color w:val="auto"/>
                      <w:sz w:val="21"/>
                      <w:szCs w:val="21"/>
                    </w:rPr>
                  </w:pPr>
                </w:p>
              </w:tc>
              <w:tc>
                <w:tcPr>
                  <w:tcW w:w="1756" w:type="dxa"/>
                  <w:vMerge w:val="continue"/>
                  <w:tcBorders>
                    <w:tl2br w:val="nil"/>
                    <w:tr2bl w:val="nil"/>
                  </w:tcBorders>
                  <w:vAlign w:val="center"/>
                </w:tcPr>
                <w:p w14:paraId="0D5939B5">
                  <w:pPr>
                    <w:pStyle w:val="35"/>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b w:val="0"/>
                      <w:bCs w:val="0"/>
                      <w:color w:val="auto"/>
                      <w:sz w:val="21"/>
                      <w:szCs w:val="21"/>
                    </w:rPr>
                  </w:pPr>
                </w:p>
              </w:tc>
              <w:tc>
                <w:tcPr>
                  <w:tcW w:w="1124" w:type="dxa"/>
                  <w:vMerge w:val="continue"/>
                  <w:tcBorders>
                    <w:tl2br w:val="nil"/>
                    <w:tr2bl w:val="nil"/>
                  </w:tcBorders>
                  <w:vAlign w:val="center"/>
                </w:tcPr>
                <w:p w14:paraId="67D56B7E">
                  <w:pPr>
                    <w:pStyle w:val="35"/>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b w:val="0"/>
                      <w:bCs w:val="0"/>
                      <w:color w:val="auto"/>
                      <w:sz w:val="21"/>
                      <w:szCs w:val="21"/>
                    </w:rPr>
                  </w:pPr>
                </w:p>
              </w:tc>
              <w:tc>
                <w:tcPr>
                  <w:tcW w:w="1249" w:type="dxa"/>
                  <w:tcBorders>
                    <w:tl2br w:val="nil"/>
                    <w:tr2bl w:val="nil"/>
                  </w:tcBorders>
                  <w:vAlign w:val="center"/>
                </w:tcPr>
                <w:p w14:paraId="7D2807E8">
                  <w:pPr>
                    <w:pStyle w:val="35"/>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b w:val="0"/>
                      <w:bCs w:val="0"/>
                      <w:color w:val="auto"/>
                      <w:kern w:val="2"/>
                      <w:sz w:val="21"/>
                      <w:szCs w:val="21"/>
                      <w:vertAlign w:val="baseline"/>
                      <w:lang w:val="en-US" w:eastAsia="zh-CN"/>
                    </w:rPr>
                  </w:pPr>
                  <w:r>
                    <w:rPr>
                      <w:rFonts w:hint="eastAsia"/>
                      <w:b w:val="0"/>
                      <w:bCs w:val="0"/>
                      <w:color w:val="auto"/>
                      <w:kern w:val="2"/>
                      <w:sz w:val="21"/>
                      <w:szCs w:val="21"/>
                      <w:vertAlign w:val="baseline"/>
                      <w:lang w:val="en-US" w:eastAsia="zh-CN"/>
                    </w:rPr>
                    <w:t>浓度范围（mg/m</w:t>
                  </w:r>
                  <w:r>
                    <w:rPr>
                      <w:rFonts w:hint="eastAsia"/>
                      <w:b w:val="0"/>
                      <w:bCs w:val="0"/>
                      <w:color w:val="auto"/>
                      <w:kern w:val="2"/>
                      <w:sz w:val="21"/>
                      <w:szCs w:val="21"/>
                      <w:vertAlign w:val="superscript"/>
                      <w:lang w:val="en-US" w:eastAsia="zh-CN"/>
                    </w:rPr>
                    <w:t>3</w:t>
                  </w:r>
                  <w:r>
                    <w:rPr>
                      <w:rFonts w:hint="eastAsia"/>
                      <w:b w:val="0"/>
                      <w:bCs w:val="0"/>
                      <w:color w:val="auto"/>
                      <w:kern w:val="2"/>
                      <w:sz w:val="21"/>
                      <w:szCs w:val="21"/>
                      <w:vertAlign w:val="baseline"/>
                      <w:lang w:val="en-US" w:eastAsia="zh-CN"/>
                    </w:rPr>
                    <w:t>）</w:t>
                  </w:r>
                </w:p>
              </w:tc>
              <w:tc>
                <w:tcPr>
                  <w:tcW w:w="1249" w:type="dxa"/>
                  <w:tcBorders>
                    <w:tl2br w:val="nil"/>
                    <w:tr2bl w:val="nil"/>
                  </w:tcBorders>
                  <w:vAlign w:val="center"/>
                </w:tcPr>
                <w:p w14:paraId="4DED68ED">
                  <w:pPr>
                    <w:pStyle w:val="35"/>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b w:val="0"/>
                      <w:bCs w:val="0"/>
                      <w:color w:val="auto"/>
                      <w:kern w:val="2"/>
                      <w:sz w:val="21"/>
                      <w:szCs w:val="21"/>
                      <w:vertAlign w:val="baseline"/>
                      <w:lang w:val="en-US" w:eastAsia="zh-CN"/>
                    </w:rPr>
                  </w:pPr>
                  <w:r>
                    <w:rPr>
                      <w:rFonts w:hint="eastAsia"/>
                      <w:b w:val="0"/>
                      <w:bCs w:val="0"/>
                      <w:color w:val="auto"/>
                      <w:kern w:val="2"/>
                      <w:sz w:val="21"/>
                      <w:szCs w:val="21"/>
                      <w:vertAlign w:val="baseline"/>
                      <w:lang w:val="en-US" w:eastAsia="zh-CN"/>
                    </w:rPr>
                    <w:t>执行标准（mg/m</w:t>
                  </w:r>
                  <w:r>
                    <w:rPr>
                      <w:rFonts w:hint="eastAsia"/>
                      <w:b w:val="0"/>
                      <w:bCs w:val="0"/>
                      <w:color w:val="auto"/>
                      <w:kern w:val="2"/>
                      <w:sz w:val="21"/>
                      <w:szCs w:val="21"/>
                      <w:vertAlign w:val="superscript"/>
                      <w:lang w:val="en-US" w:eastAsia="zh-CN"/>
                    </w:rPr>
                    <w:t>3</w:t>
                  </w:r>
                  <w:r>
                    <w:rPr>
                      <w:rFonts w:hint="eastAsia"/>
                      <w:b w:val="0"/>
                      <w:bCs w:val="0"/>
                      <w:color w:val="auto"/>
                      <w:kern w:val="2"/>
                      <w:sz w:val="21"/>
                      <w:szCs w:val="21"/>
                      <w:vertAlign w:val="baseline"/>
                      <w:lang w:val="en-US" w:eastAsia="zh-CN"/>
                    </w:rPr>
                    <w:t>）</w:t>
                  </w:r>
                </w:p>
              </w:tc>
              <w:tc>
                <w:tcPr>
                  <w:tcW w:w="1090" w:type="dxa"/>
                  <w:vMerge w:val="continue"/>
                  <w:tcBorders>
                    <w:tl2br w:val="nil"/>
                    <w:tr2bl w:val="nil"/>
                  </w:tcBorders>
                  <w:vAlign w:val="center"/>
                </w:tcPr>
                <w:p w14:paraId="3439858F">
                  <w:pPr>
                    <w:pStyle w:val="35"/>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b w:val="0"/>
                      <w:bCs w:val="0"/>
                      <w:color w:val="auto"/>
                      <w:kern w:val="2"/>
                      <w:sz w:val="21"/>
                      <w:szCs w:val="21"/>
                      <w:vertAlign w:val="baseline"/>
                      <w:lang w:val="en-US" w:eastAsia="zh-CN"/>
                    </w:rPr>
                  </w:pPr>
                </w:p>
              </w:tc>
            </w:tr>
            <w:tr w14:paraId="14CDA3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89" w:type="dxa"/>
                  <w:tcBorders>
                    <w:tl2br w:val="nil"/>
                    <w:tr2bl w:val="nil"/>
                  </w:tcBorders>
                  <w:vAlign w:val="center"/>
                </w:tcPr>
                <w:p w14:paraId="39822C5A">
                  <w:pPr>
                    <w:pStyle w:val="35"/>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b w:val="0"/>
                      <w:bCs w:val="0"/>
                      <w:color w:val="auto"/>
                      <w:kern w:val="2"/>
                      <w:sz w:val="21"/>
                      <w:szCs w:val="21"/>
                      <w:vertAlign w:val="baseline"/>
                      <w:lang w:val="en-US" w:eastAsia="zh-CN"/>
                    </w:rPr>
                  </w:pPr>
                  <w:r>
                    <w:rPr>
                      <w:rFonts w:hint="eastAsia"/>
                      <w:b w:val="0"/>
                      <w:bCs w:val="0"/>
                      <w:color w:val="auto"/>
                      <w:kern w:val="2"/>
                      <w:sz w:val="21"/>
                      <w:szCs w:val="21"/>
                      <w:vertAlign w:val="baseline"/>
                      <w:lang w:val="en-US" w:eastAsia="zh-CN"/>
                    </w:rPr>
                    <w:t>项目区东南侧1#</w:t>
                  </w:r>
                </w:p>
              </w:tc>
              <w:tc>
                <w:tcPr>
                  <w:tcW w:w="1756" w:type="dxa"/>
                  <w:tcBorders>
                    <w:tl2br w:val="nil"/>
                    <w:tr2bl w:val="nil"/>
                  </w:tcBorders>
                  <w:vAlign w:val="center"/>
                </w:tcPr>
                <w:p w14:paraId="71D3E562">
                  <w:pPr>
                    <w:pStyle w:val="35"/>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b w:val="0"/>
                      <w:bCs w:val="0"/>
                      <w:color w:val="auto"/>
                      <w:kern w:val="2"/>
                      <w:sz w:val="21"/>
                      <w:szCs w:val="21"/>
                      <w:vertAlign w:val="baseline"/>
                      <w:lang w:val="en-US" w:eastAsia="zh-CN"/>
                    </w:rPr>
                  </w:pPr>
                  <w:r>
                    <w:rPr>
                      <w:rFonts w:hint="eastAsia"/>
                      <w:b w:val="0"/>
                      <w:bCs w:val="0"/>
                      <w:color w:val="auto"/>
                      <w:kern w:val="2"/>
                      <w:sz w:val="21"/>
                      <w:szCs w:val="21"/>
                      <w:vertAlign w:val="baseline"/>
                      <w:lang w:val="en-US" w:eastAsia="zh-CN"/>
                    </w:rPr>
                    <w:t>2022.10.10-2022.10.13</w:t>
                  </w:r>
                </w:p>
              </w:tc>
              <w:tc>
                <w:tcPr>
                  <w:tcW w:w="1124" w:type="dxa"/>
                  <w:tcBorders>
                    <w:tl2br w:val="nil"/>
                    <w:tr2bl w:val="nil"/>
                  </w:tcBorders>
                  <w:vAlign w:val="center"/>
                </w:tcPr>
                <w:p w14:paraId="4199197B">
                  <w:pPr>
                    <w:pStyle w:val="35"/>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b w:val="0"/>
                      <w:bCs w:val="0"/>
                      <w:color w:val="auto"/>
                      <w:kern w:val="2"/>
                      <w:sz w:val="21"/>
                      <w:szCs w:val="21"/>
                      <w:vertAlign w:val="baseline"/>
                      <w:lang w:val="en-US" w:eastAsia="zh-CN"/>
                    </w:rPr>
                  </w:pPr>
                  <w:r>
                    <w:rPr>
                      <w:rFonts w:hint="eastAsia"/>
                      <w:b w:val="0"/>
                      <w:bCs w:val="0"/>
                      <w:color w:val="auto"/>
                      <w:kern w:val="2"/>
                      <w:sz w:val="21"/>
                      <w:szCs w:val="21"/>
                      <w:vertAlign w:val="baseline"/>
                      <w:lang w:val="en-US" w:eastAsia="zh-CN"/>
                    </w:rPr>
                    <w:t>TSP</w:t>
                  </w:r>
                </w:p>
              </w:tc>
              <w:tc>
                <w:tcPr>
                  <w:tcW w:w="1249" w:type="dxa"/>
                  <w:tcBorders>
                    <w:tl2br w:val="nil"/>
                    <w:tr2bl w:val="nil"/>
                  </w:tcBorders>
                  <w:vAlign w:val="center"/>
                </w:tcPr>
                <w:p w14:paraId="7D8ED0ED">
                  <w:pPr>
                    <w:pStyle w:val="35"/>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b w:val="0"/>
                      <w:bCs w:val="0"/>
                      <w:color w:val="auto"/>
                      <w:kern w:val="2"/>
                      <w:sz w:val="21"/>
                      <w:szCs w:val="21"/>
                      <w:vertAlign w:val="baseline"/>
                      <w:lang w:val="en-US" w:eastAsia="zh-CN"/>
                    </w:rPr>
                  </w:pPr>
                  <w:r>
                    <w:rPr>
                      <w:rFonts w:hint="eastAsia"/>
                      <w:b w:val="0"/>
                      <w:bCs w:val="0"/>
                      <w:color w:val="auto"/>
                      <w:kern w:val="2"/>
                      <w:sz w:val="21"/>
                      <w:szCs w:val="21"/>
                      <w:vertAlign w:val="baseline"/>
                      <w:lang w:val="en-US" w:eastAsia="zh-CN"/>
                    </w:rPr>
                    <w:t>0.168-0.183</w:t>
                  </w:r>
                </w:p>
              </w:tc>
              <w:tc>
                <w:tcPr>
                  <w:tcW w:w="1249" w:type="dxa"/>
                  <w:tcBorders>
                    <w:tl2br w:val="nil"/>
                    <w:tr2bl w:val="nil"/>
                  </w:tcBorders>
                  <w:vAlign w:val="center"/>
                </w:tcPr>
                <w:p w14:paraId="47586AB6">
                  <w:pPr>
                    <w:pStyle w:val="35"/>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b w:val="0"/>
                      <w:bCs w:val="0"/>
                      <w:color w:val="auto"/>
                      <w:kern w:val="2"/>
                      <w:sz w:val="21"/>
                      <w:szCs w:val="21"/>
                      <w:vertAlign w:val="baseline"/>
                      <w:lang w:val="en-US" w:eastAsia="zh-CN"/>
                    </w:rPr>
                  </w:pPr>
                  <w:r>
                    <w:rPr>
                      <w:rFonts w:hint="eastAsia"/>
                      <w:b w:val="0"/>
                      <w:bCs w:val="0"/>
                      <w:color w:val="auto"/>
                      <w:kern w:val="2"/>
                      <w:sz w:val="21"/>
                      <w:szCs w:val="21"/>
                      <w:vertAlign w:val="baseline"/>
                      <w:lang w:val="en-US" w:eastAsia="zh-CN"/>
                    </w:rPr>
                    <w:t>0.3</w:t>
                  </w:r>
                </w:p>
              </w:tc>
              <w:tc>
                <w:tcPr>
                  <w:tcW w:w="1090" w:type="dxa"/>
                  <w:tcBorders>
                    <w:tl2br w:val="nil"/>
                    <w:tr2bl w:val="nil"/>
                  </w:tcBorders>
                  <w:vAlign w:val="center"/>
                </w:tcPr>
                <w:p w14:paraId="1BBBB7FD">
                  <w:pPr>
                    <w:pStyle w:val="35"/>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b w:val="0"/>
                      <w:bCs w:val="0"/>
                      <w:color w:val="auto"/>
                      <w:kern w:val="2"/>
                      <w:sz w:val="21"/>
                      <w:szCs w:val="21"/>
                      <w:vertAlign w:val="baseline"/>
                      <w:lang w:val="en-US" w:eastAsia="zh-CN"/>
                    </w:rPr>
                  </w:pPr>
                  <w:r>
                    <w:rPr>
                      <w:rFonts w:hint="eastAsia"/>
                      <w:b w:val="0"/>
                      <w:bCs w:val="0"/>
                      <w:color w:val="auto"/>
                      <w:kern w:val="2"/>
                      <w:sz w:val="21"/>
                      <w:szCs w:val="21"/>
                      <w:vertAlign w:val="baseline"/>
                      <w:lang w:val="en-US" w:eastAsia="zh-CN"/>
                    </w:rPr>
                    <w:t>达标</w:t>
                  </w:r>
                </w:p>
              </w:tc>
            </w:tr>
          </w:tbl>
          <w:p w14:paraId="0B6BA57D">
            <w:pPr>
              <w:pStyle w:val="35"/>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color w:val="auto"/>
                <w:kern w:val="2"/>
                <w:sz w:val="24"/>
                <w:szCs w:val="24"/>
                <w:lang w:val="en-US" w:eastAsia="zh-CN"/>
              </w:rPr>
            </w:pPr>
            <w:r>
              <w:rPr>
                <w:rFonts w:hint="eastAsia"/>
                <w:color w:val="auto"/>
                <w:kern w:val="2"/>
                <w:sz w:val="24"/>
                <w:szCs w:val="24"/>
                <w:lang w:val="en-US" w:eastAsia="zh-CN"/>
              </w:rPr>
              <w:t>由上表可知项目区TSP浓度能满足《环境空气质量标准》（GB3095-2012）中二级标准限值要求，项目所在区域监测期间大气环境空气质量达标。</w:t>
            </w:r>
          </w:p>
          <w:p w14:paraId="3D4C60CD">
            <w:pPr>
              <w:keepNext/>
              <w:keepLines/>
              <w:pageBreakBefore w:val="0"/>
              <w:numPr>
                <w:ilvl w:val="0"/>
                <w:numId w:val="10"/>
              </w:numPr>
              <w:kinsoku/>
              <w:wordWrap/>
              <w:topLinePunct w:val="0"/>
              <w:autoSpaceDE/>
              <w:autoSpaceDN/>
              <w:bidi w:val="0"/>
              <w:adjustRightInd w:val="0"/>
              <w:snapToGrid w:val="0"/>
              <w:spacing w:line="520" w:lineRule="exact"/>
              <w:ind w:left="0" w:leftChars="0" w:firstLine="0" w:firstLineChars="0"/>
              <w:textAlignment w:val="auto"/>
              <w:outlineLvl w:val="1"/>
              <w:rPr>
                <w:b/>
                <w:color w:val="auto"/>
                <w:sz w:val="24"/>
              </w:rPr>
            </w:pPr>
            <w:r>
              <w:rPr>
                <w:b/>
                <w:color w:val="auto"/>
                <w:sz w:val="24"/>
              </w:rPr>
              <w:t>地表水环境质量现状</w:t>
            </w:r>
          </w:p>
          <w:p w14:paraId="44643FDF">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bCs/>
                <w:color w:val="auto"/>
                <w:sz w:val="24"/>
              </w:rPr>
              <w:t>本项目产生的废水主要为</w:t>
            </w:r>
            <w:r>
              <w:rPr>
                <w:rFonts w:hint="eastAsia" w:cs="Times New Roman"/>
                <w:bCs/>
                <w:color w:val="auto"/>
                <w:sz w:val="24"/>
                <w:lang w:val="en-US" w:eastAsia="zh-CN"/>
              </w:rPr>
              <w:t>洗煤废水</w:t>
            </w:r>
            <w:r>
              <w:rPr>
                <w:rFonts w:hint="default" w:ascii="Times New Roman" w:hAnsi="Times New Roman" w:eastAsia="宋体" w:cs="Times New Roman"/>
                <w:bCs/>
                <w:color w:val="auto"/>
                <w:sz w:val="24"/>
              </w:rPr>
              <w:t>，</w:t>
            </w:r>
            <w:r>
              <w:rPr>
                <w:rFonts w:hint="eastAsia" w:cs="Times New Roman"/>
                <w:color w:val="auto"/>
                <w:sz w:val="24"/>
                <w:lang w:val="en-US" w:eastAsia="zh-CN"/>
              </w:rPr>
              <w:t>洗煤废水循环使用不外排</w:t>
            </w:r>
            <w:r>
              <w:rPr>
                <w:rFonts w:hint="default" w:ascii="Times New Roman" w:hAnsi="Times New Roman" w:eastAsia="宋体" w:cs="Times New Roman"/>
                <w:color w:val="auto"/>
                <w:sz w:val="24"/>
              </w:rPr>
              <w:t>，</w:t>
            </w:r>
            <w:r>
              <w:rPr>
                <w:rFonts w:hint="default" w:ascii="Times New Roman" w:hAnsi="Times New Roman" w:eastAsia="宋体" w:cs="Times New Roman"/>
                <w:bCs/>
                <w:color w:val="auto"/>
                <w:sz w:val="24"/>
              </w:rPr>
              <w:t>不与区域地表水水体产生水力联系。根据《环境影响评价技术导则 地表水环境》（HJ/T2.3-2018）表1水污染影响型建设项目评价等级判定，判定本项目可不进行地表水环境影响评价，因此本次不进行地表水环境现状调查。</w:t>
            </w:r>
          </w:p>
          <w:p w14:paraId="2AF323A1">
            <w:pPr>
              <w:pStyle w:val="2"/>
              <w:pageBreakBefore w:val="0"/>
              <w:numPr>
                <w:ilvl w:val="0"/>
                <w:numId w:val="10"/>
              </w:numPr>
              <w:kinsoku/>
              <w:wordWrap/>
              <w:topLinePunct w:val="0"/>
              <w:autoSpaceDE/>
              <w:autoSpaceDN/>
              <w:bidi w:val="0"/>
              <w:adjustRightInd w:val="0"/>
              <w:spacing w:before="0" w:after="0" w:line="520" w:lineRule="exact"/>
              <w:ind w:left="0" w:leftChars="0" w:firstLine="0" w:firstLineChars="0"/>
              <w:textAlignment w:val="auto"/>
              <w:rPr>
                <w:rFonts w:eastAsia="宋体"/>
                <w:color w:val="auto"/>
                <w:sz w:val="24"/>
                <w:szCs w:val="24"/>
              </w:rPr>
            </w:pPr>
            <w:r>
              <w:rPr>
                <w:rFonts w:eastAsia="宋体"/>
                <w:color w:val="auto"/>
                <w:sz w:val="24"/>
                <w:szCs w:val="24"/>
              </w:rPr>
              <w:t>声环境质量现状</w:t>
            </w:r>
          </w:p>
          <w:p w14:paraId="2EE6EA5D">
            <w:pPr>
              <w:pageBreakBefore w:val="0"/>
              <w:kinsoku/>
              <w:wordWrap/>
              <w:topLinePunct w:val="0"/>
              <w:autoSpaceDE/>
              <w:autoSpaceDN/>
              <w:bidi w:val="0"/>
              <w:spacing w:line="520" w:lineRule="exact"/>
              <w:ind w:firstLine="480" w:firstLineChars="200"/>
              <w:textAlignment w:val="auto"/>
              <w:rPr>
                <w:color w:val="auto"/>
                <w:sz w:val="24"/>
              </w:rPr>
            </w:pPr>
            <w:r>
              <w:rPr>
                <w:color w:val="auto"/>
                <w:sz w:val="24"/>
              </w:rPr>
              <w:t>根据《建设项目环境影响报告表编制技术指南（污染影响类）》（试行）中区域环境质量现状评价要求，</w:t>
            </w:r>
            <w:r>
              <w:rPr>
                <w:rFonts w:hint="eastAsia"/>
                <w:color w:val="auto"/>
                <w:sz w:val="24"/>
                <w:lang w:val="en-US" w:eastAsia="zh-CN"/>
              </w:rPr>
              <w:t>本</w:t>
            </w:r>
            <w:r>
              <w:rPr>
                <w:color w:val="auto"/>
                <w:sz w:val="24"/>
              </w:rPr>
              <w:t>项目厂界外周边50m范围内无声环境保护目标，因此，可不开展声环境现状调查与评价。</w:t>
            </w:r>
          </w:p>
          <w:p w14:paraId="302BA0F6">
            <w:pPr>
              <w:pStyle w:val="2"/>
              <w:pageBreakBefore w:val="0"/>
              <w:numPr>
                <w:ilvl w:val="0"/>
                <w:numId w:val="10"/>
              </w:numPr>
              <w:kinsoku/>
              <w:wordWrap/>
              <w:topLinePunct w:val="0"/>
              <w:autoSpaceDE/>
              <w:autoSpaceDN/>
              <w:bidi w:val="0"/>
              <w:adjustRightInd w:val="0"/>
              <w:spacing w:before="0" w:after="0" w:line="520" w:lineRule="exact"/>
              <w:ind w:left="0" w:leftChars="0" w:firstLine="0" w:firstLineChars="0"/>
              <w:textAlignment w:val="auto"/>
              <w:rPr>
                <w:rFonts w:eastAsia="宋体"/>
                <w:color w:val="auto"/>
                <w:sz w:val="24"/>
                <w:szCs w:val="24"/>
              </w:rPr>
            </w:pPr>
            <w:r>
              <w:rPr>
                <w:rFonts w:eastAsia="宋体"/>
                <w:color w:val="auto"/>
                <w:sz w:val="24"/>
                <w:szCs w:val="24"/>
              </w:rPr>
              <w:t>生态环境</w:t>
            </w:r>
          </w:p>
          <w:p w14:paraId="19E1BCA6">
            <w:pPr>
              <w:pStyle w:val="7"/>
              <w:keepNext w:val="0"/>
              <w:keepLines w:val="0"/>
              <w:pageBreakBefore w:val="0"/>
              <w:widowControl/>
              <w:kinsoku/>
              <w:wordWrap/>
              <w:overflowPunct/>
              <w:topLinePunct w:val="0"/>
              <w:autoSpaceDE/>
              <w:autoSpaceDN/>
              <w:bidi w:val="0"/>
              <w:adjustRightInd/>
              <w:snapToGrid/>
              <w:spacing w:before="0" w:after="0" w:line="520" w:lineRule="exact"/>
              <w:ind w:right="0" w:firstLine="480" w:firstLineChars="200"/>
              <w:textAlignment w:val="auto"/>
              <w:rPr>
                <w:color w:val="auto"/>
                <w:kern w:val="2"/>
                <w:sz w:val="24"/>
                <w:szCs w:val="24"/>
              </w:rPr>
            </w:pPr>
            <w:r>
              <w:rPr>
                <w:color w:val="auto"/>
                <w:kern w:val="2"/>
                <w:sz w:val="24"/>
                <w:szCs w:val="24"/>
              </w:rPr>
              <w:t>根据《建设项目环境影响报告表编制技术指南（污染影响类）》（试行）</w:t>
            </w:r>
            <w:r>
              <w:rPr>
                <w:rFonts w:hint="eastAsia"/>
                <w:color w:val="auto"/>
                <w:kern w:val="2"/>
                <w:sz w:val="24"/>
                <w:szCs w:val="24"/>
                <w:lang w:eastAsia="zh-CN"/>
              </w:rPr>
              <w:t>。</w:t>
            </w:r>
            <w:r>
              <w:rPr>
                <w:color w:val="auto"/>
                <w:kern w:val="2"/>
                <w:sz w:val="24"/>
                <w:szCs w:val="24"/>
              </w:rPr>
              <w:t>本项目位于</w:t>
            </w:r>
            <w:r>
              <w:rPr>
                <w:rFonts w:hint="eastAsia"/>
                <w:color w:val="auto"/>
                <w:kern w:val="2"/>
                <w:sz w:val="24"/>
                <w:szCs w:val="24"/>
                <w:lang w:val="en-US" w:eastAsia="zh-CN"/>
              </w:rPr>
              <w:t>阜康市甘河子镇西侧</w:t>
            </w:r>
            <w:r>
              <w:rPr>
                <w:color w:val="auto"/>
                <w:kern w:val="2"/>
                <w:sz w:val="24"/>
                <w:szCs w:val="24"/>
              </w:rPr>
              <w:t>，</w:t>
            </w:r>
            <w:r>
              <w:rPr>
                <w:rFonts w:hint="eastAsia"/>
                <w:color w:val="auto"/>
                <w:kern w:val="2"/>
                <w:sz w:val="24"/>
                <w:szCs w:val="24"/>
                <w:lang w:val="en-US" w:eastAsia="zh-CN"/>
              </w:rPr>
              <w:t>本项目在原有项目区建设，不新增用地</w:t>
            </w:r>
            <w:r>
              <w:rPr>
                <w:color w:val="auto"/>
                <w:kern w:val="2"/>
                <w:sz w:val="24"/>
                <w:szCs w:val="24"/>
              </w:rPr>
              <w:t>，故本项目可不开展生态环境现状调查。</w:t>
            </w:r>
          </w:p>
          <w:p w14:paraId="2BE8DACD">
            <w:pPr>
              <w:keepNext/>
              <w:keepLines/>
              <w:pageBreakBefore w:val="0"/>
              <w:widowControl w:val="0"/>
              <w:numPr>
                <w:ilvl w:val="0"/>
                <w:numId w:val="10"/>
              </w:numPr>
              <w:kinsoku/>
              <w:wordWrap/>
              <w:overflowPunct/>
              <w:topLinePunct w:val="0"/>
              <w:autoSpaceDE/>
              <w:autoSpaceDN/>
              <w:bidi w:val="0"/>
              <w:adjustRightInd/>
              <w:snapToGrid/>
              <w:spacing w:line="520" w:lineRule="exact"/>
              <w:ind w:left="0" w:leftChars="0" w:firstLine="0" w:firstLineChars="0"/>
              <w:textAlignment w:val="auto"/>
              <w:outlineLvl w:val="1"/>
              <w:rPr>
                <w:b/>
                <w:color w:val="auto"/>
                <w:sz w:val="24"/>
              </w:rPr>
            </w:pPr>
            <w:r>
              <w:rPr>
                <w:b/>
                <w:color w:val="auto"/>
                <w:sz w:val="24"/>
              </w:rPr>
              <w:t>地下水</w:t>
            </w:r>
            <w:r>
              <w:rPr>
                <w:rFonts w:hint="eastAsia"/>
                <w:b/>
                <w:color w:val="auto"/>
                <w:sz w:val="24"/>
                <w:lang w:eastAsia="zh-CN"/>
              </w:rPr>
              <w:t>、</w:t>
            </w:r>
            <w:r>
              <w:rPr>
                <w:rFonts w:hint="eastAsia"/>
                <w:b/>
                <w:color w:val="auto"/>
                <w:sz w:val="24"/>
                <w:lang w:val="en-US" w:eastAsia="zh-CN"/>
              </w:rPr>
              <w:t>土壤</w:t>
            </w:r>
            <w:r>
              <w:rPr>
                <w:b/>
                <w:color w:val="auto"/>
                <w:sz w:val="24"/>
              </w:rPr>
              <w:t>环境质量现状</w:t>
            </w:r>
          </w:p>
          <w:p w14:paraId="278B359D">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rFonts w:hint="default" w:ascii="Times New Roman" w:hAnsi="Times New Roman" w:eastAsia="宋体" w:cs="Times New Roman"/>
                <w:color w:val="auto"/>
                <w:spacing w:val="0"/>
                <w:kern w:val="0"/>
                <w:sz w:val="24"/>
                <w:szCs w:val="24"/>
                <w:lang w:val="en-US" w:eastAsia="zh-CN"/>
              </w:rPr>
            </w:pPr>
            <w:r>
              <w:rPr>
                <w:rFonts w:hint="default" w:ascii="Times New Roman" w:hAnsi="Times New Roman" w:eastAsia="宋体" w:cs="Times New Roman"/>
                <w:color w:val="auto"/>
                <w:spacing w:val="0"/>
                <w:kern w:val="0"/>
                <w:sz w:val="24"/>
                <w:szCs w:val="24"/>
                <w:lang w:val="en-US" w:eastAsia="zh-CN"/>
              </w:rPr>
              <w:t>根据《建设项目环境影响评价报告表编制技术指南》（污染影响类）（试行）地下水、土壤环境原则上不开展环境质量现状调查。建设项目存在土壤、地下水环境污染途径的，应结合污染源、保护目标分布情况开展现状调查以留作背景值。</w:t>
            </w:r>
          </w:p>
          <w:p w14:paraId="24CF6956">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color w:val="auto"/>
                <w:lang w:val="en-US" w:eastAsia="zh-CN"/>
              </w:rPr>
            </w:pPr>
            <w:r>
              <w:rPr>
                <w:rFonts w:hint="default" w:ascii="Times New Roman" w:hAnsi="Times New Roman" w:eastAsia="宋体" w:cs="Times New Roman"/>
                <w:color w:val="auto"/>
                <w:spacing w:val="0"/>
                <w:kern w:val="0"/>
                <w:sz w:val="24"/>
                <w:szCs w:val="24"/>
                <w:lang w:val="en-US" w:eastAsia="zh-CN"/>
              </w:rPr>
              <w:t>本项目</w:t>
            </w:r>
            <w:r>
              <w:rPr>
                <w:rFonts w:hint="eastAsia" w:cs="Times New Roman"/>
                <w:color w:val="auto"/>
                <w:spacing w:val="0"/>
                <w:kern w:val="0"/>
                <w:sz w:val="24"/>
                <w:szCs w:val="24"/>
                <w:lang w:val="en-US" w:eastAsia="zh-CN"/>
              </w:rPr>
              <w:t>洗煤废水循环使用不外排</w:t>
            </w:r>
            <w:r>
              <w:rPr>
                <w:rFonts w:hint="default" w:ascii="Times New Roman" w:hAnsi="Times New Roman" w:eastAsia="宋体" w:cs="Times New Roman"/>
                <w:color w:val="auto"/>
                <w:spacing w:val="0"/>
                <w:kern w:val="0"/>
                <w:sz w:val="24"/>
                <w:szCs w:val="24"/>
                <w:lang w:val="en-US" w:eastAsia="zh-CN"/>
              </w:rPr>
              <w:t>，危废暂存间地面进行硬化、</w:t>
            </w:r>
            <w:r>
              <w:rPr>
                <w:rFonts w:hint="eastAsia" w:ascii="Times New Roman" w:hAnsi="Times New Roman" w:eastAsia="宋体" w:cs="Times New Roman"/>
                <w:color w:val="auto"/>
                <w:spacing w:val="0"/>
                <w:kern w:val="0"/>
                <w:sz w:val="24"/>
                <w:szCs w:val="24"/>
                <w:lang w:val="en-US" w:eastAsia="zh-CN"/>
              </w:rPr>
              <w:t>重点</w:t>
            </w:r>
            <w:r>
              <w:rPr>
                <w:rFonts w:hint="default" w:ascii="Times New Roman" w:hAnsi="Times New Roman" w:eastAsia="宋体" w:cs="Times New Roman"/>
                <w:color w:val="auto"/>
                <w:spacing w:val="0"/>
                <w:kern w:val="0"/>
                <w:sz w:val="24"/>
                <w:szCs w:val="24"/>
                <w:lang w:val="en-US" w:eastAsia="zh-CN"/>
              </w:rPr>
              <w:t>防渗。本项目不抽取地下水，不向地下水排放污染物，排放的大气污染物不涉及《土壤环境质量建设用地土壤污染风险管控标准（试行）》（GB36600-2018）中的基本和其他污染项目，基本不存在土壤、地下水环境污染途径，因此，不开展地下水、土壤环境质量现状调查。</w:t>
            </w:r>
          </w:p>
        </w:tc>
      </w:tr>
      <w:tr w14:paraId="540101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5" w:hRule="atLeast"/>
          <w:jc w:val="center"/>
        </w:trPr>
        <w:tc>
          <w:tcPr>
            <w:tcW w:w="800" w:type="dxa"/>
            <w:vAlign w:val="center"/>
          </w:tcPr>
          <w:p w14:paraId="3E22E559">
            <w:pPr>
              <w:adjustRightInd w:val="0"/>
              <w:snapToGrid w:val="0"/>
              <w:spacing w:line="360" w:lineRule="auto"/>
              <w:jc w:val="center"/>
              <w:rPr>
                <w:rFonts w:ascii="宋体" w:hAnsi="宋体" w:cs="宋体"/>
                <w:color w:val="auto"/>
                <w:kern w:val="0"/>
                <w:sz w:val="24"/>
                <w:szCs w:val="24"/>
              </w:rPr>
            </w:pPr>
            <w:r>
              <w:rPr>
                <w:rFonts w:hint="eastAsia" w:ascii="宋体" w:hAnsi="宋体" w:cs="宋体"/>
                <w:color w:val="auto"/>
                <w:kern w:val="0"/>
                <w:sz w:val="24"/>
                <w:szCs w:val="24"/>
              </w:rPr>
              <w:t>环境</w:t>
            </w:r>
          </w:p>
          <w:p w14:paraId="016C9ACC">
            <w:pPr>
              <w:adjustRightInd w:val="0"/>
              <w:snapToGrid w:val="0"/>
              <w:spacing w:line="360" w:lineRule="auto"/>
              <w:jc w:val="center"/>
              <w:rPr>
                <w:rFonts w:ascii="宋体" w:hAnsi="宋体" w:cs="宋体"/>
                <w:color w:val="auto"/>
                <w:kern w:val="0"/>
                <w:sz w:val="24"/>
                <w:szCs w:val="24"/>
              </w:rPr>
            </w:pPr>
            <w:r>
              <w:rPr>
                <w:rFonts w:hint="eastAsia" w:ascii="宋体" w:hAnsi="宋体" w:cs="宋体"/>
                <w:color w:val="auto"/>
                <w:kern w:val="0"/>
                <w:sz w:val="24"/>
                <w:szCs w:val="24"/>
              </w:rPr>
              <w:t>保护</w:t>
            </w:r>
          </w:p>
          <w:p w14:paraId="491E5E2C">
            <w:pPr>
              <w:adjustRightInd w:val="0"/>
              <w:snapToGrid w:val="0"/>
              <w:spacing w:line="360" w:lineRule="auto"/>
              <w:jc w:val="center"/>
              <w:rPr>
                <w:rFonts w:ascii="宋体" w:hAnsi="宋体" w:cs="宋体"/>
                <w:color w:val="auto"/>
                <w:kern w:val="0"/>
                <w:szCs w:val="21"/>
              </w:rPr>
            </w:pPr>
            <w:r>
              <w:rPr>
                <w:rFonts w:hint="eastAsia" w:ascii="宋体" w:hAnsi="宋体" w:cs="宋体"/>
                <w:color w:val="auto"/>
                <w:kern w:val="0"/>
                <w:sz w:val="24"/>
                <w:szCs w:val="24"/>
              </w:rPr>
              <w:t>目标</w:t>
            </w:r>
          </w:p>
        </w:tc>
        <w:tc>
          <w:tcPr>
            <w:tcW w:w="8190" w:type="dxa"/>
            <w:vAlign w:val="center"/>
          </w:tcPr>
          <w:p w14:paraId="33F32609">
            <w:pPr>
              <w:pStyle w:val="2"/>
              <w:keepNext/>
              <w:keepLines w:val="0"/>
              <w:pageBreakBefore w:val="0"/>
              <w:widowControl w:val="0"/>
              <w:numPr>
                <w:ilvl w:val="0"/>
                <w:numId w:val="11"/>
              </w:numPr>
              <w:kinsoku/>
              <w:wordWrap/>
              <w:overflowPunct w:val="0"/>
              <w:topLinePunct w:val="0"/>
              <w:autoSpaceDE/>
              <w:autoSpaceDN/>
              <w:bidi w:val="0"/>
              <w:adjustRightInd/>
              <w:snapToGrid/>
              <w:spacing w:before="0" w:after="0" w:line="520" w:lineRule="exact"/>
              <w:ind w:left="0" w:firstLine="0" w:firstLineChars="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大气环境</w:t>
            </w:r>
          </w:p>
          <w:p w14:paraId="3FFCF17C">
            <w:pPr>
              <w:pageBreakBefore w:val="0"/>
              <w:widowControl w:val="0"/>
              <w:kinsoku/>
              <w:wordWrap/>
              <w:topLinePunct w:val="0"/>
              <w:autoSpaceDE/>
              <w:autoSpaceDN/>
              <w:bidi w:val="0"/>
              <w:adjustRightInd/>
              <w:snapToGrid/>
              <w:spacing w:line="520" w:lineRule="exact"/>
              <w:ind w:lef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根据《环境空气质量标准》（GB3095-2012）中的二级标准保护要求，项目场地厂界外500米范围内无自然保护区、风景名胜区、居住区、文化区和农村地区中人群较集中的区域等保护目标，无敏感目标。</w:t>
            </w:r>
          </w:p>
          <w:p w14:paraId="3B843425">
            <w:pPr>
              <w:pStyle w:val="2"/>
              <w:keepNext/>
              <w:keepLines w:val="0"/>
              <w:pageBreakBefore w:val="0"/>
              <w:widowControl w:val="0"/>
              <w:numPr>
                <w:ilvl w:val="0"/>
                <w:numId w:val="11"/>
              </w:numPr>
              <w:kinsoku/>
              <w:wordWrap/>
              <w:overflowPunct w:val="0"/>
              <w:topLinePunct w:val="0"/>
              <w:autoSpaceDE/>
              <w:autoSpaceDN/>
              <w:bidi w:val="0"/>
              <w:adjustRightInd/>
              <w:snapToGrid/>
              <w:spacing w:before="0" w:after="0" w:line="520" w:lineRule="exact"/>
              <w:ind w:left="0" w:firstLine="0" w:firstLineChars="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声环境</w:t>
            </w:r>
          </w:p>
          <w:p w14:paraId="502FA881">
            <w:pPr>
              <w:pStyle w:val="3"/>
              <w:pageBreakBefore w:val="0"/>
              <w:widowControl w:val="0"/>
              <w:tabs>
                <w:tab w:val="left" w:pos="1080"/>
              </w:tabs>
              <w:kinsoku/>
              <w:wordWrap/>
              <w:topLinePunct w:val="0"/>
              <w:autoSpaceDE/>
              <w:autoSpaceDN/>
              <w:bidi w:val="0"/>
              <w:adjustRightInd/>
              <w:snapToGrid/>
              <w:spacing w:line="520" w:lineRule="exact"/>
              <w:ind w:left="0" w:firstLine="480" w:firstLineChars="200"/>
              <w:jc w:val="both"/>
              <w:textAlignment w:val="auto"/>
              <w:rPr>
                <w:rFonts w:hint="default" w:ascii="Times New Roman" w:hAnsi="Times New Roman" w:eastAsia="宋体" w:cs="Times New Roman"/>
                <w:color w:val="auto"/>
                <w:sz w:val="24"/>
              </w:rPr>
            </w:pPr>
            <w:r>
              <w:rPr>
                <w:rFonts w:hint="eastAsia" w:cs="Times New Roman"/>
                <w:color w:val="auto"/>
                <w:sz w:val="24"/>
                <w:lang w:val="en-US" w:eastAsia="zh-CN"/>
              </w:rPr>
              <w:t>本项目</w:t>
            </w:r>
            <w:r>
              <w:rPr>
                <w:rFonts w:hint="default" w:ascii="Times New Roman" w:hAnsi="Times New Roman" w:eastAsia="宋体" w:cs="Times New Roman"/>
                <w:color w:val="auto"/>
                <w:sz w:val="24"/>
              </w:rPr>
              <w:t>厂界外50米范围内无声环境保护目标。</w:t>
            </w:r>
          </w:p>
          <w:p w14:paraId="0EC1ED13">
            <w:pPr>
              <w:pStyle w:val="2"/>
              <w:keepNext/>
              <w:keepLines w:val="0"/>
              <w:pageBreakBefore w:val="0"/>
              <w:widowControl w:val="0"/>
              <w:numPr>
                <w:ilvl w:val="0"/>
                <w:numId w:val="11"/>
              </w:numPr>
              <w:kinsoku/>
              <w:wordWrap/>
              <w:overflowPunct w:val="0"/>
              <w:topLinePunct w:val="0"/>
              <w:autoSpaceDE/>
              <w:autoSpaceDN/>
              <w:bidi w:val="0"/>
              <w:adjustRightInd/>
              <w:snapToGrid/>
              <w:spacing w:before="0" w:after="0" w:line="520" w:lineRule="exact"/>
              <w:ind w:left="0" w:firstLine="0" w:firstLineChars="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地下水环境</w:t>
            </w:r>
          </w:p>
          <w:p w14:paraId="277DF0B4">
            <w:pPr>
              <w:pageBreakBefore w:val="0"/>
              <w:widowControl w:val="0"/>
              <w:kinsoku/>
              <w:wordWrap/>
              <w:topLinePunct w:val="0"/>
              <w:autoSpaceDE/>
              <w:autoSpaceDN/>
              <w:bidi w:val="0"/>
              <w:adjustRightInd/>
              <w:snapToGrid/>
              <w:spacing w:line="520" w:lineRule="exact"/>
              <w:ind w:lef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根据《地下水质量标准》（GB/T14848-2017）中的III类标准保护要求，本项目厂界外500米范围内的无地下水集中式饮用水水源和热水、矿泉水、温泉等特殊地下水资源，无敏感目标。</w:t>
            </w:r>
          </w:p>
          <w:p w14:paraId="2615F9EF">
            <w:pPr>
              <w:pStyle w:val="2"/>
              <w:keepNext/>
              <w:keepLines w:val="0"/>
              <w:pageBreakBefore w:val="0"/>
              <w:widowControl w:val="0"/>
              <w:numPr>
                <w:ilvl w:val="0"/>
                <w:numId w:val="11"/>
              </w:numPr>
              <w:kinsoku/>
              <w:wordWrap/>
              <w:overflowPunct w:val="0"/>
              <w:topLinePunct w:val="0"/>
              <w:autoSpaceDE/>
              <w:autoSpaceDN/>
              <w:bidi w:val="0"/>
              <w:adjustRightInd/>
              <w:snapToGrid/>
              <w:spacing w:before="0" w:after="0" w:line="520" w:lineRule="exact"/>
              <w:ind w:left="0" w:firstLine="0" w:firstLineChars="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生态环境</w:t>
            </w:r>
          </w:p>
          <w:p w14:paraId="3594647C">
            <w:pPr>
              <w:pageBreakBefore w:val="0"/>
              <w:widowControl w:val="0"/>
              <w:kinsoku/>
              <w:wordWrap/>
              <w:topLinePunct w:val="0"/>
              <w:autoSpaceDE/>
              <w:autoSpaceDN/>
              <w:bidi w:val="0"/>
              <w:adjustRightInd/>
              <w:snapToGrid/>
              <w:spacing w:line="520" w:lineRule="exact"/>
              <w:ind w:left="0" w:firstLine="480" w:firstLineChars="200"/>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sz w:val="24"/>
              </w:rPr>
              <w:t>本项目位于</w:t>
            </w:r>
            <w:r>
              <w:rPr>
                <w:rFonts w:hint="eastAsia" w:cs="Times New Roman"/>
                <w:color w:val="auto"/>
                <w:sz w:val="24"/>
                <w:lang w:val="en-US" w:eastAsia="zh-CN"/>
              </w:rPr>
              <w:t>阜康市甘河子镇西侧</w:t>
            </w:r>
            <w:r>
              <w:rPr>
                <w:rFonts w:hint="default" w:ascii="Times New Roman" w:hAnsi="Times New Roman" w:eastAsia="宋体" w:cs="Times New Roman"/>
                <w:color w:val="auto"/>
                <w:sz w:val="24"/>
              </w:rPr>
              <w:t>，项目选址占地为工业用地，项目周边均为企业，项目周边无居民区，水源保护地等敏感目标。根据《建设项目环境影响报告表编制技术指南》（污染影响类），项目占地场地厂界外500m范围内无敏感目标。周围无生态环境保护目标。</w:t>
            </w:r>
          </w:p>
        </w:tc>
      </w:tr>
      <w:tr w14:paraId="052268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4" w:hRule="atLeast"/>
          <w:jc w:val="center"/>
        </w:trPr>
        <w:tc>
          <w:tcPr>
            <w:tcW w:w="800" w:type="dxa"/>
            <w:tcMar>
              <w:left w:w="28" w:type="dxa"/>
              <w:right w:w="28" w:type="dxa"/>
            </w:tcMar>
            <w:vAlign w:val="center"/>
          </w:tcPr>
          <w:p w14:paraId="2F004AFC">
            <w:pPr>
              <w:adjustRightInd w:val="0"/>
              <w:snapToGrid w:val="0"/>
              <w:spacing w:line="360" w:lineRule="auto"/>
              <w:jc w:val="center"/>
              <w:rPr>
                <w:rFonts w:ascii="宋体" w:hAnsi="宋体" w:cs="宋体"/>
                <w:color w:val="auto"/>
                <w:kern w:val="0"/>
                <w:szCs w:val="21"/>
              </w:rPr>
            </w:pPr>
            <w:r>
              <w:rPr>
                <w:rFonts w:hint="eastAsia" w:ascii="宋体" w:hAnsi="宋体" w:cs="宋体"/>
                <w:color w:val="auto"/>
                <w:kern w:val="0"/>
                <w:sz w:val="24"/>
                <w:szCs w:val="24"/>
              </w:rPr>
              <w:t>污染物排放控制标准</w:t>
            </w:r>
          </w:p>
        </w:tc>
        <w:tc>
          <w:tcPr>
            <w:tcW w:w="8190" w:type="dxa"/>
            <w:vAlign w:val="center"/>
          </w:tcPr>
          <w:p w14:paraId="19EF19EE">
            <w:pPr>
              <w:pStyle w:val="2"/>
              <w:keepNext/>
              <w:keepLines w:val="0"/>
              <w:pageBreakBefore w:val="0"/>
              <w:widowControl w:val="0"/>
              <w:numPr>
                <w:ilvl w:val="0"/>
                <w:numId w:val="12"/>
              </w:numPr>
              <w:kinsoku/>
              <w:wordWrap/>
              <w:overflowPunct w:val="0"/>
              <w:topLinePunct w:val="0"/>
              <w:autoSpaceDE/>
              <w:autoSpaceDN/>
              <w:bidi w:val="0"/>
              <w:adjustRightInd/>
              <w:snapToGrid/>
              <w:spacing w:before="0" w:after="0" w:line="520" w:lineRule="exact"/>
              <w:ind w:left="0" w:leftChars="0" w:firstLine="0" w:firstLineChars="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废气</w:t>
            </w:r>
          </w:p>
          <w:p w14:paraId="42D44CAD">
            <w:pPr>
              <w:keepLines w:val="0"/>
              <w:pageBreakBefore w:val="0"/>
              <w:widowControl w:val="0"/>
              <w:kinsoku/>
              <w:wordWrap/>
              <w:topLinePunct w:val="0"/>
              <w:autoSpaceDE/>
              <w:autoSpaceDN/>
              <w:bidi w:val="0"/>
              <w:adjustRightInd w:val="0"/>
              <w:snapToGrid w:val="0"/>
              <w:spacing w:line="520" w:lineRule="exact"/>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项目运营期无组织颗粒物执行《煤炭工业污染物排放标准》（GB20426-2006）中表5煤炭工业大气污染物排放限值；洗煤生产线有组织颗粒物执行《煤炭工业污染物排放标准》（GB20426-2006）中表4煤炭工业大气污染物排放限值，具体详见表3-</w:t>
            </w:r>
            <w:r>
              <w:rPr>
                <w:rFonts w:hint="eastAsia" w:cs="Times New Roman"/>
                <w:color w:val="auto"/>
                <w:sz w:val="24"/>
                <w:szCs w:val="24"/>
                <w:lang w:val="en-US" w:eastAsia="zh-CN"/>
              </w:rPr>
              <w:t>4</w:t>
            </w:r>
            <w:r>
              <w:rPr>
                <w:rFonts w:hint="eastAsia" w:ascii="Times New Roman" w:hAnsi="Times New Roman" w:eastAsia="宋体" w:cs="Times New Roman"/>
                <w:color w:val="auto"/>
                <w:sz w:val="24"/>
                <w:szCs w:val="24"/>
                <w:lang w:val="en-US" w:eastAsia="zh-CN"/>
              </w:rPr>
              <w:t>。</w:t>
            </w:r>
          </w:p>
          <w:p w14:paraId="2978F3E7">
            <w:pPr>
              <w:pStyle w:val="48"/>
              <w:keepLines w:val="0"/>
              <w:pageBreakBefore w:val="0"/>
              <w:widowControl w:val="0"/>
              <w:tabs>
                <w:tab w:val="left" w:pos="360"/>
                <w:tab w:val="left" w:pos="1620"/>
              </w:tabs>
              <w:kinsoku/>
              <w:wordWrap/>
              <w:topLinePunct w:val="0"/>
              <w:autoSpaceDE/>
              <w:autoSpaceDN/>
              <w:bidi w:val="0"/>
              <w:spacing w:line="520" w:lineRule="exact"/>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表3-</w:t>
            </w:r>
            <w:r>
              <w:rPr>
                <w:rFonts w:hint="eastAsia" w:ascii="Times New Roman" w:hAnsi="Times New Roman" w:eastAsia="宋体" w:cs="Times New Roman"/>
                <w:b/>
                <w:bCs/>
                <w:color w:val="auto"/>
                <w:sz w:val="21"/>
                <w:szCs w:val="21"/>
                <w:lang w:val="en-US" w:eastAsia="zh-CN"/>
              </w:rPr>
              <w:t>4</w:t>
            </w:r>
            <w:r>
              <w:rPr>
                <w:rFonts w:hint="default" w:ascii="Times New Roman" w:hAnsi="Times New Roman" w:eastAsia="宋体" w:cs="Times New Roman"/>
                <w:b/>
                <w:bCs/>
                <w:color w:val="auto"/>
                <w:sz w:val="21"/>
                <w:szCs w:val="21"/>
              </w:rPr>
              <w:t xml:space="preserve">    大气污染物排放限值标准</w:t>
            </w:r>
          </w:p>
          <w:tbl>
            <w:tblPr>
              <w:tblStyle w:val="27"/>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979"/>
              <w:gridCol w:w="760"/>
              <w:gridCol w:w="649"/>
              <w:gridCol w:w="1037"/>
              <w:gridCol w:w="4152"/>
            </w:tblGrid>
            <w:tr w14:paraId="50F54E3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90" w:hRule="atLeast"/>
                <w:jc w:val="center"/>
              </w:trPr>
              <w:tc>
                <w:tcPr>
                  <w:tcW w:w="0" w:type="auto"/>
                  <w:tcBorders>
                    <w:bottom w:val="single" w:color="000000" w:sz="12" w:space="0"/>
                  </w:tcBorders>
                  <w:vAlign w:val="center"/>
                </w:tcPr>
                <w:p w14:paraId="70596CFC">
                  <w:pPr>
                    <w:jc w:val="center"/>
                    <w:rPr>
                      <w:rFonts w:hint="default" w:ascii="Times New Roman" w:hAnsi="Times New Roman" w:eastAsia="宋体" w:cs="Times New Roman"/>
                      <w:b/>
                      <w:bCs/>
                      <w:color w:val="auto"/>
                      <w:lang w:val="en-US" w:eastAsia="zh-CN"/>
                    </w:rPr>
                  </w:pPr>
                  <w:r>
                    <w:rPr>
                      <w:rFonts w:hint="eastAsia" w:cs="Times New Roman"/>
                      <w:b/>
                      <w:bCs/>
                      <w:color w:val="auto"/>
                      <w:lang w:val="en-US" w:eastAsia="zh-CN"/>
                    </w:rPr>
                    <w:t>废气名称</w:t>
                  </w:r>
                </w:p>
              </w:tc>
              <w:tc>
                <w:tcPr>
                  <w:tcW w:w="0" w:type="auto"/>
                  <w:tcBorders>
                    <w:bottom w:val="single" w:color="000000" w:sz="12" w:space="0"/>
                  </w:tcBorders>
                  <w:vAlign w:val="center"/>
                </w:tcPr>
                <w:p w14:paraId="36CDEC9E">
                  <w:pPr>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排放形式</w:t>
                  </w:r>
                </w:p>
              </w:tc>
              <w:tc>
                <w:tcPr>
                  <w:tcW w:w="0" w:type="auto"/>
                  <w:tcBorders>
                    <w:bottom w:val="single" w:color="000000" w:sz="12" w:space="0"/>
                  </w:tcBorders>
                  <w:vAlign w:val="center"/>
                </w:tcPr>
                <w:p w14:paraId="7826FA12">
                  <w:pPr>
                    <w:jc w:val="center"/>
                    <w:rPr>
                      <w:rFonts w:hint="eastAsia" w:ascii="Times New Roman" w:hAnsi="Times New Roman" w:eastAsia="宋体" w:cs="Times New Roman"/>
                      <w:b/>
                      <w:bCs/>
                      <w:color w:val="auto"/>
                      <w:lang w:val="en-US" w:eastAsia="zh-CN"/>
                    </w:rPr>
                  </w:pPr>
                  <w:r>
                    <w:rPr>
                      <w:rFonts w:hint="eastAsia" w:cs="Times New Roman"/>
                      <w:b/>
                      <w:bCs/>
                      <w:color w:val="auto"/>
                      <w:lang w:val="en-US" w:eastAsia="zh-CN"/>
                    </w:rPr>
                    <w:t>污染物</w:t>
                  </w:r>
                </w:p>
              </w:tc>
              <w:tc>
                <w:tcPr>
                  <w:tcW w:w="0" w:type="auto"/>
                  <w:tcBorders>
                    <w:bottom w:val="single" w:color="000000" w:sz="12" w:space="0"/>
                  </w:tcBorders>
                  <w:vAlign w:val="center"/>
                </w:tcPr>
                <w:p w14:paraId="55492CC4">
                  <w:pPr>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限值</w:t>
                  </w:r>
                </w:p>
              </w:tc>
              <w:tc>
                <w:tcPr>
                  <w:tcW w:w="0" w:type="auto"/>
                  <w:tcBorders>
                    <w:bottom w:val="single" w:color="000000" w:sz="12" w:space="0"/>
                  </w:tcBorders>
                  <w:vAlign w:val="center"/>
                </w:tcPr>
                <w:p w14:paraId="2C95E4C0">
                  <w:pPr>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标准</w:t>
                  </w:r>
                </w:p>
              </w:tc>
            </w:tr>
            <w:tr w14:paraId="11AFA0C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19" w:hRule="atLeast"/>
                <w:jc w:val="center"/>
              </w:trPr>
              <w:tc>
                <w:tcPr>
                  <w:tcW w:w="0" w:type="auto"/>
                  <w:vAlign w:val="center"/>
                </w:tcPr>
                <w:p w14:paraId="3F3E7F4A">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破碎</w:t>
                  </w:r>
                  <w:r>
                    <w:rPr>
                      <w:rFonts w:hint="eastAsia"/>
                      <w:color w:val="auto"/>
                      <w:lang w:val="en-US" w:eastAsia="zh-CN"/>
                    </w:rPr>
                    <w:t>筛分</w:t>
                  </w:r>
                  <w:r>
                    <w:rPr>
                      <w:rFonts w:hint="eastAsia" w:cs="Times New Roman"/>
                      <w:color w:val="auto"/>
                      <w:lang w:val="en-US" w:eastAsia="zh-CN"/>
                    </w:rPr>
                    <w:t>废气</w:t>
                  </w:r>
                </w:p>
              </w:tc>
              <w:tc>
                <w:tcPr>
                  <w:tcW w:w="0" w:type="auto"/>
                  <w:vAlign w:val="center"/>
                </w:tcPr>
                <w:p w14:paraId="2747A424">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有组织</w:t>
                  </w:r>
                </w:p>
              </w:tc>
              <w:tc>
                <w:tcPr>
                  <w:tcW w:w="0" w:type="auto"/>
                  <w:vAlign w:val="center"/>
                </w:tcPr>
                <w:p w14:paraId="2BC7D73D">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颗粒物</w:t>
                  </w:r>
                </w:p>
              </w:tc>
              <w:tc>
                <w:tcPr>
                  <w:tcW w:w="0" w:type="auto"/>
                  <w:vAlign w:val="center"/>
                </w:tcPr>
                <w:p w14:paraId="2E1CD4C2">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80m</w:t>
                  </w:r>
                  <w:r>
                    <w:rPr>
                      <w:rFonts w:hint="default" w:ascii="Times New Roman" w:hAnsi="Times New Roman" w:eastAsia="宋体" w:cs="Times New Roman"/>
                      <w:color w:val="auto"/>
                    </w:rPr>
                    <w:t>g/m³</w:t>
                  </w:r>
                </w:p>
              </w:tc>
              <w:tc>
                <w:tcPr>
                  <w:tcW w:w="0" w:type="auto"/>
                  <w:vAlign w:val="center"/>
                </w:tcPr>
                <w:p w14:paraId="1D865314">
                  <w:pPr>
                    <w:jc w:val="center"/>
                    <w:rPr>
                      <w:rFonts w:hint="default" w:ascii="Times New Roman" w:hAnsi="Times New Roman" w:eastAsia="宋体" w:cs="Times New Roman"/>
                      <w:color w:val="auto"/>
                      <w:lang w:val="en-US"/>
                    </w:rPr>
                  </w:pPr>
                  <w:r>
                    <w:rPr>
                      <w:rFonts w:hint="eastAsia" w:cs="Times New Roman"/>
                      <w:color w:val="auto"/>
                      <w:lang w:val="en-US" w:eastAsia="zh-CN"/>
                    </w:rPr>
                    <w:t>《煤炭工业污染物排放标准》（GB20426-2006）表4中排放限值</w:t>
                  </w:r>
                </w:p>
              </w:tc>
            </w:tr>
            <w:tr w14:paraId="71DF99A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8" w:hRule="atLeast"/>
                <w:jc w:val="center"/>
              </w:trPr>
              <w:tc>
                <w:tcPr>
                  <w:tcW w:w="0" w:type="auto"/>
                  <w:vAlign w:val="center"/>
                </w:tcPr>
                <w:p w14:paraId="3CEB0B6E">
                  <w:pPr>
                    <w:jc w:val="center"/>
                    <w:rPr>
                      <w:rFonts w:hint="default" w:cs="Times New Roman"/>
                      <w:color w:val="auto"/>
                      <w:lang w:val="en-US" w:eastAsia="zh-CN"/>
                    </w:rPr>
                  </w:pPr>
                  <w:r>
                    <w:rPr>
                      <w:rFonts w:hint="eastAsia" w:cs="Times New Roman"/>
                      <w:color w:val="auto"/>
                      <w:lang w:val="en-US" w:eastAsia="zh-CN"/>
                    </w:rPr>
                    <w:t>厂界</w:t>
                  </w:r>
                </w:p>
              </w:tc>
              <w:tc>
                <w:tcPr>
                  <w:tcW w:w="0" w:type="auto"/>
                  <w:vAlign w:val="center"/>
                </w:tcPr>
                <w:p w14:paraId="7D731A70">
                  <w:pPr>
                    <w:jc w:val="center"/>
                    <w:rPr>
                      <w:rFonts w:hint="eastAsia"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无组织</w:t>
                  </w:r>
                </w:p>
              </w:tc>
              <w:tc>
                <w:tcPr>
                  <w:tcW w:w="0" w:type="auto"/>
                  <w:vAlign w:val="center"/>
                </w:tcPr>
                <w:p w14:paraId="4ABB266A">
                  <w:pPr>
                    <w:jc w:val="center"/>
                    <w:rPr>
                      <w:rFonts w:hint="default" w:ascii="Times New Roman" w:hAnsi="Times New Roman" w:eastAsia="宋体" w:cs="Times New Roman"/>
                      <w:color w:val="auto"/>
                      <w:kern w:val="21"/>
                      <w:sz w:val="21"/>
                      <w:szCs w:val="21"/>
                      <w:lang w:val="en-US" w:eastAsia="zh-CN" w:bidi="ar"/>
                    </w:rPr>
                  </w:pPr>
                  <w:r>
                    <w:rPr>
                      <w:rFonts w:hint="eastAsia" w:cs="Times New Roman"/>
                      <w:color w:val="auto"/>
                      <w:kern w:val="21"/>
                      <w:sz w:val="21"/>
                      <w:szCs w:val="21"/>
                      <w:lang w:val="en-US" w:eastAsia="zh-CN" w:bidi="ar"/>
                    </w:rPr>
                    <w:t>颗粒物</w:t>
                  </w:r>
                </w:p>
              </w:tc>
              <w:tc>
                <w:tcPr>
                  <w:tcW w:w="0" w:type="auto"/>
                  <w:vAlign w:val="center"/>
                </w:tcPr>
                <w:p w14:paraId="51231E60">
                  <w:pPr>
                    <w:jc w:val="center"/>
                    <w:rPr>
                      <w:rFonts w:hint="default" w:ascii="Times New Roman" w:hAnsi="Times New Roman" w:eastAsia="宋体" w:cs="Times New Roman"/>
                      <w:color w:val="auto"/>
                      <w:kern w:val="21"/>
                      <w:sz w:val="21"/>
                      <w:szCs w:val="21"/>
                      <w:lang w:val="en-US" w:eastAsia="zh-CN" w:bidi="ar"/>
                    </w:rPr>
                  </w:pPr>
                  <w:r>
                    <w:rPr>
                      <w:rFonts w:hint="eastAsia" w:cs="Times New Roman"/>
                      <w:color w:val="auto"/>
                      <w:lang w:val="en-US" w:eastAsia="zh-CN"/>
                    </w:rPr>
                    <w:t>1.0mg/m</w:t>
                  </w:r>
                  <w:r>
                    <w:rPr>
                      <w:rFonts w:hint="eastAsia" w:cs="Times New Roman"/>
                      <w:color w:val="auto"/>
                      <w:vertAlign w:val="superscript"/>
                      <w:lang w:val="en-US" w:eastAsia="zh-CN"/>
                    </w:rPr>
                    <w:t>3</w:t>
                  </w:r>
                </w:p>
              </w:tc>
              <w:tc>
                <w:tcPr>
                  <w:tcW w:w="0" w:type="auto"/>
                  <w:vAlign w:val="center"/>
                </w:tcPr>
                <w:p w14:paraId="43F321B9">
                  <w:pPr>
                    <w:jc w:val="center"/>
                    <w:rPr>
                      <w:rFonts w:hint="default" w:ascii="Times New Roman" w:hAnsi="Times New Roman" w:eastAsia="宋体" w:cs="Times New Roman"/>
                      <w:color w:val="auto"/>
                      <w:kern w:val="21"/>
                      <w:sz w:val="21"/>
                      <w:szCs w:val="21"/>
                      <w:lang w:val="en-US" w:eastAsia="zh-CN" w:bidi="ar"/>
                    </w:rPr>
                  </w:pPr>
                  <w:r>
                    <w:rPr>
                      <w:rFonts w:hint="eastAsia" w:cs="Times New Roman"/>
                      <w:color w:val="auto"/>
                      <w:lang w:val="en-US" w:eastAsia="zh-CN"/>
                    </w:rPr>
                    <w:t>《煤炭工业污染物排放标准》（GB20426-2006）表5中排放限值</w:t>
                  </w:r>
                </w:p>
              </w:tc>
            </w:tr>
          </w:tbl>
          <w:p w14:paraId="7048997D">
            <w:pPr>
              <w:spacing w:line="520" w:lineRule="exact"/>
              <w:ind w:firstLine="480" w:firstLineChars="20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运营期食堂油烟执行《饮食业油烟排放标准》（GB18483-2001）中的限值要求。</w:t>
            </w:r>
          </w:p>
          <w:p w14:paraId="503025DB">
            <w:pPr>
              <w:pStyle w:val="48"/>
              <w:keepLines w:val="0"/>
              <w:pageBreakBefore w:val="0"/>
              <w:widowControl w:val="0"/>
              <w:tabs>
                <w:tab w:val="left" w:pos="360"/>
                <w:tab w:val="left" w:pos="1620"/>
              </w:tabs>
              <w:kinsoku/>
              <w:wordWrap/>
              <w:topLinePunct w:val="0"/>
              <w:autoSpaceDE/>
              <w:autoSpaceDN/>
              <w:bidi w:val="0"/>
              <w:spacing w:line="520" w:lineRule="exact"/>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w:t>
            </w:r>
            <w:r>
              <w:rPr>
                <w:rFonts w:hint="eastAsia" w:ascii="Times New Roman" w:hAnsi="Times New Roman" w:eastAsia="宋体" w:cs="Times New Roman"/>
                <w:b/>
                <w:bCs/>
                <w:color w:val="auto"/>
                <w:sz w:val="21"/>
                <w:szCs w:val="21"/>
                <w:lang w:val="en-US" w:eastAsia="zh-CN"/>
              </w:rPr>
              <w:t>3-5</w:t>
            </w:r>
            <w:r>
              <w:rPr>
                <w:rFonts w:hint="default" w:ascii="Times New Roman" w:hAnsi="Times New Roman" w:eastAsia="宋体" w:cs="Times New Roman"/>
                <w:b/>
                <w:bCs/>
                <w:color w:val="auto"/>
                <w:sz w:val="21"/>
                <w:szCs w:val="21"/>
                <w:lang w:val="en-US" w:eastAsia="zh-CN"/>
              </w:rPr>
              <w:t xml:space="preserve">   </w:t>
            </w:r>
            <w:r>
              <w:rPr>
                <w:rFonts w:hint="eastAsia" w:ascii="Times New Roman" w:hAnsi="Times New Roman" w:eastAsia="宋体" w:cs="Times New Roman"/>
                <w:b/>
                <w:bCs/>
                <w:color w:val="auto"/>
                <w:sz w:val="21"/>
                <w:szCs w:val="21"/>
                <w:lang w:val="en-US" w:eastAsia="zh-CN"/>
              </w:rPr>
              <w:t xml:space="preserve"> 食堂油烟</w:t>
            </w:r>
            <w:r>
              <w:rPr>
                <w:rFonts w:hint="default" w:ascii="Times New Roman" w:hAnsi="Times New Roman" w:eastAsia="宋体" w:cs="Times New Roman"/>
                <w:b/>
                <w:bCs/>
                <w:color w:val="auto"/>
                <w:sz w:val="21"/>
                <w:szCs w:val="21"/>
                <w:lang w:val="en-US" w:eastAsia="zh-CN"/>
              </w:rPr>
              <w:t>排放限值  单位：mg/</w:t>
            </w:r>
            <w:r>
              <w:rPr>
                <w:rFonts w:hint="eastAsia" w:ascii="Times New Roman" w:hAnsi="Times New Roman" w:eastAsia="宋体" w:cs="Times New Roman"/>
                <w:b/>
                <w:bCs/>
                <w:color w:val="auto"/>
                <w:sz w:val="21"/>
                <w:szCs w:val="21"/>
                <w:lang w:val="en-US" w:eastAsia="zh-CN"/>
              </w:rPr>
              <w:t>Nm</w:t>
            </w:r>
            <w:r>
              <w:rPr>
                <w:rFonts w:hint="eastAsia" w:ascii="Times New Roman" w:hAnsi="Times New Roman" w:eastAsia="宋体" w:cs="Times New Roman"/>
                <w:b/>
                <w:bCs/>
                <w:color w:val="auto"/>
                <w:sz w:val="21"/>
                <w:szCs w:val="21"/>
                <w:vertAlign w:val="superscript"/>
                <w:lang w:val="en-US" w:eastAsia="zh-CN"/>
              </w:rPr>
              <w:t>3</w:t>
            </w:r>
          </w:p>
          <w:tbl>
            <w:tblPr>
              <w:tblStyle w:val="2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45"/>
              <w:gridCol w:w="2203"/>
              <w:gridCol w:w="2203"/>
              <w:gridCol w:w="2526"/>
            </w:tblGrid>
            <w:tr w14:paraId="696A7B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6" w:type="pct"/>
                  <w:tcBorders>
                    <w:tl2br w:val="nil"/>
                    <w:tr2bl w:val="nil"/>
                  </w:tcBorders>
                  <w:noWrap w:val="0"/>
                  <w:vAlign w:val="center"/>
                </w:tcPr>
                <w:p w14:paraId="0DEE622D">
                  <w:pPr>
                    <w:adjustRightInd w:val="0"/>
                    <w:snapToGrid w:val="0"/>
                    <w:spacing w:line="240" w:lineRule="auto"/>
                    <w:ind w:firstLine="0" w:firstLineChars="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序号</w:t>
                  </w:r>
                </w:p>
              </w:tc>
              <w:tc>
                <w:tcPr>
                  <w:tcW w:w="1453" w:type="pct"/>
                  <w:tcBorders>
                    <w:tl2br w:val="nil"/>
                    <w:tr2bl w:val="nil"/>
                  </w:tcBorders>
                  <w:noWrap w:val="0"/>
                  <w:vAlign w:val="center"/>
                </w:tcPr>
                <w:p w14:paraId="4B25A1D9">
                  <w:pPr>
                    <w:adjustRightInd w:val="0"/>
                    <w:snapToGrid w:val="0"/>
                    <w:spacing w:line="240" w:lineRule="auto"/>
                    <w:ind w:firstLine="0" w:firstLineChars="0"/>
                    <w:jc w:val="center"/>
                    <w:rPr>
                      <w:rFonts w:hint="eastAsia" w:ascii="Times New Roman" w:hAnsi="Times New Roman" w:eastAsia="宋体" w:cs="Times New Roman"/>
                      <w:b/>
                      <w:bCs/>
                      <w:color w:val="auto"/>
                      <w:kern w:val="0"/>
                      <w:sz w:val="21"/>
                      <w:szCs w:val="21"/>
                      <w:lang w:eastAsia="zh-CN"/>
                    </w:rPr>
                  </w:pPr>
                  <w:r>
                    <w:rPr>
                      <w:rFonts w:hint="eastAsia" w:ascii="Times New Roman" w:hAnsi="Times New Roman" w:cs="Times New Roman"/>
                      <w:b/>
                      <w:bCs/>
                      <w:color w:val="auto"/>
                      <w:kern w:val="0"/>
                      <w:sz w:val="21"/>
                      <w:szCs w:val="21"/>
                      <w:lang w:eastAsia="zh-CN"/>
                    </w:rPr>
                    <w:t>类型</w:t>
                  </w:r>
                </w:p>
              </w:tc>
              <w:tc>
                <w:tcPr>
                  <w:tcW w:w="1453" w:type="pct"/>
                  <w:tcBorders>
                    <w:tl2br w:val="nil"/>
                    <w:tr2bl w:val="nil"/>
                  </w:tcBorders>
                  <w:noWrap w:val="0"/>
                  <w:vAlign w:val="center"/>
                </w:tcPr>
                <w:p w14:paraId="7B23141F">
                  <w:pPr>
                    <w:adjustRightInd w:val="0"/>
                    <w:snapToGrid w:val="0"/>
                    <w:spacing w:line="240" w:lineRule="auto"/>
                    <w:ind w:firstLine="0" w:firstLineChars="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cs="Times New Roman"/>
                      <w:b/>
                      <w:bCs/>
                      <w:color w:val="auto"/>
                      <w:kern w:val="0"/>
                      <w:sz w:val="21"/>
                      <w:szCs w:val="21"/>
                    </w:rPr>
                    <w:t>污染物</w:t>
                  </w:r>
                </w:p>
              </w:tc>
              <w:tc>
                <w:tcPr>
                  <w:tcW w:w="1666" w:type="pct"/>
                  <w:tcBorders>
                    <w:tl2br w:val="nil"/>
                    <w:tr2bl w:val="nil"/>
                  </w:tcBorders>
                  <w:noWrap w:val="0"/>
                  <w:vAlign w:val="center"/>
                </w:tcPr>
                <w:p w14:paraId="4BBD7ECE">
                  <w:pPr>
                    <w:adjustRightInd w:val="0"/>
                    <w:snapToGrid w:val="0"/>
                    <w:spacing w:line="240" w:lineRule="auto"/>
                    <w:ind w:firstLine="0" w:firstLineChars="0"/>
                    <w:jc w:val="center"/>
                    <w:rPr>
                      <w:rFonts w:hint="eastAsia" w:ascii="Times New Roman" w:hAnsi="Times New Roman" w:eastAsia="宋体" w:cs="Times New Roman"/>
                      <w:b/>
                      <w:bCs/>
                      <w:color w:val="auto"/>
                      <w:kern w:val="0"/>
                      <w:sz w:val="21"/>
                      <w:szCs w:val="21"/>
                      <w:lang w:eastAsia="zh-CN"/>
                    </w:rPr>
                  </w:pPr>
                  <w:r>
                    <w:rPr>
                      <w:rFonts w:hint="eastAsia" w:ascii="Times New Roman" w:hAnsi="Times New Roman" w:cs="Times New Roman"/>
                      <w:b/>
                      <w:bCs/>
                      <w:color w:val="auto"/>
                      <w:kern w:val="0"/>
                      <w:sz w:val="21"/>
                      <w:szCs w:val="21"/>
                      <w:lang w:eastAsia="zh-CN"/>
                    </w:rPr>
                    <w:t>特别排放限值</w:t>
                  </w:r>
                </w:p>
              </w:tc>
            </w:tr>
            <w:tr w14:paraId="091010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6" w:type="pct"/>
                  <w:tcBorders>
                    <w:tl2br w:val="nil"/>
                    <w:tr2bl w:val="nil"/>
                  </w:tcBorders>
                  <w:noWrap w:val="0"/>
                  <w:vAlign w:val="center"/>
                </w:tcPr>
                <w:p w14:paraId="1EF8CB86">
                  <w:pPr>
                    <w:adjustRightInd w:val="0"/>
                    <w:snapToGrid w:val="0"/>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w:t>
                  </w:r>
                </w:p>
              </w:tc>
              <w:tc>
                <w:tcPr>
                  <w:tcW w:w="1453" w:type="pct"/>
                  <w:tcBorders>
                    <w:tl2br w:val="nil"/>
                    <w:tr2bl w:val="nil"/>
                  </w:tcBorders>
                  <w:noWrap w:val="0"/>
                  <w:vAlign w:val="center"/>
                </w:tcPr>
                <w:p w14:paraId="7D361B14">
                  <w:pPr>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lang w:eastAsia="zh-CN"/>
                    </w:rPr>
                  </w:pPr>
                  <w:r>
                    <w:rPr>
                      <w:rFonts w:hint="eastAsia" w:ascii="Times New Roman" w:hAnsi="Times New Roman" w:cs="Times New Roman"/>
                      <w:color w:val="auto"/>
                      <w:kern w:val="0"/>
                      <w:sz w:val="21"/>
                      <w:szCs w:val="21"/>
                      <w:lang w:eastAsia="zh-CN"/>
                    </w:rPr>
                    <w:t>有组织</w:t>
                  </w:r>
                </w:p>
              </w:tc>
              <w:tc>
                <w:tcPr>
                  <w:tcW w:w="1453" w:type="pct"/>
                  <w:tcBorders>
                    <w:tl2br w:val="nil"/>
                    <w:tr2bl w:val="nil"/>
                  </w:tcBorders>
                  <w:noWrap w:val="0"/>
                  <w:vAlign w:val="center"/>
                </w:tcPr>
                <w:p w14:paraId="1A4ED5B2">
                  <w:pPr>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eastAsia="zh-CN"/>
                    </w:rPr>
                    <w:t>油烟</w:t>
                  </w:r>
                </w:p>
              </w:tc>
              <w:tc>
                <w:tcPr>
                  <w:tcW w:w="1666" w:type="pct"/>
                  <w:tcBorders>
                    <w:tl2br w:val="nil"/>
                    <w:tr2bl w:val="nil"/>
                  </w:tcBorders>
                  <w:noWrap w:val="0"/>
                  <w:vAlign w:val="center"/>
                </w:tcPr>
                <w:p w14:paraId="6E753841">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2.0</w:t>
                  </w:r>
                </w:p>
              </w:tc>
            </w:tr>
          </w:tbl>
          <w:p w14:paraId="73C49D3E">
            <w:pPr>
              <w:pStyle w:val="2"/>
              <w:keepNext/>
              <w:keepLines w:val="0"/>
              <w:pageBreakBefore w:val="0"/>
              <w:widowControl w:val="0"/>
              <w:numPr>
                <w:ilvl w:val="0"/>
                <w:numId w:val="12"/>
              </w:numPr>
              <w:kinsoku/>
              <w:wordWrap/>
              <w:overflowPunct w:val="0"/>
              <w:topLinePunct w:val="0"/>
              <w:autoSpaceDE/>
              <w:autoSpaceDN/>
              <w:bidi w:val="0"/>
              <w:adjustRightInd/>
              <w:snapToGrid/>
              <w:spacing w:before="0" w:after="0" w:line="520" w:lineRule="exact"/>
              <w:ind w:left="0" w:leftChars="0" w:firstLine="0" w:firstLineChars="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废水</w:t>
            </w:r>
          </w:p>
          <w:p w14:paraId="3E935ACF">
            <w:pPr>
              <w:spacing w:line="520" w:lineRule="exact"/>
              <w:ind w:firstLine="480" w:firstLineChars="20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生活污水</w:t>
            </w:r>
            <w:r>
              <w:rPr>
                <w:rFonts w:hint="default" w:ascii="Times New Roman" w:hAnsi="Times New Roman" w:eastAsia="宋体" w:cs="Times New Roman"/>
                <w:color w:val="auto"/>
                <w:sz w:val="24"/>
                <w:lang w:val="en-US" w:eastAsia="zh-CN"/>
              </w:rPr>
              <w:t>执行《</w:t>
            </w:r>
            <w:r>
              <w:rPr>
                <w:rFonts w:hint="eastAsia" w:cs="Times New Roman"/>
                <w:color w:val="auto"/>
                <w:sz w:val="24"/>
                <w:lang w:val="en-US" w:eastAsia="zh-CN"/>
              </w:rPr>
              <w:t>城市污水再生利用 城市杂用水水质</w:t>
            </w: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t>（</w:t>
            </w:r>
            <w:r>
              <w:rPr>
                <w:rFonts w:hint="eastAsia" w:cs="Times New Roman"/>
                <w:color w:val="auto"/>
                <w:sz w:val="24"/>
                <w:lang w:val="en-US" w:eastAsia="zh-CN"/>
              </w:rPr>
              <w:t>GB/T18920-2020</w:t>
            </w:r>
            <w:r>
              <w:rPr>
                <w:rFonts w:hint="eastAsia" w:ascii="Times New Roman" w:hAnsi="Times New Roman" w:eastAsia="宋体" w:cs="Times New Roman"/>
                <w:color w:val="auto"/>
                <w:sz w:val="24"/>
                <w:lang w:val="en-US" w:eastAsia="zh-CN"/>
              </w:rPr>
              <w:t>）</w:t>
            </w:r>
            <w:r>
              <w:rPr>
                <w:rFonts w:hint="eastAsia" w:cs="Times New Roman"/>
                <w:color w:val="auto"/>
                <w:sz w:val="24"/>
                <w:lang w:val="en-US" w:eastAsia="zh-CN"/>
              </w:rPr>
              <w:t>表1 城市杂用水水质基本控制项目及限值中城市绿化、道路清扫、消防、建筑施工相关要求</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排放标准限值见表</w:t>
            </w:r>
            <w:r>
              <w:rPr>
                <w:rFonts w:hint="eastAsia" w:ascii="Times New Roman" w:hAnsi="Times New Roman" w:eastAsia="宋体" w:cs="Times New Roman"/>
                <w:color w:val="auto"/>
                <w:sz w:val="24"/>
                <w:lang w:val="en-US" w:eastAsia="zh-CN"/>
              </w:rPr>
              <w:t>3-6</w:t>
            </w:r>
            <w:r>
              <w:rPr>
                <w:rFonts w:hint="default" w:ascii="Times New Roman" w:hAnsi="Times New Roman" w:eastAsia="宋体" w:cs="Times New Roman"/>
                <w:color w:val="auto"/>
                <w:sz w:val="24"/>
                <w:lang w:val="en-US" w:eastAsia="zh-CN"/>
              </w:rPr>
              <w:t>。</w:t>
            </w:r>
          </w:p>
          <w:p w14:paraId="4D09B614">
            <w:pPr>
              <w:pStyle w:val="48"/>
              <w:keepLines w:val="0"/>
              <w:pageBreakBefore w:val="0"/>
              <w:widowControl w:val="0"/>
              <w:tabs>
                <w:tab w:val="left" w:pos="360"/>
                <w:tab w:val="left" w:pos="1620"/>
              </w:tabs>
              <w:kinsoku/>
              <w:wordWrap/>
              <w:topLinePunct w:val="0"/>
              <w:autoSpaceDE/>
              <w:autoSpaceDN/>
              <w:bidi w:val="0"/>
              <w:spacing w:line="520" w:lineRule="exact"/>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w:t>
            </w:r>
            <w:r>
              <w:rPr>
                <w:rFonts w:hint="eastAsia" w:ascii="Times New Roman" w:hAnsi="Times New Roman" w:eastAsia="宋体" w:cs="Times New Roman"/>
                <w:b/>
                <w:bCs/>
                <w:color w:val="auto"/>
                <w:sz w:val="21"/>
                <w:szCs w:val="21"/>
                <w:lang w:val="en-US" w:eastAsia="zh-CN"/>
              </w:rPr>
              <w:t>3-6</w:t>
            </w:r>
            <w:r>
              <w:rPr>
                <w:rFonts w:hint="default" w:ascii="Times New Roman" w:hAnsi="Times New Roman" w:eastAsia="宋体" w:cs="Times New Roman"/>
                <w:b/>
                <w:bCs/>
                <w:color w:val="auto"/>
                <w:sz w:val="21"/>
                <w:szCs w:val="21"/>
                <w:lang w:val="en-US" w:eastAsia="zh-CN"/>
              </w:rPr>
              <w:t xml:space="preserve">   </w:t>
            </w:r>
            <w:r>
              <w:rPr>
                <w:rFonts w:hint="eastAsia"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lang w:val="en-US" w:eastAsia="zh-CN"/>
              </w:rPr>
              <w:t>污水排放限值  单位：mg/L</w:t>
            </w:r>
          </w:p>
          <w:tbl>
            <w:tblPr>
              <w:tblStyle w:val="2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46"/>
              <w:gridCol w:w="4406"/>
              <w:gridCol w:w="2525"/>
            </w:tblGrid>
            <w:tr w14:paraId="0699C0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6" w:type="pct"/>
                  <w:tcBorders>
                    <w:tl2br w:val="nil"/>
                    <w:tr2bl w:val="nil"/>
                  </w:tcBorders>
                  <w:noWrap w:val="0"/>
                  <w:vAlign w:val="center"/>
                </w:tcPr>
                <w:p w14:paraId="08433D2B">
                  <w:pPr>
                    <w:adjustRightInd w:val="0"/>
                    <w:snapToGrid w:val="0"/>
                    <w:spacing w:line="240" w:lineRule="auto"/>
                    <w:ind w:firstLine="0" w:firstLineChars="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序号</w:t>
                  </w:r>
                </w:p>
              </w:tc>
              <w:tc>
                <w:tcPr>
                  <w:tcW w:w="2907" w:type="pct"/>
                  <w:tcBorders>
                    <w:tl2br w:val="nil"/>
                    <w:tr2bl w:val="nil"/>
                  </w:tcBorders>
                  <w:noWrap w:val="0"/>
                  <w:vAlign w:val="center"/>
                </w:tcPr>
                <w:p w14:paraId="1AD0E9C8">
                  <w:pPr>
                    <w:adjustRightInd w:val="0"/>
                    <w:snapToGrid w:val="0"/>
                    <w:spacing w:line="240" w:lineRule="auto"/>
                    <w:ind w:firstLine="0" w:firstLineChars="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污染物</w:t>
                  </w:r>
                </w:p>
              </w:tc>
              <w:tc>
                <w:tcPr>
                  <w:tcW w:w="1666" w:type="pct"/>
                  <w:tcBorders>
                    <w:tl2br w:val="nil"/>
                    <w:tr2bl w:val="nil"/>
                  </w:tcBorders>
                  <w:noWrap w:val="0"/>
                  <w:vAlign w:val="center"/>
                </w:tcPr>
                <w:p w14:paraId="1CBD1D69">
                  <w:pPr>
                    <w:adjustRightInd w:val="0"/>
                    <w:snapToGrid w:val="0"/>
                    <w:spacing w:line="240" w:lineRule="auto"/>
                    <w:ind w:firstLine="0" w:firstLineChars="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lang w:val="en-US" w:eastAsia="zh-CN"/>
                    </w:rPr>
                    <w:t>城市绿化、道路清扫、消防、建筑施工</w:t>
                  </w:r>
                </w:p>
              </w:tc>
            </w:tr>
            <w:tr w14:paraId="3A9418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6" w:type="pct"/>
                  <w:tcBorders>
                    <w:tl2br w:val="nil"/>
                    <w:tr2bl w:val="nil"/>
                  </w:tcBorders>
                  <w:noWrap w:val="0"/>
                  <w:vAlign w:val="center"/>
                </w:tcPr>
                <w:p w14:paraId="50B8AD03">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rPr>
                    <w:t>1</w:t>
                  </w:r>
                </w:p>
              </w:tc>
              <w:tc>
                <w:tcPr>
                  <w:tcW w:w="2907" w:type="pct"/>
                  <w:tcBorders>
                    <w:tl2br w:val="nil"/>
                    <w:tr2bl w:val="nil"/>
                  </w:tcBorders>
                  <w:noWrap w:val="0"/>
                  <w:vAlign w:val="center"/>
                </w:tcPr>
                <w:p w14:paraId="7BEFC463">
                  <w:pPr>
                    <w:adjustRightInd w:val="0"/>
                    <w:snapToGrid w:val="0"/>
                    <w:spacing w:line="240" w:lineRule="auto"/>
                    <w:ind w:firstLine="0" w:firstLineChars="0"/>
                    <w:jc w:val="center"/>
                    <w:rPr>
                      <w:rFonts w:hint="default" w:ascii="Times New Roman" w:hAnsi="Times New Roman" w:eastAsia="宋体" w:cs="Times New Roman"/>
                      <w:b/>
                      <w:bCs/>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pH</w:t>
                  </w:r>
                </w:p>
              </w:tc>
              <w:tc>
                <w:tcPr>
                  <w:tcW w:w="1666" w:type="pct"/>
                  <w:tcBorders>
                    <w:tl2br w:val="nil"/>
                    <w:tr2bl w:val="nil"/>
                  </w:tcBorders>
                  <w:noWrap w:val="0"/>
                  <w:vAlign w:val="center"/>
                </w:tcPr>
                <w:p w14:paraId="06E692DC">
                  <w:pPr>
                    <w:adjustRightInd w:val="0"/>
                    <w:snapToGrid w:val="0"/>
                    <w:spacing w:line="240" w:lineRule="auto"/>
                    <w:ind w:firstLine="0" w:firstLineChars="0"/>
                    <w:jc w:val="center"/>
                    <w:rPr>
                      <w:rFonts w:hint="default" w:ascii="Times New Roman" w:hAnsi="Times New Roman" w:eastAsia="宋体" w:cs="Times New Roman"/>
                      <w:b/>
                      <w:bCs/>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6-9</w:t>
                  </w:r>
                </w:p>
              </w:tc>
            </w:tr>
            <w:tr w14:paraId="2D6283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6" w:type="pct"/>
                  <w:tcBorders>
                    <w:tl2br w:val="nil"/>
                    <w:tr2bl w:val="nil"/>
                  </w:tcBorders>
                  <w:noWrap w:val="0"/>
                  <w:vAlign w:val="center"/>
                </w:tcPr>
                <w:p w14:paraId="6D8AC640">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2</w:t>
                  </w:r>
                </w:p>
              </w:tc>
              <w:tc>
                <w:tcPr>
                  <w:tcW w:w="2907" w:type="pct"/>
                  <w:tcBorders>
                    <w:tl2br w:val="nil"/>
                    <w:tr2bl w:val="nil"/>
                  </w:tcBorders>
                  <w:noWrap w:val="0"/>
                  <w:vAlign w:val="center"/>
                </w:tcPr>
                <w:p w14:paraId="237B367F">
                  <w:pPr>
                    <w:adjustRightInd w:val="0"/>
                    <w:snapToGrid w:val="0"/>
                    <w:spacing w:line="240" w:lineRule="auto"/>
                    <w:ind w:left="-105" w:leftChars="-50" w:right="-105" w:rightChars="-50" w:firstLine="0" w:firstLineChars="0"/>
                    <w:jc w:val="center"/>
                    <w:rPr>
                      <w:rFonts w:hint="eastAsia" w:ascii="Times New Roman" w:hAnsi="Times New Roman" w:eastAsia="宋体" w:cs="Times New Roman"/>
                      <w:color w:val="auto"/>
                      <w:kern w:val="0"/>
                      <w:sz w:val="21"/>
                      <w:szCs w:val="21"/>
                      <w:lang w:eastAsia="zh-CN"/>
                    </w:rPr>
                  </w:pPr>
                  <w:r>
                    <w:rPr>
                      <w:rFonts w:hint="eastAsia" w:cs="Times New Roman"/>
                      <w:color w:val="auto"/>
                      <w:kern w:val="0"/>
                      <w:sz w:val="21"/>
                      <w:szCs w:val="21"/>
                      <w:lang w:val="en-US" w:eastAsia="zh-CN"/>
                    </w:rPr>
                    <w:t>色度（铂钴色度单位）</w:t>
                  </w:r>
                </w:p>
              </w:tc>
              <w:tc>
                <w:tcPr>
                  <w:tcW w:w="1666" w:type="pct"/>
                  <w:tcBorders>
                    <w:tl2br w:val="nil"/>
                    <w:tr2bl w:val="nil"/>
                  </w:tcBorders>
                  <w:noWrap w:val="0"/>
                  <w:vAlign w:val="center"/>
                </w:tcPr>
                <w:p w14:paraId="719A6F54">
                  <w:pPr>
                    <w:adjustRightInd w:val="0"/>
                    <w:snapToGrid w:val="0"/>
                    <w:spacing w:line="240" w:lineRule="auto"/>
                    <w:ind w:left="-105" w:leftChars="-50" w:right="-105" w:rightChars="-50" w:firstLine="0" w:firstLine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30</w:t>
                  </w:r>
                </w:p>
              </w:tc>
            </w:tr>
            <w:tr w14:paraId="553F9B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6" w:type="pct"/>
                  <w:tcBorders>
                    <w:tl2br w:val="nil"/>
                    <w:tr2bl w:val="nil"/>
                  </w:tcBorders>
                  <w:noWrap w:val="0"/>
                  <w:vAlign w:val="center"/>
                </w:tcPr>
                <w:p w14:paraId="7A254457">
                  <w:pPr>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3</w:t>
                  </w:r>
                </w:p>
              </w:tc>
              <w:tc>
                <w:tcPr>
                  <w:tcW w:w="2907" w:type="pct"/>
                  <w:tcBorders>
                    <w:tl2br w:val="nil"/>
                    <w:tr2bl w:val="nil"/>
                  </w:tcBorders>
                  <w:noWrap w:val="0"/>
                  <w:vAlign w:val="center"/>
                </w:tcPr>
                <w:p w14:paraId="427EEC64">
                  <w:pPr>
                    <w:adjustRightInd w:val="0"/>
                    <w:snapToGrid w:val="0"/>
                    <w:spacing w:line="240" w:lineRule="auto"/>
                    <w:ind w:left="-105" w:leftChars="-50" w:right="-105" w:rightChars="-5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BOD</w:t>
                  </w:r>
                  <w:r>
                    <w:rPr>
                      <w:rFonts w:hint="default" w:ascii="Times New Roman" w:hAnsi="Times New Roman" w:cs="Times New Roman"/>
                      <w:color w:val="auto"/>
                      <w:kern w:val="0"/>
                      <w:sz w:val="21"/>
                      <w:szCs w:val="21"/>
                      <w:vertAlign w:val="subscript"/>
                    </w:rPr>
                    <w:t>5</w:t>
                  </w:r>
                </w:p>
              </w:tc>
              <w:tc>
                <w:tcPr>
                  <w:tcW w:w="1666" w:type="pct"/>
                  <w:tcBorders>
                    <w:tl2br w:val="nil"/>
                    <w:tr2bl w:val="nil"/>
                  </w:tcBorders>
                  <w:noWrap w:val="0"/>
                  <w:vAlign w:val="center"/>
                </w:tcPr>
                <w:p w14:paraId="3BEE4A6B">
                  <w:pPr>
                    <w:adjustRightInd w:val="0"/>
                    <w:snapToGrid w:val="0"/>
                    <w:spacing w:line="240" w:lineRule="auto"/>
                    <w:ind w:left="-105" w:leftChars="-50" w:right="-105" w:rightChars="-50" w:firstLine="0" w:firstLineChars="0"/>
                    <w:jc w:val="center"/>
                    <w:rPr>
                      <w:rFonts w:hint="default" w:eastAsia="宋体" w:cs="Times New Roman"/>
                      <w:color w:val="auto"/>
                      <w:kern w:val="0"/>
                      <w:sz w:val="21"/>
                      <w:szCs w:val="21"/>
                      <w:lang w:val="en-US" w:eastAsia="zh-CN"/>
                    </w:rPr>
                  </w:pPr>
                  <w:r>
                    <w:rPr>
                      <w:rFonts w:hint="eastAsia" w:cs="Times New Roman"/>
                      <w:color w:val="auto"/>
                      <w:kern w:val="0"/>
                      <w:sz w:val="21"/>
                      <w:szCs w:val="21"/>
                      <w:lang w:val="en-US" w:eastAsia="zh-CN"/>
                    </w:rPr>
                    <w:t>10</w:t>
                  </w:r>
                </w:p>
              </w:tc>
            </w:tr>
            <w:tr w14:paraId="3DDBB2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6" w:type="pct"/>
                  <w:tcBorders>
                    <w:tl2br w:val="nil"/>
                    <w:tr2bl w:val="nil"/>
                  </w:tcBorders>
                  <w:noWrap w:val="0"/>
                  <w:vAlign w:val="center"/>
                </w:tcPr>
                <w:p w14:paraId="7C3F9BED">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4</w:t>
                  </w:r>
                </w:p>
              </w:tc>
              <w:tc>
                <w:tcPr>
                  <w:tcW w:w="2907" w:type="pct"/>
                  <w:tcBorders>
                    <w:tl2br w:val="nil"/>
                    <w:tr2bl w:val="nil"/>
                  </w:tcBorders>
                  <w:noWrap w:val="0"/>
                  <w:vAlign w:val="center"/>
                </w:tcPr>
                <w:p w14:paraId="0D712ED9">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NH</w:t>
                  </w:r>
                  <w:r>
                    <w:rPr>
                      <w:rFonts w:hint="default" w:ascii="Times New Roman" w:hAnsi="Times New Roman" w:eastAsia="宋体" w:cs="Times New Roman"/>
                      <w:color w:val="auto"/>
                      <w:kern w:val="0"/>
                      <w:sz w:val="21"/>
                      <w:szCs w:val="21"/>
                      <w:vertAlign w:val="subscript"/>
                      <w:lang w:val="en-US" w:eastAsia="zh-CN"/>
                    </w:rPr>
                    <w:t>3</w:t>
                  </w:r>
                  <w:r>
                    <w:rPr>
                      <w:rFonts w:hint="default" w:ascii="Times New Roman" w:hAnsi="Times New Roman" w:eastAsia="宋体" w:cs="Times New Roman"/>
                      <w:color w:val="auto"/>
                      <w:kern w:val="0"/>
                      <w:sz w:val="21"/>
                      <w:szCs w:val="21"/>
                      <w:lang w:val="en-US" w:eastAsia="zh-CN"/>
                    </w:rPr>
                    <w:t>-N</w:t>
                  </w:r>
                </w:p>
              </w:tc>
              <w:tc>
                <w:tcPr>
                  <w:tcW w:w="1666" w:type="pct"/>
                  <w:tcBorders>
                    <w:tl2br w:val="nil"/>
                    <w:tr2bl w:val="nil"/>
                  </w:tcBorders>
                  <w:noWrap w:val="0"/>
                  <w:vAlign w:val="center"/>
                </w:tcPr>
                <w:p w14:paraId="4386C285">
                  <w:pPr>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8</w:t>
                  </w:r>
                </w:p>
              </w:tc>
            </w:tr>
            <w:tr w14:paraId="5CEBDF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6" w:type="pct"/>
                  <w:tcBorders>
                    <w:tl2br w:val="nil"/>
                    <w:tr2bl w:val="nil"/>
                  </w:tcBorders>
                  <w:noWrap w:val="0"/>
                  <w:vAlign w:val="center"/>
                </w:tcPr>
                <w:p w14:paraId="65882724">
                  <w:pPr>
                    <w:adjustRightInd w:val="0"/>
                    <w:snapToGrid w:val="0"/>
                    <w:spacing w:line="240" w:lineRule="auto"/>
                    <w:ind w:firstLine="0" w:firstLine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5</w:t>
                  </w:r>
                </w:p>
              </w:tc>
              <w:tc>
                <w:tcPr>
                  <w:tcW w:w="2907" w:type="pct"/>
                  <w:tcBorders>
                    <w:tl2br w:val="nil"/>
                    <w:tr2bl w:val="nil"/>
                  </w:tcBorders>
                  <w:noWrap w:val="0"/>
                  <w:vAlign w:val="center"/>
                </w:tcPr>
                <w:p w14:paraId="6A88B061">
                  <w:pPr>
                    <w:adjustRightInd w:val="0"/>
                    <w:snapToGrid w:val="0"/>
                    <w:spacing w:line="240" w:lineRule="auto"/>
                    <w:ind w:right="-105" w:rightChars="-5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溶解性总固体</w:t>
                  </w:r>
                </w:p>
              </w:tc>
              <w:tc>
                <w:tcPr>
                  <w:tcW w:w="1666" w:type="pct"/>
                  <w:tcBorders>
                    <w:tl2br w:val="nil"/>
                    <w:tr2bl w:val="nil"/>
                  </w:tcBorders>
                  <w:noWrap w:val="0"/>
                  <w:vAlign w:val="center"/>
                </w:tcPr>
                <w:p w14:paraId="52971FD6">
                  <w:pPr>
                    <w:adjustRightInd w:val="0"/>
                    <w:snapToGrid w:val="0"/>
                    <w:spacing w:line="240" w:lineRule="auto"/>
                    <w:ind w:left="-105" w:leftChars="-50" w:right="-105" w:rightChars="-50" w:firstLine="0" w:firstLineChars="0"/>
                    <w:jc w:val="center"/>
                    <w:rPr>
                      <w:rFonts w:hint="default" w:ascii="Times New Roman" w:hAnsi="Times New Roman" w:eastAsia="宋体" w:cs="Times New Roman"/>
                      <w:color w:val="auto"/>
                      <w:spacing w:val="6"/>
                      <w:sz w:val="21"/>
                      <w:szCs w:val="21"/>
                      <w:lang w:val="en-US" w:eastAsia="zh-CN"/>
                    </w:rPr>
                  </w:pPr>
                  <w:r>
                    <w:rPr>
                      <w:rFonts w:hint="eastAsia" w:ascii="Times New Roman" w:hAnsi="Times New Roman" w:eastAsia="宋体" w:cs="Times New Roman"/>
                      <w:color w:val="auto"/>
                      <w:spacing w:val="6"/>
                      <w:sz w:val="21"/>
                      <w:szCs w:val="21"/>
                      <w:lang w:val="en-US" w:eastAsia="zh-CN"/>
                    </w:rPr>
                    <w:t>100</w:t>
                  </w:r>
                </w:p>
              </w:tc>
            </w:tr>
          </w:tbl>
          <w:p w14:paraId="597EE4A7">
            <w:pPr>
              <w:pStyle w:val="2"/>
              <w:keepNext/>
              <w:keepLines w:val="0"/>
              <w:pageBreakBefore w:val="0"/>
              <w:widowControl w:val="0"/>
              <w:numPr>
                <w:ilvl w:val="0"/>
                <w:numId w:val="12"/>
              </w:numPr>
              <w:kinsoku/>
              <w:wordWrap/>
              <w:overflowPunct w:val="0"/>
              <w:topLinePunct w:val="0"/>
              <w:autoSpaceDE/>
              <w:autoSpaceDN/>
              <w:bidi w:val="0"/>
              <w:adjustRightInd/>
              <w:snapToGrid/>
              <w:spacing w:before="0" w:after="0" w:line="520" w:lineRule="exact"/>
              <w:ind w:left="0" w:leftChars="0" w:firstLine="0" w:firstLineChars="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噪声</w:t>
            </w:r>
          </w:p>
          <w:p w14:paraId="49E4DFD2">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b w:val="0"/>
                <w:bCs w:val="0"/>
                <w:color w:val="auto"/>
                <w:sz w:val="24"/>
                <w:szCs w:val="24"/>
              </w:rPr>
              <w:t>施工期噪声执行《建筑施工场界环境噪声排放标准》（GB12523-2011）标准，</w:t>
            </w:r>
            <w:r>
              <w:rPr>
                <w:rFonts w:hint="default" w:ascii="Times New Roman" w:hAnsi="Times New Roman" w:eastAsia="宋体" w:cs="Times New Roman"/>
                <w:color w:val="auto"/>
                <w:sz w:val="24"/>
              </w:rPr>
              <w:t>项目运营期间噪声排放标准执行《工业企业厂界环境噪声排放标准》（GB12348-2008）</w:t>
            </w:r>
            <w:r>
              <w:rPr>
                <w:rFonts w:hint="eastAsia" w:cs="Times New Roman"/>
                <w:color w:val="auto"/>
                <w:sz w:val="24"/>
                <w:lang w:val="en-US" w:eastAsia="zh-CN"/>
              </w:rPr>
              <w:t>3</w:t>
            </w:r>
            <w:r>
              <w:rPr>
                <w:rFonts w:hint="default" w:ascii="Times New Roman" w:hAnsi="Times New Roman" w:eastAsia="宋体" w:cs="Times New Roman"/>
                <w:color w:val="auto"/>
                <w:sz w:val="24"/>
              </w:rPr>
              <w:t>类标准。</w:t>
            </w:r>
          </w:p>
          <w:p w14:paraId="53DEA06C">
            <w:pPr>
              <w:pStyle w:val="9"/>
              <w:keepLines w:val="0"/>
              <w:pageBreakBefore w:val="0"/>
              <w:widowControl w:val="0"/>
              <w:kinsoku/>
              <w:wordWrap/>
              <w:topLinePunct w:val="0"/>
              <w:autoSpaceDE/>
              <w:autoSpaceDN/>
              <w:bidi w:val="0"/>
              <w:adjustRightInd/>
              <w:snapToGrid/>
              <w:spacing w:before="0" w:after="0" w:line="520" w:lineRule="exact"/>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表3-</w:t>
            </w:r>
            <w:r>
              <w:rPr>
                <w:rFonts w:hint="eastAsia" w:cs="Times New Roman"/>
                <w:b/>
                <w:bCs/>
                <w:color w:val="auto"/>
                <w:sz w:val="21"/>
                <w:szCs w:val="21"/>
                <w:lang w:val="en-US" w:eastAsia="zh-CN"/>
              </w:rPr>
              <w:t>7</w:t>
            </w:r>
            <w:r>
              <w:rPr>
                <w:rFonts w:hint="default" w:ascii="Times New Roman" w:hAnsi="Times New Roman" w:eastAsia="宋体" w:cs="Times New Roman"/>
                <w:b/>
                <w:bCs/>
                <w:color w:val="auto"/>
                <w:sz w:val="21"/>
                <w:szCs w:val="21"/>
              </w:rPr>
              <w:t xml:space="preserve">    </w:t>
            </w:r>
            <w:r>
              <w:rPr>
                <w:rFonts w:hint="eastAsia" w:cs="Times New Roman"/>
                <w:b/>
                <w:bCs/>
                <w:color w:val="auto"/>
                <w:sz w:val="21"/>
                <w:szCs w:val="21"/>
                <w:lang w:val="en-US" w:eastAsia="zh-CN"/>
              </w:rPr>
              <w:t>运营期</w:t>
            </w:r>
            <w:r>
              <w:rPr>
                <w:rFonts w:hint="default" w:ascii="Times New Roman" w:hAnsi="Times New Roman" w:eastAsia="宋体" w:cs="Times New Roman"/>
                <w:b/>
                <w:bCs/>
                <w:color w:val="auto"/>
                <w:sz w:val="21"/>
                <w:szCs w:val="21"/>
              </w:rPr>
              <w:t>噪声排放限值  单位：dB（A）</w:t>
            </w:r>
          </w:p>
          <w:tbl>
            <w:tblPr>
              <w:tblStyle w:val="2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524"/>
              <w:gridCol w:w="2525"/>
              <w:gridCol w:w="2528"/>
            </w:tblGrid>
            <w:tr w14:paraId="5AB3ED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vMerge w:val="restart"/>
                  <w:vAlign w:val="center"/>
                </w:tcPr>
                <w:p w14:paraId="301A3C51">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厂界外声环境功能区类别</w:t>
                  </w:r>
                </w:p>
              </w:tc>
              <w:tc>
                <w:tcPr>
                  <w:tcW w:w="3334" w:type="pct"/>
                  <w:gridSpan w:val="2"/>
                  <w:vAlign w:val="center"/>
                </w:tcPr>
                <w:p w14:paraId="2F30D549">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时段</w:t>
                  </w:r>
                </w:p>
              </w:tc>
            </w:tr>
            <w:tr w14:paraId="04C5C4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vMerge w:val="continue"/>
                  <w:vAlign w:val="center"/>
                </w:tcPr>
                <w:p w14:paraId="6346FA79">
                  <w:pPr>
                    <w:adjustRightInd w:val="0"/>
                    <w:snapToGrid w:val="0"/>
                    <w:jc w:val="center"/>
                    <w:rPr>
                      <w:rFonts w:hint="default" w:ascii="Times New Roman" w:hAnsi="Times New Roman" w:eastAsia="宋体" w:cs="Times New Roman"/>
                      <w:b/>
                      <w:bCs/>
                      <w:color w:val="auto"/>
                      <w:szCs w:val="21"/>
                    </w:rPr>
                  </w:pPr>
                </w:p>
              </w:tc>
              <w:tc>
                <w:tcPr>
                  <w:tcW w:w="1666" w:type="pct"/>
                  <w:vAlign w:val="center"/>
                </w:tcPr>
                <w:p w14:paraId="22BAFC04">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昼间</w:t>
                  </w:r>
                </w:p>
              </w:tc>
              <w:tc>
                <w:tcPr>
                  <w:tcW w:w="1667" w:type="pct"/>
                  <w:vAlign w:val="center"/>
                </w:tcPr>
                <w:p w14:paraId="0341FFED">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夜间</w:t>
                  </w:r>
                </w:p>
              </w:tc>
            </w:tr>
            <w:tr w14:paraId="311F05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6" w:type="pct"/>
                  <w:vAlign w:val="center"/>
                </w:tcPr>
                <w:p w14:paraId="50FDBB26">
                  <w:pPr>
                    <w:adjustRightInd w:val="0"/>
                    <w:snapToGrid w:val="0"/>
                    <w:jc w:val="center"/>
                    <w:rPr>
                      <w:rFonts w:hint="default" w:ascii="Times New Roman" w:hAnsi="Times New Roman" w:eastAsia="宋体" w:cs="Times New Roman"/>
                      <w:color w:val="auto"/>
                      <w:szCs w:val="21"/>
                    </w:rPr>
                  </w:pPr>
                  <w:r>
                    <w:rPr>
                      <w:rFonts w:hint="eastAsia" w:cs="Times New Roman"/>
                      <w:color w:val="auto"/>
                      <w:szCs w:val="21"/>
                      <w:lang w:val="en-US" w:eastAsia="zh-CN"/>
                    </w:rPr>
                    <w:t>3</w:t>
                  </w:r>
                  <w:r>
                    <w:rPr>
                      <w:rFonts w:hint="default" w:ascii="Times New Roman" w:hAnsi="Times New Roman" w:eastAsia="宋体" w:cs="Times New Roman"/>
                      <w:color w:val="auto"/>
                      <w:szCs w:val="21"/>
                    </w:rPr>
                    <w:t>类区</w:t>
                  </w:r>
                </w:p>
              </w:tc>
              <w:tc>
                <w:tcPr>
                  <w:tcW w:w="1666" w:type="pct"/>
                  <w:vAlign w:val="center"/>
                </w:tcPr>
                <w:p w14:paraId="3640FA9A">
                  <w:pPr>
                    <w:adjustRightInd w:val="0"/>
                    <w:snapToGrid w:val="0"/>
                    <w:jc w:val="center"/>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6</w:t>
                  </w:r>
                  <w:r>
                    <w:rPr>
                      <w:rFonts w:hint="eastAsia" w:cs="Times New Roman"/>
                      <w:color w:val="auto"/>
                      <w:szCs w:val="21"/>
                      <w:lang w:val="en-US" w:eastAsia="zh-CN"/>
                    </w:rPr>
                    <w:t>5</w:t>
                  </w:r>
                </w:p>
              </w:tc>
              <w:tc>
                <w:tcPr>
                  <w:tcW w:w="1667" w:type="pct"/>
                  <w:vAlign w:val="center"/>
                </w:tcPr>
                <w:p w14:paraId="69277D4C">
                  <w:pPr>
                    <w:adjustRightInd w:val="0"/>
                    <w:snapToGrid w:val="0"/>
                    <w:jc w:val="center"/>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5</w:t>
                  </w:r>
                  <w:r>
                    <w:rPr>
                      <w:rFonts w:hint="eastAsia" w:cs="Times New Roman"/>
                      <w:color w:val="auto"/>
                      <w:szCs w:val="21"/>
                      <w:lang w:val="en-US" w:eastAsia="zh-CN"/>
                    </w:rPr>
                    <w:t>5</w:t>
                  </w:r>
                </w:p>
              </w:tc>
            </w:tr>
          </w:tbl>
          <w:p w14:paraId="1D85AA2D">
            <w:pPr>
              <w:pStyle w:val="9"/>
              <w:keepLines w:val="0"/>
              <w:pageBreakBefore w:val="0"/>
              <w:widowControl w:val="0"/>
              <w:kinsoku/>
              <w:wordWrap/>
              <w:topLinePunct w:val="0"/>
              <w:autoSpaceDE/>
              <w:autoSpaceDN/>
              <w:bidi w:val="0"/>
              <w:adjustRightInd/>
              <w:snapToGrid/>
              <w:spacing w:before="0" w:after="0" w:line="520" w:lineRule="exact"/>
              <w:textAlignment w:val="auto"/>
              <w:rPr>
                <w:rFonts w:hint="default"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lang w:val="en-US" w:eastAsia="zh-CN"/>
              </w:rPr>
              <w:t>表3-</w:t>
            </w:r>
            <w:r>
              <w:rPr>
                <w:rFonts w:hint="eastAsia" w:cs="Times New Roman"/>
                <w:b/>
                <w:bCs/>
                <w:color w:val="auto"/>
                <w:sz w:val="21"/>
                <w:szCs w:val="21"/>
                <w:lang w:val="en-US" w:eastAsia="zh-CN"/>
              </w:rPr>
              <w:t>8</w:t>
            </w:r>
            <w:r>
              <w:rPr>
                <w:rFonts w:hint="eastAsia" w:ascii="Times New Roman" w:hAnsi="Times New Roman" w:eastAsia="宋体" w:cs="Times New Roman"/>
                <w:b/>
                <w:bCs/>
                <w:color w:val="auto"/>
                <w:sz w:val="21"/>
                <w:szCs w:val="21"/>
                <w:lang w:val="en-US" w:eastAsia="zh-CN"/>
              </w:rPr>
              <w:t xml:space="preserve">    施工期噪声排放限值  单位：</w:t>
            </w:r>
            <w:r>
              <w:rPr>
                <w:rFonts w:hint="default" w:ascii="Times New Roman" w:hAnsi="Times New Roman" w:eastAsia="宋体" w:cs="Times New Roman"/>
                <w:b/>
                <w:bCs/>
                <w:color w:val="auto"/>
                <w:sz w:val="21"/>
                <w:szCs w:val="21"/>
              </w:rPr>
              <w:t>dB（A）</w:t>
            </w:r>
          </w:p>
          <w:tbl>
            <w:tblPr>
              <w:tblStyle w:val="2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643"/>
              <w:gridCol w:w="2467"/>
              <w:gridCol w:w="2467"/>
            </w:tblGrid>
            <w:tr w14:paraId="039A47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36" w:type="dxa"/>
                  <w:vMerge w:val="restart"/>
                  <w:tcBorders>
                    <w:bottom w:val="single" w:color="auto" w:sz="12" w:space="0"/>
                  </w:tcBorders>
                  <w:vAlign w:val="center"/>
                </w:tcPr>
                <w:p w14:paraId="3D854872">
                  <w:pPr>
                    <w:jc w:val="center"/>
                    <w:rPr>
                      <w:rFonts w:hint="default"/>
                      <w:color w:val="auto"/>
                      <w:sz w:val="21"/>
                      <w:szCs w:val="21"/>
                      <w:vertAlign w:val="baseline"/>
                      <w:lang w:val="en-US" w:eastAsia="zh-CN"/>
                    </w:rPr>
                  </w:pPr>
                  <w:r>
                    <w:rPr>
                      <w:rFonts w:hint="default" w:ascii="Times New Roman" w:hAnsi="Times New Roman" w:eastAsia="宋体" w:cs="Times New Roman"/>
                      <w:b w:val="0"/>
                      <w:bCs w:val="0"/>
                      <w:color w:val="auto"/>
                      <w:sz w:val="21"/>
                      <w:szCs w:val="21"/>
                    </w:rPr>
                    <w:t>《建筑施工场界环境噪声排放标准》（GB12523-2011）</w:t>
                  </w:r>
                </w:p>
              </w:tc>
              <w:tc>
                <w:tcPr>
                  <w:tcW w:w="5474" w:type="dxa"/>
                  <w:gridSpan w:val="2"/>
                  <w:tcBorders>
                    <w:bottom w:val="single" w:color="auto" w:sz="12" w:space="0"/>
                  </w:tcBorders>
                  <w:vAlign w:val="center"/>
                </w:tcPr>
                <w:p w14:paraId="741D780C">
                  <w:pPr>
                    <w:jc w:val="center"/>
                    <w:rPr>
                      <w:rFonts w:hint="default"/>
                      <w:color w:val="auto"/>
                      <w:sz w:val="21"/>
                      <w:szCs w:val="21"/>
                      <w:vertAlign w:val="baseline"/>
                      <w:lang w:val="en-US" w:eastAsia="zh-CN"/>
                    </w:rPr>
                  </w:pPr>
                  <w:r>
                    <w:rPr>
                      <w:rFonts w:hint="eastAsia"/>
                      <w:color w:val="auto"/>
                      <w:sz w:val="21"/>
                      <w:szCs w:val="21"/>
                      <w:vertAlign w:val="baseline"/>
                      <w:lang w:val="en-US" w:eastAsia="zh-CN"/>
                    </w:rPr>
                    <w:t>时段</w:t>
                  </w:r>
                </w:p>
              </w:tc>
            </w:tr>
            <w:tr w14:paraId="555A16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36" w:type="dxa"/>
                  <w:vMerge w:val="continue"/>
                  <w:tcBorders>
                    <w:top w:val="single" w:color="auto" w:sz="12" w:space="0"/>
                    <w:tl2br w:val="nil"/>
                    <w:tr2bl w:val="nil"/>
                  </w:tcBorders>
                  <w:vAlign w:val="center"/>
                </w:tcPr>
                <w:p w14:paraId="705D4A69">
                  <w:pPr>
                    <w:jc w:val="center"/>
                    <w:rPr>
                      <w:rFonts w:hint="default"/>
                      <w:color w:val="auto"/>
                      <w:sz w:val="21"/>
                      <w:szCs w:val="21"/>
                      <w:vertAlign w:val="baseline"/>
                      <w:lang w:val="en-US" w:eastAsia="zh-CN"/>
                    </w:rPr>
                  </w:pPr>
                </w:p>
              </w:tc>
              <w:tc>
                <w:tcPr>
                  <w:tcW w:w="2737" w:type="dxa"/>
                  <w:tcBorders>
                    <w:top w:val="single" w:color="auto" w:sz="12" w:space="0"/>
                    <w:tl2br w:val="nil"/>
                    <w:tr2bl w:val="nil"/>
                  </w:tcBorders>
                  <w:vAlign w:val="center"/>
                </w:tcPr>
                <w:p w14:paraId="198C2BA4">
                  <w:pPr>
                    <w:jc w:val="center"/>
                    <w:rPr>
                      <w:rFonts w:hint="default"/>
                      <w:color w:val="auto"/>
                      <w:sz w:val="21"/>
                      <w:szCs w:val="21"/>
                      <w:vertAlign w:val="baseline"/>
                      <w:lang w:val="en-US" w:eastAsia="zh-CN"/>
                    </w:rPr>
                  </w:pPr>
                  <w:r>
                    <w:rPr>
                      <w:rFonts w:hint="eastAsia"/>
                      <w:color w:val="auto"/>
                      <w:sz w:val="21"/>
                      <w:szCs w:val="21"/>
                      <w:vertAlign w:val="baseline"/>
                      <w:lang w:val="en-US" w:eastAsia="zh-CN"/>
                    </w:rPr>
                    <w:t>昼间</w:t>
                  </w:r>
                </w:p>
              </w:tc>
              <w:tc>
                <w:tcPr>
                  <w:tcW w:w="2737" w:type="dxa"/>
                  <w:tcBorders>
                    <w:top w:val="single" w:color="auto" w:sz="12" w:space="0"/>
                    <w:tl2br w:val="nil"/>
                    <w:tr2bl w:val="nil"/>
                  </w:tcBorders>
                  <w:vAlign w:val="center"/>
                </w:tcPr>
                <w:p w14:paraId="7F42069A">
                  <w:pPr>
                    <w:jc w:val="center"/>
                    <w:rPr>
                      <w:rFonts w:hint="default"/>
                      <w:color w:val="auto"/>
                      <w:sz w:val="21"/>
                      <w:szCs w:val="21"/>
                      <w:vertAlign w:val="baseline"/>
                      <w:lang w:val="en-US" w:eastAsia="zh-CN"/>
                    </w:rPr>
                  </w:pPr>
                  <w:r>
                    <w:rPr>
                      <w:rFonts w:hint="eastAsia"/>
                      <w:color w:val="auto"/>
                      <w:sz w:val="21"/>
                      <w:szCs w:val="21"/>
                      <w:vertAlign w:val="baseline"/>
                      <w:lang w:val="en-US" w:eastAsia="zh-CN"/>
                    </w:rPr>
                    <w:t>夜间</w:t>
                  </w:r>
                </w:p>
              </w:tc>
            </w:tr>
            <w:tr w14:paraId="1E787C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2736" w:type="dxa"/>
                  <w:vMerge w:val="continue"/>
                  <w:tcBorders>
                    <w:tl2br w:val="nil"/>
                    <w:tr2bl w:val="nil"/>
                  </w:tcBorders>
                  <w:vAlign w:val="center"/>
                </w:tcPr>
                <w:p w14:paraId="1A4DAF7A">
                  <w:pPr>
                    <w:jc w:val="center"/>
                    <w:rPr>
                      <w:rFonts w:hint="default"/>
                      <w:color w:val="auto"/>
                      <w:sz w:val="21"/>
                      <w:szCs w:val="21"/>
                      <w:vertAlign w:val="baseline"/>
                      <w:lang w:val="en-US" w:eastAsia="zh-CN"/>
                    </w:rPr>
                  </w:pPr>
                </w:p>
              </w:tc>
              <w:tc>
                <w:tcPr>
                  <w:tcW w:w="2737" w:type="dxa"/>
                  <w:tcBorders>
                    <w:tl2br w:val="nil"/>
                    <w:tr2bl w:val="nil"/>
                  </w:tcBorders>
                  <w:vAlign w:val="center"/>
                </w:tcPr>
                <w:p w14:paraId="3122D904">
                  <w:pPr>
                    <w:jc w:val="center"/>
                    <w:rPr>
                      <w:rFonts w:hint="default"/>
                      <w:color w:val="auto"/>
                      <w:sz w:val="21"/>
                      <w:szCs w:val="21"/>
                      <w:vertAlign w:val="baseline"/>
                      <w:lang w:val="en-US" w:eastAsia="zh-CN"/>
                    </w:rPr>
                  </w:pPr>
                  <w:r>
                    <w:rPr>
                      <w:rFonts w:hint="eastAsia"/>
                      <w:color w:val="auto"/>
                      <w:sz w:val="21"/>
                      <w:szCs w:val="21"/>
                      <w:vertAlign w:val="baseline"/>
                      <w:lang w:val="en-US" w:eastAsia="zh-CN"/>
                    </w:rPr>
                    <w:t>70</w:t>
                  </w:r>
                </w:p>
              </w:tc>
              <w:tc>
                <w:tcPr>
                  <w:tcW w:w="2737" w:type="dxa"/>
                  <w:tcBorders>
                    <w:tl2br w:val="nil"/>
                    <w:tr2bl w:val="nil"/>
                  </w:tcBorders>
                  <w:vAlign w:val="center"/>
                </w:tcPr>
                <w:p w14:paraId="56CDC3B5">
                  <w:pPr>
                    <w:jc w:val="center"/>
                    <w:rPr>
                      <w:rFonts w:hint="default"/>
                      <w:color w:val="auto"/>
                      <w:sz w:val="21"/>
                      <w:szCs w:val="21"/>
                      <w:vertAlign w:val="baseline"/>
                      <w:lang w:val="en-US" w:eastAsia="zh-CN"/>
                    </w:rPr>
                  </w:pPr>
                  <w:r>
                    <w:rPr>
                      <w:rFonts w:hint="eastAsia"/>
                      <w:color w:val="auto"/>
                      <w:sz w:val="21"/>
                      <w:szCs w:val="21"/>
                      <w:vertAlign w:val="baseline"/>
                      <w:lang w:val="en-US" w:eastAsia="zh-CN"/>
                    </w:rPr>
                    <w:t>55</w:t>
                  </w:r>
                </w:p>
              </w:tc>
            </w:tr>
          </w:tbl>
          <w:p w14:paraId="2F225107">
            <w:pPr>
              <w:pStyle w:val="2"/>
              <w:keepNext/>
              <w:keepLines w:val="0"/>
              <w:pageBreakBefore w:val="0"/>
              <w:widowControl w:val="0"/>
              <w:numPr>
                <w:ilvl w:val="0"/>
                <w:numId w:val="12"/>
              </w:numPr>
              <w:kinsoku/>
              <w:wordWrap/>
              <w:overflowPunct w:val="0"/>
              <w:topLinePunct w:val="0"/>
              <w:autoSpaceDE/>
              <w:autoSpaceDN/>
              <w:bidi w:val="0"/>
              <w:adjustRightInd/>
              <w:snapToGrid/>
              <w:spacing w:before="0" w:after="0" w:line="520" w:lineRule="exact"/>
              <w:ind w:left="0" w:leftChars="0" w:firstLine="0" w:firstLineChars="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固体废物</w:t>
            </w:r>
          </w:p>
          <w:p w14:paraId="27C9BF92">
            <w:pPr>
              <w:keepNext w:val="0"/>
              <w:keepLines w:val="0"/>
              <w:pageBreakBefore w:val="0"/>
              <w:kinsoku/>
              <w:wordWrap/>
              <w:overflowPunct/>
              <w:topLinePunct w:val="0"/>
              <w:autoSpaceDE/>
              <w:autoSpaceDN/>
              <w:bidi w:val="0"/>
              <w:adjustRightInd w:val="0"/>
              <w:snapToGrid/>
              <w:spacing w:line="520" w:lineRule="exact"/>
              <w:ind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（1）本项目一般固体废物执行《一般工业固体废物贮存和填埋污染控制标准》（GB18599-2020）相关规定。</w:t>
            </w:r>
          </w:p>
          <w:p w14:paraId="396B2199">
            <w:pPr>
              <w:pStyle w:val="7"/>
              <w:keepNext w:val="0"/>
              <w:keepLines w:val="0"/>
              <w:pageBreakBefore w:val="0"/>
              <w:kinsoku/>
              <w:wordWrap/>
              <w:overflowPunct/>
              <w:topLinePunct w:val="0"/>
              <w:autoSpaceDE/>
              <w:autoSpaceDN/>
              <w:bidi w:val="0"/>
              <w:snapToGrid/>
              <w:spacing w:before="0" w:after="0" w:line="520" w:lineRule="exact"/>
              <w:ind w:right="0" w:firstLine="480" w:firstLineChars="200"/>
              <w:textAlignment w:val="auto"/>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（2）危险废物执行《危险废物贮存污染控制标准》（GB18597-20</w:t>
            </w:r>
            <w:r>
              <w:rPr>
                <w:rFonts w:hint="eastAsia" w:cs="Times New Roman"/>
                <w:color w:val="auto"/>
                <w:kern w:val="2"/>
                <w:sz w:val="24"/>
                <w:szCs w:val="24"/>
                <w:lang w:val="en-US" w:eastAsia="zh-CN"/>
              </w:rPr>
              <w:t>23</w:t>
            </w:r>
            <w:r>
              <w:rPr>
                <w:rFonts w:hint="default" w:ascii="Times New Roman" w:hAnsi="Times New Roman" w:eastAsia="宋体" w:cs="Times New Roman"/>
                <w:color w:val="auto"/>
                <w:kern w:val="2"/>
                <w:sz w:val="24"/>
                <w:szCs w:val="24"/>
              </w:rPr>
              <w:t>）</w:t>
            </w:r>
            <w:r>
              <w:rPr>
                <w:rFonts w:hint="eastAsia" w:cs="Times New Roman"/>
                <w:color w:val="auto"/>
                <w:kern w:val="2"/>
                <w:sz w:val="24"/>
                <w:szCs w:val="24"/>
                <w:lang w:val="en-US" w:eastAsia="zh-CN"/>
              </w:rPr>
              <w:t>中相关要求</w:t>
            </w:r>
            <w:r>
              <w:rPr>
                <w:rFonts w:hint="default" w:ascii="Times New Roman" w:hAnsi="Times New Roman" w:eastAsia="宋体" w:cs="Times New Roman"/>
                <w:color w:val="auto"/>
                <w:kern w:val="2"/>
                <w:sz w:val="24"/>
                <w:szCs w:val="24"/>
              </w:rPr>
              <w:t>。</w:t>
            </w:r>
          </w:p>
        </w:tc>
      </w:tr>
      <w:tr w14:paraId="003F6A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73" w:hRule="atLeast"/>
          <w:jc w:val="center"/>
        </w:trPr>
        <w:tc>
          <w:tcPr>
            <w:tcW w:w="800" w:type="dxa"/>
            <w:vAlign w:val="center"/>
          </w:tcPr>
          <w:p w14:paraId="5BF49608">
            <w:pPr>
              <w:adjustRightInd w:val="0"/>
              <w:snapToGrid w:val="0"/>
              <w:spacing w:line="360" w:lineRule="auto"/>
              <w:jc w:val="center"/>
              <w:rPr>
                <w:rFonts w:ascii="宋体" w:hAnsi="宋体" w:cs="宋体"/>
                <w:color w:val="auto"/>
                <w:kern w:val="0"/>
                <w:szCs w:val="21"/>
              </w:rPr>
            </w:pPr>
            <w:r>
              <w:rPr>
                <w:rFonts w:hint="eastAsia" w:ascii="宋体" w:hAnsi="宋体" w:cs="宋体"/>
                <w:color w:val="auto"/>
                <w:kern w:val="0"/>
                <w:sz w:val="24"/>
                <w:szCs w:val="24"/>
              </w:rPr>
              <w:t>总量控制指标</w:t>
            </w:r>
          </w:p>
        </w:tc>
        <w:tc>
          <w:tcPr>
            <w:tcW w:w="8190" w:type="dxa"/>
            <w:vAlign w:val="center"/>
          </w:tcPr>
          <w:p w14:paraId="19121313">
            <w:pPr>
              <w:keepNext w:val="0"/>
              <w:keepLines w:val="0"/>
              <w:pageBreakBefore w:val="0"/>
              <w:widowControl/>
              <w:kinsoku/>
              <w:wordWrap/>
              <w:overflowPunct/>
              <w:topLinePunct w:val="0"/>
              <w:autoSpaceDE/>
              <w:autoSpaceDN/>
              <w:bidi w:val="0"/>
              <w:spacing w:line="520" w:lineRule="exact"/>
              <w:ind w:firstLine="480" w:firstLineChars="200"/>
              <w:textAlignment w:val="auto"/>
              <w:rPr>
                <w:rFonts w:hint="eastAsia"/>
                <w:color w:val="auto"/>
                <w:sz w:val="24"/>
                <w:highlight w:val="none"/>
              </w:rPr>
            </w:pPr>
            <w:r>
              <w:rPr>
                <w:rFonts w:hint="eastAsia"/>
                <w:color w:val="auto"/>
                <w:sz w:val="24"/>
                <w:highlight w:val="none"/>
              </w:rPr>
              <w:t>根据自治区党委自治区人民政府印发的《新疆生态环境保护“十四五”规划》，新疆“十四五”生态环境保护规划总量控制指标为COD、氨氮、氮氧化物和VOCs。</w:t>
            </w:r>
          </w:p>
          <w:p w14:paraId="632B6C23">
            <w:pPr>
              <w:keepNext w:val="0"/>
              <w:keepLines w:val="0"/>
              <w:pageBreakBefore w:val="0"/>
              <w:widowControl/>
              <w:kinsoku/>
              <w:wordWrap/>
              <w:overflowPunct/>
              <w:topLinePunct w:val="0"/>
              <w:autoSpaceDE/>
              <w:autoSpaceDN/>
              <w:bidi w:val="0"/>
              <w:spacing w:line="520" w:lineRule="exact"/>
              <w:ind w:firstLine="480" w:firstLineChars="200"/>
              <w:textAlignment w:val="auto"/>
              <w:rPr>
                <w:color w:val="auto"/>
                <w:sz w:val="24"/>
                <w:highlight w:val="none"/>
              </w:rPr>
            </w:pPr>
            <w:r>
              <w:rPr>
                <w:rFonts w:hint="eastAsia"/>
                <w:color w:val="auto"/>
                <w:sz w:val="24"/>
                <w:highlight w:val="none"/>
              </w:rPr>
              <w:t>本项目生活污水由</w:t>
            </w:r>
            <w:r>
              <w:rPr>
                <w:rFonts w:hint="eastAsia"/>
                <w:color w:val="auto"/>
                <w:sz w:val="24"/>
                <w:highlight w:val="none"/>
                <w:lang w:val="en-US" w:eastAsia="zh-CN"/>
              </w:rPr>
              <w:t>市政</w:t>
            </w:r>
            <w:r>
              <w:rPr>
                <w:rFonts w:hint="eastAsia"/>
                <w:color w:val="auto"/>
                <w:sz w:val="24"/>
                <w:highlight w:val="none"/>
              </w:rPr>
              <w:t>污水处理厂处置，由污水处理厂进行调控。根据本项目总量因子排放特点，本项目可不申请水污染物总量指标。根据《新疆生态环境保护“十四五”规划》，本项目大气污染物为</w:t>
            </w:r>
            <w:r>
              <w:rPr>
                <w:rFonts w:hint="eastAsia"/>
                <w:color w:val="auto"/>
                <w:sz w:val="24"/>
                <w:highlight w:val="none"/>
                <w:lang w:val="en-US" w:eastAsia="zh-CN"/>
              </w:rPr>
              <w:t>颗粒物</w:t>
            </w:r>
            <w:r>
              <w:rPr>
                <w:rFonts w:hint="eastAsia"/>
                <w:color w:val="auto"/>
                <w:sz w:val="24"/>
                <w:highlight w:val="none"/>
              </w:rPr>
              <w:t>。</w:t>
            </w:r>
          </w:p>
          <w:p w14:paraId="71061C28">
            <w:pPr>
              <w:keepNext w:val="0"/>
              <w:keepLines w:val="0"/>
              <w:pageBreakBefore w:val="0"/>
              <w:kinsoku/>
              <w:wordWrap/>
              <w:overflowPunct/>
              <w:topLinePunct w:val="0"/>
              <w:autoSpaceDE/>
              <w:autoSpaceDN/>
              <w:bidi w:val="0"/>
              <w:adjustRightInd w:val="0"/>
              <w:snapToGrid w:val="0"/>
              <w:spacing w:line="520" w:lineRule="exact"/>
              <w:ind w:firstLine="480" w:firstLineChars="200"/>
              <w:textAlignment w:val="auto"/>
              <w:rPr>
                <w:rFonts w:hint="default"/>
                <w:color w:val="auto"/>
                <w:sz w:val="24"/>
                <w:highlight w:val="none"/>
                <w:lang w:val="en-US" w:eastAsia="zh-CN"/>
              </w:rPr>
            </w:pPr>
            <w:r>
              <w:rPr>
                <w:rFonts w:hint="eastAsia"/>
                <w:color w:val="auto"/>
                <w:sz w:val="24"/>
                <w:highlight w:val="none"/>
                <w:lang w:val="en-US" w:eastAsia="zh-CN"/>
              </w:rPr>
              <w:t>本项目现有工程环评时间较早，未批复总量，因此本次评价总量申请包括本项目颗粒物。项目建成后全厂颗粒物排放量为8.1t/a。</w:t>
            </w:r>
          </w:p>
          <w:p w14:paraId="2F483F2B">
            <w:pPr>
              <w:keepNext w:val="0"/>
              <w:keepLines w:val="0"/>
              <w:pageBreakBefore w:val="0"/>
              <w:kinsoku/>
              <w:wordWrap/>
              <w:overflowPunct/>
              <w:topLinePunct w:val="0"/>
              <w:autoSpaceDE/>
              <w:autoSpaceDN/>
              <w:bidi w:val="0"/>
              <w:adjustRightInd w:val="0"/>
              <w:snapToGrid w:val="0"/>
              <w:spacing w:line="520" w:lineRule="exact"/>
              <w:ind w:firstLine="480" w:firstLineChars="200"/>
              <w:textAlignment w:val="auto"/>
              <w:rPr>
                <w:rFonts w:hint="eastAsia"/>
                <w:color w:val="auto"/>
                <w:sz w:val="24"/>
                <w:highlight w:val="none"/>
                <w:lang w:val="en-US" w:eastAsia="zh-CN"/>
              </w:rPr>
            </w:pPr>
            <w:r>
              <w:rPr>
                <w:rFonts w:hint="eastAsia"/>
                <w:color w:val="auto"/>
                <w:sz w:val="24"/>
                <w:highlight w:val="none"/>
                <w:lang w:val="en-US" w:eastAsia="zh-CN"/>
              </w:rPr>
              <w:t>因此</w:t>
            </w:r>
            <w:r>
              <w:rPr>
                <w:color w:val="auto"/>
                <w:sz w:val="24"/>
                <w:highlight w:val="none"/>
              </w:rPr>
              <w:t>本项目</w:t>
            </w:r>
            <w:r>
              <w:rPr>
                <w:rFonts w:hint="eastAsia"/>
                <w:color w:val="auto"/>
                <w:sz w:val="24"/>
                <w:highlight w:val="none"/>
                <w:lang w:val="en-US" w:eastAsia="zh-CN"/>
              </w:rPr>
              <w:t>申请总量为颗粒物：8.1t/a，由当地环保部门调控进行倍量替代，替代总量为颗粒物：16.2t/a。</w:t>
            </w:r>
          </w:p>
          <w:p w14:paraId="1F8AEE24">
            <w:pPr>
              <w:keepNext w:val="0"/>
              <w:keepLines w:val="0"/>
              <w:pageBreakBefore w:val="0"/>
              <w:kinsoku/>
              <w:wordWrap/>
              <w:overflowPunct/>
              <w:topLinePunct w:val="0"/>
              <w:autoSpaceDE/>
              <w:autoSpaceDN/>
              <w:bidi w:val="0"/>
              <w:adjustRightInd w:val="0"/>
              <w:snapToGrid w:val="0"/>
              <w:spacing w:line="520" w:lineRule="exact"/>
              <w:ind w:firstLine="480" w:firstLineChars="200"/>
              <w:textAlignment w:val="auto"/>
              <w:rPr>
                <w:rFonts w:hint="default"/>
                <w:color w:val="auto"/>
                <w:sz w:val="24"/>
                <w:highlight w:val="none"/>
                <w:lang w:val="en-US" w:eastAsia="zh-CN"/>
              </w:rPr>
            </w:pPr>
          </w:p>
        </w:tc>
      </w:tr>
    </w:tbl>
    <w:p w14:paraId="15F79489">
      <w:pPr>
        <w:pStyle w:val="25"/>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sz w:val="36"/>
          <w:szCs w:val="36"/>
        </w:rPr>
        <w:br w:type="page"/>
      </w:r>
      <w:r>
        <w:rPr>
          <w:rFonts w:ascii="Times New Roman" w:hAnsi="Times New Roman" w:eastAsia="黑体"/>
          <w:snapToGrid w:val="0"/>
          <w:color w:val="auto"/>
          <w:sz w:val="30"/>
          <w:szCs w:val="30"/>
        </w:rPr>
        <w:t>四、主要环境影响和保护措施</w:t>
      </w:r>
    </w:p>
    <w:tbl>
      <w:tblPr>
        <w:tblStyle w:val="27"/>
        <w:tblW w:w="530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577"/>
        <w:gridCol w:w="8383"/>
      </w:tblGrid>
      <w:tr w14:paraId="697C20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647" w:hRule="atLeast"/>
          <w:jc w:val="center"/>
        </w:trPr>
        <w:tc>
          <w:tcPr>
            <w:tcW w:w="322" w:type="pct"/>
            <w:tcBorders>
              <w:top w:val="single" w:color="000000" w:sz="8" w:space="0"/>
              <w:left w:val="single" w:color="000000" w:sz="8" w:space="0"/>
              <w:bottom w:val="single" w:color="000000" w:sz="8" w:space="0"/>
              <w:right w:val="single" w:color="000000" w:sz="8" w:space="0"/>
            </w:tcBorders>
            <w:shd w:val="clear" w:color="auto" w:fill="auto"/>
            <w:tcMar>
              <w:left w:w="28" w:type="dxa"/>
              <w:right w:w="28" w:type="dxa"/>
            </w:tcMar>
            <w:vAlign w:val="center"/>
          </w:tcPr>
          <w:p w14:paraId="7698EC11">
            <w:pPr>
              <w:pStyle w:val="25"/>
              <w:adjustRightInd w:val="0"/>
              <w:snapToGrid w:val="0"/>
              <w:spacing w:before="0" w:beforeAutospacing="0" w:after="0" w:afterAutospacing="0" w:line="360" w:lineRule="auto"/>
              <w:jc w:val="center"/>
              <w:rPr>
                <w:rFonts w:ascii="Times New Roman" w:hAnsi="Times New Roman"/>
                <w:bCs/>
                <w:color w:val="auto"/>
                <w:kern w:val="2"/>
                <w:sz w:val="21"/>
                <w:szCs w:val="21"/>
              </w:rPr>
            </w:pPr>
            <w:r>
              <w:rPr>
                <w:rFonts w:ascii="Times New Roman" w:hAnsi="Times New Roman"/>
                <w:color w:val="auto"/>
                <w:kern w:val="2"/>
                <w:sz w:val="24"/>
                <w:szCs w:val="24"/>
                <w:highlight w:val="none"/>
              </w:rPr>
              <w:t>施工期环境保护措施</w:t>
            </w:r>
          </w:p>
        </w:tc>
        <w:tc>
          <w:tcPr>
            <w:tcW w:w="4677"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328275F">
            <w:pPr>
              <w:keepNext w:val="0"/>
              <w:keepLines w:val="0"/>
              <w:pageBreakBefore w:val="0"/>
              <w:widowControl w:val="0"/>
              <w:kinsoku/>
              <w:wordWrap/>
              <w:overflowPunct/>
              <w:topLinePunct w:val="0"/>
              <w:autoSpaceDE/>
              <w:autoSpaceDN/>
              <w:bidi w:val="0"/>
              <w:adjustRightInd w:val="0"/>
              <w:snapToGrid w:val="0"/>
              <w:spacing w:line="520" w:lineRule="exact"/>
              <w:jc w:val="both"/>
              <w:textAlignment w:val="auto"/>
              <w:rPr>
                <w:rFonts w:hint="default" w:ascii="Times New Roman" w:hAnsi="Times New Roman" w:cs="Times New Roman"/>
                <w:b/>
                <w:bCs w:val="0"/>
                <w:color w:val="auto"/>
                <w:spacing w:val="0"/>
                <w:sz w:val="24"/>
                <w:szCs w:val="24"/>
                <w:lang w:val="en-US" w:eastAsia="zh-CN"/>
              </w:rPr>
            </w:pPr>
            <w:r>
              <w:rPr>
                <w:rFonts w:hint="eastAsia" w:ascii="Times New Roman" w:hAnsi="Times New Roman" w:cs="Times New Roman"/>
                <w:b/>
                <w:bCs w:val="0"/>
                <w:color w:val="auto"/>
                <w:spacing w:val="0"/>
                <w:sz w:val="24"/>
                <w:szCs w:val="24"/>
                <w:lang w:val="en-US" w:eastAsia="zh-CN"/>
              </w:rPr>
              <w:t xml:space="preserve">1 </w:t>
            </w:r>
            <w:r>
              <w:rPr>
                <w:rFonts w:hint="default" w:ascii="Times New Roman" w:hAnsi="Times New Roman" w:cs="Times New Roman"/>
                <w:b/>
                <w:bCs w:val="0"/>
                <w:color w:val="auto"/>
                <w:spacing w:val="0"/>
                <w:sz w:val="24"/>
                <w:szCs w:val="24"/>
                <w:lang w:val="en-US" w:eastAsia="zh-CN"/>
              </w:rPr>
              <w:t>大气污染防治措施</w:t>
            </w:r>
          </w:p>
          <w:p w14:paraId="218A9EA7">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both"/>
              <w:textAlignment w:val="auto"/>
              <w:rPr>
                <w:rFonts w:hint="default" w:ascii="Times New Roman" w:hAnsi="Times New Roman" w:cs="Times New Roman"/>
                <w:bCs/>
                <w:color w:val="auto"/>
                <w:spacing w:val="0"/>
                <w:sz w:val="24"/>
                <w:szCs w:val="24"/>
              </w:rPr>
            </w:pPr>
            <w:r>
              <w:rPr>
                <w:rFonts w:hint="default" w:ascii="Times New Roman" w:hAnsi="Times New Roman" w:cs="Times New Roman"/>
                <w:bCs/>
                <w:color w:val="auto"/>
                <w:spacing w:val="0"/>
                <w:sz w:val="24"/>
                <w:szCs w:val="24"/>
                <w:lang w:val="en-US" w:eastAsia="zh-CN"/>
              </w:rPr>
              <w:t>在施工期产生的扬尘污染对环境的影响是难以避免的，除采用洒水等有效抑尘措施外，为减小施工扬尘对周围环境的污染影响，应要求施工单位文明施工，同时可对施工单位提出如下要求：</w:t>
            </w:r>
          </w:p>
          <w:p w14:paraId="247E4403">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both"/>
              <w:textAlignment w:val="auto"/>
              <w:rPr>
                <w:rFonts w:hint="default" w:ascii="Times New Roman" w:hAnsi="Times New Roman" w:cs="Times New Roman"/>
                <w:bCs/>
                <w:color w:val="auto"/>
                <w:spacing w:val="0"/>
                <w:sz w:val="24"/>
                <w:szCs w:val="24"/>
              </w:rPr>
            </w:pPr>
            <w:r>
              <w:rPr>
                <w:rFonts w:hint="default" w:ascii="Times New Roman" w:hAnsi="Times New Roman" w:cs="Times New Roman"/>
                <w:bCs/>
                <w:color w:val="auto"/>
                <w:spacing w:val="0"/>
                <w:sz w:val="24"/>
                <w:szCs w:val="24"/>
                <w:lang w:val="en-US" w:eastAsia="zh-CN"/>
              </w:rPr>
              <w:t>（1）开挖、填方作业中，洒水使作业面保持一定的湿度：对施工场地内松散、干涸的表土，也应经常洒水</w:t>
            </w:r>
            <w:r>
              <w:rPr>
                <w:rFonts w:hint="eastAsia" w:ascii="Times New Roman" w:hAnsi="Times New Roman" w:cs="Times New Roman"/>
                <w:bCs/>
                <w:color w:val="auto"/>
                <w:spacing w:val="0"/>
                <w:sz w:val="24"/>
                <w:szCs w:val="24"/>
                <w:lang w:val="en-US" w:eastAsia="zh-CN"/>
              </w:rPr>
              <w:t>降尘</w:t>
            </w:r>
            <w:r>
              <w:rPr>
                <w:rFonts w:hint="default" w:ascii="Times New Roman" w:hAnsi="Times New Roman" w:cs="Times New Roman"/>
                <w:bCs/>
                <w:color w:val="auto"/>
                <w:spacing w:val="0"/>
                <w:sz w:val="24"/>
                <w:szCs w:val="24"/>
                <w:lang w:val="en-US" w:eastAsia="zh-CN"/>
              </w:rPr>
              <w:t>；回填土方时，在表层土质干燥时应适当洒水，防止粉尘飞扬。</w:t>
            </w:r>
          </w:p>
          <w:p w14:paraId="07FC031F">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both"/>
              <w:textAlignment w:val="auto"/>
              <w:rPr>
                <w:rFonts w:hint="default" w:ascii="Times New Roman" w:hAnsi="Times New Roman" w:cs="Times New Roman"/>
                <w:bCs/>
                <w:color w:val="auto"/>
                <w:spacing w:val="0"/>
                <w:sz w:val="24"/>
                <w:szCs w:val="24"/>
              </w:rPr>
            </w:pPr>
            <w:r>
              <w:rPr>
                <w:rFonts w:hint="default" w:ascii="Times New Roman" w:hAnsi="Times New Roman" w:cs="Times New Roman"/>
                <w:bCs/>
                <w:color w:val="auto"/>
                <w:spacing w:val="0"/>
                <w:sz w:val="24"/>
                <w:szCs w:val="24"/>
                <w:lang w:val="en-US" w:eastAsia="zh-CN"/>
              </w:rPr>
              <w:t>（2）加强回填土方堆放场的管理，要制定土方表面压实、定期喷水、覆盖等措施；不需要的泥土，建筑材料弃渣应及时运走，不宜长时间堆积。</w:t>
            </w:r>
          </w:p>
          <w:p w14:paraId="1C896669">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both"/>
              <w:textAlignment w:val="auto"/>
              <w:rPr>
                <w:rFonts w:hint="default" w:ascii="Times New Roman" w:hAnsi="Times New Roman" w:cs="Times New Roman"/>
                <w:bCs/>
                <w:color w:val="auto"/>
                <w:spacing w:val="0"/>
                <w:sz w:val="24"/>
                <w:szCs w:val="24"/>
              </w:rPr>
            </w:pPr>
            <w:r>
              <w:rPr>
                <w:rFonts w:hint="default" w:ascii="Times New Roman" w:hAnsi="Times New Roman" w:cs="Times New Roman"/>
                <w:bCs/>
                <w:color w:val="auto"/>
                <w:spacing w:val="0"/>
                <w:sz w:val="24"/>
                <w:szCs w:val="24"/>
                <w:lang w:val="en-US" w:eastAsia="zh-CN"/>
              </w:rPr>
              <w:t>（3）建筑材料运输车应按规定配置防洒装备，装载不宜过满，保证运输过程中不散落。</w:t>
            </w:r>
          </w:p>
          <w:p w14:paraId="1867E3B4">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both"/>
              <w:textAlignment w:val="auto"/>
              <w:rPr>
                <w:rFonts w:hint="default" w:ascii="Times New Roman" w:hAnsi="Times New Roman" w:cs="Times New Roman"/>
                <w:bCs/>
                <w:color w:val="auto"/>
                <w:spacing w:val="0"/>
                <w:sz w:val="24"/>
                <w:szCs w:val="24"/>
              </w:rPr>
            </w:pPr>
            <w:r>
              <w:rPr>
                <w:rFonts w:hint="default" w:ascii="Times New Roman" w:hAnsi="Times New Roman" w:cs="Times New Roman"/>
                <w:bCs/>
                <w:color w:val="auto"/>
                <w:spacing w:val="0"/>
                <w:sz w:val="24"/>
                <w:szCs w:val="24"/>
                <w:lang w:val="en-US" w:eastAsia="zh-CN"/>
              </w:rPr>
              <w:t>（4）对运输过程中洒落在路面上的泥土要及时清扫，以减少运行过程中的扬尘。</w:t>
            </w:r>
          </w:p>
          <w:p w14:paraId="5EA02DEE">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both"/>
              <w:textAlignment w:val="auto"/>
              <w:rPr>
                <w:rFonts w:hint="default" w:ascii="Times New Roman" w:hAnsi="Times New Roman" w:cs="Times New Roman"/>
                <w:bCs/>
                <w:color w:val="auto"/>
                <w:spacing w:val="0"/>
                <w:sz w:val="24"/>
                <w:szCs w:val="24"/>
              </w:rPr>
            </w:pPr>
            <w:r>
              <w:rPr>
                <w:rFonts w:hint="default" w:ascii="Times New Roman" w:hAnsi="Times New Roman" w:cs="Times New Roman"/>
                <w:bCs/>
                <w:color w:val="auto"/>
                <w:spacing w:val="0"/>
                <w:sz w:val="24"/>
                <w:szCs w:val="24"/>
                <w:lang w:val="en-US" w:eastAsia="zh-CN"/>
              </w:rPr>
              <w:t>（5）施工过程中，严禁将废弃的建筑材料作为燃料燃烧。</w:t>
            </w:r>
          </w:p>
          <w:p w14:paraId="3AB2A278">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both"/>
              <w:textAlignment w:val="auto"/>
              <w:rPr>
                <w:rFonts w:hint="default" w:ascii="Times New Roman" w:hAnsi="Times New Roman" w:cs="Times New Roman"/>
                <w:bCs/>
                <w:color w:val="auto"/>
                <w:spacing w:val="0"/>
                <w:sz w:val="24"/>
                <w:szCs w:val="24"/>
              </w:rPr>
            </w:pPr>
            <w:r>
              <w:rPr>
                <w:rFonts w:hint="default" w:ascii="Times New Roman" w:hAnsi="Times New Roman" w:cs="Times New Roman"/>
                <w:bCs/>
                <w:color w:val="auto"/>
                <w:spacing w:val="0"/>
                <w:sz w:val="24"/>
                <w:szCs w:val="24"/>
                <w:lang w:val="en-US" w:eastAsia="zh-CN"/>
              </w:rPr>
              <w:t>（6）加强车辆保养和维护，减少超载，减少停车怠速时间。</w:t>
            </w:r>
          </w:p>
          <w:p w14:paraId="0D531487">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both"/>
              <w:textAlignment w:val="auto"/>
              <w:rPr>
                <w:rFonts w:hint="default" w:ascii="Times New Roman" w:hAnsi="Times New Roman" w:cs="Times New Roman"/>
                <w:bCs/>
                <w:color w:val="auto"/>
                <w:spacing w:val="0"/>
                <w:sz w:val="24"/>
                <w:szCs w:val="24"/>
                <w:lang w:val="en-US" w:eastAsia="zh-CN"/>
              </w:rPr>
            </w:pPr>
            <w:r>
              <w:rPr>
                <w:rFonts w:hint="default" w:ascii="Times New Roman" w:hAnsi="Times New Roman" w:cs="Times New Roman"/>
                <w:bCs/>
                <w:color w:val="auto"/>
                <w:spacing w:val="0"/>
                <w:sz w:val="24"/>
                <w:szCs w:val="24"/>
                <w:lang w:val="en-US" w:eastAsia="zh-CN"/>
              </w:rPr>
              <w:t>（7）应首选使用商品混凝土，因需要必须进行现场搅拌砂浆、混凝土时，应尽量做到不洒、不漏、不剩不倒；混凝土搅拌应设置在棚内，搅拌时要有喷雾降尘措施；</w:t>
            </w:r>
          </w:p>
          <w:p w14:paraId="4946DD57">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both"/>
              <w:textAlignment w:val="auto"/>
              <w:rPr>
                <w:rFonts w:hint="default" w:ascii="Times New Roman" w:hAnsi="Times New Roman" w:cs="Times New Roman"/>
                <w:bCs/>
                <w:color w:val="auto"/>
                <w:spacing w:val="0"/>
                <w:sz w:val="24"/>
                <w:szCs w:val="24"/>
              </w:rPr>
            </w:pPr>
            <w:r>
              <w:rPr>
                <w:rFonts w:hint="default" w:ascii="Times New Roman" w:hAnsi="Times New Roman" w:cs="Times New Roman"/>
                <w:bCs/>
                <w:color w:val="auto"/>
                <w:spacing w:val="0"/>
                <w:sz w:val="24"/>
                <w:szCs w:val="24"/>
                <w:lang w:val="en-US" w:eastAsia="zh-CN"/>
              </w:rPr>
              <w:t>在</w:t>
            </w:r>
            <w:r>
              <w:rPr>
                <w:rFonts w:hint="eastAsia" w:ascii="Times New Roman" w:hAnsi="Times New Roman" w:cs="Times New Roman"/>
                <w:bCs/>
                <w:color w:val="auto"/>
                <w:spacing w:val="0"/>
                <w:sz w:val="24"/>
                <w:szCs w:val="24"/>
                <w:lang w:val="en-US" w:eastAsia="zh-CN"/>
              </w:rPr>
              <w:t>采取上述</w:t>
            </w:r>
            <w:r>
              <w:rPr>
                <w:rFonts w:hint="default" w:ascii="Times New Roman" w:hAnsi="Times New Roman" w:cs="Times New Roman"/>
                <w:bCs/>
                <w:color w:val="auto"/>
                <w:spacing w:val="0"/>
                <w:sz w:val="24"/>
                <w:szCs w:val="24"/>
                <w:lang w:val="en-US" w:eastAsia="zh-CN"/>
              </w:rPr>
              <w:t>治理措施之后，扬尘和尾气在施工期的影响可降至较低水平，对周围大气环境的影响较小。综合以上分析，扬尘和尾气在施工期会在一定程度上降低周边区域的空气质量，但在施工结束后，上述污染即行消失。</w:t>
            </w:r>
          </w:p>
          <w:p w14:paraId="262A9590">
            <w:pPr>
              <w:keepNext w:val="0"/>
              <w:keepLines w:val="0"/>
              <w:pageBreakBefore w:val="0"/>
              <w:widowControl w:val="0"/>
              <w:kinsoku/>
              <w:wordWrap/>
              <w:overflowPunct/>
              <w:topLinePunct w:val="0"/>
              <w:autoSpaceDE/>
              <w:autoSpaceDN/>
              <w:bidi w:val="0"/>
              <w:adjustRightInd w:val="0"/>
              <w:snapToGrid w:val="0"/>
              <w:spacing w:line="520" w:lineRule="exact"/>
              <w:jc w:val="both"/>
              <w:textAlignment w:val="auto"/>
              <w:rPr>
                <w:rFonts w:hint="default" w:ascii="Times New Roman" w:hAnsi="Times New Roman" w:cs="Times New Roman"/>
                <w:b/>
                <w:bCs w:val="0"/>
                <w:color w:val="auto"/>
                <w:spacing w:val="0"/>
                <w:sz w:val="24"/>
                <w:szCs w:val="24"/>
                <w:lang w:val="en-US" w:eastAsia="zh-CN"/>
              </w:rPr>
            </w:pPr>
            <w:r>
              <w:rPr>
                <w:rFonts w:hint="eastAsia" w:ascii="Times New Roman" w:hAnsi="Times New Roman" w:cs="Times New Roman"/>
                <w:b/>
                <w:bCs w:val="0"/>
                <w:color w:val="auto"/>
                <w:spacing w:val="0"/>
                <w:sz w:val="24"/>
                <w:szCs w:val="24"/>
                <w:lang w:val="en-US" w:eastAsia="zh-CN"/>
              </w:rPr>
              <w:t xml:space="preserve">2 </w:t>
            </w:r>
            <w:r>
              <w:rPr>
                <w:rFonts w:hint="default" w:ascii="Times New Roman" w:hAnsi="Times New Roman" w:cs="Times New Roman"/>
                <w:b/>
                <w:bCs w:val="0"/>
                <w:color w:val="auto"/>
                <w:spacing w:val="0"/>
                <w:sz w:val="24"/>
                <w:szCs w:val="24"/>
                <w:lang w:val="en-US" w:eastAsia="zh-CN"/>
              </w:rPr>
              <w:t>废水污染防治措施</w:t>
            </w:r>
          </w:p>
          <w:p w14:paraId="7F632BE1">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both"/>
              <w:textAlignment w:val="auto"/>
              <w:rPr>
                <w:rFonts w:hint="default" w:ascii="Times New Roman" w:hAnsi="Times New Roman" w:cs="Times New Roman"/>
                <w:bCs/>
                <w:color w:val="auto"/>
                <w:spacing w:val="0"/>
                <w:sz w:val="24"/>
                <w:szCs w:val="24"/>
              </w:rPr>
            </w:pPr>
            <w:r>
              <w:rPr>
                <w:rFonts w:hint="default" w:ascii="Times New Roman" w:hAnsi="Times New Roman" w:cs="Times New Roman"/>
                <w:bCs/>
                <w:color w:val="auto"/>
                <w:spacing w:val="0"/>
                <w:sz w:val="24"/>
                <w:szCs w:val="24"/>
                <w:lang w:val="en-US" w:eastAsia="zh-CN"/>
              </w:rPr>
              <w:t>本项目施工期主要为施工废水以及施工人员生活污水。施工过程中的建筑废水主要来源于泥浆废水、运输车辆和施工机械冲洗废水以及混凝土养护废水，其主要污染物为SS。施工废水经简易处理后回用于清洗车辆、地面洒水等作业，不外排。施工</w:t>
            </w:r>
            <w:r>
              <w:rPr>
                <w:rFonts w:hint="eastAsia" w:ascii="Times New Roman" w:hAnsi="Times New Roman" w:cs="Times New Roman"/>
                <w:bCs/>
                <w:color w:val="auto"/>
                <w:spacing w:val="0"/>
                <w:sz w:val="24"/>
                <w:szCs w:val="24"/>
                <w:lang w:val="en-US" w:eastAsia="zh-CN"/>
              </w:rPr>
              <w:t>人员生活污水环评建议先建设地埋式一体化污水处理设施，施工期生活污水经地埋式一体化处理设施处理后用</w:t>
            </w:r>
            <w:r>
              <w:rPr>
                <w:rFonts w:hint="eastAsia" w:cs="Times New Roman"/>
                <w:bCs/>
                <w:color w:val="auto"/>
                <w:spacing w:val="0"/>
                <w:sz w:val="24"/>
                <w:szCs w:val="24"/>
                <w:lang w:val="en-US" w:eastAsia="zh-CN"/>
              </w:rPr>
              <w:t>于</w:t>
            </w:r>
            <w:r>
              <w:rPr>
                <w:rFonts w:hint="eastAsia" w:ascii="Times New Roman" w:hAnsi="Times New Roman" w:cs="Times New Roman"/>
                <w:bCs/>
                <w:color w:val="auto"/>
                <w:spacing w:val="0"/>
                <w:sz w:val="24"/>
                <w:szCs w:val="24"/>
                <w:lang w:val="en-US" w:eastAsia="zh-CN"/>
              </w:rPr>
              <w:t>项目洒水降尘。</w:t>
            </w:r>
            <w:r>
              <w:rPr>
                <w:rFonts w:hint="default" w:ascii="Times New Roman" w:hAnsi="Times New Roman" w:cs="Times New Roman"/>
                <w:bCs/>
                <w:color w:val="auto"/>
                <w:spacing w:val="0"/>
                <w:sz w:val="24"/>
                <w:szCs w:val="24"/>
                <w:lang w:val="en-US" w:eastAsia="zh-CN"/>
              </w:rPr>
              <w:t>采用以上措施后施工期对项目区域水环境质量的影响较小。</w:t>
            </w:r>
          </w:p>
          <w:p w14:paraId="25C90081">
            <w:pPr>
              <w:keepNext w:val="0"/>
              <w:keepLines w:val="0"/>
              <w:pageBreakBefore w:val="0"/>
              <w:widowControl w:val="0"/>
              <w:kinsoku/>
              <w:wordWrap/>
              <w:overflowPunct/>
              <w:topLinePunct w:val="0"/>
              <w:autoSpaceDE/>
              <w:autoSpaceDN/>
              <w:bidi w:val="0"/>
              <w:adjustRightInd w:val="0"/>
              <w:snapToGrid w:val="0"/>
              <w:spacing w:line="520" w:lineRule="exact"/>
              <w:jc w:val="both"/>
              <w:textAlignment w:val="auto"/>
              <w:rPr>
                <w:rFonts w:hint="default" w:ascii="Times New Roman" w:hAnsi="Times New Roman" w:cs="Times New Roman"/>
                <w:b/>
                <w:bCs w:val="0"/>
                <w:color w:val="auto"/>
                <w:spacing w:val="0"/>
                <w:sz w:val="24"/>
                <w:szCs w:val="24"/>
                <w:lang w:val="en-US" w:eastAsia="zh-CN"/>
              </w:rPr>
            </w:pPr>
            <w:r>
              <w:rPr>
                <w:rFonts w:hint="eastAsia" w:ascii="Times New Roman" w:hAnsi="Times New Roman" w:cs="Times New Roman"/>
                <w:b/>
                <w:bCs w:val="0"/>
                <w:color w:val="auto"/>
                <w:spacing w:val="0"/>
                <w:sz w:val="24"/>
                <w:szCs w:val="24"/>
                <w:lang w:val="en-US" w:eastAsia="zh-CN"/>
              </w:rPr>
              <w:t xml:space="preserve">3 </w:t>
            </w:r>
            <w:r>
              <w:rPr>
                <w:rFonts w:hint="default" w:ascii="Times New Roman" w:hAnsi="Times New Roman" w:cs="Times New Roman"/>
                <w:b/>
                <w:bCs w:val="0"/>
                <w:color w:val="auto"/>
                <w:spacing w:val="0"/>
                <w:sz w:val="24"/>
                <w:szCs w:val="24"/>
                <w:lang w:val="en-US" w:eastAsia="zh-CN"/>
              </w:rPr>
              <w:t>噪声防治措施</w:t>
            </w:r>
          </w:p>
          <w:p w14:paraId="301E9EBE">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both"/>
              <w:textAlignment w:val="auto"/>
              <w:rPr>
                <w:rFonts w:hint="default" w:ascii="Times New Roman" w:hAnsi="Times New Roman" w:cs="Times New Roman"/>
                <w:bCs/>
                <w:color w:val="auto"/>
                <w:spacing w:val="0"/>
                <w:sz w:val="24"/>
                <w:szCs w:val="24"/>
              </w:rPr>
            </w:pPr>
            <w:r>
              <w:rPr>
                <w:rFonts w:hint="default" w:ascii="Times New Roman" w:hAnsi="Times New Roman" w:cs="Times New Roman"/>
                <w:bCs/>
                <w:color w:val="auto"/>
                <w:spacing w:val="0"/>
                <w:sz w:val="24"/>
                <w:szCs w:val="24"/>
                <w:lang w:val="en-US" w:eastAsia="zh-CN"/>
              </w:rPr>
              <w:t>（1）加强施工管理，合理安排施工作业时间，严格按照施工噪声管理的有关规定执行，严禁夜间进行高噪声施工作业。</w:t>
            </w:r>
          </w:p>
          <w:p w14:paraId="7216996D">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both"/>
              <w:textAlignment w:val="auto"/>
              <w:rPr>
                <w:rFonts w:hint="default" w:ascii="Times New Roman" w:hAnsi="Times New Roman" w:cs="Times New Roman"/>
                <w:bCs/>
                <w:color w:val="auto"/>
                <w:spacing w:val="0"/>
                <w:sz w:val="24"/>
                <w:szCs w:val="24"/>
              </w:rPr>
            </w:pPr>
            <w:r>
              <w:rPr>
                <w:rFonts w:hint="default" w:ascii="Times New Roman" w:hAnsi="Times New Roman" w:cs="Times New Roman"/>
                <w:bCs/>
                <w:color w:val="auto"/>
                <w:spacing w:val="0"/>
                <w:sz w:val="24"/>
                <w:szCs w:val="24"/>
                <w:lang w:val="en-US" w:eastAsia="zh-CN"/>
              </w:rPr>
              <w:t>（2）尽量采用低噪声的施工工具，如以液压工具代替气压工具，同时尽可能采用施工噪声低的施工方法。</w:t>
            </w:r>
          </w:p>
          <w:p w14:paraId="5935B6A5">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both"/>
              <w:textAlignment w:val="auto"/>
              <w:rPr>
                <w:rFonts w:hint="default" w:ascii="Times New Roman" w:hAnsi="Times New Roman" w:cs="Times New Roman"/>
                <w:bCs/>
                <w:color w:val="auto"/>
                <w:spacing w:val="0"/>
                <w:sz w:val="24"/>
                <w:szCs w:val="24"/>
              </w:rPr>
            </w:pPr>
            <w:r>
              <w:rPr>
                <w:rFonts w:hint="default" w:ascii="Times New Roman" w:hAnsi="Times New Roman" w:cs="Times New Roman"/>
                <w:bCs/>
                <w:color w:val="auto"/>
                <w:spacing w:val="0"/>
                <w:sz w:val="24"/>
                <w:szCs w:val="24"/>
                <w:lang w:val="en-US" w:eastAsia="zh-CN"/>
              </w:rPr>
              <w:t>（3）施工机械应尽可能放置于对周围敏感点造成影响最小的地点。</w:t>
            </w:r>
          </w:p>
          <w:p w14:paraId="731E97B6">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both"/>
              <w:textAlignment w:val="auto"/>
              <w:rPr>
                <w:rFonts w:hint="default" w:ascii="Times New Roman" w:hAnsi="Times New Roman" w:cs="Times New Roman"/>
                <w:bCs/>
                <w:color w:val="auto"/>
                <w:spacing w:val="0"/>
                <w:sz w:val="24"/>
                <w:szCs w:val="24"/>
              </w:rPr>
            </w:pPr>
            <w:r>
              <w:rPr>
                <w:rFonts w:hint="default" w:ascii="Times New Roman" w:hAnsi="Times New Roman" w:cs="Times New Roman"/>
                <w:bCs/>
                <w:color w:val="auto"/>
                <w:spacing w:val="0"/>
                <w:sz w:val="24"/>
                <w:szCs w:val="24"/>
                <w:lang w:val="en-US" w:eastAsia="zh-CN"/>
              </w:rPr>
              <w:t>（4）在高噪声设备周围设置掩蔽物。</w:t>
            </w:r>
          </w:p>
          <w:p w14:paraId="7ABB586E">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both"/>
              <w:textAlignment w:val="auto"/>
              <w:rPr>
                <w:rFonts w:hint="default" w:ascii="Times New Roman" w:hAnsi="Times New Roman" w:cs="Times New Roman"/>
                <w:bCs/>
                <w:color w:val="auto"/>
                <w:spacing w:val="0"/>
                <w:sz w:val="24"/>
                <w:szCs w:val="24"/>
                <w:lang w:val="en-US" w:eastAsia="zh-CN"/>
              </w:rPr>
            </w:pPr>
            <w:r>
              <w:rPr>
                <w:rFonts w:hint="default" w:ascii="Times New Roman" w:hAnsi="Times New Roman" w:cs="Times New Roman"/>
                <w:bCs/>
                <w:color w:val="auto"/>
                <w:spacing w:val="0"/>
                <w:sz w:val="24"/>
                <w:szCs w:val="24"/>
                <w:lang w:val="en-US" w:eastAsia="zh-CN"/>
              </w:rPr>
              <w:t>（5）混凝土需要连续浇灌作业前，应做好各项准备工作，将搅拌机运行时间压到最低限度。</w:t>
            </w:r>
          </w:p>
          <w:p w14:paraId="5451BDB2">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both"/>
              <w:textAlignment w:val="auto"/>
              <w:rPr>
                <w:rFonts w:hint="default" w:ascii="Times New Roman" w:hAnsi="Times New Roman" w:cs="Times New Roman"/>
                <w:bCs/>
                <w:color w:val="auto"/>
                <w:spacing w:val="0"/>
                <w:sz w:val="24"/>
                <w:szCs w:val="24"/>
                <w:lang w:val="en-US" w:eastAsia="zh-CN"/>
              </w:rPr>
            </w:pPr>
            <w:r>
              <w:rPr>
                <w:rFonts w:hint="default" w:ascii="Times New Roman" w:hAnsi="Times New Roman" w:cs="Times New Roman"/>
                <w:bCs/>
                <w:color w:val="auto"/>
                <w:spacing w:val="0"/>
                <w:sz w:val="24"/>
                <w:szCs w:val="24"/>
              </w:rPr>
              <w:t>施工期噪声影响为短期影响，施工结束后即可消除。但考虑施工期对周围环境的影响，要求建设单位在建设过程中必须认真遵守各项管理制度，落实本报告提出的防治措施及建议，做到文明施工、严格管理、缩短工期，力争将项目建设过程中对周围环境产生的影响降到最低限度。</w:t>
            </w:r>
          </w:p>
          <w:p w14:paraId="1F2117C5">
            <w:pPr>
              <w:keepNext w:val="0"/>
              <w:keepLines w:val="0"/>
              <w:pageBreakBefore w:val="0"/>
              <w:widowControl w:val="0"/>
              <w:kinsoku/>
              <w:wordWrap/>
              <w:overflowPunct/>
              <w:topLinePunct w:val="0"/>
              <w:autoSpaceDE/>
              <w:autoSpaceDN/>
              <w:bidi w:val="0"/>
              <w:adjustRightInd w:val="0"/>
              <w:snapToGrid w:val="0"/>
              <w:spacing w:line="520" w:lineRule="exact"/>
              <w:jc w:val="both"/>
              <w:textAlignment w:val="auto"/>
              <w:rPr>
                <w:rFonts w:hint="default" w:ascii="Times New Roman" w:hAnsi="Times New Roman" w:cs="Times New Roman"/>
                <w:bCs/>
                <w:color w:val="auto"/>
                <w:spacing w:val="0"/>
                <w:sz w:val="24"/>
                <w:szCs w:val="24"/>
                <w:lang w:val="en-US" w:eastAsia="zh-CN"/>
              </w:rPr>
            </w:pPr>
            <w:r>
              <w:rPr>
                <w:rFonts w:hint="eastAsia" w:ascii="Times New Roman" w:hAnsi="Times New Roman" w:cs="Times New Roman"/>
                <w:b/>
                <w:bCs w:val="0"/>
                <w:color w:val="auto"/>
                <w:spacing w:val="0"/>
                <w:sz w:val="24"/>
                <w:szCs w:val="24"/>
                <w:lang w:val="en-US" w:eastAsia="zh-CN"/>
              </w:rPr>
              <w:t xml:space="preserve">4 </w:t>
            </w:r>
            <w:r>
              <w:rPr>
                <w:rFonts w:hint="default" w:ascii="Times New Roman" w:hAnsi="Times New Roman" w:cs="Times New Roman"/>
                <w:b/>
                <w:bCs w:val="0"/>
                <w:color w:val="auto"/>
                <w:spacing w:val="0"/>
                <w:sz w:val="24"/>
                <w:szCs w:val="24"/>
                <w:lang w:val="en-US" w:eastAsia="zh-CN"/>
              </w:rPr>
              <w:t>固体废物防治措施</w:t>
            </w:r>
          </w:p>
          <w:p w14:paraId="4CB0C730">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both"/>
              <w:textAlignment w:val="auto"/>
              <w:rPr>
                <w:rFonts w:hint="default" w:ascii="Times New Roman" w:hAnsi="Times New Roman" w:cs="Times New Roman"/>
                <w:bCs/>
                <w:color w:val="auto"/>
                <w:spacing w:val="0"/>
                <w:sz w:val="24"/>
                <w:szCs w:val="24"/>
              </w:rPr>
            </w:pPr>
            <w:r>
              <w:rPr>
                <w:rFonts w:hint="eastAsia" w:cs="Times New Roman"/>
                <w:bCs/>
                <w:color w:val="auto"/>
                <w:spacing w:val="0"/>
                <w:sz w:val="24"/>
                <w:szCs w:val="24"/>
                <w:lang w:val="en-US" w:eastAsia="zh-CN"/>
              </w:rPr>
              <w:t>施工</w:t>
            </w:r>
            <w:r>
              <w:rPr>
                <w:rFonts w:hint="default" w:ascii="Times New Roman" w:hAnsi="Times New Roman" w:cs="Times New Roman"/>
                <w:bCs/>
                <w:color w:val="auto"/>
                <w:spacing w:val="0"/>
                <w:sz w:val="24"/>
                <w:szCs w:val="24"/>
                <w:lang w:val="en-US" w:eastAsia="zh-CN"/>
              </w:rPr>
              <w:t>过程中产生的建筑垃圾，统一收集后运至</w:t>
            </w:r>
            <w:r>
              <w:rPr>
                <w:rFonts w:hint="eastAsia" w:ascii="Times New Roman" w:hAnsi="Times New Roman" w:cs="Times New Roman"/>
                <w:bCs/>
                <w:color w:val="auto"/>
                <w:spacing w:val="0"/>
                <w:sz w:val="24"/>
                <w:szCs w:val="24"/>
                <w:lang w:val="en-US" w:eastAsia="zh-CN"/>
              </w:rPr>
              <w:t>建筑</w:t>
            </w:r>
            <w:r>
              <w:rPr>
                <w:rFonts w:hint="default" w:ascii="Times New Roman" w:hAnsi="Times New Roman" w:cs="Times New Roman"/>
                <w:bCs/>
                <w:color w:val="auto"/>
                <w:spacing w:val="0"/>
                <w:sz w:val="24"/>
                <w:szCs w:val="24"/>
                <w:lang w:val="en-US" w:eastAsia="zh-CN"/>
              </w:rPr>
              <w:t>垃圾填埋场处理。</w:t>
            </w:r>
          </w:p>
          <w:p w14:paraId="2B3E7C5B">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color w:val="auto"/>
                <w:sz w:val="24"/>
              </w:rPr>
            </w:pPr>
            <w:r>
              <w:rPr>
                <w:rFonts w:hint="default" w:ascii="Times New Roman" w:hAnsi="Times New Roman" w:cs="Times New Roman"/>
                <w:bCs/>
                <w:color w:val="auto"/>
                <w:spacing w:val="0"/>
                <w:sz w:val="24"/>
                <w:szCs w:val="24"/>
                <w:lang w:val="en-US" w:eastAsia="zh-CN"/>
              </w:rPr>
              <w:t>施工期施工人员会产生生活垃圾，统一收集后由环卫部门统一清运。</w:t>
            </w:r>
          </w:p>
          <w:p w14:paraId="16491ED1">
            <w:pPr>
              <w:adjustRightInd w:val="0"/>
              <w:snapToGrid w:val="0"/>
              <w:spacing w:line="360" w:lineRule="auto"/>
              <w:ind w:firstLine="480" w:firstLineChars="200"/>
              <w:rPr>
                <w:color w:val="auto"/>
                <w:sz w:val="24"/>
              </w:rPr>
            </w:pPr>
          </w:p>
          <w:p w14:paraId="29EF5638">
            <w:pPr>
              <w:adjustRightInd w:val="0"/>
              <w:snapToGrid w:val="0"/>
              <w:spacing w:line="360" w:lineRule="auto"/>
              <w:ind w:firstLine="480" w:firstLineChars="200"/>
              <w:rPr>
                <w:color w:val="auto"/>
                <w:sz w:val="24"/>
              </w:rPr>
            </w:pPr>
          </w:p>
          <w:p w14:paraId="1E683F2D">
            <w:pPr>
              <w:adjustRightInd w:val="0"/>
              <w:snapToGrid w:val="0"/>
              <w:spacing w:line="360" w:lineRule="auto"/>
              <w:ind w:firstLine="480" w:firstLineChars="200"/>
              <w:rPr>
                <w:color w:val="auto"/>
                <w:sz w:val="24"/>
              </w:rPr>
            </w:pPr>
          </w:p>
          <w:p w14:paraId="066458BB">
            <w:pPr>
              <w:pStyle w:val="3"/>
              <w:rPr>
                <w:color w:val="auto"/>
              </w:rPr>
            </w:pPr>
          </w:p>
          <w:p w14:paraId="49AF17A7">
            <w:pPr>
              <w:rPr>
                <w:color w:val="auto"/>
              </w:rPr>
            </w:pPr>
          </w:p>
          <w:p w14:paraId="01EA6090">
            <w:pPr>
              <w:pStyle w:val="3"/>
              <w:rPr>
                <w:color w:val="auto"/>
              </w:rPr>
            </w:pPr>
          </w:p>
          <w:p w14:paraId="3E24C8B0">
            <w:pPr>
              <w:rPr>
                <w:color w:val="auto"/>
              </w:rPr>
            </w:pPr>
          </w:p>
          <w:p w14:paraId="2454034E">
            <w:pPr>
              <w:pStyle w:val="3"/>
              <w:rPr>
                <w:color w:val="auto"/>
              </w:rPr>
            </w:pPr>
          </w:p>
          <w:p w14:paraId="1FD87E8A">
            <w:pPr>
              <w:adjustRightInd w:val="0"/>
              <w:snapToGrid w:val="0"/>
              <w:spacing w:line="360" w:lineRule="auto"/>
              <w:rPr>
                <w:bCs/>
                <w:color w:val="auto"/>
                <w:spacing w:val="-10"/>
                <w:szCs w:val="21"/>
              </w:rPr>
            </w:pPr>
          </w:p>
        </w:tc>
      </w:tr>
      <w:tr w14:paraId="186791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725" w:hRule="atLeast"/>
          <w:jc w:val="center"/>
        </w:trPr>
        <w:tc>
          <w:tcPr>
            <w:tcW w:w="322" w:type="pct"/>
            <w:tcBorders>
              <w:top w:val="single" w:color="000000" w:sz="8" w:space="0"/>
              <w:left w:val="single" w:color="000000" w:sz="8" w:space="0"/>
              <w:bottom w:val="single" w:color="000000" w:sz="8" w:space="0"/>
              <w:right w:val="single" w:color="000000" w:sz="8" w:space="0"/>
            </w:tcBorders>
            <w:shd w:val="clear" w:color="auto" w:fill="auto"/>
            <w:tcMar>
              <w:left w:w="28" w:type="dxa"/>
              <w:right w:w="28" w:type="dxa"/>
            </w:tcMar>
            <w:vAlign w:val="center"/>
          </w:tcPr>
          <w:p w14:paraId="7770126C">
            <w:pPr>
              <w:adjustRightInd w:val="0"/>
              <w:snapToGrid w:val="0"/>
              <w:spacing w:line="360" w:lineRule="auto"/>
              <w:jc w:val="center"/>
              <w:rPr>
                <w:bCs/>
                <w:color w:val="auto"/>
                <w:szCs w:val="21"/>
              </w:rPr>
            </w:pPr>
            <w:r>
              <w:rPr>
                <w:bCs/>
                <w:color w:val="auto"/>
                <w:sz w:val="24"/>
                <w:szCs w:val="24"/>
              </w:rPr>
              <w:t>运营期环境影响和保护措施</w:t>
            </w:r>
          </w:p>
        </w:tc>
        <w:tc>
          <w:tcPr>
            <w:tcW w:w="4677" w:type="pct"/>
            <w:tcBorders>
              <w:top w:val="single" w:color="000000" w:sz="8" w:space="0"/>
              <w:left w:val="single" w:color="000000" w:sz="8" w:space="0"/>
              <w:bottom w:val="single" w:color="000000" w:sz="8" w:space="0"/>
              <w:right w:val="single" w:color="000000" w:sz="8" w:space="0"/>
            </w:tcBorders>
            <w:shd w:val="clear" w:color="auto" w:fill="auto"/>
          </w:tcPr>
          <w:p w14:paraId="2A064780">
            <w:pPr>
              <w:keepNext w:val="0"/>
              <w:keepLines w:val="0"/>
              <w:pageBreakBefore w:val="0"/>
              <w:numPr>
                <w:ilvl w:val="0"/>
                <w:numId w:val="13"/>
              </w:numPr>
              <w:tabs>
                <w:tab w:val="left" w:pos="248"/>
              </w:tabs>
              <w:kinsoku/>
              <w:wordWrap/>
              <w:overflowPunct/>
              <w:topLinePunct w:val="0"/>
              <w:autoSpaceDE/>
              <w:autoSpaceDN/>
              <w:bidi w:val="0"/>
              <w:adjustRightInd/>
              <w:snapToGrid/>
              <w:spacing w:line="520" w:lineRule="exact"/>
              <w:ind w:right="0"/>
              <w:textAlignment w:val="auto"/>
              <w:rPr>
                <w:b/>
                <w:bCs/>
                <w:color w:val="auto"/>
                <w:sz w:val="24"/>
              </w:rPr>
            </w:pPr>
            <w:r>
              <w:rPr>
                <w:b/>
                <w:bCs/>
                <w:color w:val="auto"/>
                <w:sz w:val="24"/>
              </w:rPr>
              <w:t>废气</w:t>
            </w:r>
          </w:p>
          <w:p w14:paraId="147762A5">
            <w:pPr>
              <w:pStyle w:val="7"/>
              <w:keepNext w:val="0"/>
              <w:keepLines w:val="0"/>
              <w:pageBreakBefore w:val="0"/>
              <w:kinsoku/>
              <w:wordWrap/>
              <w:overflowPunct/>
              <w:topLinePunct w:val="0"/>
              <w:autoSpaceDE/>
              <w:autoSpaceDN/>
              <w:bidi w:val="0"/>
              <w:adjustRightInd/>
              <w:snapToGrid/>
              <w:spacing w:before="0" w:after="0" w:line="520" w:lineRule="exact"/>
              <w:ind w:right="0"/>
              <w:textAlignment w:val="auto"/>
              <w:rPr>
                <w:b/>
                <w:bCs/>
                <w:color w:val="auto"/>
                <w:sz w:val="24"/>
                <w:szCs w:val="24"/>
              </w:rPr>
            </w:pPr>
            <w:r>
              <w:rPr>
                <w:b/>
                <w:bCs/>
                <w:color w:val="auto"/>
                <w:sz w:val="24"/>
                <w:szCs w:val="24"/>
              </w:rPr>
              <w:t>1.1</w:t>
            </w:r>
            <w:r>
              <w:rPr>
                <w:rFonts w:hint="eastAsia"/>
                <w:b/>
                <w:bCs/>
                <w:color w:val="auto"/>
                <w:sz w:val="24"/>
                <w:szCs w:val="24"/>
                <w:lang w:val="en-US" w:eastAsia="zh-CN"/>
              </w:rPr>
              <w:t xml:space="preserve"> </w:t>
            </w:r>
            <w:r>
              <w:rPr>
                <w:b/>
                <w:bCs/>
                <w:color w:val="auto"/>
                <w:sz w:val="24"/>
                <w:szCs w:val="24"/>
              </w:rPr>
              <w:t>废气源强分析</w:t>
            </w:r>
          </w:p>
          <w:p w14:paraId="33408CCF">
            <w:pPr>
              <w:pStyle w:val="7"/>
              <w:keepNext w:val="0"/>
              <w:keepLines w:val="0"/>
              <w:pageBreakBefore w:val="0"/>
              <w:widowControl/>
              <w:kinsoku/>
              <w:wordWrap/>
              <w:overflowPunct/>
              <w:topLinePunct w:val="0"/>
              <w:autoSpaceDE/>
              <w:autoSpaceDN/>
              <w:bidi w:val="0"/>
              <w:adjustRightInd/>
              <w:snapToGrid/>
              <w:spacing w:before="0" w:after="0" w:line="520" w:lineRule="exact"/>
              <w:ind w:right="0" w:firstLine="480" w:firstLineChars="200"/>
              <w:textAlignment w:val="auto"/>
              <w:rPr>
                <w:bCs/>
                <w:color w:val="auto"/>
                <w:sz w:val="24"/>
                <w:szCs w:val="24"/>
              </w:rPr>
            </w:pPr>
            <w:r>
              <w:rPr>
                <w:rFonts w:hint="eastAsia"/>
                <w:bCs/>
                <w:color w:val="auto"/>
                <w:sz w:val="24"/>
                <w:szCs w:val="24"/>
                <w:lang w:val="en-US" w:eastAsia="zh-CN"/>
              </w:rPr>
              <w:t>本项目废气污染物主要为原煤棚产生的扬尘、道路运输扬尘和破碎筛分废气</w:t>
            </w:r>
            <w:r>
              <w:rPr>
                <w:bCs/>
                <w:color w:val="auto"/>
                <w:sz w:val="24"/>
                <w:szCs w:val="24"/>
              </w:rPr>
              <w:t>。</w:t>
            </w:r>
          </w:p>
          <w:p w14:paraId="2B331191">
            <w:pPr>
              <w:pStyle w:val="38"/>
              <w:keepNext w:val="0"/>
              <w:keepLines w:val="0"/>
              <w:pageBreakBefore w:val="0"/>
              <w:kinsoku/>
              <w:wordWrap/>
              <w:overflowPunct/>
              <w:topLinePunct w:val="0"/>
              <w:autoSpaceDE/>
              <w:autoSpaceDN/>
              <w:bidi w:val="0"/>
              <w:adjustRightInd/>
              <w:snapToGrid/>
              <w:spacing w:line="520" w:lineRule="exact"/>
              <w:textAlignment w:val="auto"/>
              <w:rPr>
                <w:color w:val="auto"/>
              </w:rPr>
            </w:pPr>
            <w:r>
              <w:rPr>
                <w:rFonts w:hint="default" w:ascii="Times New Roman" w:hAnsi="Times New Roman" w:eastAsia="宋体" w:cs="Times New Roman"/>
                <w:color w:val="auto"/>
                <w:sz w:val="24"/>
              </w:rPr>
              <w:t>按《环境影响评价技术导则-煤炭采选工程》中“6.4.2.2 筛分破碎系统及转载粉尘、煤堆扬尘、运输扬尘、煤矸石堆场的自燃和扬尘</w:t>
            </w:r>
            <w:r>
              <w:rPr>
                <w:rFonts w:hint="eastAsia" w:cs="Times New Roman"/>
                <w:color w:val="auto"/>
                <w:sz w:val="24"/>
                <w:lang w:eastAsia="zh-CN"/>
              </w:rPr>
              <w:t>、</w:t>
            </w:r>
            <w:r>
              <w:rPr>
                <w:rFonts w:hint="default" w:ascii="Times New Roman" w:hAnsi="Times New Roman" w:eastAsia="宋体" w:cs="Times New Roman"/>
                <w:color w:val="auto"/>
                <w:sz w:val="24"/>
                <w:lang w:val="en-US" w:eastAsia="zh-CN"/>
              </w:rPr>
              <w:t>露天矿排土场扬尘</w:t>
            </w:r>
            <w:r>
              <w:rPr>
                <w:rFonts w:hint="default" w:ascii="Times New Roman" w:hAnsi="Times New Roman" w:eastAsia="宋体" w:cs="Times New Roman"/>
                <w:color w:val="auto"/>
                <w:sz w:val="24"/>
              </w:rPr>
              <w:t>等在采取相应的环保措施后对大气环境的影响作定性分析”的规定，本项目对运行过程中产生的粉尘进行定性分析。</w:t>
            </w:r>
          </w:p>
          <w:p w14:paraId="37200914">
            <w:pPr>
              <w:keepNext w:val="0"/>
              <w:keepLines w:val="0"/>
              <w:pageBreakBefore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color w:val="auto"/>
                <w:sz w:val="24"/>
                <w:lang w:val="en-US"/>
              </w:rPr>
            </w:pPr>
            <w:r>
              <w:rPr>
                <w:rFonts w:hint="default" w:ascii="Times New Roman" w:hAnsi="Times New Roman" w:eastAsia="宋体" w:cs="Times New Roman"/>
                <w:color w:val="auto"/>
                <w:sz w:val="24"/>
              </w:rPr>
              <w:t>（1）</w:t>
            </w:r>
            <w:r>
              <w:rPr>
                <w:rFonts w:hint="eastAsia" w:cs="Times New Roman"/>
                <w:color w:val="auto"/>
                <w:sz w:val="24"/>
                <w:lang w:val="en-US" w:eastAsia="zh-CN"/>
              </w:rPr>
              <w:t>原煤卸料扬尘</w:t>
            </w:r>
          </w:p>
          <w:p w14:paraId="2E235F24">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lang w:val="en-US" w:eastAsia="zh-CN"/>
              </w:rPr>
              <w:t>项目</w:t>
            </w:r>
            <w:r>
              <w:rPr>
                <w:rFonts w:hint="eastAsia" w:cs="Times New Roman"/>
                <w:color w:val="auto"/>
                <w:sz w:val="24"/>
                <w:szCs w:val="24"/>
                <w:highlight w:val="none"/>
                <w:lang w:val="en-US" w:eastAsia="zh-CN"/>
              </w:rPr>
              <w:t>原煤卸料过程</w:t>
            </w:r>
            <w:r>
              <w:rPr>
                <w:rFonts w:hint="eastAsia" w:ascii="Times New Roman" w:hAnsi="Times New Roman" w:eastAsia="宋体" w:cs="Times New Roman"/>
                <w:color w:val="auto"/>
                <w:sz w:val="24"/>
                <w:szCs w:val="24"/>
                <w:highlight w:val="none"/>
                <w:lang w:val="en-US" w:eastAsia="zh-CN"/>
              </w:rPr>
              <w:t>会产生扬尘</w:t>
            </w:r>
            <w:r>
              <w:rPr>
                <w:rFonts w:hint="default" w:ascii="Times New Roman" w:hAnsi="Times New Roman" w:eastAsia="宋体" w:cs="Times New Roman"/>
                <w:color w:val="auto"/>
                <w:sz w:val="24"/>
                <w:szCs w:val="24"/>
                <w:highlight w:val="none"/>
                <w:lang w:val="en-US" w:eastAsia="zh-CN"/>
              </w:rPr>
              <w:t>，本次环评根据《工业源固体物料堆场颗粒物核算系数手册》颗粒物产生量采用以下公式来计算：</w:t>
            </w:r>
          </w:p>
          <w:p w14:paraId="5F613B77">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P=ZCy+FCy={Nc×D×（a/b）+2×Ef×S}×10</w:t>
            </w:r>
            <w:r>
              <w:rPr>
                <w:rFonts w:hint="default" w:ascii="Times New Roman" w:hAnsi="Times New Roman" w:eastAsia="宋体" w:cs="Times New Roman"/>
                <w:color w:val="auto"/>
                <w:sz w:val="24"/>
                <w:szCs w:val="24"/>
                <w:highlight w:val="none"/>
                <w:vertAlign w:val="superscript"/>
                <w:lang w:val="en-US" w:eastAsia="zh-CN"/>
              </w:rPr>
              <w:t>-3</w:t>
            </w:r>
          </w:p>
          <w:p w14:paraId="7D111A36">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式中：P—指颗粒物产生量（t）；</w:t>
            </w:r>
          </w:p>
          <w:p w14:paraId="631F973F">
            <w:pPr>
              <w:keepNext w:val="0"/>
              <w:keepLines w:val="0"/>
              <w:pageBreakBefore w:val="0"/>
              <w:widowControl w:val="0"/>
              <w:kinsoku/>
              <w:wordWrap/>
              <w:overflowPunct/>
              <w:topLinePunct w:val="0"/>
              <w:autoSpaceDE/>
              <w:autoSpaceDN/>
              <w:bidi w:val="0"/>
              <w:adjustRightInd/>
              <w:snapToGrid/>
              <w:spacing w:line="520" w:lineRule="exact"/>
              <w:ind w:firstLine="1200" w:firstLineChars="5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ZCy—指装卸扬尘产生量（t）；</w:t>
            </w:r>
          </w:p>
          <w:p w14:paraId="0660FACA">
            <w:pPr>
              <w:keepNext w:val="0"/>
              <w:keepLines w:val="0"/>
              <w:pageBreakBefore w:val="0"/>
              <w:widowControl w:val="0"/>
              <w:kinsoku/>
              <w:wordWrap/>
              <w:overflowPunct/>
              <w:topLinePunct w:val="0"/>
              <w:autoSpaceDE/>
              <w:autoSpaceDN/>
              <w:bidi w:val="0"/>
              <w:adjustRightInd/>
              <w:snapToGrid/>
              <w:spacing w:line="520" w:lineRule="exact"/>
              <w:ind w:firstLine="1200" w:firstLineChars="5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FCy—指风蚀扬尘产生量（t）；</w:t>
            </w:r>
          </w:p>
          <w:p w14:paraId="44D30FD9">
            <w:pPr>
              <w:keepNext w:val="0"/>
              <w:keepLines w:val="0"/>
              <w:pageBreakBefore w:val="0"/>
              <w:widowControl w:val="0"/>
              <w:kinsoku/>
              <w:wordWrap/>
              <w:overflowPunct/>
              <w:topLinePunct w:val="0"/>
              <w:autoSpaceDE/>
              <w:autoSpaceDN/>
              <w:bidi w:val="0"/>
              <w:adjustRightInd/>
              <w:snapToGrid/>
              <w:spacing w:line="520" w:lineRule="exact"/>
              <w:ind w:firstLine="1200" w:firstLineChars="5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Nc—指年物料运载车次（车），</w:t>
            </w:r>
            <w:r>
              <w:rPr>
                <w:rFonts w:hint="eastAsia" w:ascii="Times New Roman" w:hAnsi="Times New Roman" w:eastAsia="宋体" w:cs="Times New Roman"/>
                <w:color w:val="auto"/>
                <w:sz w:val="24"/>
                <w:szCs w:val="24"/>
                <w:highlight w:val="none"/>
                <w:lang w:val="en-US" w:eastAsia="zh-CN"/>
              </w:rPr>
              <w:t>4</w:t>
            </w:r>
            <w:r>
              <w:rPr>
                <w:rFonts w:hint="eastAsia" w:cs="Times New Roman"/>
                <w:color w:val="auto"/>
                <w:sz w:val="24"/>
                <w:szCs w:val="24"/>
                <w:highlight w:val="none"/>
                <w:lang w:val="en-US" w:eastAsia="zh-CN"/>
              </w:rPr>
              <w:t>0000</w:t>
            </w:r>
            <w:r>
              <w:rPr>
                <w:rFonts w:hint="default" w:ascii="Times New Roman" w:hAnsi="Times New Roman" w:eastAsia="宋体" w:cs="Times New Roman"/>
                <w:color w:val="auto"/>
                <w:sz w:val="24"/>
                <w:szCs w:val="24"/>
                <w:highlight w:val="none"/>
                <w:lang w:val="en-US" w:eastAsia="zh-CN"/>
              </w:rPr>
              <w:t>；</w:t>
            </w:r>
          </w:p>
          <w:p w14:paraId="3636FA43">
            <w:pPr>
              <w:keepNext w:val="0"/>
              <w:keepLines w:val="0"/>
              <w:pageBreakBefore w:val="0"/>
              <w:widowControl w:val="0"/>
              <w:kinsoku/>
              <w:wordWrap/>
              <w:overflowPunct/>
              <w:topLinePunct w:val="0"/>
              <w:autoSpaceDE/>
              <w:autoSpaceDN/>
              <w:bidi w:val="0"/>
              <w:adjustRightInd/>
              <w:snapToGrid/>
              <w:spacing w:line="520" w:lineRule="exact"/>
              <w:ind w:firstLine="1200" w:firstLineChars="5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D—指单车平均运载量（t/车），</w:t>
            </w:r>
            <w:r>
              <w:rPr>
                <w:rFonts w:hint="eastAsia" w:ascii="Times New Roman" w:hAnsi="Times New Roman" w:eastAsia="宋体" w:cs="Times New Roman"/>
                <w:color w:val="auto"/>
                <w:sz w:val="24"/>
                <w:szCs w:val="24"/>
                <w:highlight w:val="none"/>
                <w:lang w:val="en-US" w:eastAsia="zh-CN"/>
              </w:rPr>
              <w:t>30</w:t>
            </w:r>
            <w:r>
              <w:rPr>
                <w:rFonts w:hint="default" w:ascii="Times New Roman" w:hAnsi="Times New Roman" w:eastAsia="宋体" w:cs="Times New Roman"/>
                <w:color w:val="auto"/>
                <w:sz w:val="24"/>
                <w:szCs w:val="24"/>
                <w:highlight w:val="none"/>
                <w:lang w:val="en-US" w:eastAsia="zh-CN"/>
              </w:rPr>
              <w:t>；</w:t>
            </w:r>
          </w:p>
          <w:p w14:paraId="1275861D">
            <w:pPr>
              <w:keepNext w:val="0"/>
              <w:keepLines w:val="0"/>
              <w:pageBreakBefore w:val="0"/>
              <w:widowControl w:val="0"/>
              <w:kinsoku/>
              <w:wordWrap/>
              <w:overflowPunct/>
              <w:topLinePunct w:val="0"/>
              <w:autoSpaceDE/>
              <w:autoSpaceDN/>
              <w:bidi w:val="0"/>
              <w:adjustRightInd/>
              <w:snapToGrid/>
              <w:spacing w:line="520" w:lineRule="exact"/>
              <w:ind w:firstLine="1200" w:firstLineChars="5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（a/b）—指装卸扬尘概化系数（kg/t），a指各省风速概化系数，见附录1，b指物料含水率概化系数，本项目取0.0011，0.00</w:t>
            </w: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4；</w:t>
            </w:r>
          </w:p>
          <w:p w14:paraId="3A9DBB5F">
            <w:pPr>
              <w:keepNext w:val="0"/>
              <w:keepLines w:val="0"/>
              <w:pageBreakBefore w:val="0"/>
              <w:widowControl w:val="0"/>
              <w:kinsoku/>
              <w:wordWrap/>
              <w:overflowPunct/>
              <w:topLinePunct w:val="0"/>
              <w:autoSpaceDE/>
              <w:autoSpaceDN/>
              <w:bidi w:val="0"/>
              <w:adjustRightInd/>
              <w:snapToGrid/>
              <w:spacing w:line="520" w:lineRule="exact"/>
              <w:ind w:firstLine="1200" w:firstLineChars="5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Ef—指堆场风蚀扬尘概化系数，本项目取</w:t>
            </w:r>
            <w:r>
              <w:rPr>
                <w:rFonts w:hint="eastAsia" w:ascii="Times New Roman" w:hAnsi="Times New Roman" w:eastAsia="宋体" w:cs="Times New Roman"/>
                <w:color w:val="auto"/>
                <w:sz w:val="24"/>
                <w:szCs w:val="24"/>
                <w:highlight w:val="none"/>
                <w:lang w:val="en-US" w:eastAsia="zh-CN"/>
              </w:rPr>
              <w:t>31.1418</w:t>
            </w:r>
            <w:r>
              <w:rPr>
                <w:rFonts w:hint="default" w:ascii="Times New Roman" w:hAnsi="Times New Roman" w:eastAsia="宋体" w:cs="Times New Roman"/>
                <w:color w:val="auto"/>
                <w:sz w:val="24"/>
                <w:szCs w:val="24"/>
                <w:highlight w:val="none"/>
                <w:lang w:val="en-US" w:eastAsia="zh-CN"/>
              </w:rPr>
              <w:t>；</w:t>
            </w:r>
          </w:p>
          <w:p w14:paraId="77787963">
            <w:pPr>
              <w:keepNext w:val="0"/>
              <w:keepLines w:val="0"/>
              <w:pageBreakBefore w:val="0"/>
              <w:widowControl w:val="0"/>
              <w:kinsoku/>
              <w:wordWrap/>
              <w:overflowPunct/>
              <w:topLinePunct w:val="0"/>
              <w:autoSpaceDE/>
              <w:autoSpaceDN/>
              <w:bidi w:val="0"/>
              <w:adjustRightInd/>
              <w:snapToGrid/>
              <w:spacing w:line="520" w:lineRule="exact"/>
              <w:ind w:firstLine="1200" w:firstLineChars="5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S—指堆场占地面积（m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6997.704</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w:t>
            </w:r>
          </w:p>
          <w:p w14:paraId="70E670D4">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由于本项目原料颗粒粒径较大，根据</w:t>
            </w:r>
            <w:r>
              <w:rPr>
                <w:rFonts w:hint="eastAsia" w:cs="Times New Roman"/>
                <w:color w:val="auto"/>
                <w:sz w:val="24"/>
                <w:szCs w:val="24"/>
                <w:highlight w:val="none"/>
                <w:lang w:val="en-US" w:eastAsia="zh-CN"/>
              </w:rPr>
              <w:t>上述</w:t>
            </w:r>
            <w:r>
              <w:rPr>
                <w:rFonts w:hint="default" w:ascii="Times New Roman" w:hAnsi="Times New Roman" w:eastAsia="宋体" w:cs="Times New Roman"/>
                <w:color w:val="auto"/>
                <w:sz w:val="24"/>
                <w:szCs w:val="24"/>
                <w:highlight w:val="none"/>
                <w:lang w:val="en-US" w:eastAsia="zh-CN"/>
              </w:rPr>
              <w:t>公式计算，物料堆存过程产生的颗粒物为</w:t>
            </w:r>
            <w:r>
              <w:rPr>
                <w:rFonts w:hint="eastAsia" w:cs="Times New Roman"/>
                <w:color w:val="auto"/>
                <w:sz w:val="24"/>
                <w:szCs w:val="24"/>
                <w:highlight w:val="none"/>
                <w:lang w:val="en-US" w:eastAsia="zh-CN"/>
              </w:rPr>
              <w:t>680.286</w:t>
            </w:r>
            <w:r>
              <w:rPr>
                <w:rFonts w:hint="default" w:ascii="Times New Roman" w:hAnsi="Times New Roman" w:eastAsia="宋体" w:cs="Times New Roman"/>
                <w:color w:val="auto"/>
                <w:sz w:val="24"/>
                <w:szCs w:val="24"/>
                <w:highlight w:val="none"/>
                <w:lang w:val="en-US" w:eastAsia="zh-CN"/>
              </w:rPr>
              <w:t>t/a</w:t>
            </w:r>
          </w:p>
          <w:p w14:paraId="12488530">
            <w:pPr>
              <w:keepNext w:val="0"/>
              <w:keepLines w:val="0"/>
              <w:pageBreakBefore w:val="0"/>
              <w:widowControl w:val="0"/>
              <w:kinsoku/>
              <w:wordWrap/>
              <w:overflowPunct/>
              <w:topLinePunct w:val="0"/>
              <w:autoSpaceDE w:val="0"/>
              <w:autoSpaceDN w:val="0"/>
              <w:bidi w:val="0"/>
              <w:adjustRightInd/>
              <w:snapToGrid/>
              <w:spacing w:line="520" w:lineRule="exact"/>
              <w:ind w:firstLine="0" w:firstLineChars="0"/>
              <w:jc w:val="center"/>
              <w:textAlignment w:val="auto"/>
              <w:rPr>
                <w:rFonts w:hint="eastAsia" w:cs="Times New Roman"/>
                <w:color w:val="auto"/>
                <w:kern w:val="0"/>
                <w:sz w:val="24"/>
                <w:szCs w:val="24"/>
                <w:lang w:val="en-US" w:eastAsia="zh-CN"/>
              </w:rPr>
            </w:pPr>
            <w:r>
              <w:rPr>
                <w:rFonts w:hint="eastAsia" w:cs="Times New Roman"/>
                <w:color w:val="auto"/>
                <w:kern w:val="0"/>
                <w:sz w:val="24"/>
                <w:szCs w:val="24"/>
                <w:lang w:val="en-US" w:eastAsia="zh-CN"/>
              </w:rPr>
              <w:t>Uc=P×（1-Cm）×（1-Tm）</w:t>
            </w:r>
          </w:p>
          <w:p w14:paraId="5EA3DFC0">
            <w:pPr>
              <w:keepNext w:val="0"/>
              <w:keepLines w:val="0"/>
              <w:pageBreakBefore w:val="0"/>
              <w:widowControl w:val="0"/>
              <w:kinsoku/>
              <w:wordWrap/>
              <w:overflowPunct/>
              <w:topLinePunct w:val="0"/>
              <w:autoSpaceDE/>
              <w:autoSpaceDN/>
              <w:bidi w:val="0"/>
              <w:adjustRightInd/>
              <w:snapToGrid/>
              <w:spacing w:line="520" w:lineRule="exact"/>
              <w:ind w:firstLine="480"/>
              <w:textAlignment w:val="auto"/>
              <w:rPr>
                <w:rStyle w:val="65"/>
                <w:rFonts w:ascii="Times New Roman" w:hAnsi="Times New Roman"/>
                <w:color w:val="auto"/>
                <w:sz w:val="24"/>
                <w:szCs w:val="24"/>
                <w:lang w:eastAsia="zh-CN"/>
              </w:rPr>
            </w:pPr>
            <w:r>
              <w:rPr>
                <w:rStyle w:val="65"/>
                <w:rFonts w:ascii="Times New Roman" w:hAnsi="Times New Roman"/>
                <w:color w:val="auto"/>
                <w:sz w:val="24"/>
                <w:szCs w:val="24"/>
                <w:lang w:eastAsia="zh-CN"/>
              </w:rPr>
              <w:t>式中：P</w:t>
            </w:r>
            <w:r>
              <w:rPr>
                <w:rStyle w:val="65"/>
                <w:rFonts w:hint="eastAsia" w:ascii="Times New Roman" w:hAnsi="Times New Roman"/>
                <w:color w:val="auto"/>
                <w:sz w:val="24"/>
                <w:szCs w:val="24"/>
                <w:lang w:eastAsia="zh-CN"/>
              </w:rPr>
              <w:t>—</w:t>
            </w:r>
            <w:r>
              <w:rPr>
                <w:rStyle w:val="65"/>
                <w:rFonts w:ascii="Times New Roman" w:hAnsi="Times New Roman"/>
                <w:color w:val="auto"/>
                <w:sz w:val="24"/>
                <w:szCs w:val="24"/>
                <w:lang w:eastAsia="zh-CN"/>
              </w:rPr>
              <w:t>指颗粒物产生量（</w:t>
            </w:r>
            <w:r>
              <w:rPr>
                <w:rStyle w:val="65"/>
                <w:rFonts w:hint="eastAsia" w:ascii="Times New Roman" w:hAnsi="Times New Roman"/>
                <w:color w:val="auto"/>
                <w:sz w:val="24"/>
                <w:szCs w:val="24"/>
                <w:lang w:eastAsia="zh-CN"/>
              </w:rPr>
              <w:t>t</w:t>
            </w:r>
            <w:r>
              <w:rPr>
                <w:rStyle w:val="65"/>
                <w:rFonts w:ascii="Times New Roman" w:hAnsi="Times New Roman"/>
                <w:color w:val="auto"/>
                <w:sz w:val="24"/>
                <w:szCs w:val="24"/>
                <w:lang w:eastAsia="zh-CN"/>
              </w:rPr>
              <w:t>）；</w:t>
            </w:r>
          </w:p>
          <w:p w14:paraId="201B3E59">
            <w:pPr>
              <w:keepNext w:val="0"/>
              <w:keepLines w:val="0"/>
              <w:pageBreakBefore w:val="0"/>
              <w:widowControl w:val="0"/>
              <w:kinsoku/>
              <w:wordWrap/>
              <w:overflowPunct/>
              <w:topLinePunct w:val="0"/>
              <w:autoSpaceDE/>
              <w:autoSpaceDN/>
              <w:bidi w:val="0"/>
              <w:adjustRightInd/>
              <w:snapToGrid/>
              <w:spacing w:line="520" w:lineRule="exact"/>
              <w:ind w:firstLine="1200" w:firstLineChars="500"/>
              <w:textAlignment w:val="auto"/>
              <w:rPr>
                <w:rStyle w:val="65"/>
                <w:rFonts w:ascii="Times New Roman" w:hAnsi="Times New Roman"/>
                <w:color w:val="auto"/>
                <w:sz w:val="24"/>
                <w:szCs w:val="24"/>
                <w:lang w:eastAsia="zh-CN"/>
              </w:rPr>
            </w:pPr>
            <w:r>
              <w:rPr>
                <w:rStyle w:val="65"/>
                <w:rFonts w:ascii="Times New Roman" w:hAnsi="Times New Roman"/>
                <w:color w:val="auto"/>
                <w:sz w:val="24"/>
                <w:szCs w:val="24"/>
                <w:lang w:eastAsia="zh-CN"/>
              </w:rPr>
              <w:t>Uc</w:t>
            </w:r>
            <w:r>
              <w:rPr>
                <w:rStyle w:val="65"/>
                <w:rFonts w:hint="eastAsia" w:ascii="Times New Roman" w:hAnsi="Times New Roman"/>
                <w:color w:val="auto"/>
                <w:sz w:val="24"/>
                <w:szCs w:val="24"/>
                <w:lang w:eastAsia="zh-CN"/>
              </w:rPr>
              <w:t>—</w:t>
            </w:r>
            <w:r>
              <w:rPr>
                <w:rStyle w:val="65"/>
                <w:rFonts w:ascii="Times New Roman" w:hAnsi="Times New Roman"/>
                <w:color w:val="auto"/>
                <w:sz w:val="24"/>
                <w:szCs w:val="24"/>
                <w:lang w:eastAsia="zh-CN"/>
              </w:rPr>
              <w:t>指颗粒物排放量（</w:t>
            </w:r>
            <w:r>
              <w:rPr>
                <w:rStyle w:val="65"/>
                <w:rFonts w:hint="eastAsia" w:ascii="Times New Roman" w:hAnsi="Times New Roman"/>
                <w:color w:val="auto"/>
                <w:sz w:val="24"/>
                <w:szCs w:val="24"/>
                <w:lang w:eastAsia="zh-CN"/>
              </w:rPr>
              <w:t>t</w:t>
            </w:r>
            <w:r>
              <w:rPr>
                <w:rStyle w:val="65"/>
                <w:rFonts w:ascii="Times New Roman" w:hAnsi="Times New Roman"/>
                <w:color w:val="auto"/>
                <w:sz w:val="24"/>
                <w:szCs w:val="24"/>
                <w:lang w:eastAsia="zh-CN"/>
              </w:rPr>
              <w:t>）；</w:t>
            </w:r>
          </w:p>
          <w:p w14:paraId="77DF7D32">
            <w:pPr>
              <w:keepNext w:val="0"/>
              <w:keepLines w:val="0"/>
              <w:pageBreakBefore w:val="0"/>
              <w:widowControl w:val="0"/>
              <w:kinsoku/>
              <w:wordWrap/>
              <w:overflowPunct/>
              <w:topLinePunct w:val="0"/>
              <w:autoSpaceDE/>
              <w:autoSpaceDN/>
              <w:bidi w:val="0"/>
              <w:adjustRightInd/>
              <w:snapToGrid/>
              <w:spacing w:line="520" w:lineRule="exact"/>
              <w:ind w:firstLine="1200" w:firstLineChars="500"/>
              <w:textAlignment w:val="auto"/>
              <w:rPr>
                <w:rStyle w:val="65"/>
                <w:rFonts w:ascii="Times New Roman" w:hAnsi="Times New Roman"/>
                <w:color w:val="auto"/>
                <w:sz w:val="24"/>
                <w:szCs w:val="24"/>
                <w:lang w:eastAsia="zh-CN"/>
              </w:rPr>
            </w:pPr>
            <w:r>
              <w:rPr>
                <w:rStyle w:val="65"/>
                <w:rFonts w:ascii="Times New Roman" w:hAnsi="Times New Roman"/>
                <w:color w:val="auto"/>
                <w:sz w:val="24"/>
                <w:szCs w:val="24"/>
                <w:lang w:eastAsia="zh-CN"/>
              </w:rPr>
              <w:t>Cm</w:t>
            </w:r>
            <w:r>
              <w:rPr>
                <w:rStyle w:val="65"/>
                <w:rFonts w:hint="eastAsia" w:ascii="Times New Roman" w:hAnsi="Times New Roman"/>
                <w:color w:val="auto"/>
                <w:sz w:val="24"/>
                <w:szCs w:val="24"/>
                <w:lang w:eastAsia="zh-CN"/>
              </w:rPr>
              <w:t>—</w:t>
            </w:r>
            <w:r>
              <w:rPr>
                <w:rStyle w:val="65"/>
                <w:rFonts w:ascii="Times New Roman" w:hAnsi="Times New Roman"/>
                <w:color w:val="auto"/>
                <w:sz w:val="24"/>
                <w:szCs w:val="24"/>
                <w:lang w:eastAsia="zh-CN"/>
              </w:rPr>
              <w:t>指颗粒物控制措施控制效率（%），本项目取</w:t>
            </w:r>
            <w:r>
              <w:rPr>
                <w:rStyle w:val="65"/>
                <w:rFonts w:hint="eastAsia"/>
                <w:color w:val="auto"/>
                <w:sz w:val="24"/>
                <w:szCs w:val="24"/>
                <w:lang w:val="en-US" w:eastAsia="zh-CN"/>
              </w:rPr>
              <w:t>74</w:t>
            </w:r>
            <w:r>
              <w:rPr>
                <w:rStyle w:val="65"/>
                <w:rFonts w:ascii="Times New Roman" w:hAnsi="Times New Roman"/>
                <w:color w:val="auto"/>
                <w:sz w:val="24"/>
                <w:szCs w:val="24"/>
                <w:lang w:eastAsia="zh-CN"/>
              </w:rPr>
              <w:t>；</w:t>
            </w:r>
          </w:p>
          <w:p w14:paraId="5ACE1A5C">
            <w:pPr>
              <w:pStyle w:val="12"/>
              <w:keepNext w:val="0"/>
              <w:keepLines w:val="0"/>
              <w:pageBreakBefore w:val="0"/>
              <w:widowControl w:val="0"/>
              <w:kinsoku/>
              <w:wordWrap/>
              <w:overflowPunct/>
              <w:topLinePunct w:val="0"/>
              <w:autoSpaceDE/>
              <w:autoSpaceDN/>
              <w:bidi w:val="0"/>
              <w:adjustRightInd/>
              <w:snapToGrid/>
              <w:spacing w:after="0" w:line="520" w:lineRule="exact"/>
              <w:ind w:left="0" w:leftChars="0" w:firstLine="1200" w:firstLineChars="500"/>
              <w:textAlignment w:val="auto"/>
              <w:rPr>
                <w:rStyle w:val="65"/>
                <w:rFonts w:ascii="Times New Roman" w:hAnsi="Times New Roman"/>
                <w:color w:val="auto"/>
                <w:sz w:val="24"/>
                <w:szCs w:val="24"/>
                <w:lang w:eastAsia="zh-CN"/>
              </w:rPr>
            </w:pPr>
            <w:r>
              <w:rPr>
                <w:rStyle w:val="65"/>
                <w:rFonts w:ascii="Times New Roman" w:hAnsi="Times New Roman"/>
                <w:color w:val="auto"/>
                <w:sz w:val="24"/>
                <w:szCs w:val="24"/>
                <w:lang w:eastAsia="zh-CN"/>
              </w:rPr>
              <w:t>Tm</w:t>
            </w:r>
            <w:r>
              <w:rPr>
                <w:rStyle w:val="65"/>
                <w:rFonts w:hint="eastAsia" w:ascii="Times New Roman" w:hAnsi="Times New Roman"/>
                <w:color w:val="auto"/>
                <w:sz w:val="24"/>
                <w:szCs w:val="24"/>
                <w:lang w:eastAsia="zh-CN"/>
              </w:rPr>
              <w:t>—</w:t>
            </w:r>
            <w:r>
              <w:rPr>
                <w:rStyle w:val="65"/>
                <w:rFonts w:ascii="Times New Roman" w:hAnsi="Times New Roman"/>
                <w:color w:val="auto"/>
                <w:sz w:val="24"/>
                <w:szCs w:val="24"/>
                <w:lang w:eastAsia="zh-CN"/>
              </w:rPr>
              <w:t>指堆场类型控制效率（%），本项目取</w:t>
            </w:r>
            <w:r>
              <w:rPr>
                <w:rStyle w:val="65"/>
                <w:rFonts w:hint="eastAsia"/>
                <w:color w:val="auto"/>
                <w:sz w:val="24"/>
                <w:szCs w:val="24"/>
                <w:lang w:val="en-US" w:eastAsia="zh-CN"/>
              </w:rPr>
              <w:t>99</w:t>
            </w:r>
            <w:r>
              <w:rPr>
                <w:rStyle w:val="65"/>
                <w:rFonts w:ascii="Times New Roman" w:hAnsi="Times New Roman"/>
                <w:color w:val="auto"/>
                <w:sz w:val="24"/>
                <w:szCs w:val="24"/>
                <w:lang w:eastAsia="zh-CN"/>
              </w:rPr>
              <w:t>；</w:t>
            </w:r>
          </w:p>
          <w:p w14:paraId="28604EFD">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本项目堆场</w:t>
            </w:r>
            <w:r>
              <w:rPr>
                <w:rFonts w:hint="eastAsia" w:cs="Times New Roman"/>
                <w:color w:val="auto"/>
                <w:sz w:val="24"/>
                <w:szCs w:val="24"/>
                <w:highlight w:val="none"/>
                <w:lang w:val="en-US" w:eastAsia="zh-CN"/>
              </w:rPr>
              <w:t>为全密闭煤棚，仓顶设置洒水降尘设施</w:t>
            </w:r>
            <w:r>
              <w:rPr>
                <w:rFonts w:hint="default" w:ascii="Times New Roman" w:hAnsi="Times New Roman" w:eastAsia="宋体" w:cs="Times New Roman"/>
                <w:color w:val="auto"/>
                <w:sz w:val="24"/>
                <w:szCs w:val="24"/>
                <w:highlight w:val="none"/>
                <w:lang w:val="en-US" w:eastAsia="zh-CN"/>
              </w:rPr>
              <w:t>，颗粒物控制措施控制效率可达到</w:t>
            </w:r>
            <w:r>
              <w:rPr>
                <w:rFonts w:hint="eastAsia" w:cs="Times New Roman"/>
                <w:color w:val="auto"/>
                <w:sz w:val="24"/>
                <w:szCs w:val="24"/>
                <w:highlight w:val="none"/>
                <w:lang w:val="en-US" w:eastAsia="zh-CN"/>
              </w:rPr>
              <w:t>99</w:t>
            </w:r>
            <w:r>
              <w:rPr>
                <w:rFonts w:hint="default" w:ascii="Times New Roman" w:hAnsi="Times New Roman" w:eastAsia="宋体" w:cs="Times New Roman"/>
                <w:color w:val="auto"/>
                <w:sz w:val="24"/>
                <w:szCs w:val="24"/>
                <w:highlight w:val="none"/>
                <w:lang w:val="en-US" w:eastAsia="zh-CN"/>
              </w:rPr>
              <w:t>%，则粉尘无组织排放量为</w:t>
            </w:r>
            <w:r>
              <w:rPr>
                <w:rFonts w:hint="eastAsia" w:cs="Times New Roman"/>
                <w:color w:val="auto"/>
                <w:sz w:val="24"/>
                <w:szCs w:val="24"/>
                <w:highlight w:val="none"/>
                <w:lang w:val="en-US" w:eastAsia="zh-CN"/>
              </w:rPr>
              <w:t>1.767</w:t>
            </w:r>
            <w:r>
              <w:rPr>
                <w:rFonts w:hint="default" w:ascii="Times New Roman" w:hAnsi="Times New Roman" w:eastAsia="宋体" w:cs="Times New Roman"/>
                <w:color w:val="auto"/>
                <w:sz w:val="24"/>
                <w:szCs w:val="24"/>
                <w:highlight w:val="none"/>
                <w:lang w:val="en-US" w:eastAsia="zh-CN"/>
              </w:rPr>
              <w:t>t/a</w:t>
            </w:r>
            <w:r>
              <w:rPr>
                <w:rFonts w:hint="eastAsia" w:cs="Times New Roman"/>
                <w:color w:val="auto"/>
                <w:sz w:val="24"/>
                <w:szCs w:val="24"/>
                <w:highlight w:val="none"/>
                <w:lang w:val="en-US" w:eastAsia="zh-CN"/>
              </w:rPr>
              <w:t>，排放速率为0.368kg/h</w:t>
            </w:r>
            <w:r>
              <w:rPr>
                <w:rFonts w:hint="default" w:ascii="Times New Roman" w:hAnsi="Times New Roman" w:eastAsia="宋体" w:cs="Times New Roman"/>
                <w:color w:val="auto"/>
                <w:sz w:val="24"/>
                <w:szCs w:val="24"/>
                <w:highlight w:val="none"/>
                <w:lang w:val="en-US" w:eastAsia="zh-CN"/>
              </w:rPr>
              <w:t>。</w:t>
            </w:r>
          </w:p>
          <w:p w14:paraId="70CDA821">
            <w:pPr>
              <w:keepNext w:val="0"/>
              <w:keepLines w:val="0"/>
              <w:pageBreakBefore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w:t>
            </w:r>
            <w:r>
              <w:rPr>
                <w:rFonts w:hint="eastAsia" w:cs="Times New Roman"/>
                <w:color w:val="auto"/>
                <w:sz w:val="24"/>
                <w:lang w:val="en-US" w:eastAsia="zh-CN"/>
              </w:rPr>
              <w:t>堆场</w:t>
            </w:r>
            <w:r>
              <w:rPr>
                <w:rFonts w:hint="default" w:ascii="Times New Roman" w:hAnsi="Times New Roman" w:eastAsia="宋体" w:cs="Times New Roman"/>
                <w:color w:val="auto"/>
                <w:sz w:val="24"/>
              </w:rPr>
              <w:t>煤尘</w:t>
            </w:r>
            <w:r>
              <w:rPr>
                <w:rFonts w:hint="eastAsia" w:cs="Times New Roman"/>
                <w:color w:val="auto"/>
                <w:sz w:val="24"/>
                <w:lang w:val="en-US" w:eastAsia="zh-CN"/>
              </w:rPr>
              <w:t>环境影响分析及</w:t>
            </w:r>
            <w:r>
              <w:rPr>
                <w:rFonts w:hint="default" w:ascii="Times New Roman" w:hAnsi="Times New Roman" w:eastAsia="宋体" w:cs="Times New Roman"/>
                <w:color w:val="auto"/>
                <w:sz w:val="24"/>
              </w:rPr>
              <w:t>污染防治措施</w:t>
            </w:r>
          </w:p>
          <w:p w14:paraId="45861AD3">
            <w:pPr>
              <w:keepNext w:val="0"/>
              <w:keepLines w:val="0"/>
              <w:pageBreakBefore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煤尘污染是目前煤炭行业普遍存在的问题，若管理不善，煤尘极易污染周围环境，为有效防止煤堆风吹扬尘的污染，必须采取防治措施，常规的防治措施主要采取如下内容：</w:t>
            </w:r>
          </w:p>
          <w:p w14:paraId="1D9AF6B3">
            <w:pPr>
              <w:keepNext w:val="0"/>
              <w:keepLines w:val="0"/>
              <w:pageBreakBefore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①本项目煤炭输送全过程采取全封闭措施，并在各转载点安装喷雾</w:t>
            </w:r>
            <w:r>
              <w:rPr>
                <w:rFonts w:hint="eastAsia" w:cs="Times New Roman"/>
                <w:color w:val="auto"/>
                <w:sz w:val="24"/>
                <w:lang w:eastAsia="zh-CN"/>
              </w:rPr>
              <w:t>抑尘</w:t>
            </w:r>
            <w:r>
              <w:rPr>
                <w:rFonts w:hint="default" w:ascii="Times New Roman" w:hAnsi="Times New Roman" w:eastAsia="宋体" w:cs="Times New Roman"/>
                <w:color w:val="auto"/>
                <w:sz w:val="24"/>
              </w:rPr>
              <w:t>系统，密闭</w:t>
            </w:r>
            <w:r>
              <w:rPr>
                <w:rFonts w:hint="eastAsia" w:ascii="Times New Roman" w:hAnsi="Times New Roman" w:eastAsia="宋体" w:cs="Times New Roman"/>
                <w:color w:val="auto"/>
                <w:sz w:val="24"/>
                <w:lang w:val="en-US" w:eastAsia="zh-CN"/>
              </w:rPr>
              <w:t>煤棚</w:t>
            </w:r>
            <w:r>
              <w:rPr>
                <w:rFonts w:hint="default" w:ascii="Times New Roman" w:hAnsi="Times New Roman" w:eastAsia="宋体" w:cs="Times New Roman"/>
                <w:color w:val="auto"/>
                <w:sz w:val="24"/>
              </w:rPr>
              <w:t>内安装喷雾</w:t>
            </w:r>
            <w:r>
              <w:rPr>
                <w:rFonts w:hint="eastAsia" w:cs="Times New Roman"/>
                <w:color w:val="auto"/>
                <w:sz w:val="24"/>
                <w:lang w:eastAsia="zh-CN"/>
              </w:rPr>
              <w:t>抑尘</w:t>
            </w:r>
            <w:r>
              <w:rPr>
                <w:rFonts w:hint="default" w:ascii="Times New Roman" w:hAnsi="Times New Roman" w:eastAsia="宋体" w:cs="Times New Roman"/>
                <w:color w:val="auto"/>
                <w:sz w:val="24"/>
              </w:rPr>
              <w:t>系统，覆盖整个煤堆面积，定时向煤堆喷水，保持煤堆表面含水率8%以上，以有效减少煤尘飞扬。</w:t>
            </w:r>
          </w:p>
          <w:p w14:paraId="196F545B">
            <w:pPr>
              <w:keepNext w:val="0"/>
              <w:keepLines w:val="0"/>
              <w:pageBreakBefore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②煤炭装卸均在车间内操作，防</w:t>
            </w:r>
            <w:r>
              <w:rPr>
                <w:rFonts w:hint="eastAsia" w:ascii="Times New Roman" w:hAnsi="Times New Roman" w:eastAsia="宋体" w:cs="Times New Roman"/>
                <w:color w:val="auto"/>
                <w:sz w:val="24"/>
                <w:lang w:val="en-US" w:eastAsia="zh-CN"/>
              </w:rPr>
              <w:t>止</w:t>
            </w:r>
            <w:r>
              <w:rPr>
                <w:rFonts w:hint="default" w:ascii="Times New Roman" w:hAnsi="Times New Roman" w:eastAsia="宋体" w:cs="Times New Roman"/>
                <w:color w:val="auto"/>
                <w:sz w:val="24"/>
              </w:rPr>
              <w:t>煤尘污染。</w:t>
            </w:r>
          </w:p>
          <w:p w14:paraId="38F197B2">
            <w:pPr>
              <w:keepNext w:val="0"/>
              <w:keepLines w:val="0"/>
              <w:pageBreakBefore w:val="0"/>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color w:val="auto"/>
                <w:sz w:val="24"/>
                <w:lang w:eastAsia="zh-CN"/>
              </w:rPr>
            </w:pPr>
            <w:r>
              <w:rPr>
                <w:rFonts w:hint="default" w:ascii="Times New Roman" w:hAnsi="Times New Roman" w:eastAsia="宋体" w:cs="Times New Roman"/>
                <w:color w:val="auto"/>
                <w:sz w:val="24"/>
              </w:rPr>
              <w:t>③厂区内地面采取全硬化措施，并定期洒水降尘。</w:t>
            </w:r>
          </w:p>
          <w:p w14:paraId="799027B6">
            <w:pPr>
              <w:keepNext w:val="0"/>
              <w:keepLines w:val="0"/>
              <w:pageBreakBefore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2）煤炭道路运输环境影响分析及防治措施</w:t>
            </w:r>
          </w:p>
          <w:p w14:paraId="52C32F03">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rPr>
              <w:t>①本项目采用公路运输的方式。公路运输对环境的影响，除装煤过程中的扬尘污染外，由于路途颠簸在运输过程中沿途漏撒、碾压造成煤尘在公路沿线的扬尘污染较大。</w:t>
            </w:r>
            <w:r>
              <w:rPr>
                <w:rFonts w:hint="default" w:ascii="Times New Roman" w:hAnsi="Times New Roman" w:eastAsia="宋体" w:cs="Times New Roman"/>
                <w:b w:val="0"/>
                <w:bCs w:val="0"/>
                <w:color w:val="auto"/>
                <w:sz w:val="24"/>
                <w:szCs w:val="24"/>
                <w:lang w:val="en-US" w:eastAsia="zh-CN"/>
              </w:rPr>
              <w:t>本项目原煤和产品煤运输均采用</w:t>
            </w:r>
            <w:r>
              <w:rPr>
                <w:rFonts w:hint="eastAsia" w:cs="Times New Roman"/>
                <w:b w:val="0"/>
                <w:bCs w:val="0"/>
                <w:color w:val="auto"/>
                <w:sz w:val="24"/>
                <w:szCs w:val="24"/>
                <w:lang w:val="en-US" w:eastAsia="zh-CN"/>
              </w:rPr>
              <w:t>厢式</w:t>
            </w:r>
            <w:r>
              <w:rPr>
                <w:rFonts w:hint="default" w:ascii="Times New Roman" w:hAnsi="Times New Roman" w:eastAsia="宋体" w:cs="Times New Roman"/>
                <w:b w:val="0"/>
                <w:bCs w:val="0"/>
                <w:color w:val="auto"/>
                <w:sz w:val="24"/>
                <w:szCs w:val="24"/>
                <w:lang w:val="en-US" w:eastAsia="zh-CN"/>
              </w:rPr>
              <w:t>货车运输，厂区外运输道路为柏油道路，因此，运输道路扬尘主要为场内运输道路扬尘。</w:t>
            </w:r>
          </w:p>
          <w:p w14:paraId="5F56FE75">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②措施：</w:t>
            </w:r>
          </w:p>
          <w:p w14:paraId="2D920737">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A 装车过程中采取喷水降尘措施。</w:t>
            </w:r>
          </w:p>
          <w:p w14:paraId="034D60A2">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 xml:space="preserve">B </w:t>
            </w:r>
            <w:r>
              <w:rPr>
                <w:rFonts w:hint="default" w:ascii="Times New Roman" w:hAnsi="Times New Roman" w:eastAsia="宋体" w:cs="Times New Roman"/>
                <w:b w:val="0"/>
                <w:bCs w:val="0"/>
                <w:color w:val="auto"/>
                <w:sz w:val="24"/>
                <w:szCs w:val="24"/>
                <w:lang w:val="en-US" w:eastAsia="zh-CN"/>
              </w:rPr>
              <w:t>根据煤矿运输要求，本项目运煤车辆采用</w:t>
            </w:r>
            <w:r>
              <w:rPr>
                <w:rFonts w:hint="eastAsia" w:cs="Times New Roman"/>
                <w:b w:val="0"/>
                <w:bCs w:val="0"/>
                <w:color w:val="auto"/>
                <w:sz w:val="24"/>
                <w:szCs w:val="24"/>
                <w:lang w:val="en-US" w:eastAsia="zh-CN"/>
              </w:rPr>
              <w:t>厢式</w:t>
            </w:r>
            <w:r>
              <w:rPr>
                <w:rFonts w:hint="default" w:ascii="Times New Roman" w:hAnsi="Times New Roman" w:eastAsia="宋体" w:cs="Times New Roman"/>
                <w:b w:val="0"/>
                <w:bCs w:val="0"/>
                <w:color w:val="auto"/>
                <w:sz w:val="24"/>
                <w:szCs w:val="24"/>
                <w:lang w:val="en-US" w:eastAsia="zh-CN"/>
              </w:rPr>
              <w:t>货车运输</w:t>
            </w:r>
            <w:r>
              <w:rPr>
                <w:rFonts w:hint="default" w:ascii="Times New Roman" w:hAnsi="Times New Roman" w:eastAsia="宋体" w:cs="Times New Roman"/>
                <w:b w:val="0"/>
                <w:bCs w:val="0"/>
                <w:color w:val="auto"/>
                <w:sz w:val="24"/>
                <w:szCs w:val="24"/>
              </w:rPr>
              <w:t>。</w:t>
            </w:r>
          </w:p>
          <w:p w14:paraId="491090D4">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C 控制汽车装载量，严禁超载，避免因超载加速路面损坏。</w:t>
            </w:r>
          </w:p>
          <w:p w14:paraId="61EAE41B">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D 主要运煤道路要有专人负责维护和保养，及时清洁路面，防止漏撒煤炭受汽车碾压后风吹起尘。</w:t>
            </w:r>
          </w:p>
          <w:p w14:paraId="50488AD7">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E 公路运输的防尘是比较难</w:t>
            </w:r>
            <w:r>
              <w:rPr>
                <w:rFonts w:hint="eastAsia" w:cs="Times New Roman"/>
                <w:b w:val="0"/>
                <w:bCs w:val="0"/>
                <w:color w:val="auto"/>
                <w:sz w:val="24"/>
                <w:szCs w:val="24"/>
                <w:lang w:val="en-US" w:eastAsia="zh-CN"/>
              </w:rPr>
              <w:t>以</w:t>
            </w:r>
            <w:r>
              <w:rPr>
                <w:rFonts w:hint="default" w:ascii="Times New Roman" w:hAnsi="Times New Roman" w:eastAsia="宋体" w:cs="Times New Roman"/>
                <w:b w:val="0"/>
                <w:bCs w:val="0"/>
                <w:color w:val="auto"/>
                <w:sz w:val="24"/>
                <w:szCs w:val="24"/>
              </w:rPr>
              <w:t>控制的，煤尘对公路沿线的污染影响也是必然存在的，但只要防尘措施落实，这种影响可以控制在较小范围内。</w:t>
            </w:r>
          </w:p>
          <w:p w14:paraId="60A1073B">
            <w:pPr>
              <w:keepNext w:val="0"/>
              <w:keepLines w:val="0"/>
              <w:pageBreakBefore w:val="0"/>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3）破碎筛分废气</w:t>
            </w:r>
          </w:p>
          <w:p w14:paraId="5D0C09F9">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color w:val="auto"/>
                <w:spacing w:val="0"/>
                <w:sz w:val="24"/>
                <w:szCs w:val="24"/>
                <w:lang w:val="en-US" w:eastAsia="zh-CN"/>
              </w:rPr>
            </w:pPr>
            <w:r>
              <w:rPr>
                <w:rFonts w:hint="eastAsia" w:ascii="Times New Roman" w:hAnsi="Times New Roman" w:eastAsia="宋体" w:cs="Times New Roman"/>
                <w:color w:val="auto"/>
                <w:spacing w:val="0"/>
                <w:sz w:val="24"/>
                <w:szCs w:val="24"/>
                <w:lang w:val="en-US" w:eastAsia="zh-CN"/>
              </w:rPr>
              <w:t>本项目洗选煤生产线破碎原煤12</w:t>
            </w:r>
            <w:r>
              <w:rPr>
                <w:rFonts w:hint="eastAsia" w:cs="Times New Roman"/>
                <w:color w:val="auto"/>
                <w:spacing w:val="0"/>
                <w:sz w:val="24"/>
                <w:szCs w:val="24"/>
                <w:lang w:val="en-US" w:eastAsia="zh-CN"/>
              </w:rPr>
              <w:t>5</w:t>
            </w:r>
            <w:r>
              <w:rPr>
                <w:rFonts w:hint="eastAsia" w:ascii="Times New Roman" w:hAnsi="Times New Roman" w:eastAsia="宋体" w:cs="Times New Roman"/>
                <w:color w:val="auto"/>
                <w:spacing w:val="0"/>
                <w:sz w:val="24"/>
                <w:szCs w:val="24"/>
                <w:lang w:val="en-US" w:eastAsia="zh-CN"/>
              </w:rPr>
              <w:t>万t/a，参照《排放源统计调查产排污核算方法和系数手册》中06煤炭开采和洗选业行业系数手册，</w:t>
            </w:r>
            <w:r>
              <w:rPr>
                <w:rFonts w:hint="default" w:ascii="Times New Roman" w:hAnsi="Times New Roman" w:eastAsia="宋体" w:cs="Times New Roman"/>
                <w:color w:val="auto"/>
                <w:spacing w:val="0"/>
                <w:sz w:val="24"/>
                <w:szCs w:val="24"/>
                <w:lang w:val="en-US" w:eastAsia="zh-CN"/>
              </w:rPr>
              <w:t>规模等级</w:t>
            </w:r>
            <w:r>
              <w:rPr>
                <w:rFonts w:hint="eastAsia" w:ascii="Times New Roman" w:hAnsi="Times New Roman" w:eastAsia="宋体" w:cs="Times New Roman"/>
                <w:color w:val="auto"/>
                <w:spacing w:val="0"/>
                <w:sz w:val="24"/>
                <w:szCs w:val="24"/>
                <w:lang w:val="en-US" w:eastAsia="zh-CN"/>
              </w:rPr>
              <w:t>为120-1000</w:t>
            </w:r>
            <w:r>
              <w:rPr>
                <w:rFonts w:hint="default" w:ascii="Times New Roman" w:hAnsi="Times New Roman" w:eastAsia="宋体" w:cs="Times New Roman"/>
                <w:color w:val="auto"/>
                <w:spacing w:val="0"/>
                <w:sz w:val="24"/>
                <w:szCs w:val="24"/>
                <w:lang w:val="en-US" w:eastAsia="zh-CN"/>
              </w:rPr>
              <w:t>万吨/年</w:t>
            </w:r>
            <w:r>
              <w:rPr>
                <w:rFonts w:hint="eastAsia" w:ascii="Times New Roman" w:hAnsi="Times New Roman" w:eastAsia="宋体" w:cs="Times New Roman"/>
                <w:color w:val="auto"/>
                <w:spacing w:val="0"/>
                <w:sz w:val="24"/>
                <w:szCs w:val="24"/>
                <w:lang w:val="en-US" w:eastAsia="zh-CN"/>
              </w:rPr>
              <w:t>的</w:t>
            </w:r>
            <w:r>
              <w:rPr>
                <w:rFonts w:hint="default" w:ascii="Times New Roman" w:hAnsi="Times New Roman" w:eastAsia="宋体" w:cs="Times New Roman"/>
                <w:color w:val="auto"/>
                <w:spacing w:val="0"/>
                <w:sz w:val="24"/>
                <w:szCs w:val="24"/>
                <w:lang w:val="en-US" w:eastAsia="zh-CN"/>
              </w:rPr>
              <w:t>筛分破碎车间</w:t>
            </w:r>
            <w:r>
              <w:rPr>
                <w:rFonts w:hint="eastAsia" w:ascii="Times New Roman" w:hAnsi="Times New Roman" w:eastAsia="宋体" w:cs="Times New Roman"/>
                <w:color w:val="auto"/>
                <w:spacing w:val="0"/>
                <w:sz w:val="24"/>
                <w:szCs w:val="24"/>
                <w:lang w:val="en-US" w:eastAsia="zh-CN"/>
              </w:rPr>
              <w:t>的</w:t>
            </w:r>
            <w:r>
              <w:rPr>
                <w:rFonts w:hint="default" w:ascii="Times New Roman" w:hAnsi="Times New Roman" w:eastAsia="宋体" w:cs="Times New Roman"/>
                <w:color w:val="auto"/>
                <w:spacing w:val="0"/>
                <w:sz w:val="24"/>
                <w:szCs w:val="24"/>
                <w:lang w:val="en-US" w:eastAsia="zh-CN"/>
              </w:rPr>
              <w:t>废气</w:t>
            </w:r>
            <w:r>
              <w:rPr>
                <w:rFonts w:hint="eastAsia" w:ascii="Times New Roman" w:hAnsi="Times New Roman" w:eastAsia="宋体" w:cs="Times New Roman"/>
                <w:color w:val="auto"/>
                <w:spacing w:val="0"/>
                <w:sz w:val="24"/>
                <w:szCs w:val="24"/>
                <w:lang w:val="en-US" w:eastAsia="zh-CN"/>
              </w:rPr>
              <w:t>（</w:t>
            </w:r>
            <w:r>
              <w:rPr>
                <w:rFonts w:hint="default" w:ascii="Times New Roman" w:hAnsi="Times New Roman" w:eastAsia="宋体" w:cs="Times New Roman"/>
                <w:color w:val="auto"/>
                <w:spacing w:val="0"/>
                <w:sz w:val="24"/>
                <w:szCs w:val="24"/>
                <w:lang w:val="en-US" w:eastAsia="zh-CN"/>
              </w:rPr>
              <w:t>颗粒物</w:t>
            </w:r>
            <w:r>
              <w:rPr>
                <w:rFonts w:hint="eastAsia" w:ascii="Times New Roman" w:hAnsi="Times New Roman" w:eastAsia="宋体" w:cs="Times New Roman"/>
                <w:color w:val="auto"/>
                <w:spacing w:val="0"/>
                <w:sz w:val="24"/>
                <w:szCs w:val="24"/>
                <w:lang w:val="en-US" w:eastAsia="zh-CN"/>
              </w:rPr>
              <w:t>）</w:t>
            </w:r>
            <w:r>
              <w:rPr>
                <w:rFonts w:hint="default" w:ascii="Times New Roman" w:hAnsi="Times New Roman" w:eastAsia="宋体" w:cs="Times New Roman"/>
                <w:color w:val="auto"/>
                <w:spacing w:val="0"/>
                <w:sz w:val="24"/>
                <w:szCs w:val="24"/>
                <w:lang w:val="en-US" w:eastAsia="zh-CN"/>
              </w:rPr>
              <w:t>产污系数</w:t>
            </w:r>
            <w:r>
              <w:rPr>
                <w:rFonts w:hint="eastAsia" w:ascii="Times New Roman" w:hAnsi="Times New Roman" w:eastAsia="宋体" w:cs="Times New Roman"/>
                <w:color w:val="auto"/>
                <w:spacing w:val="0"/>
                <w:sz w:val="24"/>
                <w:szCs w:val="24"/>
                <w:lang w:val="en-US" w:eastAsia="zh-CN"/>
              </w:rPr>
              <w:t>为0.72千克/吨-原料，因此破碎、筛分工序煤粉尘产生总量为</w:t>
            </w:r>
            <w:r>
              <w:rPr>
                <w:rFonts w:hint="eastAsia" w:cs="Times New Roman"/>
                <w:color w:val="auto"/>
                <w:spacing w:val="0"/>
                <w:sz w:val="24"/>
                <w:szCs w:val="24"/>
                <w:lang w:val="en-US" w:eastAsia="zh-CN"/>
              </w:rPr>
              <w:t>900</w:t>
            </w:r>
            <w:r>
              <w:rPr>
                <w:rFonts w:hint="eastAsia" w:ascii="Times New Roman" w:hAnsi="Times New Roman" w:eastAsia="宋体" w:cs="Times New Roman"/>
                <w:color w:val="auto"/>
                <w:spacing w:val="0"/>
                <w:sz w:val="24"/>
                <w:szCs w:val="24"/>
                <w:lang w:val="en-US" w:eastAsia="zh-CN"/>
              </w:rPr>
              <w:t>t/a，本项目破碎筛分均在密闭条件下进行，产生的粉尘</w:t>
            </w:r>
            <w:r>
              <w:rPr>
                <w:rFonts w:hint="eastAsia" w:cs="Times New Roman"/>
                <w:color w:val="auto"/>
                <w:spacing w:val="0"/>
                <w:sz w:val="24"/>
                <w:szCs w:val="24"/>
                <w:lang w:val="en-US" w:eastAsia="zh-CN"/>
              </w:rPr>
              <w:t>采用集气罩</w:t>
            </w:r>
            <w:r>
              <w:rPr>
                <w:rFonts w:hint="eastAsia" w:ascii="Times New Roman" w:hAnsi="Times New Roman" w:eastAsia="宋体" w:cs="Times New Roman"/>
                <w:color w:val="auto"/>
                <w:spacing w:val="0"/>
                <w:sz w:val="24"/>
                <w:szCs w:val="24"/>
                <w:lang w:val="en-US" w:eastAsia="zh-CN"/>
              </w:rPr>
              <w:t>收集至布袋除尘器处理</w:t>
            </w:r>
            <w:r>
              <w:rPr>
                <w:rFonts w:hint="eastAsia"/>
                <w:color w:val="auto"/>
                <w:sz w:val="24"/>
                <w:szCs w:val="24"/>
                <w:lang w:eastAsia="zh-CN"/>
              </w:rPr>
              <w:t>，</w:t>
            </w:r>
            <w:r>
              <w:rPr>
                <w:rFonts w:hint="eastAsia"/>
                <w:color w:val="auto"/>
                <w:sz w:val="24"/>
                <w:szCs w:val="24"/>
                <w:lang w:val="en-US" w:eastAsia="zh-CN"/>
              </w:rPr>
              <w:t>收集效率为90%，袋式除尘器效率为99%</w:t>
            </w:r>
            <w:r>
              <w:rPr>
                <w:rFonts w:hint="eastAsia" w:ascii="Times New Roman" w:hAnsi="Times New Roman" w:eastAsia="宋体" w:cs="Times New Roman"/>
                <w:color w:val="auto"/>
                <w:spacing w:val="0"/>
                <w:sz w:val="24"/>
                <w:szCs w:val="24"/>
                <w:lang w:val="en-US" w:eastAsia="zh-CN"/>
              </w:rPr>
              <w:t>。</w:t>
            </w:r>
          </w:p>
          <w:p w14:paraId="7C5F7A2D">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color w:val="auto"/>
                <w:spacing w:val="0"/>
                <w:sz w:val="24"/>
                <w:szCs w:val="24"/>
                <w:lang w:val="en-US" w:eastAsia="zh-CN"/>
              </w:rPr>
            </w:pPr>
            <w:r>
              <w:rPr>
                <w:rFonts w:hint="eastAsia" w:cs="Times New Roman"/>
                <w:color w:val="auto"/>
                <w:spacing w:val="0"/>
                <w:sz w:val="24"/>
                <w:szCs w:val="24"/>
                <w:lang w:val="en-US" w:eastAsia="zh-CN"/>
              </w:rPr>
              <w:t>破碎筛分设备位于全封闭厂房内，产生的粉尘经集气罩收集后采用布袋除尘器处理，其余未被收集的粉尘产生量为100t/a，在破碎筛分设备附近设置洒水降尘设施，在采取上述措施后，无组织粉尘控制效率可达99.7%，无组织粉尘逸散量为0.26t/a，排放速率为0.054kg/h。</w:t>
            </w:r>
          </w:p>
          <w:p w14:paraId="2FE70C99">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color w:val="auto"/>
                <w:spacing w:val="0"/>
                <w:sz w:val="24"/>
                <w:szCs w:val="24"/>
                <w:lang w:val="en-US" w:eastAsia="zh-CN"/>
              </w:rPr>
            </w:pPr>
            <w:r>
              <w:rPr>
                <w:rFonts w:hint="eastAsia" w:ascii="Times New Roman" w:hAnsi="Times New Roman" w:eastAsia="宋体" w:cs="Times New Roman"/>
                <w:color w:val="auto"/>
                <w:spacing w:val="0"/>
                <w:sz w:val="24"/>
                <w:szCs w:val="24"/>
                <w:lang w:val="en-US" w:eastAsia="zh-CN"/>
              </w:rPr>
              <w:t>本项目风机风量为</w:t>
            </w:r>
            <w:r>
              <w:rPr>
                <w:rFonts w:hint="eastAsia" w:cs="Times New Roman"/>
                <w:color w:val="auto"/>
                <w:spacing w:val="0"/>
                <w:sz w:val="24"/>
                <w:szCs w:val="24"/>
                <w:lang w:val="en-US" w:eastAsia="zh-CN"/>
              </w:rPr>
              <w:t>3</w:t>
            </w:r>
            <w:r>
              <w:rPr>
                <w:rFonts w:hint="eastAsia" w:ascii="Times New Roman" w:hAnsi="Times New Roman" w:eastAsia="宋体" w:cs="Times New Roman"/>
                <w:color w:val="auto"/>
                <w:spacing w:val="0"/>
                <w:sz w:val="24"/>
                <w:szCs w:val="24"/>
                <w:lang w:val="en-US" w:eastAsia="zh-CN"/>
              </w:rPr>
              <w:t>0000m</w:t>
            </w:r>
            <w:r>
              <w:rPr>
                <w:rFonts w:hint="eastAsia" w:ascii="Times New Roman" w:hAnsi="Times New Roman" w:eastAsia="宋体" w:cs="Times New Roman"/>
                <w:color w:val="auto"/>
                <w:spacing w:val="0"/>
                <w:sz w:val="24"/>
                <w:szCs w:val="24"/>
                <w:vertAlign w:val="superscript"/>
                <w:lang w:val="en-US" w:eastAsia="zh-CN"/>
              </w:rPr>
              <w:t>3</w:t>
            </w:r>
            <w:r>
              <w:rPr>
                <w:rFonts w:hint="eastAsia" w:ascii="Times New Roman" w:hAnsi="Times New Roman" w:eastAsia="宋体" w:cs="Times New Roman"/>
                <w:color w:val="auto"/>
                <w:spacing w:val="0"/>
                <w:sz w:val="24"/>
                <w:szCs w:val="24"/>
                <w:lang w:val="en-US" w:eastAsia="zh-CN"/>
              </w:rPr>
              <w:t>/h，</w:t>
            </w:r>
            <w:r>
              <w:rPr>
                <w:rFonts w:hint="eastAsia"/>
                <w:color w:val="auto"/>
                <w:sz w:val="24"/>
              </w:rPr>
              <w:t>年有效工作时长</w:t>
            </w:r>
            <w:r>
              <w:rPr>
                <w:rFonts w:hint="eastAsia"/>
                <w:color w:val="auto"/>
                <w:sz w:val="24"/>
                <w:lang w:val="en-US" w:eastAsia="zh-CN"/>
              </w:rPr>
              <w:t>4800</w:t>
            </w:r>
            <w:r>
              <w:rPr>
                <w:rFonts w:hint="eastAsia"/>
                <w:color w:val="auto"/>
                <w:sz w:val="24"/>
              </w:rPr>
              <w:t>h</w:t>
            </w:r>
            <w:r>
              <w:rPr>
                <w:rFonts w:hint="eastAsia" w:ascii="Times New Roman" w:hAnsi="Times New Roman" w:eastAsia="宋体" w:cs="Times New Roman"/>
                <w:color w:val="auto"/>
                <w:spacing w:val="0"/>
                <w:sz w:val="24"/>
                <w:szCs w:val="24"/>
                <w:lang w:val="en-US" w:eastAsia="zh-CN"/>
              </w:rPr>
              <w:t>。</w:t>
            </w:r>
          </w:p>
          <w:p w14:paraId="0360047B">
            <w:pPr>
              <w:keepNext w:val="0"/>
              <w:keepLines w:val="0"/>
              <w:pageBreakBefore w:val="0"/>
              <w:widowControl/>
              <w:suppressLineNumbers w:val="0"/>
              <w:kinsoku/>
              <w:wordWrap/>
              <w:overflowPunct/>
              <w:topLinePunct w:val="0"/>
              <w:autoSpaceDE/>
              <w:autoSpaceDN/>
              <w:bidi w:val="0"/>
              <w:adjustRightInd/>
              <w:snapToGrid/>
              <w:spacing w:line="520" w:lineRule="exact"/>
              <w:ind w:firstLine="0" w:firstLineChars="0"/>
              <w:jc w:val="center"/>
              <w:textAlignment w:val="auto"/>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表</w:t>
            </w:r>
            <w:r>
              <w:rPr>
                <w:rFonts w:hint="eastAsia" w:cs="Times New Roman"/>
                <w:b/>
                <w:bCs/>
                <w:color w:val="auto"/>
                <w:kern w:val="0"/>
                <w:sz w:val="21"/>
                <w:szCs w:val="21"/>
                <w:lang w:val="en-US" w:eastAsia="zh-CN" w:bidi="ar"/>
              </w:rPr>
              <w:t>4-1</w:t>
            </w:r>
            <w:r>
              <w:rPr>
                <w:rFonts w:hint="default" w:ascii="Times New Roman" w:hAnsi="Times New Roman" w:eastAsia="宋体" w:cs="Times New Roman"/>
                <w:b/>
                <w:bCs/>
                <w:color w:val="auto"/>
                <w:kern w:val="0"/>
                <w:sz w:val="21"/>
                <w:szCs w:val="21"/>
                <w:lang w:val="en-US" w:eastAsia="zh-CN" w:bidi="ar"/>
              </w:rPr>
              <w:t xml:space="preserve">  </w:t>
            </w:r>
            <w:r>
              <w:rPr>
                <w:rFonts w:hint="eastAsia" w:cs="Times New Roman"/>
                <w:b/>
                <w:bCs/>
                <w:color w:val="auto"/>
                <w:kern w:val="0"/>
                <w:sz w:val="21"/>
                <w:szCs w:val="21"/>
                <w:lang w:val="en-US" w:eastAsia="zh-CN" w:bidi="ar"/>
              </w:rPr>
              <w:t>破碎筛分环节</w:t>
            </w:r>
            <w:r>
              <w:rPr>
                <w:rFonts w:hint="eastAsia" w:eastAsia="宋体" w:cs="Times New Roman"/>
                <w:b/>
                <w:bCs/>
                <w:color w:val="auto"/>
                <w:kern w:val="0"/>
                <w:sz w:val="21"/>
                <w:szCs w:val="21"/>
                <w:lang w:val="en-US" w:eastAsia="zh-CN" w:bidi="ar"/>
              </w:rPr>
              <w:t>废气</w:t>
            </w:r>
            <w:r>
              <w:rPr>
                <w:rFonts w:hint="default" w:ascii="Times New Roman" w:hAnsi="Times New Roman" w:eastAsia="宋体" w:cs="Times New Roman"/>
                <w:b/>
                <w:bCs/>
                <w:color w:val="auto"/>
                <w:kern w:val="0"/>
                <w:sz w:val="21"/>
                <w:szCs w:val="21"/>
                <w:lang w:val="en-US" w:eastAsia="zh-CN" w:bidi="ar"/>
              </w:rPr>
              <w:t>产排污一览表</w:t>
            </w:r>
          </w:p>
          <w:tbl>
            <w:tblPr>
              <w:tblStyle w:val="27"/>
              <w:tblW w:w="4981"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88"/>
              <w:gridCol w:w="426"/>
              <w:gridCol w:w="801"/>
              <w:gridCol w:w="727"/>
              <w:gridCol w:w="935"/>
              <w:gridCol w:w="935"/>
              <w:gridCol w:w="827"/>
              <w:gridCol w:w="603"/>
              <w:gridCol w:w="942"/>
              <w:gridCol w:w="1053"/>
            </w:tblGrid>
            <w:tr w14:paraId="3DDB95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237" w:hRule="atLeast"/>
                <w:jc w:val="center"/>
              </w:trPr>
              <w:tc>
                <w:tcPr>
                  <w:tcW w:w="545" w:type="pct"/>
                  <w:tcBorders>
                    <w:tl2br w:val="nil"/>
                    <w:tr2bl w:val="nil"/>
                  </w:tcBorders>
                  <w:noWrap w:val="0"/>
                  <w:vAlign w:val="center"/>
                </w:tcPr>
                <w:p w14:paraId="6BB98CAA">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bidi="ar"/>
                    </w:rPr>
                    <w:t>工段名称</w:t>
                  </w:r>
                </w:p>
              </w:tc>
              <w:tc>
                <w:tcPr>
                  <w:tcW w:w="262" w:type="pct"/>
                  <w:tcBorders>
                    <w:tl2br w:val="nil"/>
                    <w:tr2bl w:val="nil"/>
                  </w:tcBorders>
                  <w:noWrap w:val="0"/>
                  <w:vAlign w:val="center"/>
                </w:tcPr>
                <w:p w14:paraId="1A70FF43">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bidi="ar"/>
                    </w:rPr>
                    <w:t>污染物</w:t>
                  </w:r>
                </w:p>
              </w:tc>
              <w:tc>
                <w:tcPr>
                  <w:tcW w:w="492" w:type="pct"/>
                  <w:tcBorders>
                    <w:tl2br w:val="nil"/>
                    <w:tr2bl w:val="nil"/>
                  </w:tcBorders>
                  <w:noWrap w:val="0"/>
                  <w:vAlign w:val="center"/>
                </w:tcPr>
                <w:p w14:paraId="7ACCC479">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bidi="ar"/>
                    </w:rPr>
                    <w:t>产污系数</w:t>
                  </w:r>
                  <w:r>
                    <w:rPr>
                      <w:rFonts w:hint="default" w:ascii="Times New Roman" w:hAnsi="Times New Roman" w:eastAsia="宋体" w:cs="Times New Roman"/>
                      <w:color w:val="auto"/>
                      <w:kern w:val="2"/>
                      <w:sz w:val="21"/>
                      <w:szCs w:val="21"/>
                      <w:lang w:val="en-US" w:eastAsia="zh-CN" w:bidi="ar"/>
                    </w:rPr>
                    <w:t>（千克/吨-原料）</w:t>
                  </w:r>
                </w:p>
              </w:tc>
              <w:tc>
                <w:tcPr>
                  <w:tcW w:w="447" w:type="pct"/>
                  <w:tcBorders>
                    <w:tl2br w:val="nil"/>
                    <w:tr2bl w:val="nil"/>
                  </w:tcBorders>
                  <w:noWrap w:val="0"/>
                  <w:vAlign w:val="center"/>
                </w:tcPr>
                <w:p w14:paraId="2666C80D">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bidi="ar"/>
                    </w:rPr>
                    <w:t>产生量t/a</w:t>
                  </w:r>
                </w:p>
              </w:tc>
              <w:tc>
                <w:tcPr>
                  <w:tcW w:w="574" w:type="pct"/>
                  <w:tcBorders>
                    <w:tl2br w:val="nil"/>
                    <w:tr2bl w:val="nil"/>
                  </w:tcBorders>
                  <w:noWrap w:val="0"/>
                  <w:vAlign w:val="center"/>
                </w:tcPr>
                <w:p w14:paraId="154763DB">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排放方式</w:t>
                  </w:r>
                </w:p>
              </w:tc>
              <w:tc>
                <w:tcPr>
                  <w:tcW w:w="574" w:type="pct"/>
                  <w:tcBorders>
                    <w:tl2br w:val="nil"/>
                    <w:tr2bl w:val="nil"/>
                  </w:tcBorders>
                  <w:noWrap w:val="0"/>
                  <w:vAlign w:val="center"/>
                </w:tcPr>
                <w:p w14:paraId="04FA34D1">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lang w:val="en-US"/>
                    </w:rPr>
                  </w:pPr>
                  <w:r>
                    <w:rPr>
                      <w:rFonts w:hint="default" w:ascii="Times New Roman" w:hAnsi="Times New Roman" w:eastAsia="宋体" w:cs="Times New Roman"/>
                      <w:color w:val="auto"/>
                      <w:kern w:val="0"/>
                      <w:sz w:val="21"/>
                      <w:szCs w:val="21"/>
                      <w:lang w:val="en-US" w:eastAsia="zh-CN" w:bidi="ar"/>
                    </w:rPr>
                    <w:t>产生</w:t>
                  </w:r>
                  <w:r>
                    <w:rPr>
                      <w:rFonts w:hint="eastAsia" w:ascii="Times New Roman" w:hAnsi="Times New Roman" w:eastAsia="宋体" w:cs="Times New Roman"/>
                      <w:color w:val="auto"/>
                      <w:kern w:val="0"/>
                      <w:sz w:val="21"/>
                      <w:szCs w:val="21"/>
                      <w:lang w:val="en-US" w:eastAsia="zh-CN" w:bidi="ar"/>
                    </w:rPr>
                    <w:t>速率kg/h</w:t>
                  </w:r>
                </w:p>
              </w:tc>
              <w:tc>
                <w:tcPr>
                  <w:tcW w:w="508" w:type="pct"/>
                  <w:tcBorders>
                    <w:tl2br w:val="nil"/>
                    <w:tr2bl w:val="nil"/>
                  </w:tcBorders>
                  <w:noWrap w:val="0"/>
                  <w:vAlign w:val="center"/>
                </w:tcPr>
                <w:p w14:paraId="4EEF7DC7">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bidi="ar"/>
                    </w:rPr>
                    <w:t>处理措施</w:t>
                  </w:r>
                </w:p>
              </w:tc>
              <w:tc>
                <w:tcPr>
                  <w:tcW w:w="370" w:type="pct"/>
                  <w:tcBorders>
                    <w:tl2br w:val="nil"/>
                    <w:tr2bl w:val="nil"/>
                  </w:tcBorders>
                  <w:noWrap w:val="0"/>
                  <w:vAlign w:val="center"/>
                </w:tcPr>
                <w:p w14:paraId="4D4FBF09">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处理效率</w:t>
                  </w:r>
                </w:p>
              </w:tc>
              <w:tc>
                <w:tcPr>
                  <w:tcW w:w="578" w:type="pct"/>
                  <w:tcBorders>
                    <w:tl2br w:val="nil"/>
                    <w:tr2bl w:val="nil"/>
                  </w:tcBorders>
                  <w:noWrap w:val="0"/>
                  <w:vAlign w:val="center"/>
                </w:tcPr>
                <w:p w14:paraId="2EAA903B">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排放量</w:t>
                  </w:r>
                </w:p>
                <w:p w14:paraId="59B8B1A6">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bidi="ar"/>
                    </w:rPr>
                    <w:t>t/a</w:t>
                  </w:r>
                </w:p>
              </w:tc>
              <w:tc>
                <w:tcPr>
                  <w:tcW w:w="647" w:type="pct"/>
                  <w:tcBorders>
                    <w:tl2br w:val="nil"/>
                    <w:tr2bl w:val="nil"/>
                  </w:tcBorders>
                  <w:noWrap w:val="0"/>
                  <w:vAlign w:val="center"/>
                </w:tcPr>
                <w:p w14:paraId="5C197C43">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bidi="ar"/>
                    </w:rPr>
                    <w:t>排放</w:t>
                  </w:r>
                  <w:r>
                    <w:rPr>
                      <w:rFonts w:hint="eastAsia" w:ascii="Times New Roman" w:hAnsi="Times New Roman" w:eastAsia="宋体" w:cs="Times New Roman"/>
                      <w:color w:val="auto"/>
                      <w:kern w:val="0"/>
                      <w:sz w:val="21"/>
                      <w:szCs w:val="21"/>
                      <w:lang w:val="en-US" w:eastAsia="zh-CN" w:bidi="ar"/>
                    </w:rPr>
                    <w:t>浓度</w:t>
                  </w:r>
                  <w:r>
                    <w:rPr>
                      <w:rFonts w:hint="default" w:ascii="Times New Roman" w:hAnsi="Times New Roman" w:eastAsia="宋体" w:cs="Times New Roman"/>
                      <w:color w:val="auto"/>
                      <w:kern w:val="0"/>
                      <w:sz w:val="21"/>
                      <w:szCs w:val="21"/>
                      <w:lang w:val="en-US" w:eastAsia="zh-CN" w:bidi="ar"/>
                    </w:rPr>
                    <w:t>mg/m</w:t>
                  </w:r>
                  <w:r>
                    <w:rPr>
                      <w:rFonts w:hint="default" w:ascii="Times New Roman" w:hAnsi="Times New Roman" w:eastAsia="宋体" w:cs="Times New Roman"/>
                      <w:color w:val="auto"/>
                      <w:kern w:val="0"/>
                      <w:sz w:val="21"/>
                      <w:szCs w:val="21"/>
                      <w:vertAlign w:val="superscript"/>
                      <w:lang w:val="en-US" w:eastAsia="zh-CN" w:bidi="ar"/>
                    </w:rPr>
                    <w:t>3</w:t>
                  </w:r>
                </w:p>
              </w:tc>
            </w:tr>
            <w:tr w14:paraId="523C8A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57" w:hRule="atLeast"/>
                <w:jc w:val="center"/>
              </w:trPr>
              <w:tc>
                <w:tcPr>
                  <w:tcW w:w="545" w:type="pct"/>
                  <w:tcBorders>
                    <w:tl2br w:val="nil"/>
                    <w:tr2bl w:val="nil"/>
                  </w:tcBorders>
                  <w:noWrap w:val="0"/>
                  <w:vAlign w:val="center"/>
                </w:tcPr>
                <w:p w14:paraId="2810AF62">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2"/>
                      <w:sz w:val="21"/>
                      <w:szCs w:val="21"/>
                      <w:lang w:val="en-US" w:eastAsia="zh-CN" w:bidi="ar"/>
                    </w:rPr>
                    <w:t>洗煤生产线筛分破碎车间</w:t>
                  </w:r>
                </w:p>
              </w:tc>
              <w:tc>
                <w:tcPr>
                  <w:tcW w:w="262" w:type="pct"/>
                  <w:tcBorders>
                    <w:tl2br w:val="nil"/>
                    <w:tr2bl w:val="nil"/>
                  </w:tcBorders>
                  <w:noWrap w:val="0"/>
                  <w:vAlign w:val="center"/>
                </w:tcPr>
                <w:p w14:paraId="010E0F91">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2"/>
                      <w:sz w:val="21"/>
                      <w:szCs w:val="21"/>
                      <w:lang w:val="en-US" w:eastAsia="zh-CN" w:bidi="ar"/>
                    </w:rPr>
                    <w:t>颗粒物</w:t>
                  </w:r>
                </w:p>
              </w:tc>
              <w:tc>
                <w:tcPr>
                  <w:tcW w:w="492" w:type="pct"/>
                  <w:tcBorders>
                    <w:tl2br w:val="nil"/>
                    <w:tr2bl w:val="nil"/>
                  </w:tcBorders>
                  <w:noWrap w:val="0"/>
                  <w:vAlign w:val="center"/>
                </w:tcPr>
                <w:p w14:paraId="0FCAEAFF">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color w:val="auto"/>
                      <w:lang w:val="en-US" w:eastAsia="zh-CN"/>
                    </w:rPr>
                    <w:t>0.72</w:t>
                  </w:r>
                </w:p>
              </w:tc>
              <w:tc>
                <w:tcPr>
                  <w:tcW w:w="447" w:type="pct"/>
                  <w:tcBorders>
                    <w:tl2br w:val="nil"/>
                    <w:tr2bl w:val="nil"/>
                  </w:tcBorders>
                  <w:noWrap w:val="0"/>
                  <w:vAlign w:val="center"/>
                </w:tcPr>
                <w:p w14:paraId="0229A1F8">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900</w:t>
                  </w:r>
                </w:p>
              </w:tc>
              <w:tc>
                <w:tcPr>
                  <w:tcW w:w="574" w:type="pct"/>
                  <w:tcBorders>
                    <w:tl2br w:val="nil"/>
                    <w:tr2bl w:val="nil"/>
                  </w:tcBorders>
                  <w:noWrap w:val="0"/>
                  <w:vAlign w:val="center"/>
                </w:tcPr>
                <w:p w14:paraId="40B43897">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color w:val="auto"/>
                      <w:kern w:val="2"/>
                      <w:sz w:val="21"/>
                      <w:szCs w:val="21"/>
                      <w:lang w:val="en-US" w:eastAsia="zh-CN" w:bidi="ar"/>
                    </w:rPr>
                  </w:pPr>
                  <w:r>
                    <w:rPr>
                      <w:rFonts w:hint="eastAsia" w:ascii="Times New Roman" w:hAnsi="Times New Roman" w:eastAsia="宋体" w:cs="Times New Roman"/>
                      <w:b w:val="0"/>
                      <w:color w:val="auto"/>
                      <w:kern w:val="2"/>
                      <w:sz w:val="21"/>
                      <w:szCs w:val="21"/>
                      <w:lang w:val="en-US" w:eastAsia="zh-CN" w:bidi="ar"/>
                    </w:rPr>
                    <w:t>有组织</w:t>
                  </w:r>
                </w:p>
              </w:tc>
              <w:tc>
                <w:tcPr>
                  <w:tcW w:w="574" w:type="pct"/>
                  <w:tcBorders>
                    <w:tl2br w:val="nil"/>
                    <w:tr2bl w:val="nil"/>
                  </w:tcBorders>
                  <w:noWrap w:val="0"/>
                  <w:vAlign w:val="center"/>
                </w:tcPr>
                <w:p w14:paraId="3D47C725">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lang w:val="en-US"/>
                    </w:rPr>
                  </w:pPr>
                  <w:r>
                    <w:rPr>
                      <w:rFonts w:hint="eastAsia" w:cs="Times New Roman"/>
                      <w:b w:val="0"/>
                      <w:color w:val="auto"/>
                      <w:kern w:val="2"/>
                      <w:sz w:val="21"/>
                      <w:szCs w:val="21"/>
                      <w:lang w:val="en-US" w:eastAsia="zh-CN" w:bidi="ar"/>
                    </w:rPr>
                    <w:t>187.5</w:t>
                  </w:r>
                </w:p>
              </w:tc>
              <w:tc>
                <w:tcPr>
                  <w:tcW w:w="508" w:type="pct"/>
                  <w:tcBorders>
                    <w:tl2br w:val="nil"/>
                    <w:tr2bl w:val="nil"/>
                  </w:tcBorders>
                  <w:noWrap w:val="0"/>
                  <w:vAlign w:val="center"/>
                </w:tcPr>
                <w:p w14:paraId="4F99BA4A">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bidi="ar"/>
                    </w:rPr>
                    <w:t>袋式除尘器</w:t>
                  </w:r>
                </w:p>
              </w:tc>
              <w:tc>
                <w:tcPr>
                  <w:tcW w:w="370" w:type="pct"/>
                  <w:tcBorders>
                    <w:tl2br w:val="nil"/>
                    <w:tr2bl w:val="nil"/>
                  </w:tcBorders>
                  <w:noWrap w:val="0"/>
                  <w:vAlign w:val="center"/>
                </w:tcPr>
                <w:p w14:paraId="7204BCE2">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99</w:t>
                  </w:r>
                </w:p>
              </w:tc>
              <w:tc>
                <w:tcPr>
                  <w:tcW w:w="578" w:type="pct"/>
                  <w:tcBorders>
                    <w:tl2br w:val="nil"/>
                    <w:tr2bl w:val="nil"/>
                  </w:tcBorders>
                  <w:noWrap w:val="0"/>
                  <w:vAlign w:val="center"/>
                </w:tcPr>
                <w:p w14:paraId="02A62282">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rPr>
                  </w:pPr>
                  <w:r>
                    <w:rPr>
                      <w:rFonts w:hint="eastAsia" w:cs="Times New Roman"/>
                      <w:color w:val="auto"/>
                      <w:kern w:val="0"/>
                      <w:sz w:val="21"/>
                      <w:szCs w:val="21"/>
                      <w:lang w:val="en-US" w:eastAsia="zh-CN" w:bidi="ar"/>
                    </w:rPr>
                    <w:t>8.1</w:t>
                  </w:r>
                </w:p>
              </w:tc>
              <w:tc>
                <w:tcPr>
                  <w:tcW w:w="647" w:type="pct"/>
                  <w:tcBorders>
                    <w:tl2br w:val="nil"/>
                    <w:tr2bl w:val="nil"/>
                  </w:tcBorders>
                  <w:noWrap w:val="0"/>
                  <w:vAlign w:val="center"/>
                </w:tcPr>
                <w:p w14:paraId="5FC35607">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lang w:val="en-US"/>
                    </w:rPr>
                  </w:pPr>
                  <w:r>
                    <w:rPr>
                      <w:rFonts w:hint="eastAsia" w:cs="Times New Roman"/>
                      <w:color w:val="auto"/>
                      <w:kern w:val="0"/>
                      <w:sz w:val="21"/>
                      <w:szCs w:val="21"/>
                      <w:lang w:val="en-US" w:eastAsia="zh-CN" w:bidi="ar"/>
                    </w:rPr>
                    <w:t>56.25</w:t>
                  </w:r>
                </w:p>
              </w:tc>
            </w:tr>
          </w:tbl>
          <w:p w14:paraId="29E0F346">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color w:val="auto"/>
                <w:sz w:val="24"/>
                <w:szCs w:val="24"/>
                <w:lang w:eastAsia="zh-TW"/>
              </w:rPr>
            </w:pPr>
            <w:r>
              <w:rPr>
                <w:rFonts w:hint="default" w:ascii="Times New Roman" w:hAnsi="Times New Roman" w:eastAsia="宋体" w:cs="Times New Roman"/>
                <w:color w:val="auto"/>
                <w:sz w:val="24"/>
                <w:szCs w:val="24"/>
                <w:lang w:eastAsia="zh-TW"/>
              </w:rPr>
              <w:t>（</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eastAsia="zh-TW"/>
              </w:rPr>
              <w:t>）汽车尾气</w:t>
            </w:r>
          </w:p>
          <w:p w14:paraId="020D6A32">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color w:val="auto"/>
                <w:sz w:val="24"/>
                <w:szCs w:val="24"/>
                <w:lang w:eastAsia="zh-TW"/>
              </w:rPr>
            </w:pPr>
            <w:r>
              <w:rPr>
                <w:rFonts w:hint="default" w:ascii="Times New Roman" w:hAnsi="Times New Roman" w:eastAsia="宋体" w:cs="Times New Roman"/>
                <w:color w:val="auto"/>
                <w:sz w:val="24"/>
                <w:szCs w:val="24"/>
                <w:lang w:eastAsia="zh-TW"/>
              </w:rPr>
              <w:t>运输车辆进出厂区均会在项目区内排放汽车尾气，在项目区区域内无组织排放。不会对区域环境产生明显的影响。加强车辆运输管理，控制厂区内车速</w:t>
            </w:r>
            <w:r>
              <w:rPr>
                <w:rFonts w:hint="eastAsia" w:cs="Times New Roman"/>
                <w:color w:val="auto"/>
                <w:sz w:val="24"/>
                <w:szCs w:val="24"/>
                <w:lang w:val="en-US" w:eastAsia="zh-CN"/>
              </w:rPr>
              <w:t>等</w:t>
            </w:r>
            <w:r>
              <w:rPr>
                <w:rFonts w:hint="default" w:ascii="Times New Roman" w:hAnsi="Times New Roman" w:eastAsia="宋体" w:cs="Times New Roman"/>
                <w:color w:val="auto"/>
                <w:sz w:val="24"/>
                <w:szCs w:val="24"/>
                <w:lang w:eastAsia="zh-TW"/>
              </w:rPr>
              <w:t>，可有效降低汽车尾气排放。</w:t>
            </w:r>
          </w:p>
          <w:p w14:paraId="7C43004B">
            <w:pPr>
              <w:keepNext w:val="0"/>
              <w:keepLines w:val="0"/>
              <w:pageBreakBefore w:val="0"/>
              <w:widowControl w:val="0"/>
              <w:numPr>
                <w:ilvl w:val="0"/>
                <w:numId w:val="14"/>
              </w:numPr>
              <w:kinsoku/>
              <w:wordWrap/>
              <w:overflowPunct/>
              <w:topLinePunct w:val="0"/>
              <w:autoSpaceDE/>
              <w:autoSpaceDN/>
              <w:bidi w:val="0"/>
              <w:adjustRightInd/>
              <w:snapToGrid/>
              <w:spacing w:line="520" w:lineRule="exact"/>
              <w:ind w:firstLine="480" w:firstLineChars="200"/>
              <w:textAlignment w:val="auto"/>
              <w:rPr>
                <w:rFonts w:hint="eastAsia" w:cs="Times New Roman"/>
                <w:color w:val="auto"/>
                <w:sz w:val="24"/>
                <w:szCs w:val="24"/>
                <w:lang w:val="en-US" w:eastAsia="zh-CN"/>
              </w:rPr>
            </w:pPr>
            <w:r>
              <w:rPr>
                <w:rFonts w:hint="eastAsia" w:cs="Times New Roman"/>
                <w:color w:val="auto"/>
                <w:sz w:val="24"/>
                <w:szCs w:val="24"/>
                <w:lang w:val="en-US" w:eastAsia="zh-CN"/>
              </w:rPr>
              <w:t>道路运输扬尘</w:t>
            </w:r>
          </w:p>
          <w:p w14:paraId="31D51153">
            <w:pPr>
              <w:snapToGrid w:val="0"/>
              <w:spacing w:line="520" w:lineRule="exact"/>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val="en-US" w:eastAsia="zh-CN"/>
              </w:rPr>
              <w:t>本</w:t>
            </w:r>
            <w:r>
              <w:rPr>
                <w:rFonts w:ascii="Times New Roman" w:hAnsi="Times New Roman" w:cs="Times New Roman"/>
                <w:color w:val="auto"/>
                <w:sz w:val="24"/>
                <w:szCs w:val="24"/>
                <w:highlight w:val="none"/>
              </w:rPr>
              <w:t>项目物料采用汽车运输，车辆行驶必然产生一定量的扬尘，在一定的气象条件下，扬尘量与路面平整度、湿度及车况有关，车辆行驶产生的扬尘量按下列经验公式计算：</w:t>
            </w:r>
          </w:p>
          <w:p w14:paraId="15885E1C">
            <w:pPr>
              <w:pStyle w:val="12"/>
              <w:keepNext w:val="0"/>
              <w:keepLines w:val="0"/>
              <w:pageBreakBefore w:val="0"/>
              <w:kinsoku/>
              <w:wordWrap/>
              <w:overflowPunct/>
              <w:topLinePunct w:val="0"/>
              <w:autoSpaceDE/>
              <w:autoSpaceDN/>
              <w:bidi w:val="0"/>
              <w:spacing w:line="520" w:lineRule="exact"/>
              <w:ind w:firstLine="0" w:firstLineChars="0"/>
              <w:jc w:val="center"/>
              <w:textAlignment w:val="auto"/>
              <w:rPr>
                <w:rFonts w:ascii="Times New Roman" w:hAnsi="Times New Roman" w:eastAsia="宋体" w:cs="Times New Roman"/>
                <w:color w:val="auto"/>
                <w:sz w:val="24"/>
                <w:szCs w:val="24"/>
                <w:highlight w:val="none"/>
              </w:rPr>
            </w:pPr>
            <w:r>
              <w:rPr>
                <w:rFonts w:ascii="Times New Roman" w:hAnsi="Times New Roman" w:eastAsia="TimesNewRomanPSMT" w:cs="Times New Roman"/>
                <w:color w:val="auto"/>
                <w:kern w:val="0"/>
                <w:sz w:val="24"/>
                <w:szCs w:val="24"/>
                <w:highlight w:val="none"/>
              </w:rPr>
              <w:t>Q</w:t>
            </w:r>
            <w:r>
              <w:rPr>
                <w:rFonts w:ascii="Times New Roman" w:hAnsi="Times New Roman" w:cs="Times New Roman"/>
                <w:color w:val="auto"/>
                <w:kern w:val="0"/>
                <w:sz w:val="24"/>
                <w:szCs w:val="24"/>
                <w:highlight w:val="none"/>
                <w:vertAlign w:val="subscript"/>
              </w:rPr>
              <w:t>y1</w:t>
            </w:r>
            <w:r>
              <w:rPr>
                <w:rFonts w:ascii="Times New Roman" w:hAnsi="Times New Roman" w:eastAsia="TimesNewRomanPSMT" w:cs="Times New Roman"/>
                <w:color w:val="auto"/>
                <w:kern w:val="0"/>
                <w:sz w:val="24"/>
                <w:szCs w:val="24"/>
                <w:highlight w:val="none"/>
              </w:rPr>
              <w:t>=0.123</w:t>
            </w:r>
            <w:r>
              <w:rPr>
                <w:rFonts w:ascii="Times New Roman" w:hAnsi="Times New Roman" w:cs="Times New Roman"/>
                <w:color w:val="auto"/>
                <w:kern w:val="0"/>
                <w:sz w:val="24"/>
                <w:szCs w:val="24"/>
                <w:highlight w:val="none"/>
              </w:rPr>
              <w:t>×</w:t>
            </w:r>
            <w:r>
              <w:rPr>
                <w:rFonts w:ascii="Times New Roman" w:hAnsi="Times New Roman" w:eastAsia="TimesNewRomanPSMT" w:cs="Times New Roman"/>
                <w:color w:val="auto"/>
                <w:kern w:val="0"/>
                <w:sz w:val="24"/>
                <w:szCs w:val="24"/>
                <w:highlight w:val="none"/>
              </w:rPr>
              <w:t>(V/5</w:t>
            </w:r>
            <w:r>
              <w:rPr>
                <w:rFonts w:hint="eastAsia" w:eastAsia="宋体" w:cs="Times New Roman"/>
                <w:color w:val="auto"/>
                <w:kern w:val="0"/>
                <w:sz w:val="24"/>
                <w:szCs w:val="24"/>
                <w:highlight w:val="none"/>
                <w:lang w:eastAsia="zh-CN"/>
              </w:rPr>
              <w:t>)</w:t>
            </w:r>
            <w:r>
              <w:rPr>
                <w:rFonts w:ascii="Times New Roman" w:hAnsi="Times New Roman" w:cs="Times New Roman"/>
                <w:color w:val="auto"/>
                <w:kern w:val="0"/>
                <w:sz w:val="24"/>
                <w:szCs w:val="24"/>
                <w:highlight w:val="none"/>
              </w:rPr>
              <w:t>×</w:t>
            </w:r>
            <w:r>
              <w:rPr>
                <w:rFonts w:ascii="Times New Roman" w:hAnsi="Times New Roman" w:eastAsia="TimesNewRomanPSMT" w:cs="Times New Roman"/>
                <w:color w:val="auto"/>
                <w:kern w:val="0"/>
                <w:sz w:val="24"/>
                <w:szCs w:val="24"/>
                <w:highlight w:val="none"/>
              </w:rPr>
              <w:t>(W/6.8</w:t>
            </w:r>
            <w:r>
              <w:rPr>
                <w:rFonts w:hint="eastAsia" w:eastAsia="宋体" w:cs="Times New Roman"/>
                <w:color w:val="auto"/>
                <w:kern w:val="0"/>
                <w:sz w:val="24"/>
                <w:szCs w:val="24"/>
                <w:highlight w:val="none"/>
                <w:lang w:eastAsia="zh-CN"/>
              </w:rPr>
              <w:t>)</w:t>
            </w:r>
            <w:r>
              <w:rPr>
                <w:rFonts w:ascii="Times New Roman" w:hAnsi="Times New Roman" w:eastAsia="TimesNewRomanPSMT" w:cs="Times New Roman"/>
                <w:color w:val="auto"/>
                <w:kern w:val="0"/>
                <w:sz w:val="24"/>
                <w:szCs w:val="24"/>
                <w:highlight w:val="none"/>
                <w:vertAlign w:val="superscript"/>
              </w:rPr>
              <w:t>0.85</w:t>
            </w:r>
            <w:r>
              <w:rPr>
                <w:rFonts w:ascii="Times New Roman" w:hAnsi="Times New Roman" w:cs="Times New Roman"/>
                <w:color w:val="auto"/>
                <w:kern w:val="0"/>
                <w:sz w:val="24"/>
                <w:szCs w:val="24"/>
                <w:highlight w:val="none"/>
              </w:rPr>
              <w:t>×</w:t>
            </w:r>
            <w:r>
              <w:rPr>
                <w:rFonts w:ascii="Times New Roman" w:hAnsi="Times New Roman" w:eastAsia="TimesNewRomanPSMT" w:cs="Times New Roman"/>
                <w:color w:val="auto"/>
                <w:kern w:val="0"/>
                <w:sz w:val="24"/>
                <w:szCs w:val="24"/>
                <w:highlight w:val="none"/>
              </w:rPr>
              <w:t>(P/0.5</w:t>
            </w:r>
            <w:r>
              <w:rPr>
                <w:rFonts w:hint="eastAsia" w:eastAsia="宋体" w:cs="Times New Roman"/>
                <w:color w:val="auto"/>
                <w:kern w:val="0"/>
                <w:sz w:val="24"/>
                <w:szCs w:val="24"/>
                <w:highlight w:val="none"/>
                <w:lang w:eastAsia="zh-CN"/>
              </w:rPr>
              <w:t>)</w:t>
            </w:r>
            <w:r>
              <w:rPr>
                <w:rFonts w:ascii="Times New Roman" w:hAnsi="Times New Roman" w:eastAsia="TimesNewRomanPSMT" w:cs="Times New Roman"/>
                <w:color w:val="auto"/>
                <w:kern w:val="0"/>
                <w:sz w:val="24"/>
                <w:szCs w:val="24"/>
                <w:highlight w:val="none"/>
                <w:vertAlign w:val="superscript"/>
              </w:rPr>
              <w:t>0</w:t>
            </w:r>
            <w:r>
              <w:rPr>
                <w:rFonts w:ascii="Times New Roman" w:hAnsi="Times New Roman" w:eastAsia="宋体" w:cs="Times New Roman"/>
                <w:color w:val="auto"/>
                <w:kern w:val="0"/>
                <w:sz w:val="24"/>
                <w:szCs w:val="24"/>
                <w:highlight w:val="none"/>
                <w:vertAlign w:val="superscript"/>
              </w:rPr>
              <w:t>.72</w:t>
            </w:r>
          </w:p>
          <w:p w14:paraId="5134DB4B">
            <w:pPr>
              <w:keepNext w:val="0"/>
              <w:keepLines w:val="0"/>
              <w:pageBreakBefore w:val="0"/>
              <w:widowControl/>
              <w:kinsoku/>
              <w:wordWrap/>
              <w:overflowPunct/>
              <w:topLinePunct w:val="0"/>
              <w:autoSpaceDE/>
              <w:autoSpaceDN/>
              <w:bidi w:val="0"/>
              <w:spacing w:line="520" w:lineRule="exact"/>
              <w:jc w:val="center"/>
              <w:textAlignment w:val="auto"/>
              <w:rPr>
                <w:rFonts w:ascii="Times New Roman" w:hAnsi="Times New Roman" w:cs="Times New Roman"/>
                <w:color w:val="auto"/>
                <w:sz w:val="24"/>
                <w:szCs w:val="24"/>
                <w:highlight w:val="none"/>
              </w:rPr>
            </w:pPr>
            <w:r>
              <w:rPr>
                <w:rFonts w:ascii="Times New Roman" w:hAnsi="Times New Roman" w:cs="Times New Roman"/>
                <w:color w:val="auto"/>
                <w:kern w:val="0"/>
                <w:sz w:val="24"/>
                <w:szCs w:val="24"/>
                <w:highlight w:val="none"/>
                <w:lang w:bidi="ar"/>
              </w:rPr>
              <w:t>Q</w:t>
            </w:r>
            <w:r>
              <w:rPr>
                <w:rFonts w:ascii="Times New Roman" w:hAnsi="Times New Roman" w:cs="Times New Roman"/>
                <w:color w:val="auto"/>
                <w:kern w:val="0"/>
                <w:sz w:val="24"/>
                <w:szCs w:val="24"/>
                <w:highlight w:val="none"/>
                <w:vertAlign w:val="subscript"/>
              </w:rPr>
              <w:t>y</w:t>
            </w:r>
            <w:r>
              <w:rPr>
                <w:rFonts w:ascii="Times New Roman" w:hAnsi="Times New Roman" w:cs="Times New Roman"/>
                <w:color w:val="auto"/>
                <w:kern w:val="0"/>
                <w:sz w:val="24"/>
                <w:szCs w:val="24"/>
                <w:highlight w:val="none"/>
                <w:lang w:bidi="ar"/>
              </w:rPr>
              <w:t>=Q</w:t>
            </w:r>
            <w:r>
              <w:rPr>
                <w:rFonts w:ascii="Times New Roman" w:hAnsi="Times New Roman" w:cs="Times New Roman"/>
                <w:color w:val="auto"/>
                <w:kern w:val="0"/>
                <w:sz w:val="24"/>
                <w:szCs w:val="24"/>
                <w:highlight w:val="none"/>
                <w:vertAlign w:val="subscript"/>
              </w:rPr>
              <w:t>y1</w:t>
            </w:r>
            <w:r>
              <w:rPr>
                <w:rFonts w:ascii="Times New Roman" w:hAnsi="Times New Roman" w:cs="Times New Roman"/>
                <w:color w:val="auto"/>
                <w:kern w:val="0"/>
                <w:sz w:val="24"/>
                <w:szCs w:val="24"/>
                <w:highlight w:val="none"/>
                <w:lang w:bidi="ar"/>
              </w:rPr>
              <w:t>×L×Q/W</w:t>
            </w:r>
          </w:p>
          <w:p w14:paraId="5D8D8B72">
            <w:pPr>
              <w:pStyle w:val="12"/>
              <w:keepNext w:val="0"/>
              <w:keepLines w:val="0"/>
              <w:pageBreakBefore w:val="0"/>
              <w:widowControl w:val="0"/>
              <w:kinsoku/>
              <w:wordWrap/>
              <w:overflowPunct/>
              <w:topLinePunct w:val="0"/>
              <w:autoSpaceDE/>
              <w:autoSpaceDN/>
              <w:bidi w:val="0"/>
              <w:spacing w:after="0" w:line="520" w:lineRule="exact"/>
              <w:ind w:left="0" w:leftChars="0" w:firstLine="480"/>
              <w:textAlignment w:val="auto"/>
              <w:rPr>
                <w:rFonts w:ascii="Times New Roman" w:hAnsi="Times New Roman" w:cs="Times New Roman"/>
                <w:color w:val="auto"/>
                <w:kern w:val="0"/>
                <w:sz w:val="24"/>
                <w:szCs w:val="24"/>
                <w:highlight w:val="none"/>
              </w:rPr>
            </w:pPr>
            <w:r>
              <w:rPr>
                <w:rFonts w:ascii="Times New Roman" w:hAnsi="Times New Roman" w:cs="Times New Roman"/>
                <w:color w:val="auto"/>
                <w:sz w:val="24"/>
                <w:szCs w:val="24"/>
                <w:highlight w:val="none"/>
              </w:rPr>
              <w:t>式中：</w:t>
            </w:r>
            <w:r>
              <w:rPr>
                <w:rFonts w:ascii="Times New Roman" w:hAnsi="Times New Roman" w:cs="Times New Roman"/>
                <w:color w:val="auto"/>
                <w:kern w:val="0"/>
                <w:sz w:val="24"/>
                <w:szCs w:val="24"/>
                <w:highlight w:val="none"/>
              </w:rPr>
              <w:t>Q</w:t>
            </w:r>
            <w:r>
              <w:rPr>
                <w:rFonts w:ascii="Times New Roman" w:hAnsi="Times New Roman" w:cs="Times New Roman"/>
                <w:color w:val="auto"/>
                <w:kern w:val="0"/>
                <w:sz w:val="24"/>
                <w:szCs w:val="24"/>
                <w:highlight w:val="none"/>
                <w:vertAlign w:val="subscript"/>
              </w:rPr>
              <w:t>y1</w:t>
            </w:r>
            <w:r>
              <w:rPr>
                <w:rFonts w:ascii="Times New Roman" w:hAnsi="Times New Roman" w:cs="Times New Roman"/>
                <w:color w:val="auto"/>
                <w:kern w:val="0"/>
                <w:sz w:val="24"/>
                <w:szCs w:val="24"/>
                <w:highlight w:val="none"/>
              </w:rPr>
              <w:t>—每辆运输车辆起尘量，kg/km·辆；</w:t>
            </w:r>
          </w:p>
          <w:p w14:paraId="688605A9">
            <w:pPr>
              <w:pStyle w:val="12"/>
              <w:keepNext w:val="0"/>
              <w:keepLines w:val="0"/>
              <w:pageBreakBefore w:val="0"/>
              <w:widowControl w:val="0"/>
              <w:kinsoku/>
              <w:wordWrap/>
              <w:overflowPunct/>
              <w:topLinePunct w:val="0"/>
              <w:autoSpaceDE/>
              <w:autoSpaceDN/>
              <w:bidi w:val="0"/>
              <w:spacing w:after="0" w:line="520" w:lineRule="exact"/>
              <w:ind w:left="0" w:leftChars="0" w:firstLine="1200" w:firstLineChars="500"/>
              <w:textAlignment w:val="auto"/>
              <w:rPr>
                <w:rFonts w:ascii="Times New Roman" w:hAnsi="Times New Roman" w:cs="Times New Roman"/>
                <w:color w:val="auto"/>
                <w:kern w:val="0"/>
                <w:sz w:val="24"/>
                <w:szCs w:val="24"/>
                <w:highlight w:val="none"/>
              </w:rPr>
            </w:pPr>
            <w:r>
              <w:rPr>
                <w:rFonts w:ascii="Times New Roman" w:hAnsi="Times New Roman" w:cs="Times New Roman"/>
                <w:color w:val="auto"/>
                <w:kern w:val="0"/>
                <w:sz w:val="24"/>
                <w:szCs w:val="24"/>
                <w:highlight w:val="none"/>
              </w:rPr>
              <w:t>V—车辆行驶速度，km/h；</w:t>
            </w:r>
          </w:p>
          <w:p w14:paraId="22205A66">
            <w:pPr>
              <w:pStyle w:val="12"/>
              <w:keepNext w:val="0"/>
              <w:keepLines w:val="0"/>
              <w:pageBreakBefore w:val="0"/>
              <w:widowControl w:val="0"/>
              <w:kinsoku/>
              <w:wordWrap/>
              <w:overflowPunct/>
              <w:topLinePunct w:val="0"/>
              <w:autoSpaceDE/>
              <w:autoSpaceDN/>
              <w:bidi w:val="0"/>
              <w:spacing w:after="0" w:line="520" w:lineRule="exact"/>
              <w:ind w:left="0" w:leftChars="0" w:firstLine="1200" w:firstLineChars="500"/>
              <w:textAlignment w:val="auto"/>
              <w:rPr>
                <w:rFonts w:ascii="Times New Roman" w:hAnsi="Times New Roman" w:cs="Times New Roman"/>
                <w:color w:val="auto"/>
                <w:kern w:val="0"/>
                <w:sz w:val="24"/>
                <w:szCs w:val="24"/>
                <w:highlight w:val="none"/>
              </w:rPr>
            </w:pPr>
            <w:r>
              <w:rPr>
                <w:rFonts w:ascii="Times New Roman" w:hAnsi="Times New Roman" w:cs="Times New Roman"/>
                <w:color w:val="auto"/>
                <w:kern w:val="0"/>
                <w:sz w:val="24"/>
                <w:szCs w:val="24"/>
                <w:highlight w:val="none"/>
              </w:rPr>
              <w:t>W—汽车载重量，t/辆</w:t>
            </w:r>
            <w:r>
              <w:rPr>
                <w:rFonts w:hint="eastAsia" w:cs="Times New Roman"/>
                <w:color w:val="auto"/>
                <w:kern w:val="0"/>
                <w:sz w:val="24"/>
                <w:szCs w:val="24"/>
                <w:highlight w:val="none"/>
                <w:lang w:eastAsia="zh-CN"/>
              </w:rPr>
              <w:t>，</w:t>
            </w:r>
            <w:r>
              <w:rPr>
                <w:rFonts w:hint="eastAsia" w:cs="Times New Roman"/>
                <w:color w:val="auto"/>
                <w:kern w:val="0"/>
                <w:sz w:val="24"/>
                <w:szCs w:val="24"/>
                <w:highlight w:val="none"/>
                <w:lang w:val="en-US" w:eastAsia="zh-CN"/>
              </w:rPr>
              <w:t>本项目汽车载重为30t/辆</w:t>
            </w:r>
            <w:r>
              <w:rPr>
                <w:rFonts w:ascii="Times New Roman" w:hAnsi="Times New Roman" w:cs="Times New Roman"/>
                <w:color w:val="auto"/>
                <w:kern w:val="0"/>
                <w:sz w:val="24"/>
                <w:szCs w:val="24"/>
                <w:highlight w:val="none"/>
              </w:rPr>
              <w:t>；</w:t>
            </w:r>
          </w:p>
          <w:p w14:paraId="52A8416B">
            <w:pPr>
              <w:pStyle w:val="12"/>
              <w:keepNext w:val="0"/>
              <w:keepLines w:val="0"/>
              <w:pageBreakBefore w:val="0"/>
              <w:widowControl w:val="0"/>
              <w:kinsoku/>
              <w:wordWrap/>
              <w:overflowPunct/>
              <w:topLinePunct w:val="0"/>
              <w:autoSpaceDE/>
              <w:autoSpaceDN/>
              <w:bidi w:val="0"/>
              <w:spacing w:after="0" w:line="520" w:lineRule="exact"/>
              <w:ind w:left="0" w:leftChars="0" w:firstLine="1200" w:firstLineChars="500"/>
              <w:textAlignment w:val="auto"/>
              <w:rPr>
                <w:rFonts w:ascii="Times New Roman" w:hAnsi="Times New Roman" w:cs="Times New Roman"/>
                <w:color w:val="auto"/>
                <w:kern w:val="0"/>
                <w:sz w:val="24"/>
                <w:szCs w:val="24"/>
                <w:highlight w:val="none"/>
              </w:rPr>
            </w:pPr>
            <w:r>
              <w:rPr>
                <w:rFonts w:ascii="Times New Roman" w:hAnsi="Times New Roman" w:cs="Times New Roman"/>
                <w:color w:val="auto"/>
                <w:kern w:val="0"/>
                <w:sz w:val="24"/>
                <w:szCs w:val="24"/>
                <w:highlight w:val="none"/>
              </w:rPr>
              <w:t>P—路面状况，以每平</w:t>
            </w:r>
            <w:r>
              <w:rPr>
                <w:rFonts w:hint="eastAsia" w:cs="Times New Roman"/>
                <w:color w:val="auto"/>
                <w:kern w:val="0"/>
                <w:sz w:val="24"/>
                <w:szCs w:val="24"/>
                <w:highlight w:val="none"/>
                <w:lang w:eastAsia="zh-CN"/>
              </w:rPr>
              <w:t>m</w:t>
            </w:r>
            <w:r>
              <w:rPr>
                <w:rFonts w:ascii="Times New Roman" w:hAnsi="Times New Roman" w:cs="Times New Roman"/>
                <w:color w:val="auto"/>
                <w:kern w:val="0"/>
                <w:sz w:val="24"/>
                <w:szCs w:val="24"/>
                <w:highlight w:val="none"/>
              </w:rPr>
              <w:t>路面灰尘覆盖率表示，kg/m</w:t>
            </w:r>
            <w:r>
              <w:rPr>
                <w:rFonts w:ascii="Times New Roman" w:hAnsi="Times New Roman" w:cs="Times New Roman"/>
                <w:color w:val="auto"/>
                <w:kern w:val="0"/>
                <w:sz w:val="24"/>
                <w:szCs w:val="24"/>
                <w:highlight w:val="none"/>
                <w:vertAlign w:val="superscript"/>
              </w:rPr>
              <w:t>2</w:t>
            </w:r>
            <w:r>
              <w:rPr>
                <w:rFonts w:ascii="Times New Roman" w:hAnsi="Times New Roman" w:cs="Times New Roman"/>
                <w:color w:val="auto"/>
                <w:kern w:val="0"/>
                <w:sz w:val="24"/>
                <w:szCs w:val="24"/>
                <w:highlight w:val="none"/>
              </w:rPr>
              <w:t>；</w:t>
            </w:r>
          </w:p>
          <w:p w14:paraId="56899E60">
            <w:pPr>
              <w:pStyle w:val="12"/>
              <w:keepNext w:val="0"/>
              <w:keepLines w:val="0"/>
              <w:pageBreakBefore w:val="0"/>
              <w:widowControl w:val="0"/>
              <w:kinsoku/>
              <w:wordWrap/>
              <w:overflowPunct/>
              <w:topLinePunct w:val="0"/>
              <w:autoSpaceDE/>
              <w:autoSpaceDN/>
              <w:bidi w:val="0"/>
              <w:spacing w:after="0" w:line="520" w:lineRule="exact"/>
              <w:ind w:left="0" w:leftChars="0" w:firstLine="1200" w:firstLineChars="500"/>
              <w:textAlignment w:val="auto"/>
              <w:rPr>
                <w:rFonts w:ascii="Times New Roman" w:hAnsi="Times New Roman" w:cs="Times New Roman"/>
                <w:color w:val="auto"/>
                <w:kern w:val="0"/>
                <w:sz w:val="24"/>
                <w:szCs w:val="24"/>
                <w:highlight w:val="none"/>
              </w:rPr>
            </w:pPr>
            <w:r>
              <w:rPr>
                <w:rFonts w:ascii="Times New Roman" w:hAnsi="Times New Roman" w:cs="Times New Roman"/>
                <w:color w:val="auto"/>
                <w:kern w:val="0"/>
                <w:sz w:val="24"/>
                <w:szCs w:val="24"/>
                <w:highlight w:val="none"/>
              </w:rPr>
              <w:t>Q</w:t>
            </w:r>
            <w:r>
              <w:rPr>
                <w:rFonts w:ascii="Times New Roman" w:hAnsi="Times New Roman" w:cs="Times New Roman"/>
                <w:color w:val="auto"/>
                <w:kern w:val="0"/>
                <w:sz w:val="24"/>
                <w:szCs w:val="24"/>
                <w:highlight w:val="none"/>
                <w:vertAlign w:val="subscript"/>
              </w:rPr>
              <w:t>y</w:t>
            </w:r>
            <w:r>
              <w:rPr>
                <w:rFonts w:ascii="Times New Roman" w:hAnsi="Times New Roman" w:cs="Times New Roman"/>
                <w:color w:val="auto"/>
                <w:kern w:val="0"/>
                <w:sz w:val="24"/>
                <w:szCs w:val="24"/>
                <w:highlight w:val="none"/>
              </w:rPr>
              <w:t>—交通运输起尘量，kg/a；</w:t>
            </w:r>
          </w:p>
          <w:p w14:paraId="7BAA6AAB">
            <w:pPr>
              <w:pStyle w:val="12"/>
              <w:keepNext w:val="0"/>
              <w:keepLines w:val="0"/>
              <w:pageBreakBefore w:val="0"/>
              <w:widowControl w:val="0"/>
              <w:kinsoku/>
              <w:wordWrap/>
              <w:overflowPunct/>
              <w:topLinePunct w:val="0"/>
              <w:autoSpaceDE/>
              <w:autoSpaceDN/>
              <w:bidi w:val="0"/>
              <w:spacing w:after="0" w:line="520" w:lineRule="exact"/>
              <w:ind w:left="0" w:leftChars="0" w:firstLine="1200" w:firstLineChars="500"/>
              <w:textAlignment w:val="auto"/>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L—运距，km；</w:t>
            </w:r>
          </w:p>
          <w:p w14:paraId="3C73F2AA">
            <w:pPr>
              <w:pStyle w:val="12"/>
              <w:keepNext w:val="0"/>
              <w:keepLines w:val="0"/>
              <w:pageBreakBefore w:val="0"/>
              <w:widowControl w:val="0"/>
              <w:kinsoku/>
              <w:wordWrap/>
              <w:overflowPunct/>
              <w:topLinePunct w:val="0"/>
              <w:autoSpaceDE/>
              <w:autoSpaceDN/>
              <w:bidi w:val="0"/>
              <w:spacing w:after="0" w:line="520" w:lineRule="exact"/>
              <w:ind w:left="0" w:leftChars="0" w:firstLine="1200" w:firstLineChars="500"/>
              <w:textAlignment w:val="auto"/>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Q—运输量，t。</w:t>
            </w:r>
          </w:p>
          <w:p w14:paraId="12985573">
            <w:pPr>
              <w:keepNext w:val="0"/>
              <w:keepLines w:val="0"/>
              <w:pageBreakBefore w:val="0"/>
              <w:widowControl w:val="0"/>
              <w:kinsoku/>
              <w:wordWrap/>
              <w:overflowPunct/>
              <w:topLinePunct w:val="0"/>
              <w:autoSpaceDE/>
              <w:autoSpaceDN/>
              <w:bidi w:val="0"/>
              <w:snapToGrid w:val="0"/>
              <w:spacing w:line="520" w:lineRule="exact"/>
              <w:ind w:left="0" w:leftChars="0" w:firstLine="480" w:firstLineChars="200"/>
              <w:textAlignment w:val="auto"/>
              <w:rPr>
                <w:rFonts w:hint="default" w:cs="Times New Roman"/>
                <w:color w:val="auto"/>
                <w:sz w:val="24"/>
                <w:szCs w:val="24"/>
                <w:lang w:val="en-US" w:eastAsia="zh-CN"/>
              </w:rPr>
            </w:pPr>
            <w:r>
              <w:rPr>
                <w:rFonts w:ascii="Times New Roman" w:hAnsi="Times New Roman" w:cs="Times New Roman"/>
                <w:color w:val="auto"/>
                <w:sz w:val="24"/>
                <w:szCs w:val="24"/>
                <w:highlight w:val="none"/>
              </w:rPr>
              <w:t>本次环评计算以不洒水时地面清洁程度P=0.1</w:t>
            </w:r>
            <w:r>
              <w:rPr>
                <w:rFonts w:hint="eastAsia" w:ascii="Times New Roman" w:hAnsi="Times New Roman" w:cs="Times New Roman"/>
                <w:color w:val="auto"/>
                <w:sz w:val="24"/>
                <w:szCs w:val="24"/>
                <w:highlight w:val="none"/>
                <w:lang w:val="en-US" w:eastAsia="zh-CN"/>
              </w:rPr>
              <w:t>2</w:t>
            </w:r>
            <w:r>
              <w:rPr>
                <w:rFonts w:ascii="Times New Roman" w:hAnsi="Times New Roman" w:cs="Times New Roman"/>
                <w:color w:val="auto"/>
                <w:sz w:val="24"/>
                <w:szCs w:val="24"/>
                <w:highlight w:val="none"/>
              </w:rPr>
              <w:t>kg/m</w:t>
            </w:r>
            <w:r>
              <w:rPr>
                <w:rFonts w:ascii="Times New Roman" w:hAnsi="Times New Roman" w:cs="Times New Roman"/>
                <w:color w:val="auto"/>
                <w:sz w:val="24"/>
                <w:szCs w:val="24"/>
                <w:highlight w:val="none"/>
                <w:vertAlign w:val="superscript"/>
              </w:rPr>
              <w:t>2</w:t>
            </w:r>
            <w:r>
              <w:rPr>
                <w:rFonts w:ascii="Times New Roman" w:hAnsi="Times New Roman" w:cs="Times New Roman"/>
                <w:color w:val="auto"/>
                <w:sz w:val="24"/>
                <w:szCs w:val="24"/>
                <w:highlight w:val="none"/>
              </w:rPr>
              <w:t>计，车辆在厂区行驶距离按</w:t>
            </w:r>
            <w:r>
              <w:rPr>
                <w:rFonts w:hint="eastAsia" w:ascii="Times New Roman" w:hAnsi="Times New Roman" w:cs="Times New Roman"/>
                <w:color w:val="auto"/>
                <w:sz w:val="24"/>
                <w:szCs w:val="24"/>
                <w:highlight w:val="none"/>
                <w:lang w:val="en-US" w:eastAsia="zh-CN"/>
              </w:rPr>
              <w:t>200</w:t>
            </w:r>
            <w:r>
              <w:rPr>
                <w:rFonts w:ascii="Times New Roman" w:hAnsi="Times New Roman" w:cs="Times New Roman"/>
                <w:color w:val="auto"/>
                <w:sz w:val="24"/>
                <w:szCs w:val="24"/>
                <w:highlight w:val="none"/>
              </w:rPr>
              <w:t>m计，行驶速度以</w:t>
            </w:r>
            <w:r>
              <w:rPr>
                <w:rFonts w:hint="eastAsia" w:cs="Times New Roman"/>
                <w:color w:val="auto"/>
                <w:sz w:val="24"/>
                <w:szCs w:val="24"/>
                <w:highlight w:val="none"/>
                <w:lang w:val="en-US" w:eastAsia="zh-CN"/>
              </w:rPr>
              <w:t>15</w:t>
            </w:r>
            <w:r>
              <w:rPr>
                <w:rFonts w:ascii="Times New Roman" w:hAnsi="Times New Roman" w:cs="Times New Roman"/>
                <w:color w:val="auto"/>
                <w:sz w:val="24"/>
                <w:szCs w:val="24"/>
                <w:highlight w:val="none"/>
              </w:rPr>
              <w:t>km/h计</w:t>
            </w:r>
            <w:r>
              <w:rPr>
                <w:rFonts w:hint="eastAsia" w:ascii="Times New Roman" w:hAnsi="Times New Roman" w:cs="Times New Roman"/>
                <w:color w:val="auto"/>
                <w:sz w:val="24"/>
                <w:szCs w:val="24"/>
                <w:highlight w:val="none"/>
                <w:lang w:eastAsia="zh-CN"/>
              </w:rPr>
              <w:t>，</w:t>
            </w:r>
            <w:r>
              <w:rPr>
                <w:rFonts w:ascii="Times New Roman" w:hAnsi="Times New Roman" w:cs="Times New Roman"/>
                <w:color w:val="auto"/>
                <w:sz w:val="24"/>
                <w:szCs w:val="24"/>
                <w:highlight w:val="none"/>
              </w:rPr>
              <w:t>则</w:t>
            </w:r>
            <w:r>
              <w:rPr>
                <w:rFonts w:hint="eastAsia" w:cs="Times New Roman"/>
                <w:color w:val="auto"/>
                <w:sz w:val="24"/>
                <w:szCs w:val="24"/>
                <w:highlight w:val="none"/>
                <w:lang w:val="en-US" w:eastAsia="zh-CN"/>
              </w:rPr>
              <w:t>车辆</w:t>
            </w:r>
            <w:r>
              <w:rPr>
                <w:rFonts w:ascii="Times New Roman" w:hAnsi="Times New Roman" w:cs="Times New Roman"/>
                <w:color w:val="auto"/>
                <w:sz w:val="24"/>
                <w:szCs w:val="24"/>
                <w:highlight w:val="none"/>
              </w:rPr>
              <w:t>起尘量为</w:t>
            </w:r>
            <w:r>
              <w:rPr>
                <w:rFonts w:hint="eastAsia" w:cs="Times New Roman"/>
                <w:color w:val="auto"/>
                <w:sz w:val="24"/>
                <w:szCs w:val="24"/>
                <w:highlight w:val="none"/>
                <w:lang w:val="en-US" w:eastAsia="zh-CN"/>
              </w:rPr>
              <w:t>3.73</w:t>
            </w:r>
            <w:r>
              <w:rPr>
                <w:rFonts w:ascii="Times New Roman" w:hAnsi="Times New Roman" w:cs="Times New Roman"/>
                <w:color w:val="auto"/>
                <w:sz w:val="24"/>
                <w:szCs w:val="24"/>
                <w:highlight w:val="none"/>
              </w:rPr>
              <w:t>t/a。汽车行驶时产生的扬尘污染对道路两侧2</w:t>
            </w:r>
            <w:r>
              <w:rPr>
                <w:rFonts w:hint="eastAsia" w:cs="Times New Roman"/>
                <w:color w:val="auto"/>
                <w:sz w:val="24"/>
                <w:szCs w:val="24"/>
                <w:highlight w:val="none"/>
                <w:lang w:eastAsia="zh-CN"/>
              </w:rPr>
              <w:t>～</w:t>
            </w:r>
            <w:r>
              <w:rPr>
                <w:rFonts w:ascii="Times New Roman" w:hAnsi="Times New Roman" w:cs="Times New Roman"/>
                <w:color w:val="auto"/>
                <w:sz w:val="24"/>
                <w:szCs w:val="24"/>
                <w:highlight w:val="none"/>
              </w:rPr>
              <w:t>30m范围内的影响较大，可能造成道路扬尘、污染道路两侧的环境。为了减少对周边大气环境的影响，环评建议采取的措施为：加强对车辆的管理，限定转运车辆在厂内的行驶速度，车辆运输过程加苫盖。同时进场道路须全部硬化，对车辆行驶的路面实施洒水抑尘。项目设专人对厂区道路路面洒水控尘，采取以上措施后，控尘效率约为80%，厂区道路扬尘无组织排放量为</w:t>
            </w:r>
            <w:r>
              <w:rPr>
                <w:rFonts w:hint="eastAsia" w:cs="Times New Roman"/>
                <w:color w:val="auto"/>
                <w:sz w:val="24"/>
                <w:szCs w:val="24"/>
                <w:highlight w:val="none"/>
                <w:lang w:val="en-US" w:eastAsia="zh-CN"/>
              </w:rPr>
              <w:t>0.746</w:t>
            </w:r>
            <w:r>
              <w:rPr>
                <w:rFonts w:ascii="Times New Roman" w:hAnsi="Times New Roman" w:cs="Times New Roman"/>
                <w:color w:val="auto"/>
                <w:sz w:val="24"/>
                <w:szCs w:val="24"/>
                <w:highlight w:val="none"/>
              </w:rPr>
              <w:t>t/a。</w:t>
            </w:r>
          </w:p>
          <w:p w14:paraId="24E95DD8">
            <w:pPr>
              <w:keepNext w:val="0"/>
              <w:keepLines w:val="0"/>
              <w:pageBreakBefore w:val="0"/>
              <w:widowControl w:val="0"/>
              <w:numPr>
                <w:ilvl w:val="0"/>
                <w:numId w:val="14"/>
              </w:numPr>
              <w:kinsoku/>
              <w:wordWrap/>
              <w:overflowPunct/>
              <w:topLinePunct w:val="0"/>
              <w:autoSpaceDE/>
              <w:autoSpaceDN/>
              <w:bidi w:val="0"/>
              <w:adjustRightInd/>
              <w:snapToGrid/>
              <w:spacing w:line="520" w:lineRule="exact"/>
              <w:ind w:left="0" w:leftChars="0" w:firstLine="480" w:firstLineChars="200"/>
              <w:textAlignment w:val="auto"/>
              <w:rPr>
                <w:rFonts w:hint="eastAsia" w:cs="Times New Roman"/>
                <w:color w:val="auto"/>
                <w:sz w:val="24"/>
                <w:szCs w:val="24"/>
                <w:lang w:val="en-US" w:eastAsia="zh-CN"/>
              </w:rPr>
            </w:pPr>
            <w:r>
              <w:rPr>
                <w:rFonts w:hint="eastAsia" w:cs="Times New Roman"/>
                <w:color w:val="auto"/>
                <w:sz w:val="24"/>
                <w:szCs w:val="24"/>
                <w:lang w:val="en-US" w:eastAsia="zh-CN"/>
              </w:rPr>
              <w:t>产品堆存粉尘</w:t>
            </w:r>
          </w:p>
          <w:p w14:paraId="44B5F657">
            <w:pPr>
              <w:keepNext w:val="0"/>
              <w:keepLines w:val="0"/>
              <w:pageBreakBefore w:val="0"/>
              <w:widowControl w:val="0"/>
              <w:kinsoku/>
              <w:wordWrap/>
              <w:overflowPunct/>
              <w:topLinePunct w:val="0"/>
              <w:autoSpaceDE/>
              <w:autoSpaceDN/>
              <w:bidi w:val="0"/>
              <w:snapToGrid w:val="0"/>
              <w:spacing w:line="520" w:lineRule="exact"/>
              <w:ind w:left="0" w:lef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洗煤产出的精煤、中煤、矸石、煤泥均存放于封闭式产品储棚内，产品储棚内周转周期为3-4天，且由于产品含水率较高，故产品储棚内产生的粉尘量很小可忽略不计，对环境影响较小。</w:t>
            </w:r>
          </w:p>
          <w:p w14:paraId="481BE9FA">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w:t>
            </w:r>
            <w:r>
              <w:rPr>
                <w:rFonts w:hint="eastAsia" w:cs="Times New Roman"/>
                <w:color w:val="auto"/>
                <w:sz w:val="24"/>
                <w:szCs w:val="24"/>
                <w:lang w:val="en-US" w:eastAsia="zh-CN"/>
              </w:rPr>
              <w:t>5</w:t>
            </w:r>
            <w:r>
              <w:rPr>
                <w:rFonts w:hint="eastAsia" w:cs="Times New Roman"/>
                <w:color w:val="auto"/>
                <w:sz w:val="24"/>
                <w:szCs w:val="24"/>
                <w:lang w:eastAsia="zh-CN"/>
              </w:rPr>
              <w:t>）</w:t>
            </w:r>
            <w:r>
              <w:rPr>
                <w:rFonts w:hint="eastAsia" w:eastAsia="宋体" w:cs="Times New Roman"/>
                <w:color w:val="auto"/>
                <w:sz w:val="24"/>
                <w:szCs w:val="24"/>
                <w:lang w:eastAsia="zh-CN"/>
              </w:rPr>
              <w:t>餐饮油烟</w:t>
            </w:r>
          </w:p>
          <w:p w14:paraId="48B43C63">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Cs/>
                <w:color w:val="auto"/>
                <w:kern w:val="0"/>
                <w:sz w:val="24"/>
                <w:szCs w:val="24"/>
                <w:lang w:val="zh-CN" w:eastAsia="zh-CN"/>
              </w:rPr>
            </w:pPr>
            <w:r>
              <w:rPr>
                <w:rFonts w:hint="default" w:ascii="Times New Roman" w:hAnsi="Times New Roman" w:eastAsia="宋体" w:cs="Times New Roman"/>
                <w:b w:val="0"/>
                <w:bCs/>
                <w:color w:val="auto"/>
                <w:kern w:val="0"/>
                <w:sz w:val="24"/>
                <w:szCs w:val="24"/>
                <w:lang w:val="zh-CN" w:eastAsia="zh-CN" w:bidi="ar-SA"/>
              </w:rPr>
              <w:t>本</w:t>
            </w:r>
            <w:r>
              <w:rPr>
                <w:rFonts w:hint="default" w:ascii="Times New Roman" w:hAnsi="Times New Roman" w:eastAsia="宋体" w:cs="Times New Roman"/>
                <w:bCs/>
                <w:color w:val="auto"/>
                <w:kern w:val="0"/>
                <w:sz w:val="24"/>
                <w:szCs w:val="24"/>
                <w:lang w:val="zh-CN" w:eastAsia="zh-CN"/>
              </w:rPr>
              <w:t>项目厂区内设有职工餐厅，运营期会产生少量厨房油烟，油烟具有瞬时排放量大、排放点集中等特点。本项目职工食堂，主要供应</w:t>
            </w:r>
            <w:r>
              <w:rPr>
                <w:rFonts w:hint="eastAsia" w:ascii="Times New Roman" w:hAnsi="Times New Roman" w:eastAsia="宋体" w:cs="Times New Roman"/>
                <w:bCs/>
                <w:color w:val="auto"/>
                <w:kern w:val="0"/>
                <w:sz w:val="24"/>
                <w:szCs w:val="24"/>
                <w:lang w:val="en-US" w:eastAsia="zh-CN"/>
              </w:rPr>
              <w:t>20</w:t>
            </w:r>
            <w:r>
              <w:rPr>
                <w:rFonts w:hint="default" w:ascii="Times New Roman" w:hAnsi="Times New Roman" w:eastAsia="宋体" w:cs="Times New Roman"/>
                <w:bCs/>
                <w:color w:val="auto"/>
                <w:kern w:val="0"/>
                <w:sz w:val="24"/>
                <w:szCs w:val="24"/>
                <w:lang w:val="zh-CN" w:eastAsia="zh-CN"/>
              </w:rPr>
              <w:t>名员工用餐，作为工程的生活配套设施，基准灶头按2个计，灶头排风量以3000m</w:t>
            </w:r>
            <w:r>
              <w:rPr>
                <w:rFonts w:hint="default" w:ascii="Times New Roman" w:hAnsi="Times New Roman" w:eastAsia="宋体" w:cs="Times New Roman"/>
                <w:bCs/>
                <w:color w:val="auto"/>
                <w:kern w:val="0"/>
                <w:sz w:val="24"/>
                <w:szCs w:val="24"/>
                <w:vertAlign w:val="superscript"/>
                <w:lang w:val="zh-CN" w:eastAsia="zh-CN"/>
              </w:rPr>
              <w:t>3</w:t>
            </w:r>
            <w:r>
              <w:rPr>
                <w:rFonts w:hint="default" w:ascii="Times New Roman" w:hAnsi="Times New Roman" w:eastAsia="宋体" w:cs="Times New Roman"/>
                <w:bCs/>
                <w:color w:val="auto"/>
                <w:kern w:val="0"/>
                <w:sz w:val="24"/>
                <w:szCs w:val="24"/>
                <w:lang w:val="zh-CN" w:eastAsia="zh-CN"/>
              </w:rPr>
              <w:t>/h计，年工作日330天，日工作时间约6h，则年油烟排放量为1188万m</w:t>
            </w:r>
            <w:r>
              <w:rPr>
                <w:rFonts w:hint="default" w:ascii="Times New Roman" w:hAnsi="Times New Roman" w:eastAsia="宋体" w:cs="Times New Roman"/>
                <w:bCs/>
                <w:color w:val="auto"/>
                <w:kern w:val="0"/>
                <w:sz w:val="24"/>
                <w:szCs w:val="24"/>
                <w:vertAlign w:val="superscript"/>
                <w:lang w:val="zh-CN" w:eastAsia="zh-CN"/>
              </w:rPr>
              <w:t>3</w:t>
            </w:r>
            <w:r>
              <w:rPr>
                <w:rFonts w:hint="default" w:ascii="Times New Roman" w:hAnsi="Times New Roman" w:eastAsia="宋体" w:cs="Times New Roman"/>
                <w:bCs/>
                <w:color w:val="auto"/>
                <w:kern w:val="0"/>
                <w:sz w:val="24"/>
                <w:szCs w:val="24"/>
                <w:lang w:val="zh-CN" w:eastAsia="zh-CN"/>
              </w:rPr>
              <w:t>。食堂食用油用量按5kg/100人·d，本项目就餐人数为</w:t>
            </w:r>
            <w:r>
              <w:rPr>
                <w:rFonts w:hint="eastAsia" w:ascii="Times New Roman" w:hAnsi="Times New Roman" w:eastAsia="宋体" w:cs="Times New Roman"/>
                <w:bCs/>
                <w:color w:val="auto"/>
                <w:kern w:val="0"/>
                <w:sz w:val="24"/>
                <w:szCs w:val="24"/>
                <w:lang w:val="en-US" w:eastAsia="zh-CN"/>
              </w:rPr>
              <w:t>20</w:t>
            </w:r>
            <w:r>
              <w:rPr>
                <w:rFonts w:hint="default" w:ascii="Times New Roman" w:hAnsi="Times New Roman" w:eastAsia="宋体" w:cs="Times New Roman"/>
                <w:bCs/>
                <w:color w:val="auto"/>
                <w:kern w:val="0"/>
                <w:sz w:val="24"/>
                <w:szCs w:val="24"/>
                <w:lang w:val="zh-CN" w:eastAsia="zh-CN"/>
              </w:rPr>
              <w:t>人，则年消耗食用油0.</w:t>
            </w:r>
            <w:r>
              <w:rPr>
                <w:rFonts w:hint="eastAsia" w:ascii="Times New Roman" w:hAnsi="Times New Roman" w:eastAsia="宋体" w:cs="Times New Roman"/>
                <w:bCs/>
                <w:color w:val="auto"/>
                <w:kern w:val="0"/>
                <w:sz w:val="24"/>
                <w:szCs w:val="24"/>
                <w:lang w:val="en-US" w:eastAsia="zh-CN"/>
              </w:rPr>
              <w:t>33</w:t>
            </w:r>
            <w:r>
              <w:rPr>
                <w:rFonts w:hint="default" w:ascii="Times New Roman" w:hAnsi="Times New Roman" w:eastAsia="宋体" w:cs="Times New Roman"/>
                <w:bCs/>
                <w:color w:val="auto"/>
                <w:kern w:val="0"/>
                <w:sz w:val="24"/>
                <w:szCs w:val="24"/>
                <w:lang w:val="zh-CN" w:eastAsia="zh-CN"/>
              </w:rPr>
              <w:t>t，在炒做时挥发损失约3％，油烟产生量约0.0</w:t>
            </w:r>
            <w:r>
              <w:rPr>
                <w:rFonts w:hint="eastAsia" w:ascii="Times New Roman" w:hAnsi="Times New Roman" w:eastAsia="宋体" w:cs="Times New Roman"/>
                <w:bCs/>
                <w:color w:val="auto"/>
                <w:kern w:val="0"/>
                <w:sz w:val="24"/>
                <w:szCs w:val="24"/>
                <w:lang w:val="en-US" w:eastAsia="zh-CN"/>
              </w:rPr>
              <w:t>1</w:t>
            </w:r>
            <w:r>
              <w:rPr>
                <w:rFonts w:hint="default" w:ascii="Times New Roman" w:hAnsi="Times New Roman" w:eastAsia="宋体" w:cs="Times New Roman"/>
                <w:bCs/>
                <w:color w:val="auto"/>
                <w:kern w:val="0"/>
                <w:sz w:val="24"/>
                <w:szCs w:val="24"/>
                <w:lang w:val="zh-CN" w:eastAsia="zh-CN"/>
              </w:rPr>
              <w:t>t/a，油烟浓度</w:t>
            </w:r>
            <w:r>
              <w:rPr>
                <w:rFonts w:hint="eastAsia" w:ascii="Times New Roman" w:hAnsi="Times New Roman" w:eastAsia="宋体" w:cs="Times New Roman"/>
                <w:bCs/>
                <w:color w:val="auto"/>
                <w:kern w:val="0"/>
                <w:sz w:val="24"/>
                <w:szCs w:val="24"/>
                <w:lang w:val="en-US" w:eastAsia="zh-CN"/>
              </w:rPr>
              <w:t>0.84</w:t>
            </w:r>
            <w:r>
              <w:rPr>
                <w:rFonts w:hint="default" w:ascii="Times New Roman" w:hAnsi="Times New Roman" w:eastAsia="宋体" w:cs="Times New Roman"/>
                <w:bCs/>
                <w:color w:val="auto"/>
                <w:kern w:val="0"/>
                <w:sz w:val="24"/>
                <w:szCs w:val="24"/>
                <w:lang w:val="zh-CN" w:eastAsia="zh-CN"/>
              </w:rPr>
              <w:t>mg/m</w:t>
            </w:r>
            <w:r>
              <w:rPr>
                <w:rFonts w:hint="default" w:ascii="Times New Roman" w:hAnsi="Times New Roman" w:eastAsia="宋体" w:cs="Times New Roman"/>
                <w:bCs/>
                <w:color w:val="auto"/>
                <w:kern w:val="0"/>
                <w:sz w:val="24"/>
                <w:szCs w:val="24"/>
                <w:vertAlign w:val="superscript"/>
                <w:lang w:val="zh-CN" w:eastAsia="zh-CN"/>
              </w:rPr>
              <w:t>3</w:t>
            </w:r>
            <w:r>
              <w:rPr>
                <w:rFonts w:hint="default" w:ascii="Times New Roman" w:hAnsi="Times New Roman" w:eastAsia="宋体" w:cs="Times New Roman"/>
                <w:bCs/>
                <w:color w:val="auto"/>
                <w:kern w:val="0"/>
                <w:sz w:val="24"/>
                <w:szCs w:val="24"/>
                <w:lang w:val="zh-CN" w:eastAsia="zh-CN"/>
              </w:rPr>
              <w:t>。本项目的油烟处理设备最低允许净化率为60%，则年油烟排放量为0.0</w:t>
            </w:r>
            <w:r>
              <w:rPr>
                <w:rFonts w:hint="eastAsia" w:ascii="Times New Roman" w:hAnsi="Times New Roman" w:eastAsia="宋体" w:cs="Times New Roman"/>
                <w:bCs/>
                <w:color w:val="auto"/>
                <w:kern w:val="0"/>
                <w:sz w:val="24"/>
                <w:szCs w:val="24"/>
                <w:lang w:val="en-US" w:eastAsia="zh-CN"/>
              </w:rPr>
              <w:t>04</w:t>
            </w:r>
            <w:r>
              <w:rPr>
                <w:rFonts w:hint="default" w:ascii="Times New Roman" w:hAnsi="Times New Roman" w:eastAsia="宋体" w:cs="Times New Roman"/>
                <w:bCs/>
                <w:color w:val="auto"/>
                <w:kern w:val="0"/>
                <w:sz w:val="24"/>
                <w:szCs w:val="24"/>
                <w:lang w:val="zh-CN" w:eastAsia="zh-CN"/>
              </w:rPr>
              <w:t>t，排放浓度为</w:t>
            </w:r>
            <w:r>
              <w:rPr>
                <w:rFonts w:hint="eastAsia" w:ascii="Times New Roman" w:hAnsi="Times New Roman" w:eastAsia="宋体" w:cs="Times New Roman"/>
                <w:bCs/>
                <w:color w:val="auto"/>
                <w:kern w:val="0"/>
                <w:sz w:val="24"/>
                <w:szCs w:val="24"/>
                <w:lang w:val="en-US" w:eastAsia="zh-CN"/>
              </w:rPr>
              <w:t>0.28</w:t>
            </w:r>
            <w:r>
              <w:rPr>
                <w:rFonts w:hint="default" w:ascii="Times New Roman" w:hAnsi="Times New Roman" w:eastAsia="宋体" w:cs="Times New Roman"/>
                <w:bCs/>
                <w:color w:val="auto"/>
                <w:kern w:val="0"/>
                <w:sz w:val="24"/>
                <w:szCs w:val="24"/>
                <w:lang w:val="zh-CN" w:eastAsia="zh-CN"/>
              </w:rPr>
              <w:t>mg/m</w:t>
            </w:r>
            <w:r>
              <w:rPr>
                <w:rFonts w:hint="default" w:ascii="Times New Roman" w:hAnsi="Times New Roman" w:eastAsia="宋体" w:cs="Times New Roman"/>
                <w:bCs/>
                <w:color w:val="auto"/>
                <w:kern w:val="0"/>
                <w:sz w:val="24"/>
                <w:szCs w:val="24"/>
                <w:vertAlign w:val="superscript"/>
                <w:lang w:val="zh-CN" w:eastAsia="zh-CN"/>
              </w:rPr>
              <w:t>3</w:t>
            </w:r>
            <w:r>
              <w:rPr>
                <w:rFonts w:hint="default" w:ascii="Times New Roman" w:hAnsi="Times New Roman" w:eastAsia="宋体" w:cs="Times New Roman"/>
                <w:bCs/>
                <w:color w:val="auto"/>
                <w:kern w:val="0"/>
                <w:sz w:val="24"/>
                <w:szCs w:val="24"/>
                <w:lang w:val="zh-CN" w:eastAsia="zh-CN"/>
              </w:rPr>
              <w:t>。</w:t>
            </w:r>
          </w:p>
          <w:p w14:paraId="42FECFD5">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color w:val="auto"/>
                <w:sz w:val="24"/>
              </w:rPr>
            </w:pPr>
            <w:r>
              <w:rPr>
                <w:color w:val="auto"/>
                <w:sz w:val="24"/>
              </w:rPr>
              <w:t>故本项目运营后，在严格落实本环评提出的污染防治措施的情况下，对环境影响较小</w:t>
            </w:r>
          </w:p>
          <w:p w14:paraId="09D42B69">
            <w:pPr>
              <w:keepNext w:val="0"/>
              <w:keepLines w:val="0"/>
              <w:pageBreakBefore w:val="0"/>
              <w:widowControl/>
              <w:kinsoku/>
              <w:wordWrap/>
              <w:overflowPunct/>
              <w:topLinePunct w:val="0"/>
              <w:autoSpaceDE/>
              <w:autoSpaceDN/>
              <w:bidi w:val="0"/>
              <w:adjustRightInd/>
              <w:snapToGrid/>
              <w:spacing w:line="520" w:lineRule="exact"/>
              <w:textAlignment w:val="auto"/>
              <w:rPr>
                <w:b/>
                <w:bCs/>
                <w:color w:val="auto"/>
                <w:sz w:val="24"/>
              </w:rPr>
            </w:pPr>
            <w:r>
              <w:rPr>
                <w:b/>
                <w:bCs/>
                <w:color w:val="auto"/>
                <w:sz w:val="24"/>
              </w:rPr>
              <w:t>1.</w:t>
            </w:r>
            <w:r>
              <w:rPr>
                <w:rFonts w:hint="eastAsia"/>
                <w:b/>
                <w:bCs/>
                <w:color w:val="auto"/>
                <w:sz w:val="24"/>
                <w:lang w:val="en-US" w:eastAsia="zh-CN"/>
              </w:rPr>
              <w:t xml:space="preserve">2 </w:t>
            </w:r>
            <w:r>
              <w:rPr>
                <w:b/>
                <w:bCs/>
                <w:color w:val="auto"/>
                <w:sz w:val="24"/>
              </w:rPr>
              <w:t>废气处理措施及其可行性分析</w:t>
            </w:r>
          </w:p>
          <w:p w14:paraId="45520FFF">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参照</w:t>
            </w:r>
            <w:r>
              <w:rPr>
                <w:rFonts w:hint="default" w:ascii="Times New Roman" w:hAnsi="Times New Roman" w:eastAsia="宋体" w:cs="Times New Roman"/>
                <w:color w:val="auto"/>
                <w:sz w:val="24"/>
                <w:szCs w:val="24"/>
                <w:lang w:val="en-US" w:eastAsia="zh-CN"/>
              </w:rPr>
              <w:t>《排污单位自行监测技术指南 总则》（HJ819-2017）</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eastAsia="zh-TW"/>
              </w:rPr>
              <w:t>06</w:t>
            </w:r>
            <w:r>
              <w:rPr>
                <w:rFonts w:hint="eastAsia" w:ascii="Times New Roman" w:hAnsi="Times New Roman" w:eastAsia="宋体" w:cs="Times New Roman"/>
                <w:color w:val="auto"/>
                <w:sz w:val="24"/>
                <w:szCs w:val="24"/>
                <w:lang w:val="en-US" w:eastAsia="zh-CN"/>
              </w:rPr>
              <w:t xml:space="preserve"> </w:t>
            </w:r>
            <w:r>
              <w:rPr>
                <w:rFonts w:hint="eastAsia" w:ascii="Times New Roman" w:hAnsi="Times New Roman" w:eastAsia="宋体" w:cs="Times New Roman"/>
                <w:color w:val="auto"/>
                <w:sz w:val="24"/>
                <w:szCs w:val="24"/>
                <w:lang w:eastAsia="zh-TW"/>
              </w:rPr>
              <w:t>煤炭开采和洗选业行业系数手册》</w:t>
            </w:r>
            <w:r>
              <w:rPr>
                <w:rFonts w:hint="eastAsia" w:ascii="Times New Roman" w:hAnsi="Times New Roman" w:eastAsia="宋体" w:cs="Times New Roman"/>
                <w:color w:val="auto"/>
                <w:sz w:val="24"/>
                <w:szCs w:val="24"/>
                <w:lang w:val="en-US" w:eastAsia="zh-CN"/>
              </w:rPr>
              <w:t>推荐的可行技术</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破碎筛分粉尘、转运粉尘、</w:t>
            </w:r>
            <w:r>
              <w:rPr>
                <w:rFonts w:hint="eastAsia" w:cs="Times New Roman"/>
                <w:color w:val="auto"/>
                <w:sz w:val="24"/>
                <w:szCs w:val="24"/>
                <w:lang w:val="en-US" w:eastAsia="zh-CN"/>
              </w:rPr>
              <w:t>煤棚</w:t>
            </w:r>
            <w:r>
              <w:rPr>
                <w:rFonts w:hint="eastAsia" w:ascii="Times New Roman" w:hAnsi="Times New Roman" w:eastAsia="宋体" w:cs="Times New Roman"/>
                <w:color w:val="auto"/>
                <w:sz w:val="24"/>
                <w:szCs w:val="24"/>
                <w:lang w:val="en-US" w:eastAsia="zh-TW"/>
              </w:rPr>
              <w:t>粉尘</w:t>
            </w:r>
            <w:r>
              <w:rPr>
                <w:rFonts w:hint="eastAsia" w:ascii="Times New Roman" w:hAnsi="Times New Roman" w:eastAsia="宋体" w:cs="Times New Roman"/>
                <w:color w:val="auto"/>
                <w:sz w:val="24"/>
                <w:szCs w:val="24"/>
                <w:lang w:val="en-US" w:eastAsia="zh-CN"/>
              </w:rPr>
              <w:t>、装卸扬尘采用喷雾抑尘进行处理属于可行工艺。</w:t>
            </w:r>
          </w:p>
          <w:p w14:paraId="0A1A76B4">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本环评要求建设单位在</w:t>
            </w:r>
            <w:r>
              <w:rPr>
                <w:rFonts w:hint="eastAsia" w:ascii="Times New Roman" w:hAnsi="Times New Roman" w:eastAsia="宋体" w:cs="Times New Roman"/>
                <w:color w:val="auto"/>
                <w:sz w:val="24"/>
                <w:szCs w:val="24"/>
                <w:lang w:val="en-US" w:eastAsia="zh-CN"/>
              </w:rPr>
              <w:t>破碎筛分</w:t>
            </w:r>
            <w:r>
              <w:rPr>
                <w:rFonts w:hint="default" w:ascii="Times New Roman" w:hAnsi="Times New Roman" w:eastAsia="宋体" w:cs="Times New Roman"/>
                <w:color w:val="auto"/>
                <w:sz w:val="24"/>
                <w:szCs w:val="24"/>
                <w:lang w:val="en-US" w:eastAsia="zh-CN"/>
              </w:rPr>
              <w:t>工序</w:t>
            </w:r>
            <w:r>
              <w:rPr>
                <w:rFonts w:hint="eastAsia" w:cs="Times New Roman"/>
                <w:color w:val="auto"/>
                <w:sz w:val="24"/>
                <w:szCs w:val="24"/>
                <w:lang w:val="en-US" w:eastAsia="zh-CN"/>
              </w:rPr>
              <w:t>设置</w:t>
            </w:r>
            <w:r>
              <w:rPr>
                <w:rFonts w:hint="eastAsia" w:ascii="Times New Roman" w:hAnsi="Times New Roman" w:eastAsia="宋体" w:cs="Times New Roman"/>
                <w:color w:val="auto"/>
                <w:sz w:val="24"/>
                <w:szCs w:val="24"/>
                <w:lang w:val="en-US" w:eastAsia="zh-CN"/>
              </w:rPr>
              <w:t>喷雾抑尘装置</w:t>
            </w:r>
            <w:r>
              <w:rPr>
                <w:rFonts w:hint="eastAsia" w:cs="Times New Roman"/>
                <w:color w:val="auto"/>
                <w:sz w:val="24"/>
                <w:szCs w:val="24"/>
                <w:lang w:val="en-US" w:eastAsia="zh-CN"/>
              </w:rPr>
              <w:t>，并在上方设置集气罩，产生的颗粒物采用布袋除尘器处理达标后通过1根15m高排气筒排放</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转载</w:t>
            </w:r>
            <w:r>
              <w:rPr>
                <w:rFonts w:hint="eastAsia" w:ascii="Times New Roman" w:hAnsi="Times New Roman" w:eastAsia="宋体" w:cs="Times New Roman"/>
                <w:color w:val="auto"/>
                <w:sz w:val="24"/>
                <w:szCs w:val="24"/>
                <w:lang w:val="en-US" w:eastAsia="zh-CN"/>
              </w:rPr>
              <w:t>工序</w:t>
            </w:r>
            <w:r>
              <w:rPr>
                <w:rFonts w:hint="default" w:ascii="Times New Roman" w:hAnsi="Times New Roman" w:eastAsia="宋体" w:cs="Times New Roman"/>
                <w:color w:val="auto"/>
                <w:sz w:val="24"/>
                <w:szCs w:val="24"/>
                <w:lang w:eastAsia="zh-TW"/>
              </w:rPr>
              <w:t>全封闭输煤廊道，</w:t>
            </w:r>
            <w:r>
              <w:rPr>
                <w:rFonts w:hint="default" w:ascii="Times New Roman" w:hAnsi="Times New Roman" w:eastAsia="宋体" w:cs="Times New Roman"/>
                <w:color w:val="auto"/>
                <w:sz w:val="24"/>
                <w:szCs w:val="24"/>
                <w:lang w:val="en-US" w:eastAsia="zh-CN"/>
              </w:rPr>
              <w:t>导料槽两端增加密闭挡帘并安装喷雾抑尘（PKG-II喷雾除尘装置）</w:t>
            </w:r>
            <w:r>
              <w:rPr>
                <w:rFonts w:hint="eastAsia"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煤棚</w:t>
            </w:r>
            <w:r>
              <w:rPr>
                <w:rFonts w:hint="default" w:ascii="Times New Roman" w:hAnsi="Times New Roman" w:eastAsia="宋体" w:cs="Times New Roman"/>
                <w:color w:val="auto"/>
                <w:sz w:val="24"/>
                <w:szCs w:val="24"/>
                <w:lang w:val="en-US" w:eastAsia="zh-CN"/>
              </w:rPr>
              <w:t>、装卸</w:t>
            </w:r>
            <w:r>
              <w:rPr>
                <w:rFonts w:hint="eastAsia" w:ascii="Times New Roman" w:hAnsi="Times New Roman" w:eastAsia="宋体" w:cs="Times New Roman"/>
                <w:color w:val="auto"/>
                <w:sz w:val="24"/>
                <w:szCs w:val="24"/>
                <w:lang w:val="en-US" w:eastAsia="zh-CN"/>
              </w:rPr>
              <w:t>工序</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煤棚</w:t>
            </w:r>
            <w:r>
              <w:rPr>
                <w:rFonts w:hint="default" w:ascii="Times New Roman" w:hAnsi="Times New Roman" w:eastAsia="宋体" w:cs="Times New Roman"/>
                <w:color w:val="auto"/>
                <w:sz w:val="24"/>
                <w:szCs w:val="24"/>
                <w:lang w:val="en-US" w:eastAsia="zh-CN"/>
              </w:rPr>
              <w:t>密闭，并安装喷雾设备</w:t>
            </w:r>
            <w:r>
              <w:rPr>
                <w:rFonts w:hint="eastAsia" w:ascii="Times New Roman" w:hAnsi="Times New Roman" w:eastAsia="宋体" w:cs="Times New Roman"/>
                <w:color w:val="auto"/>
                <w:sz w:val="24"/>
                <w:szCs w:val="24"/>
                <w:lang w:val="en-US" w:eastAsia="zh-CN"/>
              </w:rPr>
              <w:t>；道路运输工序</w:t>
            </w:r>
            <w:r>
              <w:rPr>
                <w:rFonts w:hint="default" w:ascii="Times New Roman" w:hAnsi="Times New Roman" w:eastAsia="宋体" w:cs="Times New Roman"/>
                <w:color w:val="auto"/>
                <w:sz w:val="24"/>
                <w:szCs w:val="24"/>
                <w:lang w:val="en-US" w:eastAsia="zh-CN"/>
              </w:rPr>
              <w:t>：对运输车辆加盖篷布，道路作业实施洒水降尘以及道路硬化、加强厂区绿化等措施降低起尘量</w:t>
            </w:r>
            <w:r>
              <w:rPr>
                <w:rFonts w:hint="eastAsia" w:ascii="Times New Roman" w:hAnsi="Times New Roman" w:eastAsia="宋体" w:cs="Times New Roman"/>
                <w:color w:val="auto"/>
                <w:sz w:val="24"/>
                <w:szCs w:val="24"/>
                <w:lang w:val="en-US" w:eastAsia="zh-CN"/>
              </w:rPr>
              <w:t>。</w:t>
            </w:r>
          </w:p>
          <w:p w14:paraId="0AAACDA8">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color w:val="auto"/>
                <w:sz w:val="24"/>
                <w:szCs w:val="24"/>
                <w:lang w:val="en-US" w:eastAsia="zh-CN"/>
              </w:rPr>
            </w:pPr>
            <w:r>
              <w:rPr>
                <w:rFonts w:hint="eastAsia" w:eastAsia="宋体" w:cs="Times New Roman"/>
                <w:color w:val="auto"/>
                <w:sz w:val="24"/>
                <w:szCs w:val="24"/>
                <w:lang w:val="en-US" w:eastAsia="zh-CN"/>
              </w:rPr>
              <w:t>采取上述措施后</w:t>
            </w:r>
            <w:r>
              <w:rPr>
                <w:rFonts w:hint="default" w:ascii="Times New Roman" w:hAnsi="Times New Roman" w:eastAsia="宋体" w:cs="Times New Roman"/>
                <w:color w:val="auto"/>
                <w:sz w:val="24"/>
                <w:szCs w:val="24"/>
                <w:lang w:val="en-US" w:eastAsia="zh-CN"/>
              </w:rPr>
              <w:t>厂界无组织废气</w:t>
            </w:r>
            <w:r>
              <w:rPr>
                <w:rFonts w:hint="eastAsia" w:ascii="Times New Roman" w:hAnsi="Times New Roman" w:eastAsia="宋体" w:cs="Times New Roman"/>
                <w:color w:val="auto"/>
                <w:sz w:val="24"/>
                <w:szCs w:val="24"/>
                <w:lang w:val="en-US" w:eastAsia="zh-CN"/>
              </w:rPr>
              <w:t>颗粒物排放</w:t>
            </w:r>
            <w:r>
              <w:rPr>
                <w:rFonts w:hint="default" w:ascii="Times New Roman" w:hAnsi="Times New Roman" w:eastAsia="宋体" w:cs="Times New Roman"/>
                <w:color w:val="auto"/>
                <w:sz w:val="24"/>
                <w:szCs w:val="24"/>
                <w:lang w:val="en-US" w:eastAsia="zh-CN"/>
              </w:rPr>
              <w:t>浓度</w:t>
            </w:r>
            <w:r>
              <w:rPr>
                <w:rFonts w:hint="eastAsia" w:ascii="Times New Roman" w:hAnsi="Times New Roman" w:eastAsia="宋体" w:cs="Times New Roman"/>
                <w:color w:val="auto"/>
                <w:sz w:val="24"/>
                <w:szCs w:val="24"/>
                <w:lang w:val="en-US" w:eastAsia="zh-CN"/>
              </w:rPr>
              <w:t>满足</w:t>
            </w:r>
            <w:r>
              <w:rPr>
                <w:rFonts w:hint="default" w:ascii="Times New Roman" w:hAnsi="Times New Roman" w:eastAsia="宋体" w:cs="Times New Roman"/>
                <w:color w:val="auto"/>
                <w:sz w:val="24"/>
                <w:szCs w:val="24"/>
                <w:lang w:val="en-US" w:eastAsia="zh-CN"/>
              </w:rPr>
              <w:t>《煤炭工业污染物排放标准》（GB20426-2006）表5煤炭工业无组织排放限值</w:t>
            </w:r>
            <w:r>
              <w:rPr>
                <w:rFonts w:hint="eastAsia" w:ascii="Times New Roman" w:hAnsi="Times New Roman" w:eastAsia="宋体" w:cs="Times New Roman"/>
                <w:color w:val="auto"/>
                <w:sz w:val="24"/>
                <w:szCs w:val="24"/>
                <w:lang w:val="en-US" w:eastAsia="zh-CN"/>
              </w:rPr>
              <w:t>。</w:t>
            </w:r>
          </w:p>
          <w:p w14:paraId="236E8842">
            <w:pPr>
              <w:pStyle w:val="7"/>
              <w:keepNext w:val="0"/>
              <w:keepLines w:val="0"/>
              <w:pageBreakBefore w:val="0"/>
              <w:widowControl/>
              <w:numPr>
                <w:ilvl w:val="0"/>
                <w:numId w:val="0"/>
              </w:numPr>
              <w:kinsoku/>
              <w:wordWrap/>
              <w:overflowPunct/>
              <w:topLinePunct w:val="0"/>
              <w:autoSpaceDE/>
              <w:autoSpaceDN/>
              <w:bidi w:val="0"/>
              <w:adjustRightInd/>
              <w:snapToGrid/>
              <w:spacing w:before="0" w:after="0" w:line="520" w:lineRule="exact"/>
              <w:ind w:leftChars="0" w:right="0" w:rightChars="0"/>
              <w:textAlignment w:val="auto"/>
              <w:rPr>
                <w:rFonts w:hint="default" w:ascii="Times New Roman" w:hAnsi="Times New Roman" w:cs="Times New Roman"/>
                <w:b/>
                <w:bCs/>
                <w:color w:val="auto"/>
                <w:spacing w:val="-10"/>
                <w:sz w:val="24"/>
                <w:szCs w:val="24"/>
                <w:lang w:val="en-US" w:eastAsia="zh-CN"/>
              </w:rPr>
            </w:pPr>
            <w:r>
              <w:rPr>
                <w:b/>
                <w:bCs/>
                <w:color w:val="auto"/>
                <w:sz w:val="24"/>
              </w:rPr>
              <w:t>1.</w:t>
            </w:r>
            <w:r>
              <w:rPr>
                <w:rFonts w:hint="eastAsia"/>
                <w:b/>
                <w:bCs/>
                <w:color w:val="auto"/>
                <w:sz w:val="24"/>
                <w:lang w:val="en-US" w:eastAsia="zh-CN"/>
              </w:rPr>
              <w:t xml:space="preserve">3 </w:t>
            </w:r>
            <w:r>
              <w:rPr>
                <w:rFonts w:hint="eastAsia" w:ascii="Times New Roman" w:hAnsi="Times New Roman" w:cs="Times New Roman"/>
                <w:b/>
                <w:bCs/>
                <w:color w:val="auto"/>
                <w:spacing w:val="-10"/>
                <w:sz w:val="24"/>
                <w:szCs w:val="24"/>
                <w:lang w:val="en-US" w:eastAsia="zh-CN"/>
              </w:rPr>
              <w:t>排放口设施情况</w:t>
            </w:r>
          </w:p>
          <w:p w14:paraId="23A17166">
            <w:pPr>
              <w:pStyle w:val="7"/>
              <w:keepNext w:val="0"/>
              <w:keepLines w:val="0"/>
              <w:pageBreakBefore w:val="0"/>
              <w:widowControl/>
              <w:kinsoku/>
              <w:wordWrap/>
              <w:overflowPunct/>
              <w:topLinePunct w:val="0"/>
              <w:autoSpaceDE/>
              <w:autoSpaceDN/>
              <w:bidi w:val="0"/>
              <w:adjustRightInd/>
              <w:snapToGrid/>
              <w:spacing w:before="0" w:after="0" w:line="520" w:lineRule="exact"/>
              <w:ind w:right="0" w:firstLine="480" w:firstLineChars="200"/>
              <w:textAlignment w:val="auto"/>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本项目共设置</w:t>
            </w:r>
            <w:r>
              <w:rPr>
                <w:rFonts w:hint="eastAsia" w:cs="Times New Roman"/>
                <w:bCs/>
                <w:color w:val="auto"/>
                <w:sz w:val="24"/>
                <w:szCs w:val="24"/>
                <w:lang w:val="en-US" w:eastAsia="zh-CN"/>
              </w:rPr>
              <w:t>1</w:t>
            </w:r>
            <w:r>
              <w:rPr>
                <w:rFonts w:hint="eastAsia" w:ascii="Times New Roman" w:hAnsi="Times New Roman" w:eastAsia="宋体" w:cs="Times New Roman"/>
                <w:bCs/>
                <w:color w:val="auto"/>
                <w:sz w:val="24"/>
                <w:szCs w:val="24"/>
                <w:lang w:val="en-US" w:eastAsia="zh-CN"/>
              </w:rPr>
              <w:t>个有组织废气排放口，本项目有组织废气排放口基本情况见表4-</w:t>
            </w:r>
            <w:r>
              <w:rPr>
                <w:rFonts w:hint="eastAsia" w:cs="Times New Roman"/>
                <w:bCs/>
                <w:color w:val="auto"/>
                <w:sz w:val="24"/>
                <w:szCs w:val="24"/>
                <w:lang w:val="en-US" w:eastAsia="zh-CN"/>
              </w:rPr>
              <w:t>2</w:t>
            </w:r>
            <w:r>
              <w:rPr>
                <w:rFonts w:hint="eastAsia" w:ascii="Times New Roman" w:hAnsi="Times New Roman" w:eastAsia="宋体" w:cs="Times New Roman"/>
                <w:bCs/>
                <w:color w:val="auto"/>
                <w:sz w:val="24"/>
                <w:szCs w:val="24"/>
                <w:lang w:val="en-US" w:eastAsia="zh-CN"/>
              </w:rPr>
              <w:t>。</w:t>
            </w:r>
          </w:p>
          <w:p w14:paraId="1056FE94">
            <w:pPr>
              <w:pStyle w:val="35"/>
              <w:keepNext w:val="0"/>
              <w:keepLines w:val="0"/>
              <w:pageBreakBefore w:val="0"/>
              <w:widowControl w:val="0"/>
              <w:kinsoku/>
              <w:wordWrap/>
              <w:overflowPunct/>
              <w:topLinePunct w:val="0"/>
              <w:autoSpaceDE/>
              <w:autoSpaceDN/>
              <w:bidi w:val="0"/>
              <w:adjustRightInd/>
              <w:snapToGrid/>
              <w:spacing w:after="0" w:line="520" w:lineRule="exact"/>
              <w:ind w:firstLine="0" w:firstLineChars="0"/>
              <w:jc w:val="center"/>
              <w:textAlignment w:val="auto"/>
              <w:rPr>
                <w:rFonts w:hint="default" w:eastAsia="宋体"/>
                <w:b/>
                <w:bCs/>
                <w:color w:val="auto"/>
                <w:sz w:val="21"/>
                <w:szCs w:val="21"/>
                <w:lang w:val="en-US" w:eastAsia="zh-CN"/>
              </w:rPr>
            </w:pPr>
            <w:r>
              <w:rPr>
                <w:rFonts w:hint="eastAsia"/>
                <w:b/>
                <w:bCs/>
                <w:color w:val="auto"/>
                <w:sz w:val="21"/>
                <w:szCs w:val="21"/>
                <w:lang w:val="en-US" w:eastAsia="zh-CN"/>
              </w:rPr>
              <w:t>表4-2    排放口设置情况</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68"/>
              <w:gridCol w:w="758"/>
              <w:gridCol w:w="760"/>
              <w:gridCol w:w="798"/>
              <w:gridCol w:w="733"/>
              <w:gridCol w:w="668"/>
              <w:gridCol w:w="660"/>
              <w:gridCol w:w="727"/>
              <w:gridCol w:w="748"/>
              <w:gridCol w:w="431"/>
              <w:gridCol w:w="499"/>
              <w:gridCol w:w="814"/>
            </w:tblGrid>
            <w:tr w14:paraId="4EB1A7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8" w:type="pct"/>
                  <w:vMerge w:val="restart"/>
                  <w:vAlign w:val="center"/>
                </w:tcPr>
                <w:p w14:paraId="0EB9FD61">
                  <w:pPr>
                    <w:pStyle w:val="34"/>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jc w:val="center"/>
                    <w:textAlignment w:val="auto"/>
                    <w:rPr>
                      <w:rFonts w:ascii="Times New Roman"/>
                      <w:b/>
                      <w:bCs/>
                      <w:color w:val="auto"/>
                      <w:szCs w:val="21"/>
                    </w:rPr>
                  </w:pPr>
                  <w:r>
                    <w:rPr>
                      <w:rFonts w:ascii="Times New Roman"/>
                      <w:b/>
                      <w:bCs/>
                      <w:color w:val="auto"/>
                      <w:szCs w:val="21"/>
                    </w:rPr>
                    <w:t>污染源名称</w:t>
                  </w:r>
                </w:p>
              </w:tc>
              <w:tc>
                <w:tcPr>
                  <w:tcW w:w="929" w:type="pct"/>
                  <w:gridSpan w:val="2"/>
                  <w:vAlign w:val="center"/>
                </w:tcPr>
                <w:p w14:paraId="17111033">
                  <w:pPr>
                    <w:pStyle w:val="34"/>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jc w:val="center"/>
                    <w:textAlignment w:val="auto"/>
                    <w:rPr>
                      <w:rFonts w:ascii="Times New Roman"/>
                      <w:b/>
                      <w:bCs/>
                      <w:color w:val="auto"/>
                      <w:szCs w:val="21"/>
                    </w:rPr>
                  </w:pPr>
                  <w:r>
                    <w:rPr>
                      <w:rFonts w:ascii="Times New Roman"/>
                      <w:b/>
                      <w:bCs/>
                      <w:color w:val="auto"/>
                      <w:szCs w:val="21"/>
                    </w:rPr>
                    <w:t>排气筒底部中心坐标</w:t>
                  </w:r>
                </w:p>
              </w:tc>
              <w:tc>
                <w:tcPr>
                  <w:tcW w:w="488" w:type="pct"/>
                  <w:vMerge w:val="restart"/>
                  <w:vAlign w:val="center"/>
                </w:tcPr>
                <w:p w14:paraId="7DBF6AD1">
                  <w:pPr>
                    <w:pStyle w:val="34"/>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jc w:val="center"/>
                    <w:textAlignment w:val="auto"/>
                    <w:rPr>
                      <w:rFonts w:hint="eastAsia" w:ascii="Times New Roman" w:eastAsia="宋体"/>
                      <w:b/>
                      <w:bCs/>
                      <w:color w:val="auto"/>
                      <w:szCs w:val="21"/>
                      <w:lang w:eastAsia="zh-CN"/>
                    </w:rPr>
                  </w:pPr>
                  <w:r>
                    <w:rPr>
                      <w:rFonts w:ascii="Times New Roman"/>
                      <w:b/>
                      <w:bCs/>
                      <w:color w:val="auto"/>
                      <w:szCs w:val="21"/>
                    </w:rPr>
                    <w:t>排气筒底部</w:t>
                  </w:r>
                  <w:r>
                    <w:rPr>
                      <w:rFonts w:hint="eastAsia" w:ascii="Times New Roman"/>
                      <w:b/>
                      <w:bCs/>
                      <w:color w:val="auto"/>
                      <w:szCs w:val="21"/>
                      <w:lang w:eastAsia="zh-CN"/>
                    </w:rPr>
                    <w:t>海拔（</w:t>
                  </w:r>
                  <w:r>
                    <w:rPr>
                      <w:rFonts w:ascii="Times New Roman"/>
                      <w:b/>
                      <w:bCs/>
                      <w:color w:val="auto"/>
                      <w:szCs w:val="21"/>
                    </w:rPr>
                    <w:t>m</w:t>
                  </w:r>
                  <w:r>
                    <w:rPr>
                      <w:rFonts w:hint="eastAsia" w:ascii="Times New Roman"/>
                      <w:b/>
                      <w:bCs/>
                      <w:color w:val="auto"/>
                      <w:szCs w:val="21"/>
                      <w:lang w:eastAsia="zh-CN"/>
                    </w:rPr>
                    <w:t>）</w:t>
                  </w:r>
                </w:p>
              </w:tc>
              <w:tc>
                <w:tcPr>
                  <w:tcW w:w="1707" w:type="pct"/>
                  <w:gridSpan w:val="4"/>
                  <w:vAlign w:val="center"/>
                </w:tcPr>
                <w:p w14:paraId="72129E62">
                  <w:pPr>
                    <w:pStyle w:val="34"/>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jc w:val="center"/>
                    <w:textAlignment w:val="auto"/>
                    <w:rPr>
                      <w:rFonts w:ascii="Times New Roman"/>
                      <w:b/>
                      <w:bCs/>
                      <w:color w:val="auto"/>
                      <w:szCs w:val="21"/>
                    </w:rPr>
                  </w:pPr>
                  <w:r>
                    <w:rPr>
                      <w:rFonts w:ascii="Times New Roman"/>
                      <w:b/>
                      <w:bCs/>
                      <w:color w:val="auto"/>
                      <w:szCs w:val="21"/>
                    </w:rPr>
                    <w:t>排气筒参数</w:t>
                  </w:r>
                </w:p>
              </w:tc>
              <w:tc>
                <w:tcPr>
                  <w:tcW w:w="722" w:type="pct"/>
                  <w:gridSpan w:val="2"/>
                  <w:vAlign w:val="center"/>
                </w:tcPr>
                <w:p w14:paraId="6117E526">
                  <w:pPr>
                    <w:pStyle w:val="34"/>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jc w:val="center"/>
                    <w:textAlignment w:val="auto"/>
                    <w:rPr>
                      <w:rFonts w:ascii="Times New Roman"/>
                      <w:b/>
                      <w:bCs/>
                      <w:color w:val="auto"/>
                      <w:szCs w:val="21"/>
                    </w:rPr>
                  </w:pPr>
                  <w:r>
                    <w:rPr>
                      <w:rFonts w:ascii="Times New Roman"/>
                      <w:b/>
                      <w:bCs/>
                      <w:color w:val="auto"/>
                      <w:szCs w:val="21"/>
                    </w:rPr>
                    <w:t>运行参数</w:t>
                  </w:r>
                </w:p>
              </w:tc>
              <w:tc>
                <w:tcPr>
                  <w:tcW w:w="803" w:type="pct"/>
                  <w:gridSpan w:val="2"/>
                  <w:vAlign w:val="center"/>
                </w:tcPr>
                <w:p w14:paraId="6A81F416">
                  <w:pPr>
                    <w:pStyle w:val="34"/>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jc w:val="center"/>
                    <w:textAlignment w:val="auto"/>
                    <w:rPr>
                      <w:rFonts w:ascii="Times New Roman"/>
                      <w:b/>
                      <w:bCs/>
                      <w:color w:val="auto"/>
                      <w:szCs w:val="21"/>
                    </w:rPr>
                  </w:pPr>
                  <w:r>
                    <w:rPr>
                      <w:rFonts w:ascii="Times New Roman"/>
                      <w:b/>
                      <w:bCs/>
                      <w:color w:val="auto"/>
                      <w:szCs w:val="21"/>
                    </w:rPr>
                    <w:t>污染物参数</w:t>
                  </w:r>
                </w:p>
              </w:tc>
            </w:tr>
            <w:tr w14:paraId="21439D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8" w:type="pct"/>
                  <w:vMerge w:val="continue"/>
                  <w:tcBorders>
                    <w:bottom w:val="single" w:color="auto" w:sz="12" w:space="0"/>
                  </w:tcBorders>
                  <w:vAlign w:val="center"/>
                </w:tcPr>
                <w:p w14:paraId="0F3206E2">
                  <w:pPr>
                    <w:pStyle w:val="34"/>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jc w:val="center"/>
                    <w:textAlignment w:val="auto"/>
                    <w:rPr>
                      <w:rFonts w:ascii="Times New Roman"/>
                      <w:b/>
                      <w:bCs/>
                      <w:color w:val="auto"/>
                      <w:szCs w:val="21"/>
                    </w:rPr>
                  </w:pPr>
                </w:p>
              </w:tc>
              <w:tc>
                <w:tcPr>
                  <w:tcW w:w="464" w:type="pct"/>
                  <w:tcBorders>
                    <w:bottom w:val="single" w:color="auto" w:sz="12" w:space="0"/>
                  </w:tcBorders>
                  <w:vAlign w:val="center"/>
                </w:tcPr>
                <w:p w14:paraId="05E2C46F">
                  <w:pPr>
                    <w:pStyle w:val="34"/>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jc w:val="center"/>
                    <w:textAlignment w:val="auto"/>
                    <w:rPr>
                      <w:rFonts w:ascii="Times New Roman"/>
                      <w:b/>
                      <w:bCs/>
                      <w:color w:val="auto"/>
                      <w:szCs w:val="21"/>
                    </w:rPr>
                  </w:pPr>
                  <w:r>
                    <w:rPr>
                      <w:rFonts w:ascii="Times New Roman"/>
                      <w:b/>
                      <w:bCs/>
                      <w:color w:val="auto"/>
                      <w:szCs w:val="21"/>
                    </w:rPr>
                    <w:t>经度</w:t>
                  </w:r>
                </w:p>
              </w:tc>
              <w:tc>
                <w:tcPr>
                  <w:tcW w:w="464" w:type="pct"/>
                  <w:tcBorders>
                    <w:bottom w:val="single" w:color="auto" w:sz="12" w:space="0"/>
                  </w:tcBorders>
                  <w:vAlign w:val="center"/>
                </w:tcPr>
                <w:p w14:paraId="67FF5BAC">
                  <w:pPr>
                    <w:pStyle w:val="34"/>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jc w:val="center"/>
                    <w:textAlignment w:val="auto"/>
                    <w:rPr>
                      <w:rFonts w:ascii="Times New Roman"/>
                      <w:b/>
                      <w:bCs/>
                      <w:color w:val="auto"/>
                      <w:szCs w:val="21"/>
                    </w:rPr>
                  </w:pPr>
                  <w:r>
                    <w:rPr>
                      <w:rFonts w:ascii="Times New Roman"/>
                      <w:b/>
                      <w:bCs/>
                      <w:color w:val="auto"/>
                      <w:szCs w:val="21"/>
                    </w:rPr>
                    <w:t>经度</w:t>
                  </w:r>
                </w:p>
              </w:tc>
              <w:tc>
                <w:tcPr>
                  <w:tcW w:w="488" w:type="pct"/>
                  <w:vMerge w:val="continue"/>
                  <w:tcBorders>
                    <w:bottom w:val="single" w:color="auto" w:sz="12" w:space="0"/>
                  </w:tcBorders>
                  <w:vAlign w:val="center"/>
                </w:tcPr>
                <w:p w14:paraId="3C37FF06">
                  <w:pPr>
                    <w:pStyle w:val="34"/>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jc w:val="center"/>
                    <w:textAlignment w:val="auto"/>
                    <w:rPr>
                      <w:rFonts w:ascii="Times New Roman"/>
                      <w:b/>
                      <w:bCs/>
                      <w:color w:val="auto"/>
                      <w:szCs w:val="21"/>
                    </w:rPr>
                  </w:pPr>
                </w:p>
              </w:tc>
              <w:tc>
                <w:tcPr>
                  <w:tcW w:w="449" w:type="pct"/>
                  <w:tcBorders>
                    <w:bottom w:val="single" w:color="auto" w:sz="12" w:space="0"/>
                  </w:tcBorders>
                  <w:vAlign w:val="center"/>
                </w:tcPr>
                <w:p w14:paraId="7B96301C">
                  <w:pPr>
                    <w:pStyle w:val="34"/>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jc w:val="center"/>
                    <w:textAlignment w:val="auto"/>
                    <w:rPr>
                      <w:rFonts w:hint="eastAsia" w:ascii="Times New Roman" w:eastAsia="宋体"/>
                      <w:b/>
                      <w:bCs/>
                      <w:color w:val="auto"/>
                      <w:szCs w:val="21"/>
                      <w:lang w:eastAsia="zh-CN"/>
                    </w:rPr>
                  </w:pPr>
                  <w:r>
                    <w:rPr>
                      <w:rFonts w:ascii="Times New Roman"/>
                      <w:b/>
                      <w:bCs/>
                      <w:color w:val="auto"/>
                      <w:szCs w:val="21"/>
                    </w:rPr>
                    <w:t>排气筒高度</w:t>
                  </w:r>
                  <w:r>
                    <w:rPr>
                      <w:rFonts w:hint="eastAsia" w:ascii="Times New Roman"/>
                      <w:b/>
                      <w:bCs/>
                      <w:color w:val="auto"/>
                      <w:szCs w:val="21"/>
                      <w:lang w:eastAsia="zh-CN"/>
                    </w:rPr>
                    <w:t>（</w:t>
                  </w:r>
                  <w:r>
                    <w:rPr>
                      <w:rFonts w:ascii="Times New Roman"/>
                      <w:b/>
                      <w:bCs/>
                      <w:color w:val="auto"/>
                      <w:szCs w:val="21"/>
                    </w:rPr>
                    <w:t>m</w:t>
                  </w:r>
                  <w:r>
                    <w:rPr>
                      <w:rFonts w:hint="eastAsia" w:ascii="Times New Roman"/>
                      <w:b/>
                      <w:bCs/>
                      <w:color w:val="auto"/>
                      <w:szCs w:val="21"/>
                      <w:lang w:eastAsia="zh-CN"/>
                    </w:rPr>
                    <w:t>）</w:t>
                  </w:r>
                </w:p>
              </w:tc>
              <w:tc>
                <w:tcPr>
                  <w:tcW w:w="409" w:type="pct"/>
                  <w:tcBorders>
                    <w:bottom w:val="single" w:color="auto" w:sz="12" w:space="0"/>
                  </w:tcBorders>
                  <w:vAlign w:val="center"/>
                </w:tcPr>
                <w:p w14:paraId="3B2B881A">
                  <w:pPr>
                    <w:pStyle w:val="34"/>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jc w:val="center"/>
                    <w:textAlignment w:val="auto"/>
                    <w:rPr>
                      <w:rFonts w:hint="eastAsia" w:ascii="Times New Roman" w:eastAsia="宋体"/>
                      <w:b/>
                      <w:bCs/>
                      <w:color w:val="auto"/>
                      <w:szCs w:val="21"/>
                      <w:lang w:eastAsia="zh-CN"/>
                    </w:rPr>
                  </w:pPr>
                  <w:r>
                    <w:rPr>
                      <w:rFonts w:ascii="Times New Roman"/>
                      <w:b/>
                      <w:bCs/>
                      <w:color w:val="auto"/>
                      <w:szCs w:val="21"/>
                    </w:rPr>
                    <w:t>排气筒出口</w:t>
                  </w:r>
                  <w:r>
                    <w:rPr>
                      <w:rFonts w:hint="eastAsia" w:ascii="Times New Roman"/>
                      <w:b/>
                      <w:bCs/>
                      <w:color w:val="auto"/>
                      <w:szCs w:val="21"/>
                      <w:lang w:eastAsia="zh-CN"/>
                    </w:rPr>
                    <w:t>内径（</w:t>
                  </w:r>
                  <w:r>
                    <w:rPr>
                      <w:rFonts w:ascii="Times New Roman"/>
                      <w:b/>
                      <w:bCs/>
                      <w:color w:val="auto"/>
                      <w:szCs w:val="21"/>
                    </w:rPr>
                    <w:t>m</w:t>
                  </w:r>
                  <w:r>
                    <w:rPr>
                      <w:rFonts w:hint="eastAsia" w:ascii="Times New Roman"/>
                      <w:b/>
                      <w:bCs/>
                      <w:color w:val="auto"/>
                      <w:szCs w:val="21"/>
                      <w:lang w:eastAsia="zh-CN"/>
                    </w:rPr>
                    <w:t>）</w:t>
                  </w:r>
                </w:p>
              </w:tc>
              <w:tc>
                <w:tcPr>
                  <w:tcW w:w="404" w:type="pct"/>
                  <w:tcBorders>
                    <w:bottom w:val="single" w:color="auto" w:sz="12" w:space="0"/>
                  </w:tcBorders>
                  <w:vAlign w:val="center"/>
                </w:tcPr>
                <w:p w14:paraId="0AB6C95D">
                  <w:pPr>
                    <w:pStyle w:val="34"/>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jc w:val="center"/>
                    <w:textAlignment w:val="auto"/>
                    <w:rPr>
                      <w:rFonts w:ascii="Times New Roman"/>
                      <w:b/>
                      <w:bCs/>
                      <w:color w:val="auto"/>
                      <w:szCs w:val="21"/>
                    </w:rPr>
                  </w:pPr>
                  <w:r>
                    <w:rPr>
                      <w:rFonts w:ascii="Times New Roman"/>
                      <w:b/>
                      <w:bCs/>
                      <w:color w:val="auto"/>
                      <w:szCs w:val="21"/>
                    </w:rPr>
                    <w:t>烟气</w:t>
                  </w:r>
                </w:p>
                <w:p w14:paraId="42B58DE8">
                  <w:pPr>
                    <w:pStyle w:val="34"/>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jc w:val="center"/>
                    <w:textAlignment w:val="auto"/>
                    <w:rPr>
                      <w:rFonts w:hint="eastAsia" w:ascii="Times New Roman" w:eastAsia="宋体"/>
                      <w:b/>
                      <w:bCs/>
                      <w:color w:val="auto"/>
                      <w:szCs w:val="21"/>
                      <w:lang w:eastAsia="zh-CN"/>
                    </w:rPr>
                  </w:pPr>
                  <w:r>
                    <w:rPr>
                      <w:rFonts w:ascii="Times New Roman"/>
                      <w:b/>
                      <w:bCs/>
                      <w:color w:val="auto"/>
                      <w:szCs w:val="21"/>
                    </w:rPr>
                    <w:t>流速</w:t>
                  </w:r>
                  <w:r>
                    <w:rPr>
                      <w:rFonts w:hint="eastAsia" w:ascii="Times New Roman"/>
                      <w:b/>
                      <w:bCs/>
                      <w:color w:val="auto"/>
                      <w:szCs w:val="21"/>
                      <w:lang w:eastAsia="zh-CN"/>
                    </w:rPr>
                    <w:t>（</w:t>
                  </w:r>
                  <w:r>
                    <w:rPr>
                      <w:rFonts w:ascii="Times New Roman"/>
                      <w:b/>
                      <w:bCs/>
                      <w:color w:val="auto"/>
                      <w:szCs w:val="21"/>
                    </w:rPr>
                    <w:t>m/s</w:t>
                  </w:r>
                  <w:r>
                    <w:rPr>
                      <w:rFonts w:hint="eastAsia" w:ascii="Times New Roman"/>
                      <w:b/>
                      <w:bCs/>
                      <w:color w:val="auto"/>
                      <w:szCs w:val="21"/>
                      <w:lang w:eastAsia="zh-CN"/>
                    </w:rPr>
                    <w:t>）</w:t>
                  </w:r>
                </w:p>
              </w:tc>
              <w:tc>
                <w:tcPr>
                  <w:tcW w:w="444" w:type="pct"/>
                  <w:tcBorders>
                    <w:bottom w:val="single" w:color="auto" w:sz="12" w:space="0"/>
                  </w:tcBorders>
                  <w:vAlign w:val="center"/>
                </w:tcPr>
                <w:p w14:paraId="64B71820">
                  <w:pPr>
                    <w:pStyle w:val="34"/>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jc w:val="center"/>
                    <w:textAlignment w:val="auto"/>
                    <w:rPr>
                      <w:rFonts w:hint="eastAsia" w:ascii="Times New Roman" w:eastAsia="宋体"/>
                      <w:b/>
                      <w:bCs/>
                      <w:color w:val="auto"/>
                      <w:szCs w:val="21"/>
                      <w:lang w:eastAsia="zh-CN"/>
                    </w:rPr>
                  </w:pPr>
                  <w:r>
                    <w:rPr>
                      <w:rFonts w:ascii="Times New Roman"/>
                      <w:b/>
                      <w:bCs/>
                      <w:color w:val="auto"/>
                      <w:szCs w:val="21"/>
                    </w:rPr>
                    <w:t>烟气温度</w:t>
                  </w:r>
                  <w:r>
                    <w:rPr>
                      <w:rFonts w:hint="eastAsia" w:ascii="Times New Roman"/>
                      <w:b/>
                      <w:bCs/>
                      <w:color w:val="auto"/>
                      <w:szCs w:val="21"/>
                      <w:lang w:eastAsia="zh-CN"/>
                    </w:rPr>
                    <w:t>（</w:t>
                  </w:r>
                  <w:r>
                    <w:rPr>
                      <w:rFonts w:ascii="Times New Roman"/>
                      <w:b/>
                      <w:bCs/>
                      <w:color w:val="auto"/>
                      <w:szCs w:val="21"/>
                    </w:rPr>
                    <w:t>℃</w:t>
                  </w:r>
                  <w:r>
                    <w:rPr>
                      <w:rFonts w:hint="eastAsia" w:ascii="Times New Roman"/>
                      <w:b/>
                      <w:bCs/>
                      <w:color w:val="auto"/>
                      <w:szCs w:val="21"/>
                      <w:lang w:eastAsia="zh-CN"/>
                    </w:rPr>
                    <w:t>）</w:t>
                  </w:r>
                </w:p>
              </w:tc>
              <w:tc>
                <w:tcPr>
                  <w:tcW w:w="458" w:type="pct"/>
                  <w:tcBorders>
                    <w:bottom w:val="single" w:color="auto" w:sz="12" w:space="0"/>
                  </w:tcBorders>
                  <w:vAlign w:val="center"/>
                </w:tcPr>
                <w:p w14:paraId="0F7E8FD7">
                  <w:pPr>
                    <w:pStyle w:val="34"/>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jc w:val="center"/>
                    <w:textAlignment w:val="auto"/>
                    <w:rPr>
                      <w:rFonts w:ascii="Times New Roman"/>
                      <w:b/>
                      <w:bCs/>
                      <w:color w:val="auto"/>
                      <w:szCs w:val="21"/>
                    </w:rPr>
                  </w:pPr>
                  <w:r>
                    <w:rPr>
                      <w:rFonts w:ascii="Times New Roman"/>
                      <w:b/>
                      <w:bCs/>
                      <w:color w:val="auto"/>
                      <w:szCs w:val="21"/>
                    </w:rPr>
                    <w:t>年排放小时数</w:t>
                  </w:r>
                  <w:r>
                    <w:rPr>
                      <w:rFonts w:hint="eastAsia" w:ascii="Times New Roman"/>
                      <w:b/>
                      <w:bCs/>
                      <w:color w:val="auto"/>
                      <w:szCs w:val="21"/>
                      <w:lang w:eastAsia="zh-CN"/>
                    </w:rPr>
                    <w:t>（</w:t>
                  </w:r>
                  <w:r>
                    <w:rPr>
                      <w:rFonts w:hint="eastAsia" w:ascii="Times New Roman"/>
                      <w:b/>
                      <w:bCs/>
                      <w:color w:val="auto"/>
                      <w:szCs w:val="21"/>
                      <w:lang w:val="en-US" w:eastAsia="zh-CN"/>
                    </w:rPr>
                    <w:t>h</w:t>
                  </w:r>
                  <w:r>
                    <w:rPr>
                      <w:rFonts w:hint="eastAsia" w:ascii="Times New Roman"/>
                      <w:b/>
                      <w:bCs/>
                      <w:color w:val="auto"/>
                      <w:szCs w:val="21"/>
                      <w:lang w:eastAsia="zh-CN"/>
                    </w:rPr>
                    <w:t>）</w:t>
                  </w:r>
                </w:p>
              </w:tc>
              <w:tc>
                <w:tcPr>
                  <w:tcW w:w="263" w:type="pct"/>
                  <w:tcBorders>
                    <w:bottom w:val="single" w:color="auto" w:sz="12" w:space="0"/>
                  </w:tcBorders>
                  <w:vAlign w:val="center"/>
                </w:tcPr>
                <w:p w14:paraId="7CEA2D3E">
                  <w:pPr>
                    <w:pStyle w:val="34"/>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jc w:val="center"/>
                    <w:textAlignment w:val="auto"/>
                    <w:rPr>
                      <w:rFonts w:ascii="Times New Roman"/>
                      <w:b/>
                      <w:bCs/>
                      <w:color w:val="auto"/>
                      <w:szCs w:val="21"/>
                    </w:rPr>
                  </w:pPr>
                  <w:r>
                    <w:rPr>
                      <w:rFonts w:ascii="Times New Roman"/>
                      <w:b/>
                      <w:bCs/>
                      <w:color w:val="auto"/>
                      <w:szCs w:val="21"/>
                    </w:rPr>
                    <w:t>排放工况</w:t>
                  </w:r>
                </w:p>
              </w:tc>
              <w:tc>
                <w:tcPr>
                  <w:tcW w:w="305" w:type="pct"/>
                  <w:tcBorders>
                    <w:bottom w:val="single" w:color="auto" w:sz="12" w:space="0"/>
                  </w:tcBorders>
                  <w:vAlign w:val="center"/>
                </w:tcPr>
                <w:p w14:paraId="2F983AA2">
                  <w:pPr>
                    <w:pStyle w:val="34"/>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jc w:val="center"/>
                    <w:textAlignment w:val="auto"/>
                    <w:rPr>
                      <w:rFonts w:ascii="Times New Roman"/>
                      <w:b/>
                      <w:bCs/>
                      <w:color w:val="auto"/>
                      <w:szCs w:val="21"/>
                    </w:rPr>
                  </w:pPr>
                  <w:r>
                    <w:rPr>
                      <w:rFonts w:ascii="Times New Roman"/>
                      <w:b/>
                      <w:bCs/>
                      <w:color w:val="auto"/>
                      <w:szCs w:val="21"/>
                    </w:rPr>
                    <w:t>污染源名称</w:t>
                  </w:r>
                </w:p>
              </w:tc>
              <w:tc>
                <w:tcPr>
                  <w:tcW w:w="497" w:type="pct"/>
                  <w:tcBorders>
                    <w:bottom w:val="single" w:color="auto" w:sz="12" w:space="0"/>
                  </w:tcBorders>
                  <w:vAlign w:val="center"/>
                </w:tcPr>
                <w:p w14:paraId="07FFDFB9">
                  <w:pPr>
                    <w:pStyle w:val="34"/>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jc w:val="center"/>
                    <w:textAlignment w:val="auto"/>
                    <w:rPr>
                      <w:rFonts w:hint="eastAsia" w:ascii="Times New Roman" w:eastAsia="宋体"/>
                      <w:b/>
                      <w:bCs/>
                      <w:color w:val="auto"/>
                      <w:szCs w:val="21"/>
                      <w:lang w:eastAsia="zh-CN"/>
                    </w:rPr>
                  </w:pPr>
                  <w:r>
                    <w:rPr>
                      <w:rFonts w:ascii="Times New Roman"/>
                      <w:b/>
                      <w:bCs/>
                      <w:color w:val="auto"/>
                      <w:szCs w:val="21"/>
                    </w:rPr>
                    <w:t>污染物排放速率</w:t>
                  </w:r>
                  <w:r>
                    <w:rPr>
                      <w:rFonts w:hint="eastAsia" w:ascii="Times New Roman"/>
                      <w:b/>
                      <w:bCs/>
                      <w:color w:val="auto"/>
                      <w:szCs w:val="21"/>
                      <w:lang w:eastAsia="zh-CN"/>
                    </w:rPr>
                    <w:t>（</w:t>
                  </w:r>
                  <w:r>
                    <w:rPr>
                      <w:rFonts w:ascii="Times New Roman"/>
                      <w:b/>
                      <w:bCs/>
                      <w:color w:val="auto"/>
                      <w:szCs w:val="21"/>
                    </w:rPr>
                    <w:t>kg/h</w:t>
                  </w:r>
                  <w:r>
                    <w:rPr>
                      <w:rFonts w:hint="eastAsia" w:ascii="Times New Roman"/>
                      <w:b/>
                      <w:bCs/>
                      <w:color w:val="auto"/>
                      <w:szCs w:val="21"/>
                      <w:lang w:eastAsia="zh-CN"/>
                    </w:rPr>
                    <w:t>）</w:t>
                  </w:r>
                </w:p>
              </w:tc>
            </w:tr>
            <w:tr w14:paraId="7147FB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8" w:type="pct"/>
                  <w:tcBorders>
                    <w:top w:val="single" w:color="auto" w:sz="12" w:space="0"/>
                    <w:bottom w:val="single" w:color="auto" w:sz="4" w:space="0"/>
                  </w:tcBorders>
                  <w:vAlign w:val="center"/>
                </w:tcPr>
                <w:p w14:paraId="27F3105C">
                  <w:pPr>
                    <w:pStyle w:val="34"/>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jc w:val="center"/>
                    <w:textAlignment w:val="auto"/>
                    <w:rPr>
                      <w:rFonts w:ascii="Times New Roman"/>
                      <w:color w:val="auto"/>
                      <w:szCs w:val="21"/>
                    </w:rPr>
                  </w:pPr>
                  <w:r>
                    <w:rPr>
                      <w:rFonts w:ascii="Times New Roman"/>
                      <w:color w:val="auto"/>
                      <w:szCs w:val="21"/>
                    </w:rPr>
                    <w:t>DA001</w:t>
                  </w:r>
                </w:p>
              </w:tc>
              <w:tc>
                <w:tcPr>
                  <w:tcW w:w="464" w:type="pct"/>
                  <w:tcBorders>
                    <w:top w:val="single" w:color="auto" w:sz="12" w:space="0"/>
                    <w:bottom w:val="single" w:color="auto" w:sz="4" w:space="0"/>
                  </w:tcBorders>
                  <w:vAlign w:val="center"/>
                </w:tcPr>
                <w:p w14:paraId="1857BE2E">
                  <w:pPr>
                    <w:pStyle w:val="34"/>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jc w:val="center"/>
                    <w:textAlignment w:val="auto"/>
                    <w:rPr>
                      <w:rFonts w:hint="default" w:ascii="Times New Roman" w:eastAsia="宋体"/>
                      <w:color w:val="auto"/>
                      <w:szCs w:val="21"/>
                      <w:lang w:val="en-US" w:eastAsia="zh-CN"/>
                    </w:rPr>
                  </w:pPr>
                  <w:r>
                    <w:rPr>
                      <w:rFonts w:hint="default" w:ascii="Times New Roman" w:hAnsi="Times New Roman" w:eastAsia="宋体" w:cs="Times New Roman"/>
                      <w:color w:val="auto"/>
                      <w:szCs w:val="21"/>
                      <w:lang w:val="en-US" w:eastAsia="zh-CN"/>
                    </w:rPr>
                    <w:t>8</w:t>
                  </w:r>
                  <w:r>
                    <w:rPr>
                      <w:rFonts w:hint="eastAsia" w:ascii="Times New Roman" w:cs="Times New Roman"/>
                      <w:color w:val="auto"/>
                      <w:szCs w:val="21"/>
                      <w:lang w:val="en-US" w:eastAsia="zh-CN"/>
                    </w:rPr>
                    <w:t>8</w:t>
                  </w:r>
                  <w:r>
                    <w:rPr>
                      <w:rFonts w:hint="default" w:ascii="Times New Roman" w:hAnsi="Times New Roman" w:eastAsia="宋体" w:cs="Times New Roman"/>
                      <w:color w:val="auto"/>
                      <w:szCs w:val="21"/>
                      <w:lang w:val="en-US" w:eastAsia="zh-CN"/>
                    </w:rPr>
                    <w:t>°</w:t>
                  </w:r>
                  <w:r>
                    <w:rPr>
                      <w:rFonts w:hint="eastAsia" w:ascii="Times New Roman" w:cs="Times New Roman"/>
                      <w:color w:val="auto"/>
                      <w:szCs w:val="21"/>
                      <w:lang w:val="en-US" w:eastAsia="zh-CN"/>
                    </w:rPr>
                    <w:t>20</w:t>
                  </w:r>
                  <w:r>
                    <w:rPr>
                      <w:rFonts w:hint="default" w:ascii="Times New Roman" w:hAnsi="Times New Roman" w:eastAsia="宋体" w:cs="Times New Roman"/>
                      <w:color w:val="auto"/>
                      <w:szCs w:val="21"/>
                      <w:lang w:val="en-US" w:eastAsia="zh-CN"/>
                    </w:rPr>
                    <w:t>′</w:t>
                  </w:r>
                  <w:r>
                    <w:rPr>
                      <w:rFonts w:hint="eastAsia" w:ascii="Times New Roman" w:cs="Times New Roman"/>
                      <w:color w:val="auto"/>
                      <w:szCs w:val="21"/>
                      <w:lang w:val="en-US" w:eastAsia="zh-CN"/>
                    </w:rPr>
                    <w:t>04.561</w:t>
                  </w:r>
                  <w:r>
                    <w:rPr>
                      <w:rFonts w:hint="default" w:ascii="Times New Roman" w:hAnsi="Times New Roman" w:eastAsia="宋体" w:cs="Times New Roman"/>
                      <w:color w:val="auto"/>
                      <w:szCs w:val="21"/>
                      <w:lang w:val="en-US" w:eastAsia="zh-CN"/>
                    </w:rPr>
                    <w:t>″</w:t>
                  </w:r>
                </w:p>
              </w:tc>
              <w:tc>
                <w:tcPr>
                  <w:tcW w:w="464" w:type="pct"/>
                  <w:tcBorders>
                    <w:top w:val="single" w:color="auto" w:sz="12" w:space="0"/>
                    <w:bottom w:val="single" w:color="auto" w:sz="4" w:space="0"/>
                  </w:tcBorders>
                  <w:vAlign w:val="center"/>
                </w:tcPr>
                <w:p w14:paraId="7FA6AD6F">
                  <w:pPr>
                    <w:pStyle w:val="34"/>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jc w:val="center"/>
                    <w:textAlignment w:val="auto"/>
                    <w:rPr>
                      <w:rFonts w:ascii="Times New Roman"/>
                      <w:color w:val="auto"/>
                      <w:szCs w:val="21"/>
                    </w:rPr>
                  </w:pPr>
                  <w:r>
                    <w:rPr>
                      <w:rFonts w:ascii="Times New Roman"/>
                      <w:color w:val="auto"/>
                      <w:szCs w:val="21"/>
                    </w:rPr>
                    <w:t>4</w:t>
                  </w:r>
                  <w:r>
                    <w:rPr>
                      <w:rFonts w:hint="eastAsia" w:ascii="Times New Roman"/>
                      <w:color w:val="auto"/>
                      <w:szCs w:val="21"/>
                      <w:lang w:val="en-US" w:eastAsia="zh-CN"/>
                    </w:rPr>
                    <w:t>4</w:t>
                  </w:r>
                  <w:r>
                    <w:rPr>
                      <w:rFonts w:ascii="Times New Roman"/>
                      <w:color w:val="auto"/>
                      <w:szCs w:val="21"/>
                    </w:rPr>
                    <w:t>°</w:t>
                  </w:r>
                  <w:r>
                    <w:rPr>
                      <w:rFonts w:hint="eastAsia" w:ascii="Times New Roman"/>
                      <w:color w:val="auto"/>
                      <w:szCs w:val="21"/>
                      <w:lang w:val="en-US" w:eastAsia="zh-CN"/>
                    </w:rPr>
                    <w:t>06</w:t>
                  </w:r>
                  <w:r>
                    <w:rPr>
                      <w:rFonts w:ascii="Times New Roman"/>
                      <w:color w:val="auto"/>
                      <w:szCs w:val="21"/>
                    </w:rPr>
                    <w:t>′</w:t>
                  </w:r>
                  <w:r>
                    <w:rPr>
                      <w:rFonts w:hint="eastAsia" w:ascii="Times New Roman"/>
                      <w:color w:val="auto"/>
                      <w:szCs w:val="21"/>
                      <w:lang w:val="en-US" w:eastAsia="zh-CN"/>
                    </w:rPr>
                    <w:t>20.970</w:t>
                  </w:r>
                  <w:r>
                    <w:rPr>
                      <w:rFonts w:ascii="Times New Roman"/>
                      <w:color w:val="auto"/>
                      <w:szCs w:val="21"/>
                    </w:rPr>
                    <w:t>″</w:t>
                  </w:r>
                </w:p>
              </w:tc>
              <w:tc>
                <w:tcPr>
                  <w:tcW w:w="488" w:type="pct"/>
                  <w:tcBorders>
                    <w:top w:val="single" w:color="auto" w:sz="12" w:space="0"/>
                    <w:bottom w:val="single" w:color="auto" w:sz="4" w:space="0"/>
                  </w:tcBorders>
                  <w:vAlign w:val="center"/>
                </w:tcPr>
                <w:p w14:paraId="3D6CD655">
                  <w:pPr>
                    <w:pStyle w:val="34"/>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jc w:val="center"/>
                    <w:textAlignment w:val="auto"/>
                    <w:rPr>
                      <w:rFonts w:hint="default" w:ascii="Times New Roman" w:eastAsia="宋体"/>
                      <w:color w:val="auto"/>
                      <w:szCs w:val="21"/>
                      <w:lang w:val="en-US" w:eastAsia="zh-CN"/>
                    </w:rPr>
                  </w:pPr>
                  <w:r>
                    <w:rPr>
                      <w:rFonts w:hint="eastAsia" w:ascii="Times New Roman"/>
                      <w:color w:val="auto"/>
                      <w:szCs w:val="21"/>
                      <w:lang w:val="en-US" w:eastAsia="zh-CN"/>
                    </w:rPr>
                    <w:t>872</w:t>
                  </w:r>
                </w:p>
              </w:tc>
              <w:tc>
                <w:tcPr>
                  <w:tcW w:w="449" w:type="pct"/>
                  <w:tcBorders>
                    <w:top w:val="single" w:color="auto" w:sz="12" w:space="0"/>
                    <w:bottom w:val="single" w:color="auto" w:sz="4" w:space="0"/>
                  </w:tcBorders>
                  <w:vAlign w:val="center"/>
                </w:tcPr>
                <w:p w14:paraId="13B01737">
                  <w:pPr>
                    <w:pStyle w:val="34"/>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jc w:val="center"/>
                    <w:textAlignment w:val="auto"/>
                    <w:rPr>
                      <w:rFonts w:ascii="Times New Roman"/>
                      <w:color w:val="auto"/>
                      <w:szCs w:val="21"/>
                    </w:rPr>
                  </w:pPr>
                  <w:r>
                    <w:rPr>
                      <w:rFonts w:ascii="Times New Roman"/>
                      <w:color w:val="auto"/>
                      <w:szCs w:val="21"/>
                    </w:rPr>
                    <w:t>15</w:t>
                  </w:r>
                </w:p>
              </w:tc>
              <w:tc>
                <w:tcPr>
                  <w:tcW w:w="409" w:type="pct"/>
                  <w:tcBorders>
                    <w:top w:val="single" w:color="auto" w:sz="12" w:space="0"/>
                    <w:bottom w:val="single" w:color="auto" w:sz="4" w:space="0"/>
                  </w:tcBorders>
                  <w:vAlign w:val="center"/>
                </w:tcPr>
                <w:p w14:paraId="7E02990D">
                  <w:pPr>
                    <w:pStyle w:val="34"/>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jc w:val="center"/>
                    <w:textAlignment w:val="auto"/>
                    <w:rPr>
                      <w:rFonts w:ascii="Times New Roman"/>
                      <w:color w:val="auto"/>
                      <w:szCs w:val="21"/>
                    </w:rPr>
                  </w:pPr>
                  <w:r>
                    <w:rPr>
                      <w:rFonts w:ascii="Times New Roman"/>
                      <w:color w:val="auto"/>
                      <w:szCs w:val="21"/>
                      <w:lang w:bidi="ar"/>
                    </w:rPr>
                    <w:t>0.3</w:t>
                  </w:r>
                </w:p>
              </w:tc>
              <w:tc>
                <w:tcPr>
                  <w:tcW w:w="404" w:type="pct"/>
                  <w:tcBorders>
                    <w:top w:val="single" w:color="auto" w:sz="12" w:space="0"/>
                    <w:bottom w:val="single" w:color="auto" w:sz="4" w:space="0"/>
                  </w:tcBorders>
                  <w:vAlign w:val="center"/>
                </w:tcPr>
                <w:p w14:paraId="52EC2D88">
                  <w:pPr>
                    <w:pStyle w:val="34"/>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jc w:val="center"/>
                    <w:textAlignment w:val="auto"/>
                    <w:rPr>
                      <w:rFonts w:hint="default" w:ascii="Times New Roman" w:eastAsia="宋体"/>
                      <w:color w:val="auto"/>
                      <w:szCs w:val="21"/>
                      <w:lang w:val="en-US" w:eastAsia="zh-CN"/>
                    </w:rPr>
                  </w:pPr>
                  <w:r>
                    <w:rPr>
                      <w:rFonts w:hint="eastAsia" w:ascii="Times New Roman"/>
                      <w:color w:val="auto"/>
                      <w:szCs w:val="21"/>
                      <w:lang w:val="en-US" w:eastAsia="zh-CN" w:bidi="ar"/>
                    </w:rPr>
                    <w:t>19</w:t>
                  </w:r>
                </w:p>
              </w:tc>
              <w:tc>
                <w:tcPr>
                  <w:tcW w:w="444" w:type="pct"/>
                  <w:tcBorders>
                    <w:top w:val="single" w:color="auto" w:sz="12" w:space="0"/>
                    <w:bottom w:val="single" w:color="auto" w:sz="4" w:space="0"/>
                  </w:tcBorders>
                  <w:vAlign w:val="center"/>
                </w:tcPr>
                <w:p w14:paraId="603455C5">
                  <w:pPr>
                    <w:pStyle w:val="34"/>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jc w:val="center"/>
                    <w:textAlignment w:val="auto"/>
                    <w:rPr>
                      <w:rFonts w:hint="default" w:ascii="Times New Roman" w:eastAsia="宋体"/>
                      <w:color w:val="auto"/>
                      <w:szCs w:val="21"/>
                      <w:lang w:val="en-US" w:eastAsia="zh-CN"/>
                    </w:rPr>
                  </w:pPr>
                  <w:r>
                    <w:rPr>
                      <w:rFonts w:hint="eastAsia" w:ascii="Times New Roman"/>
                      <w:color w:val="auto"/>
                      <w:szCs w:val="21"/>
                      <w:lang w:val="en-US" w:eastAsia="zh-CN"/>
                    </w:rPr>
                    <w:t>65</w:t>
                  </w:r>
                </w:p>
              </w:tc>
              <w:tc>
                <w:tcPr>
                  <w:tcW w:w="458" w:type="pct"/>
                  <w:tcBorders>
                    <w:top w:val="single" w:color="auto" w:sz="12" w:space="0"/>
                    <w:bottom w:val="single" w:color="auto" w:sz="4" w:space="0"/>
                  </w:tcBorders>
                  <w:vAlign w:val="center"/>
                </w:tcPr>
                <w:p w14:paraId="5C2DF0D3">
                  <w:pPr>
                    <w:pStyle w:val="34"/>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jc w:val="center"/>
                    <w:textAlignment w:val="auto"/>
                    <w:rPr>
                      <w:rFonts w:hint="default" w:ascii="Times New Roman" w:eastAsia="宋体"/>
                      <w:color w:val="auto"/>
                      <w:szCs w:val="21"/>
                      <w:lang w:val="en-US" w:eastAsia="zh-CN"/>
                    </w:rPr>
                  </w:pPr>
                  <w:r>
                    <w:rPr>
                      <w:rFonts w:hint="eastAsia" w:ascii="Times New Roman"/>
                      <w:color w:val="auto"/>
                      <w:szCs w:val="21"/>
                      <w:lang w:val="en-US" w:eastAsia="zh-CN"/>
                    </w:rPr>
                    <w:t>2400</w:t>
                  </w:r>
                </w:p>
              </w:tc>
              <w:tc>
                <w:tcPr>
                  <w:tcW w:w="263" w:type="pct"/>
                  <w:tcBorders>
                    <w:top w:val="single" w:color="auto" w:sz="12" w:space="0"/>
                    <w:bottom w:val="single" w:color="auto" w:sz="4" w:space="0"/>
                  </w:tcBorders>
                  <w:vAlign w:val="center"/>
                </w:tcPr>
                <w:p w14:paraId="1D6D07EB">
                  <w:pPr>
                    <w:pStyle w:val="34"/>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jc w:val="center"/>
                    <w:textAlignment w:val="auto"/>
                    <w:rPr>
                      <w:rFonts w:ascii="Times New Roman"/>
                      <w:color w:val="auto"/>
                      <w:szCs w:val="21"/>
                    </w:rPr>
                  </w:pPr>
                  <w:r>
                    <w:rPr>
                      <w:rFonts w:ascii="Times New Roman"/>
                      <w:color w:val="auto"/>
                      <w:szCs w:val="21"/>
                    </w:rPr>
                    <w:t>正常</w:t>
                  </w:r>
                </w:p>
              </w:tc>
              <w:tc>
                <w:tcPr>
                  <w:tcW w:w="305" w:type="pct"/>
                  <w:tcBorders>
                    <w:top w:val="single" w:color="auto" w:sz="12" w:space="0"/>
                    <w:bottom w:val="single" w:color="auto" w:sz="4" w:space="0"/>
                  </w:tcBorders>
                  <w:vAlign w:val="center"/>
                </w:tcPr>
                <w:p w14:paraId="6E587AF4">
                  <w:pPr>
                    <w:pStyle w:val="34"/>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jc w:val="center"/>
                    <w:textAlignment w:val="auto"/>
                    <w:rPr>
                      <w:rFonts w:hint="default" w:ascii="Times New Roman" w:eastAsia="宋体"/>
                      <w:color w:val="auto"/>
                      <w:szCs w:val="21"/>
                      <w:lang w:val="en-US" w:eastAsia="zh-CN"/>
                    </w:rPr>
                  </w:pPr>
                  <w:r>
                    <w:rPr>
                      <w:rFonts w:hint="eastAsia" w:ascii="Times New Roman"/>
                      <w:color w:val="auto"/>
                      <w:spacing w:val="-40"/>
                      <w:sz w:val="21"/>
                      <w:szCs w:val="21"/>
                      <w:lang w:val="en-US" w:eastAsia="zh-CN"/>
                    </w:rPr>
                    <w:t>颗粒物</w:t>
                  </w:r>
                </w:p>
              </w:tc>
              <w:tc>
                <w:tcPr>
                  <w:tcW w:w="497" w:type="pct"/>
                  <w:tcBorders>
                    <w:top w:val="single" w:color="auto" w:sz="12" w:space="0"/>
                    <w:bottom w:val="single" w:color="auto" w:sz="4" w:space="0"/>
                  </w:tcBorders>
                  <w:vAlign w:val="center"/>
                </w:tcPr>
                <w:p w14:paraId="0D41556C">
                  <w:pPr>
                    <w:pStyle w:val="34"/>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jc w:val="center"/>
                    <w:textAlignment w:val="auto"/>
                    <w:rPr>
                      <w:rFonts w:hint="default" w:ascii="Times New Roman" w:eastAsia="宋体"/>
                      <w:color w:val="auto"/>
                      <w:szCs w:val="21"/>
                      <w:lang w:val="en-US" w:eastAsia="zh-CN"/>
                    </w:rPr>
                  </w:pPr>
                  <w:r>
                    <w:rPr>
                      <w:rFonts w:hint="eastAsia" w:ascii="Times New Roman"/>
                      <w:color w:val="auto"/>
                      <w:szCs w:val="21"/>
                      <w:lang w:val="en-US" w:eastAsia="zh-CN"/>
                    </w:rPr>
                    <w:t>1.687</w:t>
                  </w:r>
                </w:p>
              </w:tc>
            </w:tr>
          </w:tbl>
          <w:p w14:paraId="3541B4AC">
            <w:pPr>
              <w:pStyle w:val="7"/>
              <w:keepNext w:val="0"/>
              <w:keepLines w:val="0"/>
              <w:pageBreakBefore w:val="0"/>
              <w:widowControl/>
              <w:kinsoku/>
              <w:wordWrap/>
              <w:overflowPunct/>
              <w:topLinePunct w:val="0"/>
              <w:autoSpaceDE/>
              <w:autoSpaceDN/>
              <w:bidi w:val="0"/>
              <w:adjustRightInd/>
              <w:snapToGrid/>
              <w:spacing w:before="0" w:after="0" w:line="520" w:lineRule="exact"/>
              <w:ind w:right="0" w:firstLine="480" w:firstLineChars="200"/>
              <w:textAlignment w:val="auto"/>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本项目大气污染物排放量核算见下表。</w:t>
            </w:r>
          </w:p>
          <w:p w14:paraId="221DA4D5">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b/>
                <w:bCs w:val="0"/>
                <w:color w:val="auto"/>
                <w:sz w:val="21"/>
                <w:szCs w:val="21"/>
              </w:rPr>
            </w:pPr>
            <w:r>
              <w:rPr>
                <w:rFonts w:hint="eastAsia" w:cs="Times New Roman"/>
                <w:b/>
                <w:bCs w:val="0"/>
                <w:color w:val="auto"/>
                <w:sz w:val="21"/>
                <w:szCs w:val="21"/>
                <w:lang w:val="en-US" w:eastAsia="zh-CN"/>
              </w:rPr>
              <w:t xml:space="preserve">表4-3    </w:t>
            </w:r>
            <w:r>
              <w:rPr>
                <w:b/>
                <w:bCs w:val="0"/>
                <w:color w:val="auto"/>
                <w:sz w:val="21"/>
                <w:szCs w:val="21"/>
              </w:rPr>
              <w:t>大气污染物有组织排放量核算表</w:t>
            </w:r>
          </w:p>
          <w:tbl>
            <w:tblPr>
              <w:tblStyle w:val="28"/>
              <w:tblW w:w="4993"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81"/>
              <w:gridCol w:w="1012"/>
              <w:gridCol w:w="1535"/>
              <w:gridCol w:w="1678"/>
              <w:gridCol w:w="1107"/>
              <w:gridCol w:w="1543"/>
            </w:tblGrid>
            <w:tr w14:paraId="4932A1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786" w:type="pct"/>
                  <w:tcBorders>
                    <w:tl2br w:val="nil"/>
                    <w:tr2bl w:val="nil"/>
                  </w:tcBorders>
                  <w:vAlign w:val="center"/>
                </w:tcPr>
                <w:p w14:paraId="67EE1FD9">
                  <w:pPr>
                    <w:adjustRightInd w:val="0"/>
                    <w:snapToGrid w:val="0"/>
                    <w:jc w:val="center"/>
                    <w:rPr>
                      <w:color w:val="auto"/>
                      <w:kern w:val="0"/>
                      <w:szCs w:val="21"/>
                    </w:rPr>
                  </w:pPr>
                  <w:r>
                    <w:rPr>
                      <w:color w:val="auto"/>
                      <w:kern w:val="0"/>
                      <w:szCs w:val="21"/>
                    </w:rPr>
                    <w:t>序号</w:t>
                  </w:r>
                </w:p>
              </w:tc>
              <w:tc>
                <w:tcPr>
                  <w:tcW w:w="620" w:type="pct"/>
                  <w:tcBorders>
                    <w:tl2br w:val="nil"/>
                    <w:tr2bl w:val="nil"/>
                  </w:tcBorders>
                  <w:vAlign w:val="center"/>
                </w:tcPr>
                <w:p w14:paraId="6CC9C391">
                  <w:pPr>
                    <w:adjustRightInd w:val="0"/>
                    <w:snapToGrid w:val="0"/>
                    <w:jc w:val="center"/>
                    <w:rPr>
                      <w:color w:val="auto"/>
                      <w:kern w:val="0"/>
                      <w:szCs w:val="21"/>
                    </w:rPr>
                  </w:pPr>
                  <w:r>
                    <w:rPr>
                      <w:color w:val="auto"/>
                      <w:kern w:val="0"/>
                      <w:szCs w:val="21"/>
                    </w:rPr>
                    <w:t>排放口编号</w:t>
                  </w:r>
                </w:p>
              </w:tc>
              <w:tc>
                <w:tcPr>
                  <w:tcW w:w="940" w:type="pct"/>
                  <w:tcBorders>
                    <w:tl2br w:val="nil"/>
                    <w:tr2bl w:val="nil"/>
                  </w:tcBorders>
                  <w:vAlign w:val="center"/>
                </w:tcPr>
                <w:p w14:paraId="38D165C9">
                  <w:pPr>
                    <w:adjustRightInd w:val="0"/>
                    <w:snapToGrid w:val="0"/>
                    <w:jc w:val="center"/>
                    <w:rPr>
                      <w:color w:val="auto"/>
                      <w:kern w:val="0"/>
                      <w:szCs w:val="21"/>
                    </w:rPr>
                  </w:pPr>
                  <w:r>
                    <w:rPr>
                      <w:color w:val="auto"/>
                      <w:kern w:val="0"/>
                      <w:szCs w:val="21"/>
                    </w:rPr>
                    <w:t>污染物</w:t>
                  </w:r>
                </w:p>
              </w:tc>
              <w:tc>
                <w:tcPr>
                  <w:tcW w:w="1029" w:type="pct"/>
                  <w:tcBorders>
                    <w:tl2br w:val="nil"/>
                    <w:tr2bl w:val="nil"/>
                  </w:tcBorders>
                  <w:vAlign w:val="center"/>
                </w:tcPr>
                <w:p w14:paraId="2E87D72A">
                  <w:pPr>
                    <w:adjustRightInd w:val="0"/>
                    <w:snapToGrid w:val="0"/>
                    <w:jc w:val="center"/>
                    <w:rPr>
                      <w:color w:val="auto"/>
                      <w:kern w:val="0"/>
                      <w:szCs w:val="21"/>
                    </w:rPr>
                  </w:pPr>
                  <w:r>
                    <w:rPr>
                      <w:color w:val="auto"/>
                      <w:kern w:val="0"/>
                      <w:szCs w:val="21"/>
                    </w:rPr>
                    <w:t>核算排放浓度/</w:t>
                  </w:r>
                  <w:r>
                    <w:rPr>
                      <w:color w:val="auto"/>
                      <w:spacing w:val="-11"/>
                      <w:kern w:val="0"/>
                      <w:szCs w:val="21"/>
                    </w:rPr>
                    <w:t>（mg/m</w:t>
                  </w:r>
                  <w:r>
                    <w:rPr>
                      <w:color w:val="auto"/>
                      <w:spacing w:val="-11"/>
                      <w:kern w:val="0"/>
                      <w:szCs w:val="21"/>
                      <w:vertAlign w:val="superscript"/>
                    </w:rPr>
                    <w:t>3</w:t>
                  </w:r>
                  <w:r>
                    <w:rPr>
                      <w:color w:val="auto"/>
                      <w:spacing w:val="-11"/>
                      <w:kern w:val="0"/>
                      <w:szCs w:val="21"/>
                    </w:rPr>
                    <w:t>）</w:t>
                  </w:r>
                </w:p>
              </w:tc>
              <w:tc>
                <w:tcPr>
                  <w:tcW w:w="678" w:type="pct"/>
                  <w:tcBorders>
                    <w:tl2br w:val="nil"/>
                    <w:tr2bl w:val="nil"/>
                  </w:tcBorders>
                  <w:vAlign w:val="center"/>
                </w:tcPr>
                <w:p w14:paraId="3E0867E1">
                  <w:pPr>
                    <w:adjustRightInd w:val="0"/>
                    <w:snapToGrid w:val="0"/>
                    <w:jc w:val="center"/>
                    <w:rPr>
                      <w:color w:val="auto"/>
                      <w:kern w:val="0"/>
                      <w:szCs w:val="21"/>
                    </w:rPr>
                  </w:pPr>
                  <w:r>
                    <w:rPr>
                      <w:color w:val="auto"/>
                      <w:spacing w:val="-11"/>
                      <w:kern w:val="0"/>
                      <w:szCs w:val="21"/>
                    </w:rPr>
                    <w:t>核算排放速率/（kg/h）</w:t>
                  </w:r>
                </w:p>
              </w:tc>
              <w:tc>
                <w:tcPr>
                  <w:tcW w:w="943" w:type="pct"/>
                  <w:tcBorders>
                    <w:tl2br w:val="nil"/>
                    <w:tr2bl w:val="nil"/>
                  </w:tcBorders>
                  <w:vAlign w:val="center"/>
                </w:tcPr>
                <w:p w14:paraId="2ED3A449">
                  <w:pPr>
                    <w:adjustRightInd w:val="0"/>
                    <w:snapToGrid w:val="0"/>
                    <w:jc w:val="center"/>
                    <w:rPr>
                      <w:color w:val="auto"/>
                      <w:kern w:val="0"/>
                      <w:szCs w:val="21"/>
                    </w:rPr>
                  </w:pPr>
                  <w:r>
                    <w:rPr>
                      <w:color w:val="auto"/>
                      <w:kern w:val="0"/>
                      <w:szCs w:val="21"/>
                    </w:rPr>
                    <w:t>核算年排放量/（t/a）</w:t>
                  </w:r>
                </w:p>
              </w:tc>
            </w:tr>
            <w:tr w14:paraId="1DF53E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5000" w:type="pct"/>
                  <w:gridSpan w:val="6"/>
                  <w:tcBorders>
                    <w:tl2br w:val="nil"/>
                    <w:tr2bl w:val="nil"/>
                  </w:tcBorders>
                  <w:vAlign w:val="center"/>
                </w:tcPr>
                <w:p w14:paraId="274C5E7A">
                  <w:pPr>
                    <w:adjustRightInd w:val="0"/>
                    <w:snapToGrid w:val="0"/>
                    <w:jc w:val="center"/>
                    <w:rPr>
                      <w:color w:val="auto"/>
                      <w:kern w:val="0"/>
                      <w:szCs w:val="21"/>
                    </w:rPr>
                  </w:pPr>
                  <w:r>
                    <w:rPr>
                      <w:color w:val="auto"/>
                      <w:kern w:val="0"/>
                      <w:szCs w:val="21"/>
                    </w:rPr>
                    <w:t>一般排放口</w:t>
                  </w:r>
                </w:p>
              </w:tc>
            </w:tr>
            <w:tr w14:paraId="45A4A3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786" w:type="pct"/>
                  <w:tcBorders>
                    <w:tl2br w:val="nil"/>
                    <w:tr2bl w:val="nil"/>
                  </w:tcBorders>
                  <w:vAlign w:val="center"/>
                </w:tcPr>
                <w:p w14:paraId="7DFD8D90">
                  <w:pPr>
                    <w:adjustRightInd w:val="0"/>
                    <w:snapToGrid w:val="0"/>
                    <w:jc w:val="center"/>
                    <w:rPr>
                      <w:color w:val="auto"/>
                      <w:kern w:val="0"/>
                      <w:szCs w:val="21"/>
                    </w:rPr>
                  </w:pPr>
                  <w:r>
                    <w:rPr>
                      <w:color w:val="auto"/>
                      <w:kern w:val="0"/>
                      <w:szCs w:val="21"/>
                    </w:rPr>
                    <w:t>1</w:t>
                  </w:r>
                </w:p>
              </w:tc>
              <w:tc>
                <w:tcPr>
                  <w:tcW w:w="620" w:type="pct"/>
                  <w:tcBorders>
                    <w:tl2br w:val="nil"/>
                    <w:tr2bl w:val="nil"/>
                  </w:tcBorders>
                  <w:vAlign w:val="center"/>
                </w:tcPr>
                <w:p w14:paraId="0AA6CAC9">
                  <w:pPr>
                    <w:widowControl/>
                    <w:jc w:val="center"/>
                    <w:textAlignment w:val="center"/>
                    <w:rPr>
                      <w:color w:val="auto"/>
                      <w:kern w:val="0"/>
                      <w:szCs w:val="21"/>
                    </w:rPr>
                  </w:pPr>
                  <w:r>
                    <w:rPr>
                      <w:color w:val="auto"/>
                      <w:szCs w:val="21"/>
                    </w:rPr>
                    <w:t>DA001</w:t>
                  </w:r>
                </w:p>
              </w:tc>
              <w:tc>
                <w:tcPr>
                  <w:tcW w:w="940" w:type="pct"/>
                  <w:tcBorders>
                    <w:tl2br w:val="nil"/>
                    <w:tr2bl w:val="nil"/>
                  </w:tcBorders>
                  <w:vAlign w:val="center"/>
                </w:tcPr>
                <w:p w14:paraId="7667B4AE">
                  <w:pPr>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颗粒物</w:t>
                  </w:r>
                </w:p>
              </w:tc>
              <w:tc>
                <w:tcPr>
                  <w:tcW w:w="1029" w:type="pct"/>
                  <w:tcBorders>
                    <w:tl2br w:val="nil"/>
                    <w:tr2bl w:val="nil"/>
                  </w:tcBorders>
                  <w:shd w:val="clear" w:color="auto" w:fill="auto"/>
                  <w:vAlign w:val="center"/>
                </w:tcPr>
                <w:p w14:paraId="30F00EF3">
                  <w:pPr>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eastAsia"/>
                      <w:color w:val="auto"/>
                      <w:szCs w:val="21"/>
                      <w:lang w:val="en-US" w:eastAsia="zh-CN"/>
                    </w:rPr>
                    <w:t>56.25</w:t>
                  </w:r>
                </w:p>
              </w:tc>
              <w:tc>
                <w:tcPr>
                  <w:tcW w:w="678" w:type="pct"/>
                  <w:tcBorders>
                    <w:tl2br w:val="nil"/>
                    <w:tr2bl w:val="nil"/>
                  </w:tcBorders>
                  <w:vAlign w:val="center"/>
                </w:tcPr>
                <w:p w14:paraId="22C4B007">
                  <w:pPr>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1.687</w:t>
                  </w:r>
                </w:p>
              </w:tc>
              <w:tc>
                <w:tcPr>
                  <w:tcW w:w="943" w:type="pct"/>
                  <w:tcBorders>
                    <w:tl2br w:val="nil"/>
                    <w:tr2bl w:val="nil"/>
                  </w:tcBorders>
                  <w:vAlign w:val="center"/>
                </w:tcPr>
                <w:p w14:paraId="2E5F9041">
                  <w:pPr>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8.1</w:t>
                  </w:r>
                </w:p>
              </w:tc>
            </w:tr>
            <w:tr w14:paraId="302305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407" w:type="pct"/>
                  <w:gridSpan w:val="2"/>
                  <w:tcBorders>
                    <w:tl2br w:val="nil"/>
                    <w:tr2bl w:val="nil"/>
                  </w:tcBorders>
                  <w:vAlign w:val="center"/>
                </w:tcPr>
                <w:p w14:paraId="0AB39A19">
                  <w:pPr>
                    <w:adjustRightInd w:val="0"/>
                    <w:snapToGrid w:val="0"/>
                    <w:jc w:val="center"/>
                    <w:rPr>
                      <w:color w:val="auto"/>
                      <w:kern w:val="0"/>
                      <w:szCs w:val="21"/>
                    </w:rPr>
                  </w:pPr>
                  <w:r>
                    <w:rPr>
                      <w:color w:val="auto"/>
                      <w:kern w:val="0"/>
                      <w:szCs w:val="21"/>
                    </w:rPr>
                    <w:t>一般排放口合计</w:t>
                  </w:r>
                </w:p>
              </w:tc>
              <w:tc>
                <w:tcPr>
                  <w:tcW w:w="2648" w:type="pct"/>
                  <w:gridSpan w:val="3"/>
                  <w:tcBorders>
                    <w:tl2br w:val="nil"/>
                    <w:tr2bl w:val="nil"/>
                  </w:tcBorders>
                  <w:vAlign w:val="center"/>
                </w:tcPr>
                <w:p w14:paraId="10B36524">
                  <w:pPr>
                    <w:adjustRightInd w:val="0"/>
                    <w:snapToGrid w:val="0"/>
                    <w:jc w:val="center"/>
                    <w:rPr>
                      <w:rFonts w:hint="default"/>
                      <w:color w:val="auto"/>
                      <w:kern w:val="0"/>
                      <w:szCs w:val="21"/>
                      <w:lang w:val="en-US"/>
                    </w:rPr>
                  </w:pPr>
                  <w:r>
                    <w:rPr>
                      <w:rFonts w:hint="eastAsia"/>
                      <w:color w:val="auto"/>
                      <w:kern w:val="0"/>
                      <w:szCs w:val="21"/>
                      <w:lang w:val="en-US" w:eastAsia="zh-CN"/>
                    </w:rPr>
                    <w:t>颗粒物</w:t>
                  </w:r>
                </w:p>
              </w:tc>
              <w:tc>
                <w:tcPr>
                  <w:tcW w:w="943" w:type="pct"/>
                  <w:tcBorders>
                    <w:tl2br w:val="nil"/>
                    <w:tr2bl w:val="nil"/>
                  </w:tcBorders>
                  <w:vAlign w:val="center"/>
                </w:tcPr>
                <w:p w14:paraId="0FC79DCD">
                  <w:pPr>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8.1</w:t>
                  </w:r>
                </w:p>
              </w:tc>
            </w:tr>
            <w:tr w14:paraId="45DF10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5000" w:type="pct"/>
                  <w:gridSpan w:val="6"/>
                  <w:tcBorders>
                    <w:tl2br w:val="nil"/>
                    <w:tr2bl w:val="nil"/>
                  </w:tcBorders>
                  <w:vAlign w:val="center"/>
                </w:tcPr>
                <w:p w14:paraId="3DBAE3FF">
                  <w:pPr>
                    <w:adjustRightInd w:val="0"/>
                    <w:snapToGrid w:val="0"/>
                    <w:jc w:val="center"/>
                    <w:rPr>
                      <w:color w:val="auto"/>
                      <w:kern w:val="0"/>
                      <w:szCs w:val="21"/>
                    </w:rPr>
                  </w:pPr>
                  <w:r>
                    <w:rPr>
                      <w:color w:val="auto"/>
                      <w:kern w:val="0"/>
                      <w:szCs w:val="21"/>
                    </w:rPr>
                    <w:t>有组织排放总计</w:t>
                  </w:r>
                </w:p>
              </w:tc>
            </w:tr>
            <w:tr w14:paraId="7F7F0B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407" w:type="pct"/>
                  <w:gridSpan w:val="2"/>
                  <w:tcBorders>
                    <w:tl2br w:val="nil"/>
                    <w:tr2bl w:val="nil"/>
                  </w:tcBorders>
                  <w:vAlign w:val="center"/>
                </w:tcPr>
                <w:p w14:paraId="1CD956DD">
                  <w:pPr>
                    <w:adjustRightInd w:val="0"/>
                    <w:snapToGrid w:val="0"/>
                    <w:jc w:val="center"/>
                    <w:rPr>
                      <w:color w:val="auto"/>
                      <w:kern w:val="0"/>
                      <w:szCs w:val="21"/>
                    </w:rPr>
                  </w:pPr>
                  <w:r>
                    <w:rPr>
                      <w:color w:val="auto"/>
                      <w:kern w:val="0"/>
                      <w:szCs w:val="21"/>
                    </w:rPr>
                    <w:t>有组织排放总计</w:t>
                  </w:r>
                </w:p>
              </w:tc>
              <w:tc>
                <w:tcPr>
                  <w:tcW w:w="2648" w:type="pct"/>
                  <w:gridSpan w:val="3"/>
                  <w:tcBorders>
                    <w:tl2br w:val="nil"/>
                    <w:tr2bl w:val="nil"/>
                  </w:tcBorders>
                  <w:vAlign w:val="center"/>
                </w:tcPr>
                <w:p w14:paraId="335E8C76">
                  <w:pPr>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颗粒物</w:t>
                  </w:r>
                </w:p>
              </w:tc>
              <w:tc>
                <w:tcPr>
                  <w:tcW w:w="943" w:type="pct"/>
                  <w:tcBorders>
                    <w:tl2br w:val="nil"/>
                    <w:tr2bl w:val="nil"/>
                  </w:tcBorders>
                  <w:vAlign w:val="center"/>
                </w:tcPr>
                <w:p w14:paraId="6A14234B">
                  <w:pPr>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8.1</w:t>
                  </w:r>
                </w:p>
              </w:tc>
            </w:tr>
          </w:tbl>
          <w:p w14:paraId="7F4A88AA">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b/>
                <w:bCs/>
                <w:color w:val="auto"/>
                <w:sz w:val="21"/>
                <w:szCs w:val="21"/>
              </w:rPr>
            </w:pPr>
            <w:r>
              <w:rPr>
                <w:b/>
                <w:bCs/>
                <w:color w:val="auto"/>
                <w:sz w:val="21"/>
                <w:szCs w:val="21"/>
              </w:rPr>
              <w:t>表4-</w:t>
            </w:r>
            <w:r>
              <w:rPr>
                <w:rFonts w:hint="eastAsia"/>
                <w:b/>
                <w:bCs/>
                <w:color w:val="auto"/>
                <w:sz w:val="21"/>
                <w:szCs w:val="21"/>
                <w:lang w:val="en-US" w:eastAsia="zh-CN"/>
              </w:rPr>
              <w:t xml:space="preserve">4 </w:t>
            </w:r>
            <w:r>
              <w:rPr>
                <w:b/>
                <w:bCs/>
                <w:color w:val="auto"/>
                <w:sz w:val="21"/>
                <w:szCs w:val="21"/>
              </w:rPr>
              <w:t xml:space="preserve">   大气污染物年排放量核算表</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13"/>
              <w:gridCol w:w="2052"/>
              <w:gridCol w:w="2052"/>
              <w:gridCol w:w="2248"/>
            </w:tblGrid>
            <w:tr w14:paraId="7E6BF6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111" w:type="pct"/>
                  <w:tcBorders>
                    <w:tl2br w:val="nil"/>
                    <w:tr2bl w:val="nil"/>
                  </w:tcBorders>
                  <w:vAlign w:val="center"/>
                </w:tcPr>
                <w:p w14:paraId="065B8D18">
                  <w:pPr>
                    <w:adjustRightInd w:val="0"/>
                    <w:snapToGrid w:val="0"/>
                    <w:jc w:val="center"/>
                    <w:rPr>
                      <w:color w:val="auto"/>
                      <w:kern w:val="0"/>
                      <w:sz w:val="21"/>
                      <w:szCs w:val="21"/>
                    </w:rPr>
                  </w:pPr>
                  <w:r>
                    <w:rPr>
                      <w:color w:val="auto"/>
                      <w:kern w:val="0"/>
                      <w:sz w:val="21"/>
                      <w:szCs w:val="21"/>
                    </w:rPr>
                    <w:t>序号</w:t>
                  </w:r>
                </w:p>
              </w:tc>
              <w:tc>
                <w:tcPr>
                  <w:tcW w:w="1256" w:type="pct"/>
                  <w:tcBorders>
                    <w:tl2br w:val="nil"/>
                    <w:tr2bl w:val="nil"/>
                  </w:tcBorders>
                  <w:vAlign w:val="center"/>
                </w:tcPr>
                <w:p w14:paraId="103A54C5">
                  <w:pPr>
                    <w:adjustRightInd w:val="0"/>
                    <w:snapToGrid w:val="0"/>
                    <w:jc w:val="center"/>
                    <w:rPr>
                      <w:rFonts w:hint="eastAsia" w:eastAsia="宋体"/>
                      <w:color w:val="auto"/>
                      <w:kern w:val="0"/>
                      <w:sz w:val="21"/>
                      <w:szCs w:val="21"/>
                      <w:lang w:val="en-US" w:eastAsia="zh-CN"/>
                    </w:rPr>
                  </w:pPr>
                  <w:r>
                    <w:rPr>
                      <w:rFonts w:hint="eastAsia"/>
                      <w:color w:val="auto"/>
                      <w:kern w:val="0"/>
                      <w:sz w:val="21"/>
                      <w:szCs w:val="21"/>
                      <w:lang w:val="en-US" w:eastAsia="zh-CN"/>
                    </w:rPr>
                    <w:t>排放方式</w:t>
                  </w:r>
                </w:p>
              </w:tc>
              <w:tc>
                <w:tcPr>
                  <w:tcW w:w="1256" w:type="pct"/>
                  <w:tcBorders>
                    <w:tl2br w:val="nil"/>
                    <w:tr2bl w:val="nil"/>
                  </w:tcBorders>
                  <w:vAlign w:val="center"/>
                </w:tcPr>
                <w:p w14:paraId="21AA9DE7">
                  <w:pPr>
                    <w:adjustRightInd w:val="0"/>
                    <w:snapToGrid w:val="0"/>
                    <w:jc w:val="center"/>
                    <w:rPr>
                      <w:color w:val="auto"/>
                      <w:kern w:val="0"/>
                      <w:sz w:val="21"/>
                      <w:szCs w:val="21"/>
                    </w:rPr>
                  </w:pPr>
                  <w:r>
                    <w:rPr>
                      <w:color w:val="auto"/>
                      <w:kern w:val="0"/>
                      <w:sz w:val="21"/>
                      <w:szCs w:val="21"/>
                    </w:rPr>
                    <w:t>污染物</w:t>
                  </w:r>
                </w:p>
              </w:tc>
              <w:tc>
                <w:tcPr>
                  <w:tcW w:w="1376" w:type="pct"/>
                  <w:tcBorders>
                    <w:tl2br w:val="nil"/>
                    <w:tr2bl w:val="nil"/>
                  </w:tcBorders>
                  <w:vAlign w:val="center"/>
                </w:tcPr>
                <w:p w14:paraId="1C8AD97D">
                  <w:pPr>
                    <w:adjustRightInd w:val="0"/>
                    <w:snapToGrid w:val="0"/>
                    <w:jc w:val="center"/>
                    <w:rPr>
                      <w:color w:val="auto"/>
                      <w:kern w:val="0"/>
                      <w:sz w:val="21"/>
                      <w:szCs w:val="21"/>
                    </w:rPr>
                  </w:pPr>
                  <w:r>
                    <w:rPr>
                      <w:color w:val="auto"/>
                      <w:kern w:val="0"/>
                      <w:sz w:val="21"/>
                      <w:szCs w:val="21"/>
                    </w:rPr>
                    <w:t>年排放量/（t/a）</w:t>
                  </w:r>
                </w:p>
              </w:tc>
            </w:tr>
            <w:tr w14:paraId="1F7B77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111" w:type="pct"/>
                  <w:tcBorders>
                    <w:tl2br w:val="nil"/>
                    <w:tr2bl w:val="nil"/>
                  </w:tcBorders>
                  <w:vAlign w:val="center"/>
                </w:tcPr>
                <w:p w14:paraId="2B8E2A2B">
                  <w:pPr>
                    <w:adjustRightInd w:val="0"/>
                    <w:snapToGrid w:val="0"/>
                    <w:jc w:val="center"/>
                    <w:rPr>
                      <w:color w:val="auto"/>
                      <w:kern w:val="0"/>
                      <w:sz w:val="21"/>
                      <w:szCs w:val="21"/>
                    </w:rPr>
                  </w:pPr>
                  <w:r>
                    <w:rPr>
                      <w:color w:val="auto"/>
                      <w:kern w:val="0"/>
                      <w:sz w:val="21"/>
                      <w:szCs w:val="21"/>
                    </w:rPr>
                    <w:t>1</w:t>
                  </w:r>
                </w:p>
              </w:tc>
              <w:tc>
                <w:tcPr>
                  <w:tcW w:w="1256" w:type="pct"/>
                  <w:tcBorders>
                    <w:tl2br w:val="nil"/>
                    <w:tr2bl w:val="nil"/>
                  </w:tcBorders>
                  <w:vAlign w:val="center"/>
                </w:tcPr>
                <w:p w14:paraId="29BAA37F">
                  <w:pPr>
                    <w:adjustRightInd w:val="0"/>
                    <w:snapToGrid w:val="0"/>
                    <w:jc w:val="center"/>
                    <w:rPr>
                      <w:rFonts w:hint="eastAsia" w:eastAsia="宋体"/>
                      <w:color w:val="auto"/>
                      <w:kern w:val="0"/>
                      <w:sz w:val="21"/>
                      <w:szCs w:val="21"/>
                      <w:lang w:val="en-US" w:eastAsia="zh-CN"/>
                    </w:rPr>
                  </w:pPr>
                  <w:r>
                    <w:rPr>
                      <w:rFonts w:hint="eastAsia"/>
                      <w:color w:val="auto"/>
                      <w:kern w:val="0"/>
                      <w:sz w:val="21"/>
                      <w:szCs w:val="21"/>
                      <w:lang w:val="en-US" w:eastAsia="zh-CN"/>
                    </w:rPr>
                    <w:t>有组织</w:t>
                  </w:r>
                </w:p>
              </w:tc>
              <w:tc>
                <w:tcPr>
                  <w:tcW w:w="1256" w:type="pct"/>
                  <w:tcBorders>
                    <w:tl2br w:val="nil"/>
                    <w:tr2bl w:val="nil"/>
                  </w:tcBorders>
                  <w:vAlign w:val="center"/>
                </w:tcPr>
                <w:p w14:paraId="49304BCB">
                  <w:pPr>
                    <w:adjustRightInd w:val="0"/>
                    <w:snapToGrid w:val="0"/>
                    <w:jc w:val="center"/>
                    <w:rPr>
                      <w:color w:val="auto"/>
                      <w:kern w:val="0"/>
                      <w:sz w:val="21"/>
                      <w:szCs w:val="21"/>
                    </w:rPr>
                  </w:pPr>
                  <w:r>
                    <w:rPr>
                      <w:color w:val="auto"/>
                      <w:kern w:val="0"/>
                      <w:sz w:val="21"/>
                      <w:szCs w:val="21"/>
                    </w:rPr>
                    <w:t>颗粒物</w:t>
                  </w:r>
                </w:p>
              </w:tc>
              <w:tc>
                <w:tcPr>
                  <w:tcW w:w="1376" w:type="pct"/>
                  <w:tcBorders>
                    <w:tl2br w:val="nil"/>
                    <w:tr2bl w:val="nil"/>
                  </w:tcBorders>
                  <w:vAlign w:val="center"/>
                </w:tcPr>
                <w:p w14:paraId="6181DB7B">
                  <w:pPr>
                    <w:jc w:val="center"/>
                    <w:rPr>
                      <w:rFonts w:hint="default" w:eastAsia="宋体"/>
                      <w:color w:val="auto"/>
                      <w:kern w:val="0"/>
                      <w:sz w:val="21"/>
                      <w:szCs w:val="21"/>
                      <w:lang w:val="en-US" w:eastAsia="zh-CN"/>
                    </w:rPr>
                  </w:pPr>
                  <w:r>
                    <w:rPr>
                      <w:rFonts w:hint="eastAsia"/>
                      <w:color w:val="auto"/>
                      <w:sz w:val="21"/>
                      <w:szCs w:val="21"/>
                      <w:lang w:val="en-US" w:eastAsia="zh-CN"/>
                    </w:rPr>
                    <w:t>8.1</w:t>
                  </w:r>
                </w:p>
              </w:tc>
            </w:tr>
            <w:tr w14:paraId="799359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111" w:type="pct"/>
                  <w:tcBorders>
                    <w:tl2br w:val="nil"/>
                    <w:tr2bl w:val="nil"/>
                  </w:tcBorders>
                  <w:vAlign w:val="center"/>
                </w:tcPr>
                <w:p w14:paraId="2588B6DA">
                  <w:pPr>
                    <w:adjustRightInd w:val="0"/>
                    <w:snapToGrid w:val="0"/>
                    <w:jc w:val="center"/>
                    <w:rPr>
                      <w:rFonts w:hint="default" w:eastAsia="宋体"/>
                      <w:color w:val="auto"/>
                      <w:kern w:val="0"/>
                      <w:sz w:val="21"/>
                      <w:szCs w:val="21"/>
                      <w:lang w:val="en-US" w:eastAsia="zh-CN"/>
                    </w:rPr>
                  </w:pPr>
                  <w:r>
                    <w:rPr>
                      <w:rFonts w:hint="eastAsia" w:eastAsia="宋体"/>
                      <w:color w:val="auto"/>
                      <w:kern w:val="0"/>
                      <w:sz w:val="21"/>
                      <w:szCs w:val="21"/>
                      <w:lang w:val="en-US" w:eastAsia="zh-CN"/>
                    </w:rPr>
                    <w:t>2</w:t>
                  </w:r>
                </w:p>
              </w:tc>
              <w:tc>
                <w:tcPr>
                  <w:tcW w:w="1256" w:type="pct"/>
                  <w:tcBorders>
                    <w:tl2br w:val="nil"/>
                    <w:tr2bl w:val="nil"/>
                  </w:tcBorders>
                  <w:vAlign w:val="center"/>
                </w:tcPr>
                <w:p w14:paraId="721308C0">
                  <w:pPr>
                    <w:adjustRightInd w:val="0"/>
                    <w:snapToGrid w:val="0"/>
                    <w:jc w:val="center"/>
                    <w:rPr>
                      <w:rFonts w:hint="default"/>
                      <w:color w:val="auto"/>
                      <w:kern w:val="0"/>
                      <w:sz w:val="21"/>
                      <w:szCs w:val="21"/>
                      <w:lang w:val="en-US" w:eastAsia="zh-CN"/>
                    </w:rPr>
                  </w:pPr>
                  <w:r>
                    <w:rPr>
                      <w:rFonts w:hint="eastAsia"/>
                      <w:color w:val="auto"/>
                      <w:kern w:val="0"/>
                      <w:sz w:val="21"/>
                      <w:szCs w:val="21"/>
                      <w:lang w:val="en-US" w:eastAsia="zh-CN"/>
                    </w:rPr>
                    <w:t>无组织</w:t>
                  </w:r>
                </w:p>
              </w:tc>
              <w:tc>
                <w:tcPr>
                  <w:tcW w:w="1256" w:type="pct"/>
                  <w:tcBorders>
                    <w:tl2br w:val="nil"/>
                    <w:tr2bl w:val="nil"/>
                  </w:tcBorders>
                  <w:vAlign w:val="center"/>
                </w:tcPr>
                <w:p w14:paraId="05AAC2E1">
                  <w:pPr>
                    <w:adjustRightInd w:val="0"/>
                    <w:snapToGrid w:val="0"/>
                    <w:jc w:val="center"/>
                    <w:rPr>
                      <w:rFonts w:hint="eastAsia" w:eastAsia="宋体"/>
                      <w:color w:val="auto"/>
                      <w:kern w:val="0"/>
                      <w:sz w:val="21"/>
                      <w:szCs w:val="21"/>
                      <w:lang w:val="en-US" w:eastAsia="zh-CN"/>
                    </w:rPr>
                  </w:pPr>
                  <w:r>
                    <w:rPr>
                      <w:rFonts w:hint="eastAsia"/>
                      <w:color w:val="auto"/>
                      <w:kern w:val="0"/>
                      <w:sz w:val="21"/>
                      <w:szCs w:val="21"/>
                      <w:lang w:val="en-US" w:eastAsia="zh-CN"/>
                    </w:rPr>
                    <w:t>颗粒物</w:t>
                  </w:r>
                </w:p>
              </w:tc>
              <w:tc>
                <w:tcPr>
                  <w:tcW w:w="1376" w:type="pct"/>
                  <w:tcBorders>
                    <w:tl2br w:val="nil"/>
                    <w:tr2bl w:val="nil"/>
                  </w:tcBorders>
                  <w:vAlign w:val="center"/>
                </w:tcPr>
                <w:p w14:paraId="28BE7793">
                  <w:pPr>
                    <w:jc w:val="center"/>
                    <w:rPr>
                      <w:rFonts w:hint="default"/>
                      <w:color w:val="auto"/>
                      <w:sz w:val="21"/>
                      <w:szCs w:val="21"/>
                      <w:lang w:val="en-US" w:eastAsia="zh-CN"/>
                    </w:rPr>
                  </w:pPr>
                  <w:r>
                    <w:rPr>
                      <w:rFonts w:hint="eastAsia"/>
                      <w:color w:val="auto"/>
                      <w:sz w:val="21"/>
                      <w:szCs w:val="21"/>
                      <w:lang w:val="en-US" w:eastAsia="zh-CN"/>
                    </w:rPr>
                    <w:t>2.773</w:t>
                  </w:r>
                </w:p>
              </w:tc>
            </w:tr>
          </w:tbl>
          <w:p w14:paraId="0B327999">
            <w:pPr>
              <w:keepNext w:val="0"/>
              <w:keepLines w:val="0"/>
              <w:pageBreakBefore w:val="0"/>
              <w:widowControl/>
              <w:kinsoku/>
              <w:wordWrap/>
              <w:overflowPunct/>
              <w:topLinePunct w:val="0"/>
              <w:autoSpaceDE/>
              <w:autoSpaceDN/>
              <w:bidi w:val="0"/>
              <w:adjustRightInd/>
              <w:snapToGrid/>
              <w:spacing w:line="520" w:lineRule="exact"/>
              <w:textAlignment w:val="auto"/>
              <w:rPr>
                <w:b/>
                <w:bCs/>
                <w:color w:val="auto"/>
                <w:sz w:val="24"/>
              </w:rPr>
            </w:pPr>
            <w:r>
              <w:rPr>
                <w:rFonts w:hint="eastAsia"/>
                <w:b/>
                <w:bCs/>
                <w:color w:val="auto"/>
                <w:sz w:val="24"/>
                <w:lang w:val="en-US" w:eastAsia="zh-CN"/>
              </w:rPr>
              <w:t xml:space="preserve">1.4 </w:t>
            </w:r>
            <w:r>
              <w:rPr>
                <w:b/>
                <w:bCs/>
                <w:color w:val="auto"/>
                <w:sz w:val="24"/>
              </w:rPr>
              <w:t>废气监测计划</w:t>
            </w:r>
          </w:p>
          <w:p w14:paraId="0F9E18E6">
            <w:pPr>
              <w:pStyle w:val="13"/>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ascii="Times New Roman" w:hAnsi="Times New Roman" w:eastAsia="宋体"/>
                <w:bCs/>
                <w:color w:val="auto"/>
                <w:sz w:val="24"/>
                <w:szCs w:val="22"/>
              </w:rPr>
            </w:pPr>
            <w:r>
              <w:rPr>
                <w:rFonts w:hint="eastAsia" w:ascii="Times New Roman" w:hAnsi="Times New Roman" w:eastAsia="宋体"/>
                <w:bCs/>
                <w:color w:val="auto"/>
                <w:sz w:val="24"/>
                <w:szCs w:val="22"/>
                <w:lang w:val="en-US" w:eastAsia="zh-CN"/>
              </w:rPr>
              <w:t>根据</w:t>
            </w:r>
            <w:r>
              <w:rPr>
                <w:rFonts w:hint="default" w:ascii="Times New Roman" w:hAnsi="Times New Roman" w:eastAsia="宋体"/>
                <w:bCs/>
                <w:color w:val="auto"/>
                <w:sz w:val="24"/>
                <w:szCs w:val="22"/>
                <w:lang w:val="en-US" w:eastAsia="zh-CN"/>
              </w:rPr>
              <w:t>《排污许可证申请与核发技术规范</w:t>
            </w:r>
            <w:r>
              <w:rPr>
                <w:rFonts w:hint="eastAsia" w:ascii="Times New Roman" w:hAnsi="Times New Roman" w:eastAsia="宋体"/>
                <w:bCs/>
                <w:color w:val="auto"/>
                <w:sz w:val="24"/>
                <w:szCs w:val="22"/>
                <w:lang w:val="en-US" w:eastAsia="zh-CN"/>
              </w:rPr>
              <w:t xml:space="preserve"> 总则</w:t>
            </w:r>
            <w:r>
              <w:rPr>
                <w:rFonts w:hint="default" w:ascii="Times New Roman" w:hAnsi="Times New Roman" w:eastAsia="宋体"/>
                <w:bCs/>
                <w:color w:val="auto"/>
                <w:sz w:val="24"/>
                <w:szCs w:val="22"/>
                <w:lang w:val="en-US" w:eastAsia="zh-CN"/>
              </w:rPr>
              <w:t>》</w:t>
            </w:r>
            <w:r>
              <w:rPr>
                <w:rFonts w:hint="eastAsia" w:ascii="Times New Roman" w:hAnsi="Times New Roman" w:eastAsia="宋体"/>
                <w:bCs/>
                <w:color w:val="auto"/>
                <w:sz w:val="24"/>
                <w:szCs w:val="22"/>
                <w:lang w:val="en-US" w:eastAsia="zh-CN"/>
              </w:rPr>
              <w:t>（</w:t>
            </w:r>
            <w:r>
              <w:rPr>
                <w:rFonts w:hint="default" w:ascii="Times New Roman" w:hAnsi="Times New Roman" w:eastAsia="宋体"/>
                <w:bCs/>
                <w:color w:val="auto"/>
                <w:sz w:val="24"/>
                <w:szCs w:val="22"/>
                <w:lang w:val="en-US" w:eastAsia="zh-CN"/>
              </w:rPr>
              <w:t>HJ</w:t>
            </w:r>
            <w:r>
              <w:rPr>
                <w:rFonts w:hint="eastAsia" w:ascii="Times New Roman" w:hAnsi="Times New Roman" w:eastAsia="宋体"/>
                <w:bCs/>
                <w:color w:val="auto"/>
                <w:sz w:val="24"/>
                <w:szCs w:val="22"/>
                <w:lang w:val="en-US" w:eastAsia="zh-CN"/>
              </w:rPr>
              <w:t>942</w:t>
            </w:r>
            <w:r>
              <w:rPr>
                <w:rFonts w:hint="default" w:ascii="Times New Roman" w:hAnsi="Times New Roman" w:eastAsia="宋体"/>
                <w:bCs/>
                <w:color w:val="auto"/>
                <w:sz w:val="24"/>
                <w:szCs w:val="22"/>
                <w:lang w:val="en-US" w:eastAsia="zh-CN"/>
              </w:rPr>
              <w:t>-201</w:t>
            </w:r>
            <w:r>
              <w:rPr>
                <w:rFonts w:hint="eastAsia" w:ascii="Times New Roman" w:hAnsi="Times New Roman" w:eastAsia="宋体"/>
                <w:bCs/>
                <w:color w:val="auto"/>
                <w:sz w:val="24"/>
                <w:szCs w:val="22"/>
                <w:lang w:val="en-US" w:eastAsia="zh-CN"/>
              </w:rPr>
              <w:t>8）《</w:t>
            </w:r>
            <w:r>
              <w:rPr>
                <w:rFonts w:hint="default" w:ascii="Times New Roman" w:hAnsi="Times New Roman" w:eastAsia="宋体" w:cs="Times New Roman"/>
                <w:color w:val="auto"/>
                <w:sz w:val="24"/>
                <w:lang w:val="en-US" w:eastAsia="zh-CN"/>
              </w:rPr>
              <w:t>排污单位自行监测技术指南 总则</w:t>
            </w:r>
            <w:r>
              <w:rPr>
                <w:rFonts w:hint="eastAsia" w:ascii="Times New Roman" w:hAnsi="Times New Roman" w:eastAsia="宋体"/>
                <w:bCs/>
                <w:color w:val="auto"/>
                <w:sz w:val="24"/>
                <w:szCs w:val="22"/>
                <w:lang w:val="en-US" w:eastAsia="zh-CN"/>
              </w:rPr>
              <w:t>》（HJ819-2017），本项目</w:t>
            </w:r>
            <w:r>
              <w:rPr>
                <w:rFonts w:ascii="Times New Roman" w:hAnsi="Times New Roman" w:eastAsia="宋体"/>
                <w:bCs/>
                <w:color w:val="auto"/>
                <w:sz w:val="24"/>
                <w:szCs w:val="22"/>
              </w:rPr>
              <w:t>废气监测工作内容详见表4-</w:t>
            </w:r>
            <w:r>
              <w:rPr>
                <w:rFonts w:hint="eastAsia" w:ascii="Times New Roman" w:hAnsi="Times New Roman" w:eastAsia="宋体"/>
                <w:bCs/>
                <w:color w:val="auto"/>
                <w:sz w:val="24"/>
                <w:szCs w:val="22"/>
                <w:lang w:val="en-US" w:eastAsia="zh-CN"/>
              </w:rPr>
              <w:t>5</w:t>
            </w:r>
            <w:r>
              <w:rPr>
                <w:rFonts w:ascii="Times New Roman" w:hAnsi="Times New Roman" w:eastAsia="宋体"/>
                <w:bCs/>
                <w:color w:val="auto"/>
                <w:sz w:val="24"/>
                <w:szCs w:val="22"/>
              </w:rPr>
              <w:t>。</w:t>
            </w:r>
          </w:p>
          <w:p w14:paraId="7D792EDB">
            <w:pPr>
              <w:pStyle w:val="35"/>
              <w:keepNext w:val="0"/>
              <w:keepLines w:val="0"/>
              <w:pageBreakBefore w:val="0"/>
              <w:widowControl w:val="0"/>
              <w:kinsoku/>
              <w:wordWrap/>
              <w:overflowPunct/>
              <w:topLinePunct w:val="0"/>
              <w:autoSpaceDE/>
              <w:autoSpaceDN/>
              <w:bidi w:val="0"/>
              <w:adjustRightInd/>
              <w:snapToGrid/>
              <w:spacing w:after="0" w:line="520" w:lineRule="exact"/>
              <w:ind w:firstLine="0" w:firstLineChars="0"/>
              <w:jc w:val="center"/>
              <w:textAlignment w:val="auto"/>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表4-</w:t>
            </w:r>
            <w:r>
              <w:rPr>
                <w:rFonts w:hint="eastAsia" w:cs="Times New Roman"/>
                <w:b/>
                <w:bCs/>
                <w:color w:val="auto"/>
                <w:sz w:val="21"/>
                <w:szCs w:val="21"/>
                <w:lang w:val="en-US" w:eastAsia="zh-CN"/>
              </w:rPr>
              <w:t>5</w:t>
            </w:r>
            <w:r>
              <w:rPr>
                <w:rFonts w:hint="eastAsia" w:ascii="Times New Roman" w:hAnsi="Times New Roman" w:eastAsia="宋体" w:cs="Times New Roman"/>
                <w:b/>
                <w:bCs/>
                <w:color w:val="auto"/>
                <w:sz w:val="21"/>
                <w:szCs w:val="21"/>
                <w:lang w:val="en-US" w:eastAsia="zh-CN"/>
              </w:rPr>
              <w:t xml:space="preserve">    废气自行监测要求一览表</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60"/>
              <w:gridCol w:w="1547"/>
              <w:gridCol w:w="990"/>
              <w:gridCol w:w="1339"/>
              <w:gridCol w:w="2178"/>
              <w:gridCol w:w="849"/>
            </w:tblGrid>
            <w:tr w14:paraId="7AE8BE5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72" w:type="pct"/>
                  <w:vAlign w:val="center"/>
                </w:tcPr>
                <w:p w14:paraId="7149A715">
                  <w:pPr>
                    <w:widowControl/>
                    <w:jc w:val="center"/>
                    <w:textAlignment w:val="center"/>
                    <w:rPr>
                      <w:color w:val="auto"/>
                      <w:kern w:val="0"/>
                      <w:szCs w:val="21"/>
                    </w:rPr>
                  </w:pPr>
                  <w:r>
                    <w:rPr>
                      <w:color w:val="auto"/>
                      <w:kern w:val="0"/>
                      <w:szCs w:val="21"/>
                    </w:rPr>
                    <w:t>监测对象</w:t>
                  </w:r>
                </w:p>
              </w:tc>
              <w:tc>
                <w:tcPr>
                  <w:tcW w:w="947" w:type="pct"/>
                  <w:vAlign w:val="center"/>
                </w:tcPr>
                <w:p w14:paraId="015C2E90">
                  <w:pPr>
                    <w:widowControl/>
                    <w:jc w:val="center"/>
                    <w:textAlignment w:val="center"/>
                    <w:rPr>
                      <w:color w:val="auto"/>
                      <w:kern w:val="0"/>
                      <w:szCs w:val="21"/>
                    </w:rPr>
                  </w:pPr>
                  <w:r>
                    <w:rPr>
                      <w:color w:val="auto"/>
                      <w:kern w:val="0"/>
                      <w:szCs w:val="21"/>
                    </w:rPr>
                    <w:t>监测位置</w:t>
                  </w:r>
                </w:p>
              </w:tc>
              <w:tc>
                <w:tcPr>
                  <w:tcW w:w="607" w:type="pct"/>
                  <w:vAlign w:val="center"/>
                </w:tcPr>
                <w:p w14:paraId="1B359A18">
                  <w:pPr>
                    <w:widowControl/>
                    <w:jc w:val="center"/>
                    <w:textAlignment w:val="center"/>
                    <w:rPr>
                      <w:color w:val="auto"/>
                      <w:kern w:val="0"/>
                      <w:szCs w:val="21"/>
                    </w:rPr>
                  </w:pPr>
                  <w:r>
                    <w:rPr>
                      <w:color w:val="auto"/>
                      <w:kern w:val="0"/>
                      <w:szCs w:val="21"/>
                    </w:rPr>
                    <w:t>监测项目</w:t>
                  </w:r>
                </w:p>
              </w:tc>
              <w:tc>
                <w:tcPr>
                  <w:tcW w:w="819" w:type="pct"/>
                  <w:vAlign w:val="center"/>
                </w:tcPr>
                <w:p w14:paraId="448BB57C">
                  <w:pPr>
                    <w:widowControl/>
                    <w:jc w:val="center"/>
                    <w:textAlignment w:val="center"/>
                    <w:rPr>
                      <w:color w:val="auto"/>
                      <w:kern w:val="0"/>
                      <w:szCs w:val="21"/>
                    </w:rPr>
                  </w:pPr>
                  <w:r>
                    <w:rPr>
                      <w:color w:val="auto"/>
                      <w:kern w:val="0"/>
                      <w:szCs w:val="21"/>
                    </w:rPr>
                    <w:t>监测频次</w:t>
                  </w:r>
                </w:p>
              </w:tc>
              <w:tc>
                <w:tcPr>
                  <w:tcW w:w="1333" w:type="pct"/>
                  <w:vAlign w:val="center"/>
                </w:tcPr>
                <w:p w14:paraId="6E9FD201">
                  <w:pPr>
                    <w:widowControl/>
                    <w:jc w:val="center"/>
                    <w:textAlignment w:val="center"/>
                    <w:rPr>
                      <w:rFonts w:hint="default" w:eastAsia="宋体"/>
                      <w:color w:val="auto"/>
                      <w:kern w:val="0"/>
                      <w:szCs w:val="21"/>
                      <w:lang w:val="en-US" w:eastAsia="zh-CN"/>
                    </w:rPr>
                  </w:pPr>
                  <w:r>
                    <w:rPr>
                      <w:rFonts w:hint="eastAsia"/>
                      <w:color w:val="auto"/>
                      <w:kern w:val="0"/>
                      <w:szCs w:val="21"/>
                      <w:lang w:val="en-US" w:eastAsia="zh-CN"/>
                    </w:rPr>
                    <w:t>执行排放标准</w:t>
                  </w:r>
                </w:p>
              </w:tc>
              <w:tc>
                <w:tcPr>
                  <w:tcW w:w="519" w:type="pct"/>
                  <w:vAlign w:val="center"/>
                </w:tcPr>
                <w:p w14:paraId="098543AE">
                  <w:pPr>
                    <w:widowControl/>
                    <w:jc w:val="center"/>
                    <w:textAlignment w:val="center"/>
                    <w:rPr>
                      <w:rFonts w:hint="default" w:eastAsia="宋体"/>
                      <w:color w:val="auto"/>
                      <w:kern w:val="0"/>
                      <w:szCs w:val="21"/>
                      <w:lang w:val="en-US" w:eastAsia="zh-CN"/>
                    </w:rPr>
                  </w:pPr>
                  <w:r>
                    <w:rPr>
                      <w:rFonts w:hint="eastAsia"/>
                      <w:color w:val="auto"/>
                      <w:kern w:val="0"/>
                      <w:szCs w:val="21"/>
                      <w:lang w:val="en-US" w:eastAsia="zh-CN"/>
                    </w:rPr>
                    <w:t>标准限值</w:t>
                  </w:r>
                </w:p>
              </w:tc>
            </w:tr>
            <w:tr w14:paraId="332EC8D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4" w:hRule="atLeast"/>
                <w:jc w:val="center"/>
              </w:trPr>
              <w:tc>
                <w:tcPr>
                  <w:tcW w:w="772" w:type="pct"/>
                  <w:vMerge w:val="restart"/>
                  <w:vAlign w:val="center"/>
                </w:tcPr>
                <w:p w14:paraId="20405115">
                  <w:pPr>
                    <w:widowControl/>
                    <w:jc w:val="center"/>
                    <w:textAlignment w:val="center"/>
                    <w:rPr>
                      <w:color w:val="auto"/>
                      <w:kern w:val="0"/>
                      <w:szCs w:val="21"/>
                    </w:rPr>
                  </w:pPr>
                  <w:r>
                    <w:rPr>
                      <w:color w:val="auto"/>
                      <w:kern w:val="0"/>
                      <w:szCs w:val="21"/>
                    </w:rPr>
                    <w:t>废气</w:t>
                  </w:r>
                </w:p>
              </w:tc>
              <w:tc>
                <w:tcPr>
                  <w:tcW w:w="947" w:type="pct"/>
                  <w:vAlign w:val="center"/>
                </w:tcPr>
                <w:p w14:paraId="6B916DF6">
                  <w:pPr>
                    <w:widowControl/>
                    <w:jc w:val="center"/>
                    <w:textAlignment w:val="center"/>
                    <w:rPr>
                      <w:rFonts w:hint="default" w:eastAsia="宋体"/>
                      <w:color w:val="auto"/>
                      <w:kern w:val="0"/>
                      <w:szCs w:val="21"/>
                      <w:lang w:val="en-US" w:eastAsia="zh-CN"/>
                    </w:rPr>
                  </w:pPr>
                  <w:r>
                    <w:rPr>
                      <w:rFonts w:hint="eastAsia"/>
                      <w:color w:val="auto"/>
                      <w:kern w:val="0"/>
                      <w:szCs w:val="21"/>
                      <w:lang w:val="en-US" w:eastAsia="zh-CN"/>
                    </w:rPr>
                    <w:t>破碎废气监测口</w:t>
                  </w:r>
                </w:p>
              </w:tc>
              <w:tc>
                <w:tcPr>
                  <w:tcW w:w="607" w:type="pct"/>
                  <w:vAlign w:val="center"/>
                </w:tcPr>
                <w:p w14:paraId="17FE6E85">
                  <w:pPr>
                    <w:widowControl/>
                    <w:jc w:val="center"/>
                    <w:textAlignment w:val="center"/>
                    <w:rPr>
                      <w:rFonts w:hint="default" w:eastAsia="宋体"/>
                      <w:color w:val="auto"/>
                      <w:kern w:val="0"/>
                      <w:szCs w:val="21"/>
                      <w:lang w:val="en-US" w:eastAsia="zh-CN"/>
                    </w:rPr>
                  </w:pPr>
                  <w:r>
                    <w:rPr>
                      <w:rFonts w:hint="eastAsia"/>
                      <w:color w:val="auto"/>
                      <w:kern w:val="0"/>
                      <w:szCs w:val="21"/>
                      <w:lang w:val="en-US" w:eastAsia="zh-CN"/>
                    </w:rPr>
                    <w:t>颗粒物</w:t>
                  </w:r>
                </w:p>
              </w:tc>
              <w:tc>
                <w:tcPr>
                  <w:tcW w:w="819" w:type="pct"/>
                  <w:vAlign w:val="center"/>
                </w:tcPr>
                <w:p w14:paraId="17CCA136">
                  <w:pPr>
                    <w:widowControl/>
                    <w:jc w:val="center"/>
                    <w:textAlignment w:val="center"/>
                    <w:rPr>
                      <w:rFonts w:hint="default" w:eastAsia="宋体"/>
                      <w:color w:val="auto"/>
                      <w:kern w:val="0"/>
                      <w:szCs w:val="21"/>
                      <w:lang w:val="en-US" w:eastAsia="zh-CN"/>
                    </w:rPr>
                  </w:pPr>
                  <w:r>
                    <w:rPr>
                      <w:rFonts w:hint="eastAsia"/>
                      <w:color w:val="auto"/>
                      <w:kern w:val="0"/>
                      <w:szCs w:val="21"/>
                      <w:lang w:val="en-US" w:eastAsia="zh-CN"/>
                    </w:rPr>
                    <w:t>1次/年</w:t>
                  </w:r>
                </w:p>
              </w:tc>
              <w:tc>
                <w:tcPr>
                  <w:tcW w:w="1333" w:type="pct"/>
                  <w:vMerge w:val="restart"/>
                  <w:vAlign w:val="center"/>
                </w:tcPr>
                <w:p w14:paraId="2D12D500">
                  <w:pPr>
                    <w:widowControl/>
                    <w:jc w:val="center"/>
                    <w:textAlignment w:val="center"/>
                    <w:rPr>
                      <w:rFonts w:hint="eastAsia"/>
                      <w:color w:val="auto"/>
                      <w:kern w:val="0"/>
                      <w:szCs w:val="21"/>
                      <w:lang w:val="en-US" w:eastAsia="zh-CN"/>
                    </w:rPr>
                  </w:pPr>
                  <w:r>
                    <w:rPr>
                      <w:rFonts w:hint="eastAsia"/>
                      <w:color w:val="auto"/>
                      <w:kern w:val="0"/>
                      <w:szCs w:val="21"/>
                      <w:lang w:val="en-US" w:eastAsia="zh-CN"/>
                    </w:rPr>
                    <w:t>《煤炭工业污染物排放标准》（GB20246-2006）</w:t>
                  </w:r>
                </w:p>
              </w:tc>
              <w:tc>
                <w:tcPr>
                  <w:tcW w:w="519" w:type="pct"/>
                  <w:vAlign w:val="center"/>
                </w:tcPr>
                <w:p w14:paraId="77861A5D">
                  <w:pPr>
                    <w:widowControl/>
                    <w:jc w:val="center"/>
                    <w:textAlignment w:val="center"/>
                    <w:rPr>
                      <w:rFonts w:hint="default"/>
                      <w:color w:val="auto"/>
                      <w:kern w:val="0"/>
                      <w:szCs w:val="21"/>
                      <w:lang w:val="en-US" w:eastAsia="zh-CN"/>
                    </w:rPr>
                  </w:pPr>
                  <w:r>
                    <w:rPr>
                      <w:rFonts w:hint="eastAsia"/>
                      <w:color w:val="auto"/>
                      <w:kern w:val="0"/>
                      <w:szCs w:val="21"/>
                      <w:lang w:val="en-US" w:eastAsia="zh-CN"/>
                    </w:rPr>
                    <w:t>80</w:t>
                  </w:r>
                </w:p>
              </w:tc>
            </w:tr>
            <w:tr w14:paraId="28B888C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9" w:hRule="atLeast"/>
                <w:jc w:val="center"/>
              </w:trPr>
              <w:tc>
                <w:tcPr>
                  <w:tcW w:w="772" w:type="pct"/>
                  <w:vMerge w:val="continue"/>
                  <w:vAlign w:val="center"/>
                </w:tcPr>
                <w:p w14:paraId="73B7EF20">
                  <w:pPr>
                    <w:widowControl/>
                    <w:jc w:val="center"/>
                    <w:textAlignment w:val="center"/>
                    <w:rPr>
                      <w:color w:val="auto"/>
                      <w:kern w:val="0"/>
                      <w:szCs w:val="21"/>
                    </w:rPr>
                  </w:pPr>
                </w:p>
              </w:tc>
              <w:tc>
                <w:tcPr>
                  <w:tcW w:w="947" w:type="pct"/>
                  <w:vAlign w:val="center"/>
                </w:tcPr>
                <w:p w14:paraId="4216EF2C">
                  <w:pPr>
                    <w:widowControl/>
                    <w:jc w:val="center"/>
                    <w:textAlignment w:val="center"/>
                    <w:rPr>
                      <w:color w:val="auto"/>
                      <w:kern w:val="0"/>
                      <w:szCs w:val="21"/>
                    </w:rPr>
                  </w:pPr>
                  <w:r>
                    <w:rPr>
                      <w:color w:val="auto"/>
                      <w:kern w:val="0"/>
                      <w:szCs w:val="21"/>
                    </w:rPr>
                    <w:t>厂界</w:t>
                  </w:r>
                </w:p>
              </w:tc>
              <w:tc>
                <w:tcPr>
                  <w:tcW w:w="607" w:type="pct"/>
                  <w:vAlign w:val="center"/>
                </w:tcPr>
                <w:p w14:paraId="490C57BC">
                  <w:pPr>
                    <w:widowControl/>
                    <w:jc w:val="center"/>
                    <w:textAlignment w:val="center"/>
                    <w:rPr>
                      <w:rFonts w:hint="default" w:eastAsia="宋体"/>
                      <w:color w:val="auto"/>
                      <w:kern w:val="0"/>
                      <w:szCs w:val="21"/>
                      <w:lang w:val="en-US" w:eastAsia="zh-CN"/>
                    </w:rPr>
                  </w:pPr>
                  <w:r>
                    <w:rPr>
                      <w:rFonts w:hint="eastAsia"/>
                      <w:color w:val="auto"/>
                      <w:kern w:val="0"/>
                      <w:szCs w:val="21"/>
                      <w:lang w:val="en-US" w:eastAsia="zh-CN"/>
                    </w:rPr>
                    <w:t>颗粒物</w:t>
                  </w:r>
                </w:p>
              </w:tc>
              <w:tc>
                <w:tcPr>
                  <w:tcW w:w="819" w:type="pct"/>
                  <w:vAlign w:val="center"/>
                </w:tcPr>
                <w:p w14:paraId="41B01DA8">
                  <w:pPr>
                    <w:widowControl/>
                    <w:jc w:val="center"/>
                    <w:textAlignment w:val="center"/>
                    <w:rPr>
                      <w:rFonts w:hint="default" w:eastAsia="宋体"/>
                      <w:color w:val="auto"/>
                      <w:kern w:val="0"/>
                      <w:szCs w:val="21"/>
                      <w:lang w:val="en-US" w:eastAsia="zh-CN"/>
                    </w:rPr>
                  </w:pPr>
                  <w:r>
                    <w:rPr>
                      <w:rFonts w:hint="eastAsia"/>
                      <w:color w:val="auto"/>
                      <w:kern w:val="0"/>
                      <w:szCs w:val="21"/>
                      <w:lang w:val="en-US" w:eastAsia="zh-CN"/>
                    </w:rPr>
                    <w:t>1次/年</w:t>
                  </w:r>
                </w:p>
              </w:tc>
              <w:tc>
                <w:tcPr>
                  <w:tcW w:w="1333" w:type="pct"/>
                  <w:vMerge w:val="continue"/>
                  <w:vAlign w:val="center"/>
                </w:tcPr>
                <w:p w14:paraId="373AA9F3">
                  <w:pPr>
                    <w:widowControl/>
                    <w:jc w:val="center"/>
                    <w:textAlignment w:val="center"/>
                    <w:rPr>
                      <w:rFonts w:hint="eastAsia"/>
                      <w:color w:val="auto"/>
                      <w:kern w:val="0"/>
                      <w:szCs w:val="21"/>
                      <w:lang w:val="en-US" w:eastAsia="zh-CN"/>
                    </w:rPr>
                  </w:pPr>
                </w:p>
              </w:tc>
              <w:tc>
                <w:tcPr>
                  <w:tcW w:w="519" w:type="pct"/>
                  <w:vAlign w:val="center"/>
                </w:tcPr>
                <w:p w14:paraId="2C58F2F3">
                  <w:pPr>
                    <w:widowControl/>
                    <w:jc w:val="center"/>
                    <w:textAlignment w:val="center"/>
                    <w:rPr>
                      <w:rFonts w:hint="default"/>
                      <w:color w:val="auto"/>
                      <w:kern w:val="0"/>
                      <w:szCs w:val="21"/>
                      <w:lang w:val="en-US" w:eastAsia="zh-CN"/>
                    </w:rPr>
                  </w:pPr>
                  <w:r>
                    <w:rPr>
                      <w:rFonts w:hint="eastAsia"/>
                      <w:color w:val="auto"/>
                      <w:kern w:val="0"/>
                      <w:szCs w:val="21"/>
                      <w:lang w:val="en-US" w:eastAsia="zh-CN"/>
                    </w:rPr>
                    <w:t>1.0</w:t>
                  </w:r>
                </w:p>
              </w:tc>
            </w:tr>
          </w:tbl>
          <w:p w14:paraId="1D87B3CE">
            <w:pPr>
              <w:keepNext w:val="0"/>
              <w:keepLines w:val="0"/>
              <w:pageBreakBefore w:val="0"/>
              <w:widowControl/>
              <w:numPr>
                <w:ilvl w:val="0"/>
                <w:numId w:val="0"/>
              </w:numPr>
              <w:kinsoku/>
              <w:wordWrap/>
              <w:overflowPunct/>
              <w:topLinePunct w:val="0"/>
              <w:autoSpaceDE/>
              <w:autoSpaceDN/>
              <w:bidi w:val="0"/>
              <w:adjustRightInd/>
              <w:snapToGrid/>
              <w:spacing w:line="520" w:lineRule="exact"/>
              <w:ind w:leftChars="0"/>
              <w:textAlignment w:val="auto"/>
              <w:rPr>
                <w:rFonts w:hint="eastAsia"/>
                <w:b/>
                <w:bCs/>
                <w:color w:val="auto"/>
                <w:sz w:val="24"/>
                <w:lang w:val="en-US" w:eastAsia="zh-CN"/>
              </w:rPr>
            </w:pPr>
            <w:r>
              <w:rPr>
                <w:rFonts w:hint="eastAsia"/>
                <w:b/>
                <w:bCs/>
                <w:color w:val="auto"/>
                <w:sz w:val="24"/>
                <w:lang w:val="en-US" w:eastAsia="zh-CN"/>
              </w:rPr>
              <w:t>1.5 非正常工况</w:t>
            </w:r>
          </w:p>
          <w:p w14:paraId="30CB49ED">
            <w:pPr>
              <w:pStyle w:val="13"/>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Cs/>
                <w:color w:val="auto"/>
                <w:sz w:val="24"/>
                <w:szCs w:val="22"/>
                <w:lang w:val="en-US" w:eastAsia="zh-CN"/>
              </w:rPr>
            </w:pPr>
            <w:r>
              <w:rPr>
                <w:rFonts w:hint="default" w:ascii="Times New Roman" w:hAnsi="Times New Roman" w:eastAsia="宋体" w:cs="Times New Roman"/>
                <w:bCs/>
                <w:color w:val="auto"/>
                <w:sz w:val="24"/>
                <w:szCs w:val="22"/>
                <w:lang w:val="en-US" w:eastAsia="zh-CN"/>
              </w:rPr>
              <w:t>根据《环境</w:t>
            </w:r>
            <w:r>
              <w:rPr>
                <w:rFonts w:hint="eastAsia" w:ascii="Times New Roman" w:hAnsi="Times New Roman" w:eastAsia="宋体" w:cs="Times New Roman"/>
                <w:bCs/>
                <w:color w:val="auto"/>
                <w:sz w:val="24"/>
                <w:szCs w:val="22"/>
                <w:lang w:val="en-US" w:eastAsia="zh-CN"/>
              </w:rPr>
              <w:t>影响</w:t>
            </w:r>
            <w:r>
              <w:rPr>
                <w:rFonts w:hint="default" w:ascii="Times New Roman" w:hAnsi="Times New Roman" w:eastAsia="宋体" w:cs="Times New Roman"/>
                <w:bCs/>
                <w:color w:val="auto"/>
                <w:sz w:val="24"/>
                <w:szCs w:val="22"/>
                <w:lang w:val="en-US" w:eastAsia="zh-CN"/>
              </w:rPr>
              <w:t>评价技术导则 大气环境》（HJ2.2-2018），非正常排放包括设备检修、污染物排放控制措施达不到应有效率和工艺设备运转异常等。本项目非正常工况主要为</w:t>
            </w:r>
            <w:r>
              <w:rPr>
                <w:rFonts w:hint="eastAsia" w:ascii="Times New Roman" w:hAnsi="Times New Roman" w:eastAsia="宋体" w:cs="Times New Roman"/>
                <w:bCs/>
                <w:color w:val="auto"/>
                <w:sz w:val="24"/>
                <w:szCs w:val="22"/>
                <w:lang w:val="en-US" w:eastAsia="zh-CN"/>
              </w:rPr>
              <w:t>袋式除尘器</w:t>
            </w:r>
            <w:r>
              <w:rPr>
                <w:rFonts w:hint="default" w:ascii="Times New Roman" w:hAnsi="Times New Roman" w:eastAsia="宋体" w:cs="Times New Roman"/>
                <w:bCs/>
                <w:color w:val="auto"/>
                <w:sz w:val="24"/>
                <w:szCs w:val="22"/>
                <w:lang w:val="en-US" w:eastAsia="zh-CN"/>
              </w:rPr>
              <w:t>发生故障时</w:t>
            </w:r>
            <w:r>
              <w:rPr>
                <w:rFonts w:hint="eastAsia" w:ascii="Times New Roman" w:hAnsi="Times New Roman" w:eastAsia="宋体" w:cs="Times New Roman"/>
                <w:bCs/>
                <w:color w:val="auto"/>
                <w:sz w:val="24"/>
                <w:szCs w:val="22"/>
                <w:lang w:val="en-US" w:eastAsia="zh-CN"/>
              </w:rPr>
              <w:t>颗粒物</w:t>
            </w:r>
            <w:r>
              <w:rPr>
                <w:rFonts w:hint="default" w:ascii="Times New Roman" w:hAnsi="Times New Roman" w:eastAsia="宋体" w:cs="Times New Roman"/>
                <w:bCs/>
                <w:color w:val="auto"/>
                <w:sz w:val="24"/>
                <w:szCs w:val="22"/>
                <w:lang w:val="en-US" w:eastAsia="zh-CN"/>
              </w:rPr>
              <w:t>处理效率为</w:t>
            </w:r>
            <w:r>
              <w:rPr>
                <w:rFonts w:hint="eastAsia" w:ascii="Times New Roman" w:hAnsi="Times New Roman" w:eastAsia="宋体" w:cs="Times New Roman"/>
                <w:bCs/>
                <w:color w:val="auto"/>
                <w:sz w:val="24"/>
                <w:szCs w:val="22"/>
                <w:lang w:val="en-US" w:eastAsia="zh-CN"/>
              </w:rPr>
              <w:t>50%</w:t>
            </w:r>
            <w:r>
              <w:rPr>
                <w:rFonts w:hint="default" w:ascii="Times New Roman" w:hAnsi="Times New Roman" w:eastAsia="宋体" w:cs="Times New Roman"/>
                <w:bCs/>
                <w:color w:val="auto"/>
                <w:sz w:val="24"/>
                <w:szCs w:val="22"/>
                <w:lang w:val="en-US" w:eastAsia="zh-CN"/>
              </w:rPr>
              <w:t>。在此情况下，</w:t>
            </w:r>
            <w:r>
              <w:rPr>
                <w:rFonts w:hint="default" w:ascii="Times New Roman" w:hAnsi="Times New Roman" w:eastAsia="宋体" w:cs="Times New Roman"/>
                <w:bCs/>
                <w:color w:val="auto"/>
                <w:spacing w:val="-6"/>
                <w:sz w:val="24"/>
                <w:szCs w:val="22"/>
                <w:lang w:val="en-US" w:eastAsia="zh-CN"/>
              </w:rPr>
              <w:t>发生频次按每年一次，本项目</w:t>
            </w:r>
            <w:r>
              <w:rPr>
                <w:rFonts w:hint="eastAsia" w:ascii="Times New Roman" w:hAnsi="Times New Roman" w:eastAsia="宋体" w:cs="Times New Roman"/>
                <w:bCs/>
                <w:color w:val="auto"/>
                <w:spacing w:val="-6"/>
                <w:sz w:val="24"/>
                <w:szCs w:val="22"/>
                <w:lang w:val="en-US" w:eastAsia="zh-CN"/>
              </w:rPr>
              <w:t>颗粒物</w:t>
            </w:r>
            <w:r>
              <w:rPr>
                <w:rFonts w:hint="default" w:ascii="Times New Roman" w:hAnsi="Times New Roman" w:eastAsia="宋体" w:cs="Times New Roman"/>
                <w:bCs/>
                <w:color w:val="auto"/>
                <w:spacing w:val="-6"/>
                <w:sz w:val="24"/>
                <w:szCs w:val="22"/>
                <w:lang w:val="en-US" w:eastAsia="zh-CN"/>
              </w:rPr>
              <w:t>的产生情况和排放情况，具体见下表</w:t>
            </w:r>
            <w:r>
              <w:rPr>
                <w:rFonts w:hint="eastAsia" w:ascii="Times New Roman" w:hAnsi="Times New Roman" w:eastAsia="宋体" w:cs="Times New Roman"/>
                <w:bCs/>
                <w:color w:val="auto"/>
                <w:spacing w:val="-6"/>
                <w:sz w:val="24"/>
                <w:szCs w:val="22"/>
                <w:lang w:val="en-US" w:eastAsia="zh-CN"/>
              </w:rPr>
              <w:t>。</w:t>
            </w:r>
          </w:p>
          <w:p w14:paraId="66A823F5">
            <w:pPr>
              <w:pStyle w:val="35"/>
              <w:keepNext w:val="0"/>
              <w:keepLines w:val="0"/>
              <w:pageBreakBefore w:val="0"/>
              <w:widowControl w:val="0"/>
              <w:kinsoku/>
              <w:wordWrap/>
              <w:overflowPunct/>
              <w:topLinePunct w:val="0"/>
              <w:autoSpaceDE/>
              <w:autoSpaceDN/>
              <w:bidi w:val="0"/>
              <w:adjustRightInd/>
              <w:snapToGrid/>
              <w:spacing w:after="0" w:line="520" w:lineRule="exact"/>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表4-</w:t>
            </w:r>
            <w:r>
              <w:rPr>
                <w:rFonts w:hint="eastAsia" w:cs="Times New Roman"/>
                <w:b/>
                <w:bCs/>
                <w:color w:val="auto"/>
                <w:sz w:val="21"/>
                <w:szCs w:val="21"/>
                <w:lang w:val="en-US" w:eastAsia="zh-CN"/>
              </w:rPr>
              <w:t>6</w:t>
            </w:r>
            <w:r>
              <w:rPr>
                <w:rFonts w:hint="eastAsia" w:ascii="Times New Roman" w:hAnsi="Times New Roman" w:eastAsia="宋体" w:cs="Times New Roman"/>
                <w:b/>
                <w:bCs/>
                <w:color w:val="auto"/>
                <w:sz w:val="21"/>
                <w:szCs w:val="21"/>
                <w:lang w:val="en-US" w:eastAsia="zh-CN"/>
              </w:rPr>
              <w:t xml:space="preserve">    非正常工况下废气污染物排放情况一览表</w:t>
            </w:r>
          </w:p>
          <w:tbl>
            <w:tblPr>
              <w:tblStyle w:val="28"/>
              <w:tblW w:w="4997" w:type="pct"/>
              <w:tblInd w:w="0" w:type="dxa"/>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Layout w:type="fixed"/>
              <w:tblCellMar>
                <w:top w:w="0" w:type="dxa"/>
                <w:left w:w="108" w:type="dxa"/>
                <w:bottom w:w="0" w:type="dxa"/>
                <w:right w:w="108" w:type="dxa"/>
              </w:tblCellMar>
            </w:tblPr>
            <w:tblGrid>
              <w:gridCol w:w="907"/>
              <w:gridCol w:w="893"/>
              <w:gridCol w:w="1141"/>
              <w:gridCol w:w="1236"/>
              <w:gridCol w:w="996"/>
              <w:gridCol w:w="996"/>
              <w:gridCol w:w="996"/>
              <w:gridCol w:w="996"/>
            </w:tblGrid>
            <w:tr w14:paraId="0C64E985">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CellMar>
                  <w:top w:w="0" w:type="dxa"/>
                  <w:left w:w="108" w:type="dxa"/>
                  <w:bottom w:w="0" w:type="dxa"/>
                  <w:right w:w="108" w:type="dxa"/>
                </w:tblCellMar>
              </w:tblPrEx>
              <w:tc>
                <w:tcPr>
                  <w:tcW w:w="555" w:type="pct"/>
                  <w:tcBorders>
                    <w:tl2br w:val="nil"/>
                    <w:tr2bl w:val="nil"/>
                  </w:tcBorders>
                  <w:vAlign w:val="center"/>
                </w:tcPr>
                <w:p w14:paraId="0460D1D6">
                  <w:pPr>
                    <w:pStyle w:val="7"/>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污染物</w:t>
                  </w:r>
                </w:p>
              </w:tc>
              <w:tc>
                <w:tcPr>
                  <w:tcW w:w="546" w:type="pct"/>
                  <w:tcBorders>
                    <w:tl2br w:val="nil"/>
                    <w:tr2bl w:val="nil"/>
                  </w:tcBorders>
                  <w:vAlign w:val="center"/>
                </w:tcPr>
                <w:p w14:paraId="4FF2A292">
                  <w:pPr>
                    <w:pStyle w:val="7"/>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排放方式</w:t>
                  </w:r>
                </w:p>
              </w:tc>
              <w:tc>
                <w:tcPr>
                  <w:tcW w:w="698" w:type="pct"/>
                  <w:tcBorders>
                    <w:tl2br w:val="nil"/>
                    <w:tr2bl w:val="nil"/>
                  </w:tcBorders>
                  <w:vAlign w:val="center"/>
                </w:tcPr>
                <w:p w14:paraId="098DF988">
                  <w:pPr>
                    <w:pStyle w:val="7"/>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污染物产生量</w:t>
                  </w:r>
                </w:p>
              </w:tc>
              <w:tc>
                <w:tcPr>
                  <w:tcW w:w="756" w:type="pct"/>
                  <w:tcBorders>
                    <w:tl2br w:val="nil"/>
                    <w:tr2bl w:val="nil"/>
                  </w:tcBorders>
                  <w:vAlign w:val="center"/>
                </w:tcPr>
                <w:p w14:paraId="1C8E7C4A">
                  <w:pPr>
                    <w:pStyle w:val="7"/>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排放浓度（mg/m</w:t>
                  </w:r>
                  <w:r>
                    <w:rPr>
                      <w:rFonts w:hint="eastAsia"/>
                      <w:color w:val="auto"/>
                      <w:sz w:val="21"/>
                      <w:szCs w:val="21"/>
                      <w:vertAlign w:val="superscript"/>
                      <w:lang w:val="en-US" w:eastAsia="zh-CN"/>
                    </w:rPr>
                    <w:t>3</w:t>
                  </w:r>
                  <w:r>
                    <w:rPr>
                      <w:rFonts w:hint="eastAsia"/>
                      <w:color w:val="auto"/>
                      <w:sz w:val="21"/>
                      <w:szCs w:val="21"/>
                      <w:vertAlign w:val="baseline"/>
                      <w:lang w:val="en-US" w:eastAsia="zh-CN"/>
                    </w:rPr>
                    <w:t>）</w:t>
                  </w:r>
                </w:p>
              </w:tc>
              <w:tc>
                <w:tcPr>
                  <w:tcW w:w="610" w:type="pct"/>
                  <w:tcBorders>
                    <w:tl2br w:val="nil"/>
                    <w:tr2bl w:val="nil"/>
                  </w:tcBorders>
                  <w:vAlign w:val="center"/>
                </w:tcPr>
                <w:p w14:paraId="4316382D">
                  <w:pPr>
                    <w:pStyle w:val="7"/>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达标情况</w:t>
                  </w:r>
                </w:p>
              </w:tc>
              <w:tc>
                <w:tcPr>
                  <w:tcW w:w="610" w:type="pct"/>
                  <w:tcBorders>
                    <w:tl2br w:val="nil"/>
                    <w:tr2bl w:val="nil"/>
                  </w:tcBorders>
                  <w:vAlign w:val="center"/>
                </w:tcPr>
                <w:p w14:paraId="69DFEB09">
                  <w:pPr>
                    <w:pStyle w:val="7"/>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持续时间</w:t>
                  </w:r>
                </w:p>
              </w:tc>
              <w:tc>
                <w:tcPr>
                  <w:tcW w:w="610" w:type="pct"/>
                  <w:tcBorders>
                    <w:tl2br w:val="nil"/>
                    <w:tr2bl w:val="nil"/>
                  </w:tcBorders>
                  <w:vAlign w:val="center"/>
                </w:tcPr>
                <w:p w14:paraId="0EE14D78">
                  <w:pPr>
                    <w:pStyle w:val="7"/>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发生频率</w:t>
                  </w:r>
                </w:p>
              </w:tc>
              <w:tc>
                <w:tcPr>
                  <w:tcW w:w="610" w:type="pct"/>
                  <w:tcBorders>
                    <w:tl2br w:val="nil"/>
                    <w:tr2bl w:val="nil"/>
                  </w:tcBorders>
                  <w:vAlign w:val="center"/>
                </w:tcPr>
                <w:p w14:paraId="3B8C3FA0">
                  <w:pPr>
                    <w:pStyle w:val="7"/>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auto"/>
                      <w:sz w:val="21"/>
                      <w:szCs w:val="21"/>
                      <w:lang w:val="en-US" w:eastAsia="zh-CN"/>
                    </w:rPr>
                  </w:pPr>
                  <w:r>
                    <w:rPr>
                      <w:rFonts w:hint="eastAsia"/>
                      <w:color w:val="auto"/>
                      <w:sz w:val="21"/>
                      <w:szCs w:val="21"/>
                      <w:lang w:val="en-US" w:eastAsia="zh-CN"/>
                    </w:rPr>
                    <w:t>应对措施</w:t>
                  </w:r>
                </w:p>
              </w:tc>
            </w:tr>
            <w:tr w14:paraId="106E8D49">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CellMar>
                  <w:top w:w="0" w:type="dxa"/>
                  <w:left w:w="108" w:type="dxa"/>
                  <w:bottom w:w="0" w:type="dxa"/>
                  <w:right w:w="108" w:type="dxa"/>
                </w:tblCellMar>
              </w:tblPrEx>
              <w:tc>
                <w:tcPr>
                  <w:tcW w:w="555" w:type="pct"/>
                  <w:tcBorders>
                    <w:tl2br w:val="nil"/>
                    <w:tr2bl w:val="nil"/>
                  </w:tcBorders>
                  <w:vAlign w:val="center"/>
                </w:tcPr>
                <w:p w14:paraId="3F25B7BA">
                  <w:pPr>
                    <w:pStyle w:val="7"/>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颗粒物</w:t>
                  </w:r>
                </w:p>
              </w:tc>
              <w:tc>
                <w:tcPr>
                  <w:tcW w:w="546" w:type="pct"/>
                  <w:tcBorders>
                    <w:tl2br w:val="nil"/>
                    <w:tr2bl w:val="nil"/>
                  </w:tcBorders>
                  <w:vAlign w:val="center"/>
                </w:tcPr>
                <w:p w14:paraId="33975705">
                  <w:pPr>
                    <w:pStyle w:val="7"/>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w:t>
                  </w:r>
                </w:p>
              </w:tc>
              <w:tc>
                <w:tcPr>
                  <w:tcW w:w="698" w:type="pct"/>
                  <w:tcBorders>
                    <w:tl2br w:val="nil"/>
                    <w:tr2bl w:val="nil"/>
                  </w:tcBorders>
                  <w:vAlign w:val="center"/>
                </w:tcPr>
                <w:p w14:paraId="723FA08A">
                  <w:pPr>
                    <w:pStyle w:val="7"/>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180kg</w:t>
                  </w:r>
                </w:p>
              </w:tc>
              <w:tc>
                <w:tcPr>
                  <w:tcW w:w="756" w:type="pct"/>
                  <w:tcBorders>
                    <w:tl2br w:val="nil"/>
                    <w:tr2bl w:val="nil"/>
                  </w:tcBorders>
                  <w:vAlign w:val="center"/>
                </w:tcPr>
                <w:p w14:paraId="1598147D">
                  <w:pPr>
                    <w:pStyle w:val="7"/>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3600</w:t>
                  </w:r>
                </w:p>
              </w:tc>
              <w:tc>
                <w:tcPr>
                  <w:tcW w:w="610" w:type="pct"/>
                  <w:tcBorders>
                    <w:tl2br w:val="nil"/>
                    <w:tr2bl w:val="nil"/>
                  </w:tcBorders>
                  <w:vAlign w:val="center"/>
                </w:tcPr>
                <w:p w14:paraId="0600A8DF">
                  <w:pPr>
                    <w:pStyle w:val="7"/>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超标</w:t>
                  </w:r>
                </w:p>
              </w:tc>
              <w:tc>
                <w:tcPr>
                  <w:tcW w:w="610" w:type="pct"/>
                  <w:tcBorders>
                    <w:tl2br w:val="nil"/>
                    <w:tr2bl w:val="nil"/>
                  </w:tcBorders>
                  <w:vAlign w:val="center"/>
                </w:tcPr>
                <w:p w14:paraId="5063B294">
                  <w:pPr>
                    <w:pStyle w:val="7"/>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＜1h</w:t>
                  </w:r>
                </w:p>
              </w:tc>
              <w:tc>
                <w:tcPr>
                  <w:tcW w:w="610" w:type="pct"/>
                  <w:tcBorders>
                    <w:tl2br w:val="nil"/>
                    <w:tr2bl w:val="nil"/>
                  </w:tcBorders>
                  <w:vAlign w:val="center"/>
                </w:tcPr>
                <w:p w14:paraId="02FBD15A">
                  <w:pPr>
                    <w:pStyle w:val="7"/>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1次/a</w:t>
                  </w:r>
                </w:p>
              </w:tc>
              <w:tc>
                <w:tcPr>
                  <w:tcW w:w="610" w:type="pct"/>
                  <w:tcBorders>
                    <w:tl2br w:val="nil"/>
                    <w:tr2bl w:val="nil"/>
                  </w:tcBorders>
                  <w:vAlign w:val="center"/>
                </w:tcPr>
                <w:p w14:paraId="55C83972">
                  <w:pPr>
                    <w:pStyle w:val="7"/>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立即停产</w:t>
                  </w:r>
                </w:p>
              </w:tc>
            </w:tr>
          </w:tbl>
          <w:p w14:paraId="16267B3C">
            <w:pPr>
              <w:pStyle w:val="13"/>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bCs/>
                <w:color w:val="auto"/>
                <w:sz w:val="24"/>
                <w:szCs w:val="22"/>
                <w:lang w:val="en-US" w:eastAsia="zh-CN"/>
              </w:rPr>
            </w:pPr>
            <w:r>
              <w:rPr>
                <w:rFonts w:hint="eastAsia" w:ascii="Times New Roman" w:hAnsi="Times New Roman" w:eastAsia="宋体" w:cs="Times New Roman"/>
                <w:bCs/>
                <w:color w:val="auto"/>
                <w:sz w:val="24"/>
                <w:szCs w:val="22"/>
                <w:lang w:val="en-US" w:eastAsia="zh-CN"/>
              </w:rPr>
              <w:t>由表4-6可知，非正常工况下颗粒物排放浓度超标，对环境的影响和危害较大，因此需设置污染治理措施以减少非正常工况下污染物对环境的影响程度，除采用先进成熟的工艺技术和设备外，生产中还应加强管理，严格控制规程，提高工人素质，精心操作，防患于未然，将非正常排放控制到最小，一旦发生非正常生产排放，应及时进行检修。并采取相应措施进行污染物集中处理，确保事故状态后，污染物对环境的影响程度降到最低。</w:t>
            </w:r>
          </w:p>
          <w:p w14:paraId="0971176D">
            <w:pPr>
              <w:keepNext w:val="0"/>
              <w:keepLines w:val="0"/>
              <w:pageBreakBefore w:val="0"/>
              <w:widowControl/>
              <w:numPr>
                <w:ilvl w:val="0"/>
                <w:numId w:val="0"/>
              </w:numPr>
              <w:kinsoku/>
              <w:wordWrap/>
              <w:overflowPunct/>
              <w:topLinePunct w:val="0"/>
              <w:autoSpaceDE/>
              <w:autoSpaceDN/>
              <w:bidi w:val="0"/>
              <w:adjustRightInd/>
              <w:snapToGrid/>
              <w:spacing w:line="520" w:lineRule="exact"/>
              <w:ind w:leftChars="0"/>
              <w:textAlignment w:val="auto"/>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1.6 环境影响分析</w:t>
            </w:r>
          </w:p>
          <w:p w14:paraId="247C01BE">
            <w:pPr>
              <w:pStyle w:val="13"/>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Cs/>
                <w:color w:val="auto"/>
                <w:sz w:val="24"/>
                <w:szCs w:val="22"/>
                <w:lang w:val="en-US" w:eastAsia="zh-CN"/>
              </w:rPr>
            </w:pPr>
            <w:r>
              <w:rPr>
                <w:rFonts w:hint="default" w:ascii="Times New Roman" w:hAnsi="Times New Roman" w:eastAsia="宋体" w:cs="Times New Roman"/>
                <w:bCs/>
                <w:color w:val="auto"/>
                <w:sz w:val="24"/>
                <w:szCs w:val="22"/>
                <w:lang w:val="en-US" w:eastAsia="zh-CN"/>
              </w:rPr>
              <w:t>本项目破碎筛分工序配置洒水降尘设施，上方</w:t>
            </w:r>
            <w:r>
              <w:rPr>
                <w:rFonts w:hint="eastAsia" w:ascii="Times New Roman" w:hAnsi="Times New Roman" w:eastAsia="宋体" w:cs="Times New Roman"/>
                <w:bCs/>
                <w:color w:val="auto"/>
                <w:sz w:val="24"/>
                <w:szCs w:val="22"/>
                <w:lang w:val="en-US" w:eastAsia="zh-CN"/>
              </w:rPr>
              <w:t>设置</w:t>
            </w:r>
            <w:r>
              <w:rPr>
                <w:rFonts w:hint="default" w:ascii="Times New Roman" w:hAnsi="Times New Roman" w:eastAsia="宋体" w:cs="Times New Roman"/>
                <w:bCs/>
                <w:color w:val="auto"/>
                <w:sz w:val="24"/>
                <w:szCs w:val="22"/>
                <w:lang w:val="en-US" w:eastAsia="zh-CN"/>
              </w:rPr>
              <w:t>集气罩，产生的粉尘经布袋除尘器处理后通过1根15m高排气筒排放，有组织粉尘满足《煤炭工业污染物排放标准》（GB20246-2006）相关标准限值（80mg/m</w:t>
            </w:r>
            <w:r>
              <w:rPr>
                <w:rFonts w:hint="default" w:ascii="Times New Roman" w:hAnsi="Times New Roman" w:eastAsia="宋体" w:cs="Times New Roman"/>
                <w:bCs/>
                <w:color w:val="auto"/>
                <w:sz w:val="24"/>
                <w:szCs w:val="22"/>
                <w:vertAlign w:val="superscript"/>
                <w:lang w:val="en-US" w:eastAsia="zh-CN"/>
              </w:rPr>
              <w:t>3</w:t>
            </w:r>
            <w:r>
              <w:rPr>
                <w:rFonts w:hint="default" w:ascii="Times New Roman" w:hAnsi="Times New Roman" w:eastAsia="宋体" w:cs="Times New Roman"/>
                <w:bCs/>
                <w:color w:val="auto"/>
                <w:sz w:val="24"/>
                <w:szCs w:val="22"/>
                <w:lang w:val="en-US" w:eastAsia="zh-CN"/>
              </w:rPr>
              <w:t>）。</w:t>
            </w:r>
            <w:r>
              <w:rPr>
                <w:rFonts w:hint="default" w:ascii="Times New Roman" w:hAnsi="Times New Roman" w:eastAsia="宋体" w:cs="Times New Roman"/>
                <w:color w:val="auto"/>
                <w:sz w:val="24"/>
                <w:szCs w:val="24"/>
                <w:lang w:val="en-US" w:eastAsia="zh-CN"/>
              </w:rPr>
              <w:t>转载工序</w:t>
            </w:r>
            <w:r>
              <w:rPr>
                <w:rFonts w:hint="default" w:ascii="Times New Roman" w:hAnsi="Times New Roman" w:eastAsia="宋体" w:cs="Times New Roman"/>
                <w:color w:val="auto"/>
                <w:sz w:val="24"/>
                <w:szCs w:val="24"/>
                <w:lang w:eastAsia="zh-TW"/>
              </w:rPr>
              <w:t>全封闭输煤廊道，</w:t>
            </w:r>
            <w:r>
              <w:rPr>
                <w:rFonts w:hint="default" w:ascii="Times New Roman" w:hAnsi="Times New Roman" w:eastAsia="宋体" w:cs="Times New Roman"/>
                <w:color w:val="auto"/>
                <w:sz w:val="24"/>
                <w:szCs w:val="24"/>
                <w:lang w:val="en-US" w:eastAsia="zh-CN"/>
              </w:rPr>
              <w:t>导料槽两端增加密闭挡帘并安装喷雾抑尘（PKG-II喷雾除尘装置）；煤棚、装卸工序：煤棚密闭，并安装喷雾设备；道路运输工序：对运输车辆加盖篷布，道路作业实施洒水降尘以及道路硬化、加强厂区绿化等措施降低起尘量。</w:t>
            </w:r>
            <w:r>
              <w:rPr>
                <w:rFonts w:hint="eastAsia" w:ascii="Times New Roman" w:hAnsi="Times New Roman" w:eastAsia="宋体" w:cs="Times New Roman"/>
                <w:color w:val="auto"/>
                <w:sz w:val="24"/>
                <w:szCs w:val="24"/>
                <w:lang w:val="en-US" w:eastAsia="zh-CN"/>
              </w:rPr>
              <w:t>厂界无组织粉尘在采取上述措施后满足《煤炭工业污染物排放标准》（GB20246-2006）相关标准限值要求。</w:t>
            </w:r>
          </w:p>
          <w:p w14:paraId="7EE7B448">
            <w:pPr>
              <w:keepNext w:val="0"/>
              <w:keepLines w:val="0"/>
              <w:pageBreakBefore w:val="0"/>
              <w:widowControl/>
              <w:numPr>
                <w:ilvl w:val="0"/>
                <w:numId w:val="13"/>
              </w:numPr>
              <w:kinsoku/>
              <w:wordWrap/>
              <w:overflowPunct/>
              <w:topLinePunct w:val="0"/>
              <w:autoSpaceDE/>
              <w:autoSpaceDN/>
              <w:bidi w:val="0"/>
              <w:adjustRightInd/>
              <w:snapToGrid/>
              <w:spacing w:line="520" w:lineRule="exact"/>
              <w:ind w:left="0" w:leftChars="0" w:firstLine="0" w:firstLineChars="0"/>
              <w:textAlignment w:val="auto"/>
              <w:rPr>
                <w:b/>
                <w:bCs/>
                <w:color w:val="auto"/>
                <w:sz w:val="24"/>
              </w:rPr>
            </w:pPr>
            <w:r>
              <w:rPr>
                <w:b/>
                <w:bCs/>
                <w:color w:val="auto"/>
                <w:sz w:val="24"/>
              </w:rPr>
              <w:t>废水</w:t>
            </w:r>
          </w:p>
          <w:p w14:paraId="759E6DAF">
            <w:pPr>
              <w:keepNext w:val="0"/>
              <w:keepLines w:val="0"/>
              <w:pageBreakBefore w:val="0"/>
              <w:widowControl w:val="0"/>
              <w:kinsoku/>
              <w:wordWrap/>
              <w:overflowPunct/>
              <w:topLinePunct w:val="0"/>
              <w:autoSpaceDE/>
              <w:autoSpaceDN/>
              <w:bidi w:val="0"/>
              <w:adjustRightInd w:val="0"/>
              <w:snapToGrid w:val="0"/>
              <w:spacing w:line="520" w:lineRule="exact"/>
              <w:jc w:val="both"/>
              <w:textAlignment w:val="auto"/>
              <w:rPr>
                <w:rFonts w:hint="default" w:ascii="Times New Roman" w:hAnsi="Times New Roman" w:eastAsia="宋体" w:cs="Times New Roman"/>
                <w:b/>
                <w:bCs w:val="0"/>
                <w:color w:val="auto"/>
                <w:spacing w:val="0"/>
                <w:sz w:val="24"/>
                <w:szCs w:val="24"/>
                <w:lang w:val="en-US" w:eastAsia="zh-CN"/>
              </w:rPr>
            </w:pPr>
            <w:r>
              <w:rPr>
                <w:rFonts w:hint="eastAsia" w:ascii="Times New Roman" w:hAnsi="Times New Roman" w:eastAsia="宋体" w:cs="Times New Roman"/>
                <w:b/>
                <w:bCs w:val="0"/>
                <w:color w:val="auto"/>
                <w:spacing w:val="0"/>
                <w:sz w:val="24"/>
                <w:szCs w:val="24"/>
                <w:lang w:val="en-US" w:eastAsia="zh-CN"/>
              </w:rPr>
              <w:t>2.1</w:t>
            </w:r>
            <w:r>
              <w:rPr>
                <w:rFonts w:hint="default" w:ascii="Times New Roman" w:hAnsi="Times New Roman" w:eastAsia="宋体" w:cs="Times New Roman"/>
                <w:b/>
                <w:bCs w:val="0"/>
                <w:color w:val="auto"/>
                <w:spacing w:val="0"/>
                <w:sz w:val="24"/>
                <w:szCs w:val="24"/>
                <w:lang w:val="en-US" w:eastAsia="zh-CN"/>
              </w:rPr>
              <w:t>洗煤废水</w:t>
            </w:r>
          </w:p>
          <w:p w14:paraId="6FFE6DA8">
            <w:pPr>
              <w:pageBreakBefore w:val="0"/>
              <w:kinsoku/>
              <w:wordWrap/>
              <w:overflowPunct/>
              <w:topLinePunct w:val="0"/>
              <w:autoSpaceDE/>
              <w:autoSpaceDN/>
              <w:bidi w:val="0"/>
              <w:spacing w:line="520" w:lineRule="exact"/>
              <w:ind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洗煤生产过程产生的煤泥水采用闭路循环的工艺流程，在设计上达到洗煤水不外排的要求。项目设置的高效浓缩机对煤泥水进行处理。生产过程中产生的煤泥水</w:t>
            </w:r>
            <w:r>
              <w:rPr>
                <w:rFonts w:hint="eastAsia" w:ascii="Times New Roman" w:hAnsi="Times New Roman" w:eastAsia="宋体" w:cs="Times New Roman"/>
                <w:b w:val="0"/>
                <w:bCs w:val="0"/>
                <w:color w:val="auto"/>
                <w:sz w:val="24"/>
                <w:szCs w:val="24"/>
                <w:lang w:val="en-US" w:eastAsia="zh-CN"/>
              </w:rPr>
              <w:t>均通过</w:t>
            </w:r>
            <w:r>
              <w:rPr>
                <w:rFonts w:hint="default" w:ascii="Times New Roman" w:hAnsi="Times New Roman" w:eastAsia="宋体" w:cs="Times New Roman"/>
                <w:b w:val="0"/>
                <w:bCs w:val="0"/>
                <w:color w:val="auto"/>
                <w:sz w:val="24"/>
                <w:szCs w:val="24"/>
                <w:lang w:val="en-US" w:eastAsia="zh-CN"/>
              </w:rPr>
              <w:t>浓缩机进行处理。浓缩机溢流作为循环水重复使用；浓缩机底流由过滤机回收细粒煤泥，设备处理能力大于实际的量，可以确保这个煤泥回收的关键环节正常工作。滤液与浓缩机溢流一起作为循环水重复使用。当工作浓缩机需要检修或发生故障时，循环水池可容纳其内全部煤泥水，这样可以保证在任何情况下煤泥水不外排，从而避免煤泥水对周围环境的污染。</w:t>
            </w:r>
          </w:p>
          <w:p w14:paraId="1FB86ADC">
            <w:pPr>
              <w:pageBreakBefore w:val="0"/>
              <w:kinsoku/>
              <w:wordWrap/>
              <w:overflowPunct/>
              <w:topLinePunct w:val="0"/>
              <w:autoSpaceDE/>
              <w:autoSpaceDN/>
              <w:bidi w:val="0"/>
              <w:spacing w:line="520" w:lineRule="exact"/>
              <w:ind w:firstLine="480" w:firstLineChars="200"/>
              <w:textAlignment w:val="auto"/>
              <w:rPr>
                <w:color w:val="auto"/>
                <w:kern w:val="0"/>
                <w:sz w:val="24"/>
              </w:rPr>
            </w:pPr>
            <w:r>
              <w:rPr>
                <w:color w:val="auto"/>
                <w:kern w:val="0"/>
                <w:sz w:val="24"/>
              </w:rPr>
              <w:t>综上所述，项目产生的洗煤废水可实现闭路循环，达到</w:t>
            </w:r>
            <w:r>
              <w:rPr>
                <w:rFonts w:hint="eastAsia"/>
                <w:color w:val="auto"/>
                <w:kern w:val="0"/>
                <w:sz w:val="24"/>
              </w:rPr>
              <w:t>《选煤厂洗水闭路循环等级》（GB/T 35051-2018）</w:t>
            </w:r>
            <w:r>
              <w:rPr>
                <w:color w:val="auto"/>
                <w:kern w:val="0"/>
                <w:sz w:val="24"/>
              </w:rPr>
              <w:t>洗</w:t>
            </w:r>
            <w:r>
              <w:rPr>
                <w:rFonts w:hint="eastAsia"/>
                <w:color w:val="auto"/>
                <w:kern w:val="0"/>
                <w:sz w:val="24"/>
              </w:rPr>
              <w:t>水</w:t>
            </w:r>
            <w:r>
              <w:rPr>
                <w:color w:val="auto"/>
                <w:kern w:val="0"/>
                <w:sz w:val="24"/>
              </w:rPr>
              <w:t>闭路循环一级标准，可保证煤泥水不外排</w:t>
            </w:r>
            <w:r>
              <w:rPr>
                <w:rFonts w:hint="eastAsia"/>
                <w:color w:val="auto"/>
                <w:kern w:val="0"/>
                <w:sz w:val="24"/>
              </w:rPr>
              <w:t>，措施可行。</w:t>
            </w:r>
          </w:p>
          <w:p w14:paraId="4F871323">
            <w:pPr>
              <w:keepNext w:val="0"/>
              <w:keepLines w:val="0"/>
              <w:pageBreakBefore w:val="0"/>
              <w:widowControl w:val="0"/>
              <w:kinsoku/>
              <w:wordWrap/>
              <w:overflowPunct/>
              <w:topLinePunct w:val="0"/>
              <w:autoSpaceDE/>
              <w:autoSpaceDN/>
              <w:bidi w:val="0"/>
              <w:adjustRightInd w:val="0"/>
              <w:snapToGrid w:val="0"/>
              <w:spacing w:line="520" w:lineRule="exact"/>
              <w:jc w:val="both"/>
              <w:textAlignment w:val="auto"/>
              <w:rPr>
                <w:rFonts w:hint="default" w:ascii="Times New Roman" w:hAnsi="Times New Roman" w:eastAsia="宋体" w:cs="Times New Roman"/>
                <w:b/>
                <w:bCs w:val="0"/>
                <w:color w:val="auto"/>
                <w:spacing w:val="0"/>
                <w:sz w:val="24"/>
                <w:szCs w:val="24"/>
                <w:lang w:val="en-US" w:eastAsia="zh-CN"/>
              </w:rPr>
            </w:pPr>
            <w:r>
              <w:rPr>
                <w:rFonts w:hint="eastAsia" w:ascii="Times New Roman" w:hAnsi="Times New Roman" w:eastAsia="宋体" w:cs="Times New Roman"/>
                <w:b/>
                <w:bCs w:val="0"/>
                <w:color w:val="auto"/>
                <w:spacing w:val="0"/>
                <w:sz w:val="24"/>
                <w:szCs w:val="24"/>
                <w:lang w:val="en-US" w:eastAsia="zh-CN"/>
              </w:rPr>
              <w:t>2.2 生活污水</w:t>
            </w:r>
          </w:p>
          <w:p w14:paraId="4230165D">
            <w:pPr>
              <w:pageBreakBefore w:val="0"/>
              <w:kinsoku/>
              <w:wordWrap/>
              <w:overflowPunct/>
              <w:topLinePunct w:val="0"/>
              <w:autoSpaceDE/>
              <w:autoSpaceDN/>
              <w:bidi w:val="0"/>
              <w:spacing w:line="520" w:lineRule="exact"/>
              <w:ind w:firstLine="480" w:firstLineChars="200"/>
              <w:textAlignment w:val="auto"/>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本项目劳动用工</w:t>
            </w:r>
            <w:r>
              <w:rPr>
                <w:rFonts w:hint="eastAsia" w:cs="Times New Roman"/>
                <w:color w:val="auto"/>
                <w:kern w:val="0"/>
                <w:sz w:val="24"/>
                <w:lang w:val="en-US" w:eastAsia="zh-CN"/>
              </w:rPr>
              <w:t>50</w:t>
            </w:r>
            <w:r>
              <w:rPr>
                <w:rFonts w:hint="eastAsia" w:ascii="Times New Roman" w:hAnsi="Times New Roman" w:eastAsia="宋体" w:cs="Times New Roman"/>
                <w:color w:val="auto"/>
                <w:kern w:val="0"/>
                <w:sz w:val="24"/>
              </w:rPr>
              <w:t>人，年工作天数为3</w:t>
            </w:r>
            <w:r>
              <w:rPr>
                <w:rFonts w:hint="eastAsia" w:ascii="Times New Roman" w:hAnsi="Times New Roman" w:eastAsia="宋体" w:cs="Times New Roman"/>
                <w:color w:val="auto"/>
                <w:kern w:val="0"/>
                <w:sz w:val="24"/>
                <w:lang w:val="en-US" w:eastAsia="zh-CN"/>
              </w:rPr>
              <w:t>0</w:t>
            </w:r>
            <w:r>
              <w:rPr>
                <w:rFonts w:hint="eastAsia" w:ascii="Times New Roman" w:hAnsi="Times New Roman" w:eastAsia="宋体" w:cs="Times New Roman"/>
                <w:color w:val="auto"/>
                <w:kern w:val="0"/>
                <w:sz w:val="24"/>
              </w:rPr>
              <w:t>0d，生活用水按0.1m</w:t>
            </w:r>
            <w:r>
              <w:rPr>
                <w:rFonts w:hint="eastAsia" w:ascii="Times New Roman" w:hAnsi="Times New Roman" w:eastAsia="宋体" w:cs="Times New Roman"/>
                <w:color w:val="auto"/>
                <w:kern w:val="0"/>
                <w:sz w:val="24"/>
                <w:vertAlign w:val="superscript"/>
              </w:rPr>
              <w:t>3</w:t>
            </w:r>
            <w:r>
              <w:rPr>
                <w:rFonts w:hint="eastAsia" w:ascii="Times New Roman" w:hAnsi="Times New Roman" w:eastAsia="宋体" w:cs="Times New Roman"/>
                <w:color w:val="auto"/>
                <w:kern w:val="0"/>
                <w:sz w:val="24"/>
              </w:rPr>
              <w:t>/d·人计算，年生活用水量为</w:t>
            </w:r>
            <w:r>
              <w:rPr>
                <w:rFonts w:hint="eastAsia" w:cs="Times New Roman"/>
                <w:color w:val="auto"/>
                <w:kern w:val="0"/>
                <w:sz w:val="24"/>
                <w:lang w:val="en-US" w:eastAsia="zh-CN"/>
              </w:rPr>
              <w:t>1500</w:t>
            </w:r>
            <w:r>
              <w:rPr>
                <w:rFonts w:hint="eastAsia" w:ascii="Times New Roman" w:hAnsi="Times New Roman" w:eastAsia="宋体" w:cs="Times New Roman"/>
                <w:color w:val="auto"/>
                <w:kern w:val="0"/>
                <w:sz w:val="24"/>
              </w:rPr>
              <w:t>m</w:t>
            </w:r>
            <w:r>
              <w:rPr>
                <w:rFonts w:hint="eastAsia" w:ascii="Times New Roman" w:hAnsi="Times New Roman" w:eastAsia="宋体" w:cs="Times New Roman"/>
                <w:color w:val="auto"/>
                <w:kern w:val="0"/>
                <w:sz w:val="24"/>
                <w:vertAlign w:val="superscript"/>
              </w:rPr>
              <w:t>3</w:t>
            </w:r>
            <w:r>
              <w:rPr>
                <w:rFonts w:hint="eastAsia" w:ascii="Times New Roman" w:hAnsi="Times New Roman" w:eastAsia="宋体" w:cs="Times New Roman"/>
                <w:color w:val="auto"/>
                <w:kern w:val="0"/>
                <w:sz w:val="24"/>
              </w:rPr>
              <w:t>/a，排水量按80%计算，年生活污水排水量为</w:t>
            </w:r>
            <w:r>
              <w:rPr>
                <w:rFonts w:hint="eastAsia" w:cs="Times New Roman"/>
                <w:color w:val="auto"/>
                <w:kern w:val="0"/>
                <w:sz w:val="24"/>
                <w:lang w:val="en-US" w:eastAsia="zh-CN"/>
              </w:rPr>
              <w:t>1200</w:t>
            </w:r>
            <w:r>
              <w:rPr>
                <w:rFonts w:hint="eastAsia" w:ascii="Times New Roman" w:hAnsi="Times New Roman" w:eastAsia="宋体" w:cs="Times New Roman"/>
                <w:color w:val="auto"/>
                <w:kern w:val="0"/>
                <w:sz w:val="24"/>
              </w:rPr>
              <w:t>m</w:t>
            </w:r>
            <w:r>
              <w:rPr>
                <w:rFonts w:hint="eastAsia" w:ascii="Times New Roman" w:hAnsi="Times New Roman" w:eastAsia="宋体" w:cs="Times New Roman"/>
                <w:color w:val="auto"/>
                <w:kern w:val="0"/>
                <w:sz w:val="24"/>
                <w:vertAlign w:val="superscript"/>
              </w:rPr>
              <w:t>3</w:t>
            </w:r>
            <w:r>
              <w:rPr>
                <w:rFonts w:hint="eastAsia" w:ascii="Times New Roman" w:hAnsi="Times New Roman" w:eastAsia="宋体" w:cs="Times New Roman"/>
                <w:color w:val="auto"/>
                <w:kern w:val="0"/>
                <w:sz w:val="24"/>
              </w:rPr>
              <w:t>/a，废水中含COD、BOD</w:t>
            </w:r>
            <w:r>
              <w:rPr>
                <w:rFonts w:hint="eastAsia" w:ascii="Times New Roman" w:hAnsi="Times New Roman" w:eastAsia="宋体" w:cs="Times New Roman"/>
                <w:color w:val="auto"/>
                <w:kern w:val="0"/>
                <w:sz w:val="24"/>
                <w:vertAlign w:val="subscript"/>
              </w:rPr>
              <w:t>5</w:t>
            </w:r>
            <w:r>
              <w:rPr>
                <w:rFonts w:hint="eastAsia" w:ascii="Times New Roman" w:hAnsi="Times New Roman" w:eastAsia="宋体" w:cs="Times New Roman"/>
                <w:color w:val="auto"/>
                <w:kern w:val="0"/>
                <w:sz w:val="24"/>
              </w:rPr>
              <w:t>、SS、氨氮和动植物油等污染物。生活污水</w:t>
            </w:r>
            <w:r>
              <w:rPr>
                <w:rFonts w:hint="eastAsia" w:cs="Times New Roman"/>
                <w:color w:val="auto"/>
                <w:kern w:val="0"/>
                <w:sz w:val="24"/>
                <w:lang w:val="en-US" w:eastAsia="zh-CN"/>
              </w:rPr>
              <w:t>采用地埋式一体化污水处理设施处理后用于厂区洒水降尘</w:t>
            </w:r>
            <w:r>
              <w:rPr>
                <w:rFonts w:hint="eastAsia" w:ascii="Times New Roman" w:hAnsi="Times New Roman" w:eastAsia="宋体" w:cs="Times New Roman"/>
                <w:color w:val="auto"/>
                <w:kern w:val="0"/>
                <w:sz w:val="24"/>
              </w:rPr>
              <w:t>。</w:t>
            </w:r>
          </w:p>
          <w:p w14:paraId="622F7A13">
            <w:pPr>
              <w:pageBreakBefore w:val="0"/>
              <w:kinsoku/>
              <w:wordWrap/>
              <w:overflowPunct/>
              <w:topLinePunct w:val="0"/>
              <w:autoSpaceDE/>
              <w:autoSpaceDN/>
              <w:bidi w:val="0"/>
              <w:spacing w:line="520" w:lineRule="exact"/>
              <w:ind w:firstLine="480" w:firstLineChars="200"/>
              <w:textAlignment w:val="auto"/>
              <w:rPr>
                <w:rFonts w:hint="eastAsia"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污水处理工艺采用“厌氧好氧工艺处理（A/O）”来处理</w:t>
            </w:r>
            <w:r>
              <w:rPr>
                <w:rFonts w:hint="eastAsia" w:cs="Times New Roman"/>
                <w:color w:val="auto"/>
                <w:kern w:val="0"/>
                <w:sz w:val="24"/>
                <w:lang w:val="en-US" w:eastAsia="zh-CN"/>
              </w:rPr>
              <w:t>生活污水</w:t>
            </w:r>
            <w:r>
              <w:rPr>
                <w:rFonts w:hint="eastAsia" w:ascii="Times New Roman" w:hAnsi="Times New Roman" w:eastAsia="宋体" w:cs="Times New Roman"/>
                <w:color w:val="auto"/>
                <w:kern w:val="0"/>
                <w:sz w:val="24"/>
                <w:lang w:val="en-US" w:eastAsia="zh-CN"/>
              </w:rPr>
              <w:t>。采取以上处理工艺后，废水的排放情况见下表。</w:t>
            </w:r>
          </w:p>
          <w:p w14:paraId="709913E0">
            <w:pPr>
              <w:pageBreakBefore w:val="0"/>
              <w:kinsoku/>
              <w:wordWrap/>
              <w:overflowPunct/>
              <w:topLinePunct w:val="0"/>
              <w:autoSpaceDE/>
              <w:autoSpaceDN/>
              <w:bidi w:val="0"/>
              <w:spacing w:line="520" w:lineRule="exact"/>
              <w:ind w:firstLine="480" w:firstLineChars="200"/>
              <w:textAlignment w:val="auto"/>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生活污水产排情况见下表</w:t>
            </w:r>
            <w:r>
              <w:rPr>
                <w:rFonts w:hint="eastAsia" w:ascii="Times New Roman" w:hAnsi="Times New Roman" w:eastAsia="宋体" w:cs="Times New Roman"/>
                <w:color w:val="auto"/>
                <w:kern w:val="0"/>
                <w:sz w:val="24"/>
                <w:lang w:val="en-US" w:eastAsia="zh-CN"/>
              </w:rPr>
              <w:t>4-</w:t>
            </w:r>
            <w:r>
              <w:rPr>
                <w:rFonts w:hint="eastAsia" w:cs="Times New Roman"/>
                <w:color w:val="auto"/>
                <w:kern w:val="0"/>
                <w:sz w:val="24"/>
                <w:lang w:val="en-US" w:eastAsia="zh-CN"/>
              </w:rPr>
              <w:t>7</w:t>
            </w:r>
            <w:r>
              <w:rPr>
                <w:rFonts w:hint="eastAsia" w:ascii="Times New Roman" w:hAnsi="Times New Roman" w:eastAsia="宋体" w:cs="Times New Roman"/>
                <w:color w:val="auto"/>
                <w:kern w:val="0"/>
                <w:sz w:val="24"/>
              </w:rPr>
              <w:t>。</w:t>
            </w:r>
          </w:p>
          <w:p w14:paraId="21C71F5B">
            <w:pPr>
              <w:pStyle w:val="4"/>
              <w:keepNext/>
              <w:keepLines/>
              <w:pageBreakBefore w:val="0"/>
              <w:widowControl w:val="0"/>
              <w:numPr>
                <w:ilvl w:val="2"/>
                <w:numId w:val="0"/>
              </w:numPr>
              <w:kinsoku/>
              <w:wordWrap/>
              <w:overflowPunct/>
              <w:topLinePunct w:val="0"/>
              <w:autoSpaceDE/>
              <w:autoSpaceDN/>
              <w:bidi w:val="0"/>
              <w:adjustRightInd/>
              <w:snapToGrid/>
              <w:spacing w:before="0" w:after="0" w:line="520" w:lineRule="exact"/>
              <w:ind w:leftChars="0"/>
              <w:jc w:val="center"/>
              <w:textAlignment w:val="auto"/>
              <w:outlineLvl w:val="2"/>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表</w:t>
            </w:r>
            <w:r>
              <w:rPr>
                <w:rFonts w:hint="default" w:ascii="Times New Roman" w:hAnsi="Times New Roman" w:cs="Times New Roman"/>
                <w:color w:val="auto"/>
                <w:kern w:val="2"/>
                <w:sz w:val="21"/>
                <w:szCs w:val="24"/>
                <w:highlight w:val="none"/>
                <w:lang w:val="en-US" w:eastAsia="zh-CN" w:bidi="ar-SA"/>
              </w:rPr>
              <w:t>4-</w:t>
            </w:r>
            <w:r>
              <w:rPr>
                <w:rFonts w:hint="eastAsia" w:ascii="Times New Roman" w:hAnsi="Times New Roman" w:cs="Times New Roman"/>
                <w:color w:val="auto"/>
                <w:kern w:val="2"/>
                <w:sz w:val="21"/>
                <w:szCs w:val="24"/>
                <w:highlight w:val="none"/>
                <w:lang w:val="en-US" w:eastAsia="zh-CN" w:bidi="ar-SA"/>
              </w:rPr>
              <w:t xml:space="preserve">7 </w:t>
            </w:r>
            <w:r>
              <w:rPr>
                <w:rFonts w:hint="default" w:ascii="Times New Roman" w:hAnsi="Times New Roman" w:eastAsia="宋体" w:cs="Times New Roman"/>
                <w:color w:val="auto"/>
                <w:kern w:val="2"/>
                <w:sz w:val="21"/>
                <w:szCs w:val="24"/>
                <w:highlight w:val="none"/>
                <w:lang w:val="en-US" w:eastAsia="zh-CN" w:bidi="ar-SA"/>
              </w:rPr>
              <w:t xml:space="preserve">   项目营运期废水产生及排放情况</w:t>
            </w:r>
          </w:p>
          <w:tbl>
            <w:tblPr>
              <w:tblStyle w:val="27"/>
              <w:tblW w:w="830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10"/>
              <w:gridCol w:w="1985"/>
              <w:gridCol w:w="862"/>
              <w:gridCol w:w="816"/>
              <w:gridCol w:w="1114"/>
              <w:gridCol w:w="1114"/>
            </w:tblGrid>
            <w:tr w14:paraId="6EB573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0" w:type="dxa"/>
                  <w:tcBorders>
                    <w:tl2br w:val="nil"/>
                    <w:tr2bl w:val="nil"/>
                  </w:tcBorders>
                  <w:noWrap w:val="0"/>
                  <w:vAlign w:val="center"/>
                </w:tcPr>
                <w:p w14:paraId="18EDB4BC">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项   目</w:t>
                  </w:r>
                </w:p>
              </w:tc>
              <w:tc>
                <w:tcPr>
                  <w:tcW w:w="1985" w:type="dxa"/>
                  <w:tcBorders>
                    <w:tl2br w:val="nil"/>
                    <w:tr2bl w:val="nil"/>
                  </w:tcBorders>
                  <w:noWrap w:val="0"/>
                  <w:vAlign w:val="center"/>
                </w:tcPr>
                <w:p w14:paraId="021157FA">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PH</w:t>
                  </w:r>
                </w:p>
              </w:tc>
              <w:tc>
                <w:tcPr>
                  <w:tcW w:w="862" w:type="dxa"/>
                  <w:tcBorders>
                    <w:tl2br w:val="nil"/>
                    <w:tr2bl w:val="nil"/>
                  </w:tcBorders>
                  <w:noWrap w:val="0"/>
                  <w:vAlign w:val="center"/>
                </w:tcPr>
                <w:p w14:paraId="1A252948">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sz w:val="21"/>
                      <w:szCs w:val="21"/>
                      <w:highlight w:val="none"/>
                      <w:lang w:eastAsia="zh-CN"/>
                    </w:rPr>
                  </w:pPr>
                  <w:r>
                    <w:rPr>
                      <w:rFonts w:hint="eastAsia" w:cs="Times New Roman"/>
                      <w:b w:val="0"/>
                      <w:bCs w:val="0"/>
                      <w:color w:val="auto"/>
                      <w:sz w:val="21"/>
                      <w:szCs w:val="21"/>
                      <w:highlight w:val="none"/>
                      <w:lang w:val="en-US" w:eastAsia="zh-CN"/>
                    </w:rPr>
                    <w:t>色度</w:t>
                  </w:r>
                </w:p>
              </w:tc>
              <w:tc>
                <w:tcPr>
                  <w:tcW w:w="816" w:type="dxa"/>
                  <w:tcBorders>
                    <w:tl2br w:val="nil"/>
                    <w:tr2bl w:val="nil"/>
                  </w:tcBorders>
                  <w:noWrap w:val="0"/>
                  <w:vAlign w:val="center"/>
                </w:tcPr>
                <w:p w14:paraId="31DCD8DF">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BOD</w:t>
                  </w:r>
                  <w:r>
                    <w:rPr>
                      <w:rFonts w:hint="default" w:ascii="Times New Roman" w:hAnsi="Times New Roman" w:eastAsia="宋体" w:cs="Times New Roman"/>
                      <w:b w:val="0"/>
                      <w:bCs w:val="0"/>
                      <w:color w:val="auto"/>
                      <w:sz w:val="21"/>
                      <w:szCs w:val="21"/>
                      <w:highlight w:val="none"/>
                      <w:vertAlign w:val="subscript"/>
                    </w:rPr>
                    <w:t>5</w:t>
                  </w:r>
                </w:p>
              </w:tc>
              <w:tc>
                <w:tcPr>
                  <w:tcW w:w="1114" w:type="dxa"/>
                  <w:tcBorders>
                    <w:tl2br w:val="nil"/>
                    <w:tr2bl w:val="nil"/>
                  </w:tcBorders>
                  <w:noWrap w:val="0"/>
                  <w:vAlign w:val="center"/>
                </w:tcPr>
                <w:p w14:paraId="22B854C4">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NH</w:t>
                  </w:r>
                  <w:r>
                    <w:rPr>
                      <w:rFonts w:hint="default" w:ascii="Times New Roman" w:hAnsi="Times New Roman" w:eastAsia="宋体" w:cs="Times New Roman"/>
                      <w:b w:val="0"/>
                      <w:bCs w:val="0"/>
                      <w:color w:val="auto"/>
                      <w:sz w:val="21"/>
                      <w:szCs w:val="21"/>
                      <w:highlight w:val="none"/>
                      <w:vertAlign w:val="subscript"/>
                    </w:rPr>
                    <w:t>3</w:t>
                  </w:r>
                  <w:r>
                    <w:rPr>
                      <w:rFonts w:hint="default" w:ascii="Times New Roman" w:hAnsi="Times New Roman" w:eastAsia="宋体" w:cs="Times New Roman"/>
                      <w:b w:val="0"/>
                      <w:bCs w:val="0"/>
                      <w:color w:val="auto"/>
                      <w:sz w:val="21"/>
                      <w:szCs w:val="21"/>
                      <w:highlight w:val="none"/>
                    </w:rPr>
                    <w:t>-N</w:t>
                  </w:r>
                </w:p>
              </w:tc>
              <w:tc>
                <w:tcPr>
                  <w:tcW w:w="1114" w:type="dxa"/>
                  <w:tcBorders>
                    <w:tl2br w:val="nil"/>
                    <w:tr2bl w:val="nil"/>
                  </w:tcBorders>
                  <w:noWrap w:val="0"/>
                  <w:vAlign w:val="center"/>
                </w:tcPr>
                <w:p w14:paraId="43E2D983">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溶解性总固体</w:t>
                  </w:r>
                </w:p>
              </w:tc>
            </w:tr>
            <w:tr w14:paraId="7B69C5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0" w:type="dxa"/>
                  <w:tcBorders>
                    <w:tl2br w:val="nil"/>
                    <w:tr2bl w:val="nil"/>
                  </w:tcBorders>
                  <w:noWrap w:val="0"/>
                  <w:vAlign w:val="center"/>
                </w:tcPr>
                <w:p w14:paraId="081F4D07">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废水量</w:t>
                  </w:r>
                  <w:r>
                    <w:rPr>
                      <w:rFonts w:hint="eastAsia"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/a</w:t>
                  </w:r>
                  <w:r>
                    <w:rPr>
                      <w:rFonts w:hint="eastAsia" w:eastAsia="宋体" w:cs="Times New Roman"/>
                      <w:color w:val="auto"/>
                      <w:sz w:val="21"/>
                      <w:szCs w:val="21"/>
                      <w:highlight w:val="none"/>
                      <w:lang w:eastAsia="zh-CN"/>
                    </w:rPr>
                    <w:t>）</w:t>
                  </w:r>
                </w:p>
              </w:tc>
              <w:tc>
                <w:tcPr>
                  <w:tcW w:w="5891" w:type="dxa"/>
                  <w:gridSpan w:val="5"/>
                  <w:tcBorders>
                    <w:tl2br w:val="nil"/>
                    <w:tr2bl w:val="nil"/>
                  </w:tcBorders>
                  <w:noWrap w:val="0"/>
                  <w:vAlign w:val="center"/>
                </w:tcPr>
                <w:p w14:paraId="32A56F87">
                  <w:pPr>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1200</w:t>
                  </w:r>
                </w:p>
              </w:tc>
            </w:tr>
            <w:tr w14:paraId="019046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0" w:type="dxa"/>
                  <w:tcBorders>
                    <w:tl2br w:val="nil"/>
                    <w:tr2bl w:val="nil"/>
                  </w:tcBorders>
                  <w:noWrap w:val="0"/>
                  <w:vAlign w:val="center"/>
                </w:tcPr>
                <w:p w14:paraId="1D73D47A">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产生浓度（mg/L）</w:t>
                  </w:r>
                </w:p>
              </w:tc>
              <w:tc>
                <w:tcPr>
                  <w:tcW w:w="1985" w:type="dxa"/>
                  <w:tcBorders>
                    <w:tl2br w:val="nil"/>
                    <w:tr2bl w:val="nil"/>
                  </w:tcBorders>
                  <w:noWrap w:val="0"/>
                  <w:vAlign w:val="center"/>
                </w:tcPr>
                <w:p w14:paraId="132BA107">
                  <w:pPr>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b w:val="0"/>
                      <w:bCs/>
                      <w:color w:val="auto"/>
                      <w:sz w:val="21"/>
                      <w:szCs w:val="21"/>
                      <w:highlight w:val="none"/>
                      <w:lang w:val="en-US" w:eastAsia="zh-CN"/>
                    </w:rPr>
                    <w:t>6-9</w:t>
                  </w:r>
                </w:p>
              </w:tc>
              <w:tc>
                <w:tcPr>
                  <w:tcW w:w="862" w:type="dxa"/>
                  <w:tcBorders>
                    <w:tl2br w:val="nil"/>
                    <w:tr2bl w:val="nil"/>
                  </w:tcBorders>
                  <w:noWrap w:val="0"/>
                  <w:vAlign w:val="center"/>
                </w:tcPr>
                <w:p w14:paraId="7FA97724">
                  <w:pPr>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b w:val="0"/>
                      <w:bCs/>
                      <w:color w:val="auto"/>
                      <w:sz w:val="21"/>
                      <w:szCs w:val="21"/>
                      <w:highlight w:val="none"/>
                      <w:lang w:val="en-US" w:eastAsia="zh-CN"/>
                    </w:rPr>
                    <w:t>50</w:t>
                  </w:r>
                </w:p>
              </w:tc>
              <w:tc>
                <w:tcPr>
                  <w:tcW w:w="816" w:type="dxa"/>
                  <w:tcBorders>
                    <w:tl2br w:val="nil"/>
                    <w:tr2bl w:val="nil"/>
                  </w:tcBorders>
                  <w:noWrap w:val="0"/>
                  <w:vAlign w:val="center"/>
                </w:tcPr>
                <w:p w14:paraId="18E4C252">
                  <w:pPr>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b w:val="0"/>
                      <w:bCs/>
                      <w:color w:val="auto"/>
                      <w:sz w:val="21"/>
                      <w:szCs w:val="21"/>
                      <w:highlight w:val="none"/>
                      <w:lang w:val="en-US" w:eastAsia="zh-CN"/>
                    </w:rPr>
                    <w:t>100</w:t>
                  </w:r>
                </w:p>
              </w:tc>
              <w:tc>
                <w:tcPr>
                  <w:tcW w:w="1114" w:type="dxa"/>
                  <w:tcBorders>
                    <w:tl2br w:val="nil"/>
                    <w:tr2bl w:val="nil"/>
                  </w:tcBorders>
                  <w:noWrap w:val="0"/>
                  <w:vAlign w:val="center"/>
                </w:tcPr>
                <w:p w14:paraId="30DAB4F4">
                  <w:pPr>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 w:val="0"/>
                      <w:bCs/>
                      <w:color w:val="auto"/>
                      <w:sz w:val="21"/>
                      <w:szCs w:val="21"/>
                      <w:highlight w:val="none"/>
                    </w:rPr>
                    <w:t>3</w:t>
                  </w:r>
                  <w:r>
                    <w:rPr>
                      <w:rFonts w:hint="eastAsia" w:ascii="Times New Roman" w:hAnsi="Times New Roman" w:eastAsia="宋体" w:cs="Times New Roman"/>
                      <w:b w:val="0"/>
                      <w:bCs/>
                      <w:color w:val="auto"/>
                      <w:sz w:val="21"/>
                      <w:szCs w:val="21"/>
                      <w:highlight w:val="none"/>
                      <w:lang w:val="en-US" w:eastAsia="zh-CN"/>
                    </w:rPr>
                    <w:t>0</w:t>
                  </w:r>
                </w:p>
              </w:tc>
              <w:tc>
                <w:tcPr>
                  <w:tcW w:w="1114" w:type="dxa"/>
                  <w:tcBorders>
                    <w:tl2br w:val="nil"/>
                    <w:tr2bl w:val="nil"/>
                  </w:tcBorders>
                  <w:noWrap w:val="0"/>
                  <w:vAlign w:val="center"/>
                </w:tcPr>
                <w:p w14:paraId="2AD8B0F1">
                  <w:pPr>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200</w:t>
                  </w:r>
                </w:p>
              </w:tc>
            </w:tr>
            <w:tr w14:paraId="0A110F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0" w:type="dxa"/>
                  <w:tcBorders>
                    <w:tl2br w:val="nil"/>
                    <w:tr2bl w:val="nil"/>
                  </w:tcBorders>
                  <w:noWrap w:val="0"/>
                  <w:vAlign w:val="center"/>
                </w:tcPr>
                <w:p w14:paraId="4DC87C86">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产生量（t/a）</w:t>
                  </w:r>
                </w:p>
              </w:tc>
              <w:tc>
                <w:tcPr>
                  <w:tcW w:w="1985" w:type="dxa"/>
                  <w:tcBorders>
                    <w:tl2br w:val="nil"/>
                    <w:tr2bl w:val="nil"/>
                  </w:tcBorders>
                  <w:noWrap w:val="0"/>
                  <w:vAlign w:val="center"/>
                </w:tcPr>
                <w:p w14:paraId="7913F33E">
                  <w:pPr>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862" w:type="dxa"/>
                  <w:tcBorders>
                    <w:tl2br w:val="nil"/>
                    <w:tr2bl w:val="nil"/>
                  </w:tcBorders>
                  <w:noWrap w:val="0"/>
                  <w:vAlign w:val="center"/>
                </w:tcPr>
                <w:p w14:paraId="2921BC47">
                  <w:pPr>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816" w:type="dxa"/>
                  <w:tcBorders>
                    <w:tl2br w:val="nil"/>
                    <w:tr2bl w:val="nil"/>
                  </w:tcBorders>
                  <w:noWrap w:val="0"/>
                  <w:vAlign w:val="center"/>
                </w:tcPr>
                <w:p w14:paraId="0D862E69">
                  <w:pPr>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0.120</w:t>
                  </w:r>
                </w:p>
              </w:tc>
              <w:tc>
                <w:tcPr>
                  <w:tcW w:w="1114" w:type="dxa"/>
                  <w:tcBorders>
                    <w:tl2br w:val="nil"/>
                    <w:tr2bl w:val="nil"/>
                  </w:tcBorders>
                  <w:noWrap w:val="0"/>
                  <w:vAlign w:val="center"/>
                </w:tcPr>
                <w:p w14:paraId="63BD7DC2">
                  <w:pPr>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w:t>
                  </w:r>
                  <w:r>
                    <w:rPr>
                      <w:rFonts w:hint="eastAsia" w:cs="Times New Roman"/>
                      <w:color w:val="auto"/>
                      <w:sz w:val="21"/>
                      <w:szCs w:val="21"/>
                      <w:highlight w:val="none"/>
                      <w:lang w:val="en-US" w:eastAsia="zh-CN"/>
                    </w:rPr>
                    <w:t>36</w:t>
                  </w:r>
                </w:p>
              </w:tc>
              <w:tc>
                <w:tcPr>
                  <w:tcW w:w="1114" w:type="dxa"/>
                  <w:tcBorders>
                    <w:tl2br w:val="nil"/>
                    <w:tr2bl w:val="nil"/>
                  </w:tcBorders>
                  <w:noWrap w:val="0"/>
                  <w:vAlign w:val="center"/>
                </w:tcPr>
                <w:p w14:paraId="1273A80E">
                  <w:pPr>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0.24</w:t>
                  </w:r>
                </w:p>
              </w:tc>
            </w:tr>
            <w:tr w14:paraId="11C870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0" w:type="dxa"/>
                  <w:tcBorders>
                    <w:tl2br w:val="nil"/>
                    <w:tr2bl w:val="nil"/>
                  </w:tcBorders>
                  <w:noWrap w:val="0"/>
                  <w:vAlign w:val="center"/>
                </w:tcPr>
                <w:p w14:paraId="11585420">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治理设施</w:t>
                  </w:r>
                </w:p>
              </w:tc>
              <w:tc>
                <w:tcPr>
                  <w:tcW w:w="5891" w:type="dxa"/>
                  <w:gridSpan w:val="5"/>
                  <w:tcBorders>
                    <w:tl2br w:val="nil"/>
                    <w:tr2bl w:val="nil"/>
                  </w:tcBorders>
                  <w:noWrap w:val="0"/>
                  <w:vAlign w:val="center"/>
                </w:tcPr>
                <w:p w14:paraId="556B997D">
                  <w:pPr>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kern w:val="2"/>
                      <w:sz w:val="21"/>
                      <w:szCs w:val="21"/>
                      <w:highlight w:val="none"/>
                      <w:u w:val="none"/>
                      <w:lang w:val="en-US" w:eastAsia="zh-CN"/>
                    </w:rPr>
                    <w:t>厌氧好氧工艺处理（A/O</w:t>
                  </w:r>
                  <w:r>
                    <w:rPr>
                      <w:rFonts w:hint="eastAsia" w:ascii="Times New Roman" w:hAnsi="Times New Roman" w:eastAsia="宋体" w:cs="Times New Roman"/>
                      <w:b w:val="0"/>
                      <w:bCs/>
                      <w:color w:val="auto"/>
                      <w:kern w:val="2"/>
                      <w:sz w:val="21"/>
                      <w:szCs w:val="21"/>
                      <w:highlight w:val="none"/>
                      <w:u w:val="none"/>
                      <w:lang w:val="en-US" w:eastAsia="zh-CN"/>
                    </w:rPr>
                    <w:t>）</w:t>
                  </w:r>
                </w:p>
              </w:tc>
            </w:tr>
            <w:tr w14:paraId="01DCE9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0" w:type="dxa"/>
                  <w:tcBorders>
                    <w:tl2br w:val="nil"/>
                    <w:tr2bl w:val="nil"/>
                  </w:tcBorders>
                  <w:noWrap w:val="0"/>
                  <w:vAlign w:val="center"/>
                </w:tcPr>
                <w:p w14:paraId="0ABC9897">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排放浓度（mg/L）</w:t>
                  </w:r>
                </w:p>
              </w:tc>
              <w:tc>
                <w:tcPr>
                  <w:tcW w:w="1985" w:type="dxa"/>
                  <w:tcBorders>
                    <w:tl2br w:val="nil"/>
                    <w:tr2bl w:val="nil"/>
                  </w:tcBorders>
                  <w:noWrap w:val="0"/>
                  <w:vAlign w:val="center"/>
                </w:tcPr>
                <w:p w14:paraId="330B935A">
                  <w:pPr>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6-9</w:t>
                  </w:r>
                </w:p>
              </w:tc>
              <w:tc>
                <w:tcPr>
                  <w:tcW w:w="862" w:type="dxa"/>
                  <w:tcBorders>
                    <w:tl2br w:val="nil"/>
                    <w:tr2bl w:val="nil"/>
                  </w:tcBorders>
                  <w:noWrap w:val="0"/>
                  <w:vAlign w:val="center"/>
                </w:tcPr>
                <w:p w14:paraId="038FBD50">
                  <w:pPr>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25</w:t>
                  </w:r>
                </w:p>
              </w:tc>
              <w:tc>
                <w:tcPr>
                  <w:tcW w:w="816" w:type="dxa"/>
                  <w:tcBorders>
                    <w:tl2br w:val="nil"/>
                    <w:tr2bl w:val="nil"/>
                  </w:tcBorders>
                  <w:noWrap w:val="0"/>
                  <w:vAlign w:val="center"/>
                </w:tcPr>
                <w:p w14:paraId="2B11D216">
                  <w:pPr>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w:t>
                  </w:r>
                </w:p>
              </w:tc>
              <w:tc>
                <w:tcPr>
                  <w:tcW w:w="1114" w:type="dxa"/>
                  <w:tcBorders>
                    <w:tl2br w:val="nil"/>
                    <w:tr2bl w:val="nil"/>
                  </w:tcBorders>
                  <w:noWrap w:val="0"/>
                  <w:vAlign w:val="center"/>
                </w:tcPr>
                <w:p w14:paraId="4B9FAD72">
                  <w:pPr>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w:t>
                  </w:r>
                </w:p>
              </w:tc>
              <w:tc>
                <w:tcPr>
                  <w:tcW w:w="1114" w:type="dxa"/>
                  <w:tcBorders>
                    <w:tl2br w:val="nil"/>
                    <w:tr2bl w:val="nil"/>
                  </w:tcBorders>
                  <w:noWrap w:val="0"/>
                  <w:vAlign w:val="center"/>
                </w:tcPr>
                <w:p w14:paraId="19930B45">
                  <w:pPr>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60</w:t>
                  </w:r>
                </w:p>
              </w:tc>
            </w:tr>
            <w:tr w14:paraId="1C56A4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0" w:type="dxa"/>
                  <w:tcBorders>
                    <w:tl2br w:val="nil"/>
                    <w:tr2bl w:val="nil"/>
                  </w:tcBorders>
                  <w:noWrap w:val="0"/>
                  <w:vAlign w:val="center"/>
                </w:tcPr>
                <w:p w14:paraId="4DD3E644">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排放量（t/a）</w:t>
                  </w:r>
                </w:p>
              </w:tc>
              <w:tc>
                <w:tcPr>
                  <w:tcW w:w="1985" w:type="dxa"/>
                  <w:tcBorders>
                    <w:tl2br w:val="nil"/>
                    <w:tr2bl w:val="nil"/>
                  </w:tcBorders>
                  <w:noWrap w:val="0"/>
                  <w:vAlign w:val="center"/>
                </w:tcPr>
                <w:p w14:paraId="6DFFEED3">
                  <w:pPr>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862" w:type="dxa"/>
                  <w:tcBorders>
                    <w:tl2br w:val="nil"/>
                    <w:tr2bl w:val="nil"/>
                  </w:tcBorders>
                  <w:noWrap w:val="0"/>
                  <w:vAlign w:val="center"/>
                </w:tcPr>
                <w:p w14:paraId="0AD1C2E6">
                  <w:pPr>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816" w:type="dxa"/>
                  <w:tcBorders>
                    <w:tl2br w:val="nil"/>
                    <w:tr2bl w:val="nil"/>
                  </w:tcBorders>
                  <w:noWrap w:val="0"/>
                  <w:vAlign w:val="center"/>
                </w:tcPr>
                <w:p w14:paraId="23DD68A6">
                  <w:pPr>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0.006</w:t>
                  </w:r>
                </w:p>
              </w:tc>
              <w:tc>
                <w:tcPr>
                  <w:tcW w:w="1114" w:type="dxa"/>
                  <w:tcBorders>
                    <w:tl2br w:val="nil"/>
                    <w:tr2bl w:val="nil"/>
                  </w:tcBorders>
                  <w:noWrap w:val="0"/>
                  <w:vAlign w:val="center"/>
                </w:tcPr>
                <w:p w14:paraId="21E81706">
                  <w:pPr>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0.007</w:t>
                  </w:r>
                </w:p>
              </w:tc>
              <w:tc>
                <w:tcPr>
                  <w:tcW w:w="1114" w:type="dxa"/>
                  <w:tcBorders>
                    <w:tl2br w:val="nil"/>
                    <w:tr2bl w:val="nil"/>
                  </w:tcBorders>
                  <w:noWrap w:val="0"/>
                  <w:vAlign w:val="center"/>
                </w:tcPr>
                <w:p w14:paraId="3DB83EBE">
                  <w:pPr>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0.072</w:t>
                  </w:r>
                </w:p>
              </w:tc>
            </w:tr>
            <w:tr w14:paraId="27D0B0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0" w:type="dxa"/>
                  <w:tcBorders>
                    <w:tl2br w:val="nil"/>
                    <w:tr2bl w:val="nil"/>
                  </w:tcBorders>
                  <w:noWrap w:val="0"/>
                  <w:vAlign w:val="center"/>
                </w:tcPr>
                <w:p w14:paraId="47C5803E">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排放方式</w:t>
                  </w:r>
                </w:p>
              </w:tc>
              <w:tc>
                <w:tcPr>
                  <w:tcW w:w="5891" w:type="dxa"/>
                  <w:gridSpan w:val="5"/>
                  <w:tcBorders>
                    <w:tl2br w:val="nil"/>
                    <w:tr2bl w:val="nil"/>
                  </w:tcBorders>
                  <w:noWrap w:val="0"/>
                  <w:vAlign w:val="center"/>
                </w:tcPr>
                <w:p w14:paraId="7FA50229">
                  <w:pPr>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outlineLvl w:val="9"/>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不外排</w:t>
                  </w:r>
                </w:p>
              </w:tc>
            </w:tr>
            <w:tr w14:paraId="5C0EA4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0" w:type="dxa"/>
                  <w:tcBorders>
                    <w:tl2br w:val="nil"/>
                    <w:tr2bl w:val="nil"/>
                  </w:tcBorders>
                  <w:noWrap w:val="0"/>
                  <w:vAlign w:val="center"/>
                </w:tcPr>
                <w:p w14:paraId="26F05D8B">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排放去向</w:t>
                  </w:r>
                </w:p>
              </w:tc>
              <w:tc>
                <w:tcPr>
                  <w:tcW w:w="5891" w:type="dxa"/>
                  <w:gridSpan w:val="5"/>
                  <w:tcBorders>
                    <w:tl2br w:val="nil"/>
                    <w:tr2bl w:val="nil"/>
                  </w:tcBorders>
                  <w:noWrap w:val="0"/>
                  <w:vAlign w:val="center"/>
                </w:tcPr>
                <w:p w14:paraId="0A527AA0">
                  <w:pPr>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outlineLvl w:val="9"/>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厂区洒水降尘</w:t>
                  </w:r>
                </w:p>
              </w:tc>
            </w:tr>
            <w:tr w14:paraId="31839B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0" w:type="dxa"/>
                  <w:tcBorders>
                    <w:tl2br w:val="nil"/>
                    <w:tr2bl w:val="nil"/>
                  </w:tcBorders>
                  <w:noWrap w:val="0"/>
                  <w:vAlign w:val="center"/>
                </w:tcPr>
                <w:p w14:paraId="182A707D">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执行标准</w:t>
                  </w:r>
                </w:p>
              </w:tc>
              <w:tc>
                <w:tcPr>
                  <w:tcW w:w="5891" w:type="dxa"/>
                  <w:gridSpan w:val="5"/>
                  <w:tcBorders>
                    <w:tl2br w:val="nil"/>
                    <w:tr2bl w:val="nil"/>
                  </w:tcBorders>
                  <w:noWrap w:val="0"/>
                  <w:vAlign w:val="center"/>
                </w:tcPr>
                <w:p w14:paraId="7BDC1F2F">
                  <w:pPr>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outlineLvl w:val="9"/>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《城市污水再生利用 城市杂用水水质》（GB/T18920-2020）表1 城市杂用水水质基本控制项目及限值要求</w:t>
                  </w:r>
                </w:p>
              </w:tc>
            </w:tr>
          </w:tbl>
          <w:p w14:paraId="09818CAF">
            <w:pPr>
              <w:keepNext w:val="0"/>
              <w:keepLines w:val="0"/>
              <w:pageBreakBefore w:val="0"/>
              <w:widowControl w:val="0"/>
              <w:kinsoku/>
              <w:wordWrap/>
              <w:overflowPunct/>
              <w:topLinePunct w:val="0"/>
              <w:autoSpaceDE/>
              <w:autoSpaceDN/>
              <w:bidi w:val="0"/>
              <w:adjustRightInd w:val="0"/>
              <w:snapToGrid w:val="0"/>
              <w:spacing w:line="520" w:lineRule="exact"/>
              <w:jc w:val="both"/>
              <w:textAlignment w:val="auto"/>
              <w:rPr>
                <w:rFonts w:hint="eastAsia" w:ascii="Times New Roman" w:hAnsi="Times New Roman" w:eastAsia="宋体" w:cs="Times New Roman"/>
                <w:b/>
                <w:bCs w:val="0"/>
                <w:color w:val="auto"/>
                <w:spacing w:val="0"/>
                <w:sz w:val="24"/>
                <w:szCs w:val="24"/>
                <w:lang w:val="en-US" w:eastAsia="zh-CN"/>
              </w:rPr>
            </w:pPr>
            <w:r>
              <w:rPr>
                <w:rFonts w:hint="eastAsia" w:ascii="Times New Roman" w:hAnsi="Times New Roman" w:eastAsia="宋体" w:cs="Times New Roman"/>
                <w:b/>
                <w:bCs w:val="0"/>
                <w:color w:val="auto"/>
                <w:spacing w:val="0"/>
                <w:sz w:val="24"/>
                <w:szCs w:val="24"/>
                <w:lang w:val="en-US" w:eastAsia="zh-CN"/>
              </w:rPr>
              <w:t>2.3 废水处理措施可行性分析</w:t>
            </w:r>
          </w:p>
          <w:p w14:paraId="59E09A16">
            <w:pPr>
              <w:pStyle w:val="37"/>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color w:val="auto"/>
                <w:highlight w:val="none"/>
              </w:rPr>
            </w:pP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1</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洗煤废水处理措施</w:t>
            </w:r>
          </w:p>
          <w:p w14:paraId="55FD9BC3">
            <w:pPr>
              <w:pStyle w:val="37"/>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①煤泥水闭路循环可靠性分析</w:t>
            </w:r>
          </w:p>
          <w:p w14:paraId="5B136E96">
            <w:pPr>
              <w:pStyle w:val="37"/>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煤泥水闭路循环工艺简介：在生产过程中产生的洗煤尾矿进入浓缩机，浓缩机底流由泵打到压滤机进行过滤，回收的煤泥送煤泥棚。浓缩机的溢流和压滤机清液进入循环水池，用泵返还回洗煤系统作为循环水复用。地面冲洗水自流至车间集水池，经泵转至煤泥水回收系统处理后进入系统循环使用。其工艺流程见图4-1。</w:t>
            </w:r>
          </w:p>
          <w:p w14:paraId="26A1C43C">
            <w:pPr>
              <w:pStyle w:val="3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highlight w:val="none"/>
              </w:rPr>
              <w:drawing>
                <wp:inline distT="0" distB="0" distL="114300" distR="114300">
                  <wp:extent cx="3870960" cy="3060065"/>
                  <wp:effectExtent l="0" t="0" r="15240" b="6985"/>
                  <wp:docPr id="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
                          <pic:cNvPicPr>
                            <a:picLocks noChangeAspect="1"/>
                          </pic:cNvPicPr>
                        </pic:nvPicPr>
                        <pic:blipFill>
                          <a:blip r:embed="rId10"/>
                          <a:stretch>
                            <a:fillRect/>
                          </a:stretch>
                        </pic:blipFill>
                        <pic:spPr>
                          <a:xfrm>
                            <a:off x="0" y="0"/>
                            <a:ext cx="3870960" cy="3060065"/>
                          </a:xfrm>
                          <a:prstGeom prst="rect">
                            <a:avLst/>
                          </a:prstGeom>
                          <a:noFill/>
                          <a:ln>
                            <a:noFill/>
                          </a:ln>
                        </pic:spPr>
                      </pic:pic>
                    </a:graphicData>
                  </a:graphic>
                </wp:inline>
              </w:drawing>
            </w:r>
          </w:p>
          <w:p w14:paraId="0C1EEE56">
            <w:pPr>
              <w:pStyle w:val="3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图4-1    煤泥水闭路循环系统处理工艺流程图</w:t>
            </w:r>
          </w:p>
          <w:p w14:paraId="33E6D1CD">
            <w:pPr>
              <w:pStyle w:val="37"/>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②煤泥回收分析本工程对煤泥水的处理采用浓缩+压滤回收工艺，浓缩机溢流水中悬浮物浓度为10-15g/L，压滤机滤液浓度低于30g/L。浓缩机溢流及压滤机滤液均由泵打入循环水池重复利用，悬浮物浓度小于50g/L的标准要求。③回收系统分析根据《煤炭洗选工程设计规范》（GB50359-2016）要求，选煤厂必须设置事故煤泥水处理环节，事故煤泥水处理设施的选择应符合下列规定：</w:t>
            </w:r>
            <w:r>
              <w:rPr>
                <w:rFonts w:hint="default" w:ascii="Times New Roman" w:hAnsi="Times New Roman" w:cs="Times New Roman"/>
                <w:color w:val="auto"/>
                <w:highlight w:val="none"/>
                <w:lang w:val="en-US" w:eastAsia="zh-CN"/>
              </w:rPr>
              <w:t>a</w:t>
            </w:r>
            <w:r>
              <w:rPr>
                <w:rFonts w:hint="default" w:ascii="Times New Roman" w:hAnsi="Times New Roman" w:cs="Times New Roman"/>
                <w:color w:val="auto"/>
                <w:highlight w:val="none"/>
              </w:rPr>
              <w:t>宜选用事故浓缩机，也可选用事故煤泥沉淀池。</w:t>
            </w:r>
            <w:r>
              <w:rPr>
                <w:rFonts w:hint="default" w:ascii="Times New Roman" w:hAnsi="Times New Roman" w:cs="Times New Roman"/>
                <w:color w:val="auto"/>
                <w:highlight w:val="none"/>
                <w:lang w:val="en-US" w:eastAsia="zh-CN"/>
              </w:rPr>
              <w:t>b</w:t>
            </w:r>
            <w:r>
              <w:rPr>
                <w:rFonts w:hint="default" w:ascii="Times New Roman" w:hAnsi="Times New Roman" w:cs="Times New Roman"/>
                <w:color w:val="auto"/>
                <w:highlight w:val="none"/>
              </w:rPr>
              <w:t>事故浓缩机应与最大一台工作浓缩机同型号，并可与工作浓缩机互为备用。条件受限时，也可采用无浓缩机的事故浓缩池。</w:t>
            </w:r>
            <w:r>
              <w:rPr>
                <w:rFonts w:hint="default" w:ascii="Times New Roman" w:hAnsi="Times New Roman" w:cs="Times New Roman"/>
                <w:color w:val="auto"/>
                <w:highlight w:val="none"/>
                <w:lang w:val="en-US" w:eastAsia="zh-CN"/>
              </w:rPr>
              <w:t>c</w:t>
            </w:r>
            <w:r>
              <w:rPr>
                <w:rFonts w:hint="default" w:ascii="Times New Roman" w:hAnsi="Times New Roman" w:cs="Times New Roman"/>
                <w:color w:val="auto"/>
                <w:highlight w:val="none"/>
              </w:rPr>
              <w:t>选用事故煤泥水池时，其有效容积应为厂内最大一台设备有效容积的1.2倍～1.5倍。事故煤泥水池可不设澄清水池。</w:t>
            </w:r>
            <w:r>
              <w:rPr>
                <w:rFonts w:hint="default" w:ascii="Times New Roman" w:hAnsi="Times New Roman" w:cs="Times New Roman"/>
                <w:color w:val="auto"/>
                <w:highlight w:val="none"/>
                <w:lang w:val="en-US" w:eastAsia="zh-CN"/>
              </w:rPr>
              <w:t>d</w:t>
            </w:r>
            <w:r>
              <w:rPr>
                <w:rFonts w:hint="default" w:ascii="Times New Roman" w:hAnsi="Times New Roman" w:cs="Times New Roman"/>
                <w:color w:val="auto"/>
                <w:highlight w:val="none"/>
              </w:rPr>
              <w:t>事故煤泥水在事故处理完毕后，应能及时返回到煤泥水系统中。</w:t>
            </w:r>
          </w:p>
          <w:p w14:paraId="4256D8FD">
            <w:pPr>
              <w:pStyle w:val="37"/>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本项目配备2台相同型号的高效浓缩机（1用1备），可以保证在事故状况下煤泥水不外排。</w:t>
            </w:r>
          </w:p>
          <w:p w14:paraId="19CB3ED8">
            <w:pPr>
              <w:pStyle w:val="37"/>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④选煤厂洗水闭路循环等级分析</w:t>
            </w:r>
          </w:p>
          <w:p w14:paraId="16FF3D2F">
            <w:pPr>
              <w:pStyle w:val="37"/>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根据《选煤厂洗水闭路循环等级》（MT/T810-1999）中洗水一级闭路循环的要求对本工程的洗水闭路循环分析如下：洗煤车间生产补充水量为</w:t>
            </w:r>
            <w:r>
              <w:rPr>
                <w:rFonts w:hint="eastAsia" w:ascii="Times New Roman" w:hAnsi="Times New Roman" w:cs="Times New Roman"/>
                <w:color w:val="auto"/>
                <w:sz w:val="24"/>
                <w:highlight w:val="none"/>
                <w:lang w:val="en-US" w:eastAsia="zh-CN"/>
              </w:rPr>
              <w:t>520.83</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/d，洗煤系统水量为</w:t>
            </w:r>
            <w:r>
              <w:rPr>
                <w:rFonts w:hint="eastAsia" w:ascii="Times New Roman" w:hAnsi="Times New Roman" w:cs="Times New Roman"/>
                <w:color w:val="auto"/>
                <w:sz w:val="24"/>
                <w:highlight w:val="none"/>
                <w:lang w:val="en-US" w:eastAsia="zh-CN"/>
              </w:rPr>
              <w:t>10416.67</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/d，其中浓缩、压滤返回水量为</w:t>
            </w:r>
            <w:r>
              <w:rPr>
                <w:rFonts w:hint="eastAsia" w:ascii="Times New Roman" w:hAnsi="Times New Roman" w:cs="Times New Roman"/>
                <w:color w:val="auto"/>
                <w:sz w:val="24"/>
                <w:highlight w:val="none"/>
                <w:lang w:val="en-US" w:eastAsia="zh-CN"/>
              </w:rPr>
              <w:t>10937.5</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/d，循环率为95.</w:t>
            </w:r>
            <w:r>
              <w:rPr>
                <w:rFonts w:hint="eastAsia"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rPr>
              <w:t>%，满足一级闭路循环中洗煤水重复利用率达90%以上的要求。</w:t>
            </w:r>
          </w:p>
          <w:p w14:paraId="54510734">
            <w:pPr>
              <w:pStyle w:val="37"/>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（2）事故状态下的水环境影响分析</w:t>
            </w:r>
          </w:p>
          <w:p w14:paraId="688103ED">
            <w:pPr>
              <w:pStyle w:val="37"/>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废水事故排放对环境的影响来自煤泥水系统的事故排放。煤泥水系统事故一般有以下三种情况，一是煤泥水处理设备出现故障；二是设备检修及长时间停电；三是管理不善，清水量加大，造成系统内水量增大。</w:t>
            </w:r>
          </w:p>
          <w:p w14:paraId="643F807A">
            <w:pPr>
              <w:pStyle w:val="37"/>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①煤泥水处理设备故障</w:t>
            </w:r>
          </w:p>
          <w:p w14:paraId="47CE381B">
            <w:pPr>
              <w:pStyle w:val="37"/>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浓缩机故障：当浓缩机发生故障时，发生故障时应立即停止生产，煤泥水进入事故水池，保证煤泥水不外排。压滤机故障：如果压滤机出现故障，可将压滤机入料阀门关闭，使循环水浓度略有上升，洗煤厂可正常工作，立即维修压滤机，既不影响生产，也不外排煤泥水。</w:t>
            </w:r>
          </w:p>
          <w:p w14:paraId="22761160">
            <w:pPr>
              <w:pStyle w:val="37"/>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②设备检修及停电事故</w:t>
            </w:r>
          </w:p>
          <w:p w14:paraId="5E36BA53">
            <w:pPr>
              <w:pStyle w:val="37"/>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当设备检修及停电事故时，系统内循环水可进入事故水池，不会发生煤泥水外排。</w:t>
            </w:r>
          </w:p>
          <w:p w14:paraId="294EA72E">
            <w:pPr>
              <w:pStyle w:val="37"/>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③管理不善增大补加清水量：由于管理不善而</w:t>
            </w:r>
            <w:r>
              <w:rPr>
                <w:rFonts w:hint="eastAsia" w:ascii="Times New Roman" w:hAnsi="Times New Roman" w:cs="Times New Roman"/>
                <w:color w:val="auto"/>
                <w:sz w:val="24"/>
                <w:highlight w:val="none"/>
                <w:lang w:eastAsia="zh-CN"/>
              </w:rPr>
              <w:t>增大</w:t>
            </w:r>
            <w:r>
              <w:rPr>
                <w:rFonts w:hint="default" w:ascii="Times New Roman" w:hAnsi="Times New Roman" w:cs="Times New Roman"/>
                <w:color w:val="auto"/>
                <w:sz w:val="24"/>
                <w:highlight w:val="none"/>
              </w:rPr>
              <w:t>补加清水量，可造成系统内水增大，引起煤泥水外排，解决问题的办法是加强管理，时刻注意循环水量的变化，坚决杜绝煤泥水外排。</w:t>
            </w:r>
          </w:p>
          <w:p w14:paraId="48C1480D">
            <w:pPr>
              <w:pStyle w:val="37"/>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项目设2台相同型号的高效浓缩机（1用1备），可以保证在事故状况下煤泥水不外排，对周围的水环境影响较小。</w:t>
            </w:r>
          </w:p>
          <w:p w14:paraId="3B43725D">
            <w:pPr>
              <w:pStyle w:val="37"/>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④煤泥水事故应急处理为充分保证煤泥水闭路循环不外排，杜绝污染事故的发生，除采取以上措施外，严格管理和健全的管理制度十分重要，在生产运行期，必须做到以下几点：</w:t>
            </w:r>
          </w:p>
          <w:p w14:paraId="5A9A004D">
            <w:pPr>
              <w:pStyle w:val="37"/>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a.设立厂长负责制，具体措施的执行由环保负责人统筹安排、落实；</w:t>
            </w:r>
          </w:p>
          <w:p w14:paraId="61276681">
            <w:pPr>
              <w:pStyle w:val="37"/>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b.严格执行各项生产及环境管理制度，对煤泥水处理设备设立运行卡，定期进行检查、维护，做到勤查、勤记、勤维护；</w:t>
            </w:r>
          </w:p>
          <w:p w14:paraId="21EDF728">
            <w:pPr>
              <w:pStyle w:val="37"/>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c.按照监测计划定期组织进行厂内的污染源监测，对不达标环保设施立即寻找原因，及时处理；</w:t>
            </w:r>
          </w:p>
          <w:p w14:paraId="06B0E967">
            <w:pPr>
              <w:pStyle w:val="37"/>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d.不断加强技术培训，组织企业内部之间技术交流，提高技术水平；</w:t>
            </w:r>
          </w:p>
          <w:p w14:paraId="16B4BAEF">
            <w:pPr>
              <w:pStyle w:val="37"/>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e.重视群众监督作用，提高企业职工环保意识，鼓励对生产状况提出意见，提高企业环境管理水平。</w:t>
            </w:r>
          </w:p>
          <w:p w14:paraId="58283600">
            <w:pPr>
              <w:pStyle w:val="37"/>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能够实现闭路循环，通过保证设备处理能力，加强管理措施，可以做到洗选水闭路循环，在正常和事故情况下煤泥水不外排。煤泥水循环系统出现故障时生产线必须立即停产检修，待循环系统正常后方可恢复生产。企业应根据实际情况预先制定环境风险</w:t>
            </w:r>
            <w:r>
              <w:rPr>
                <w:rFonts w:hint="eastAsia" w:ascii="Times New Roman" w:hAnsi="Times New Roman" w:cs="Times New Roman"/>
                <w:color w:val="auto"/>
                <w:sz w:val="24"/>
                <w:highlight w:val="none"/>
                <w:lang w:eastAsia="zh-CN"/>
              </w:rPr>
              <w:t>事件</w:t>
            </w:r>
            <w:r>
              <w:rPr>
                <w:rFonts w:hint="default" w:ascii="Times New Roman" w:hAnsi="Times New Roman" w:cs="Times New Roman"/>
                <w:color w:val="auto"/>
                <w:sz w:val="24"/>
                <w:highlight w:val="none"/>
              </w:rPr>
              <w:t>应急预案，切实应用到实际生产过程中。</w:t>
            </w:r>
          </w:p>
          <w:p w14:paraId="4482B5BE">
            <w:pPr>
              <w:pStyle w:val="37"/>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本项目生产废水循环使用，不外排；生活污水经一体化污水处理设施处理达到</w:t>
            </w:r>
            <w:r>
              <w:rPr>
                <w:rFonts w:hint="default" w:ascii="Times New Roman" w:hAnsi="Times New Roman" w:cs="Times New Roman"/>
                <w:color w:val="auto"/>
                <w:sz w:val="24"/>
                <w:highlight w:val="none"/>
                <w:lang w:val="en-US" w:eastAsia="zh-CN"/>
              </w:rPr>
              <w:t>《城市污水再生利用 城市杂用水水质》（GB/T18920-2020）表1 城市杂用水水质基本控制项目及限值要求</w:t>
            </w:r>
            <w:r>
              <w:rPr>
                <w:rFonts w:hint="eastAsia" w:ascii="Times New Roman" w:hAnsi="Times New Roman" w:cs="Times New Roman"/>
                <w:color w:val="auto"/>
                <w:sz w:val="24"/>
                <w:highlight w:val="none"/>
                <w:lang w:val="en-US" w:eastAsia="zh-CN"/>
              </w:rPr>
              <w:t>后</w:t>
            </w:r>
            <w:r>
              <w:rPr>
                <w:rFonts w:hint="default" w:ascii="Times New Roman" w:hAnsi="Times New Roman" w:cs="Times New Roman"/>
                <w:color w:val="auto"/>
                <w:sz w:val="24"/>
                <w:highlight w:val="none"/>
              </w:rPr>
              <w:t>用于</w:t>
            </w:r>
            <w:r>
              <w:rPr>
                <w:rFonts w:hint="eastAsia" w:ascii="Times New Roman" w:hAnsi="Times New Roman" w:cs="Times New Roman"/>
                <w:color w:val="auto"/>
                <w:sz w:val="24"/>
                <w:highlight w:val="none"/>
                <w:lang w:val="en-US" w:eastAsia="zh-CN"/>
              </w:rPr>
              <w:t>厂区洒水降尘</w:t>
            </w:r>
            <w:r>
              <w:rPr>
                <w:rFonts w:hint="default" w:ascii="Times New Roman" w:hAnsi="Times New Roman" w:cs="Times New Roman"/>
                <w:color w:val="auto"/>
                <w:sz w:val="24"/>
                <w:highlight w:val="none"/>
              </w:rPr>
              <w:t>。采取上述措施后，环评认为本项目废水处理措施可行。</w:t>
            </w:r>
          </w:p>
          <w:p w14:paraId="3848F48C">
            <w:pPr>
              <w:keepNext w:val="0"/>
              <w:keepLines w:val="0"/>
              <w:pageBreakBefore w:val="0"/>
              <w:widowControl w:val="0"/>
              <w:numPr>
                <w:ilvl w:val="0"/>
                <w:numId w:val="13"/>
              </w:numPr>
              <w:kinsoku/>
              <w:wordWrap/>
              <w:overflowPunct/>
              <w:topLinePunct w:val="0"/>
              <w:bidi w:val="0"/>
              <w:adjustRightInd/>
              <w:snapToGrid/>
              <w:spacing w:line="520" w:lineRule="exact"/>
              <w:ind w:left="0" w:leftChars="0" w:firstLine="0" w:firstLineChars="0"/>
              <w:jc w:val="both"/>
              <w:textAlignment w:val="auto"/>
              <w:rPr>
                <w:b/>
                <w:bCs/>
                <w:color w:val="auto"/>
                <w:sz w:val="24"/>
                <w:highlight w:val="none"/>
              </w:rPr>
            </w:pPr>
            <w:r>
              <w:rPr>
                <w:b/>
                <w:bCs/>
                <w:color w:val="auto"/>
                <w:sz w:val="24"/>
                <w:highlight w:val="none"/>
              </w:rPr>
              <w:t>噪声</w:t>
            </w:r>
          </w:p>
          <w:p w14:paraId="01B75BC9">
            <w:pPr>
              <w:pStyle w:val="11"/>
              <w:keepNext w:val="0"/>
              <w:keepLines w:val="0"/>
              <w:pageBreakBefore w:val="0"/>
              <w:widowControl w:val="0"/>
              <w:kinsoku/>
              <w:wordWrap/>
              <w:overflowPunct/>
              <w:topLinePunct w:val="0"/>
              <w:bidi w:val="0"/>
              <w:adjustRightInd/>
              <w:snapToGrid/>
              <w:spacing w:after="0" w:line="520" w:lineRule="exact"/>
              <w:ind w:left="0" w:leftChars="0"/>
              <w:contextualSpacing/>
              <w:jc w:val="both"/>
              <w:textAlignment w:val="auto"/>
              <w:rPr>
                <w:b/>
                <w:bCs/>
                <w:color w:val="auto"/>
                <w:szCs w:val="24"/>
                <w:highlight w:val="none"/>
              </w:rPr>
            </w:pPr>
            <w:r>
              <w:rPr>
                <w:b/>
                <w:bCs/>
                <w:color w:val="auto"/>
                <w:szCs w:val="24"/>
                <w:highlight w:val="none"/>
              </w:rPr>
              <w:t>3.1</w:t>
            </w:r>
            <w:r>
              <w:rPr>
                <w:rFonts w:hint="eastAsia"/>
                <w:b/>
                <w:bCs/>
                <w:color w:val="auto"/>
                <w:szCs w:val="24"/>
                <w:highlight w:val="none"/>
                <w:lang w:val="en-US" w:eastAsia="zh-CN"/>
              </w:rPr>
              <w:t xml:space="preserve"> </w:t>
            </w:r>
            <w:r>
              <w:rPr>
                <w:b/>
                <w:bCs/>
                <w:color w:val="auto"/>
                <w:szCs w:val="24"/>
                <w:highlight w:val="none"/>
              </w:rPr>
              <w:t>噪声源强分析</w:t>
            </w:r>
          </w:p>
          <w:p w14:paraId="2F0E1D55">
            <w:pPr>
              <w:keepNext w:val="0"/>
              <w:keepLines w:val="0"/>
              <w:pageBreakBefore w:val="0"/>
              <w:widowControl w:val="0"/>
              <w:kinsoku/>
              <w:wordWrap/>
              <w:overflowPunct/>
              <w:topLinePunct w:val="0"/>
              <w:autoSpaceDE w:val="0"/>
              <w:autoSpaceDN w:val="0"/>
              <w:bidi w:val="0"/>
              <w:adjustRightInd/>
              <w:snapToGrid/>
              <w:spacing w:line="520" w:lineRule="exact"/>
              <w:ind w:firstLine="480" w:firstLineChars="200"/>
              <w:jc w:val="both"/>
              <w:textAlignment w:val="auto"/>
              <w:rPr>
                <w:rFonts w:hint="default" w:eastAsia="宋体"/>
                <w:color w:val="auto"/>
                <w:highlight w:val="none"/>
                <w:lang w:val="en-US" w:eastAsia="zh-CN"/>
              </w:rPr>
            </w:pPr>
            <w:r>
              <w:rPr>
                <w:bCs/>
                <w:color w:val="auto"/>
                <w:sz w:val="24"/>
                <w:highlight w:val="none"/>
              </w:rPr>
              <w:t>本项目主要噪声源来自各类机械设备噪声</w:t>
            </w:r>
            <w:r>
              <w:rPr>
                <w:rFonts w:hint="eastAsia"/>
                <w:bCs/>
                <w:color w:val="auto"/>
                <w:sz w:val="24"/>
                <w:highlight w:val="none"/>
                <w:lang w:eastAsia="zh-CN"/>
              </w:rPr>
              <w:t>（</w:t>
            </w:r>
            <w:r>
              <w:rPr>
                <w:rFonts w:hint="eastAsia"/>
                <w:bCs/>
                <w:color w:val="auto"/>
                <w:sz w:val="24"/>
                <w:highlight w:val="none"/>
                <w:lang w:val="en-US" w:eastAsia="zh-CN"/>
              </w:rPr>
              <w:t>N</w:t>
            </w:r>
            <w:r>
              <w:rPr>
                <w:rFonts w:hint="eastAsia"/>
                <w:bCs/>
                <w:color w:val="auto"/>
                <w:sz w:val="24"/>
                <w:highlight w:val="none"/>
                <w:lang w:eastAsia="zh-CN"/>
              </w:rPr>
              <w:t>）</w:t>
            </w:r>
            <w:r>
              <w:rPr>
                <w:bCs/>
                <w:color w:val="auto"/>
                <w:sz w:val="24"/>
                <w:highlight w:val="none"/>
              </w:rPr>
              <w:t>。项目采取消声减振、厂房隔声等降噪措施。类比同类企业，在采取相关污染防治措施后，产噪设备源强见表4-</w:t>
            </w:r>
            <w:r>
              <w:rPr>
                <w:rFonts w:hint="eastAsia"/>
                <w:bCs/>
                <w:color w:val="auto"/>
                <w:sz w:val="24"/>
                <w:highlight w:val="none"/>
                <w:lang w:val="en-US" w:eastAsia="zh-CN"/>
              </w:rPr>
              <w:t>8。</w:t>
            </w:r>
          </w:p>
          <w:p w14:paraId="3A490FF9">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b/>
                <w:bCs/>
                <w:color w:val="auto"/>
                <w:szCs w:val="21"/>
                <w:highlight w:val="none"/>
              </w:rPr>
            </w:pPr>
            <w:r>
              <w:rPr>
                <w:b/>
                <w:bCs/>
                <w:color w:val="auto"/>
                <w:szCs w:val="21"/>
                <w:highlight w:val="none"/>
              </w:rPr>
              <w:t>表4-</w:t>
            </w:r>
            <w:r>
              <w:rPr>
                <w:rFonts w:hint="eastAsia"/>
                <w:b/>
                <w:bCs/>
                <w:color w:val="auto"/>
                <w:szCs w:val="21"/>
                <w:highlight w:val="none"/>
                <w:lang w:val="en-US" w:eastAsia="zh-CN"/>
              </w:rPr>
              <w:t>8</w:t>
            </w:r>
            <w:r>
              <w:rPr>
                <w:b/>
                <w:bCs/>
                <w:color w:val="auto"/>
                <w:szCs w:val="21"/>
                <w:highlight w:val="none"/>
              </w:rPr>
              <w:t xml:space="preserve">    项目产噪设备源强一览表</w:t>
            </w:r>
          </w:p>
          <w:tbl>
            <w:tblPr>
              <w:tblStyle w:val="27"/>
              <w:tblW w:w="4997"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813"/>
              <w:gridCol w:w="1592"/>
              <w:gridCol w:w="1248"/>
              <w:gridCol w:w="1463"/>
              <w:gridCol w:w="1395"/>
              <w:gridCol w:w="1651"/>
            </w:tblGrid>
            <w:tr w14:paraId="1DFC53B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12" w:hRule="atLeast"/>
                <w:jc w:val="center"/>
              </w:trPr>
              <w:tc>
                <w:tcPr>
                  <w:tcW w:w="498" w:type="pct"/>
                  <w:vMerge w:val="restart"/>
                  <w:tcBorders>
                    <w:bottom w:val="single" w:color="auto" w:sz="12" w:space="0"/>
                  </w:tcBorders>
                  <w:noWrap w:val="0"/>
                  <w:vAlign w:val="center"/>
                </w:tcPr>
                <w:p w14:paraId="71954CDC">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序号</w:t>
                  </w:r>
                </w:p>
              </w:tc>
              <w:tc>
                <w:tcPr>
                  <w:tcW w:w="975" w:type="pct"/>
                  <w:vMerge w:val="restart"/>
                  <w:tcBorders>
                    <w:bottom w:val="single" w:color="auto" w:sz="12" w:space="0"/>
                  </w:tcBorders>
                  <w:noWrap w:val="0"/>
                  <w:vAlign w:val="center"/>
                </w:tcPr>
                <w:p w14:paraId="387F66FB">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噪声源</w:t>
                  </w:r>
                </w:p>
              </w:tc>
              <w:tc>
                <w:tcPr>
                  <w:tcW w:w="763" w:type="pct"/>
                  <w:vMerge w:val="restart"/>
                  <w:tcBorders>
                    <w:bottom w:val="single" w:color="auto" w:sz="12" w:space="0"/>
                  </w:tcBorders>
                  <w:noWrap w:val="0"/>
                  <w:vAlign w:val="center"/>
                </w:tcPr>
                <w:p w14:paraId="306B286C">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运转方式</w:t>
                  </w:r>
                </w:p>
              </w:tc>
              <w:tc>
                <w:tcPr>
                  <w:tcW w:w="895" w:type="pct"/>
                  <w:vMerge w:val="restart"/>
                  <w:tcBorders>
                    <w:bottom w:val="single" w:color="auto" w:sz="12" w:space="0"/>
                  </w:tcBorders>
                  <w:noWrap w:val="0"/>
                  <w:vAlign w:val="center"/>
                </w:tcPr>
                <w:p w14:paraId="49EA0911">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声源强度dB(A)</w:t>
                  </w:r>
                </w:p>
              </w:tc>
              <w:tc>
                <w:tcPr>
                  <w:tcW w:w="854" w:type="pct"/>
                  <w:vMerge w:val="restart"/>
                  <w:tcBorders>
                    <w:bottom w:val="single" w:color="auto" w:sz="12" w:space="0"/>
                  </w:tcBorders>
                  <w:noWrap w:val="0"/>
                  <w:vAlign w:val="center"/>
                </w:tcPr>
                <w:p w14:paraId="2EFB6DB5">
                  <w:pPr>
                    <w:jc w:val="center"/>
                    <w:rPr>
                      <w:rFonts w:hint="default" w:ascii="Times New Roman" w:hAnsi="Times New Roman" w:eastAsia="Calibri" w:cs="Times New Roman"/>
                      <w:b/>
                      <w:bCs/>
                      <w:color w:val="auto"/>
                      <w:szCs w:val="21"/>
                      <w:highlight w:val="none"/>
                    </w:rPr>
                  </w:pPr>
                  <w:r>
                    <w:rPr>
                      <w:rFonts w:hint="default" w:ascii="Times New Roman" w:hAnsi="Times New Roman" w:cs="Times New Roman"/>
                      <w:b/>
                      <w:bCs/>
                      <w:color w:val="auto"/>
                      <w:szCs w:val="21"/>
                      <w:highlight w:val="none"/>
                    </w:rPr>
                    <w:t>治理措施</w:t>
                  </w:r>
                </w:p>
              </w:tc>
              <w:tc>
                <w:tcPr>
                  <w:tcW w:w="1011" w:type="pct"/>
                  <w:vMerge w:val="restart"/>
                  <w:tcBorders>
                    <w:bottom w:val="single" w:color="auto" w:sz="12" w:space="0"/>
                  </w:tcBorders>
                  <w:noWrap w:val="0"/>
                  <w:vAlign w:val="center"/>
                </w:tcPr>
                <w:p w14:paraId="06DE4F5D">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空间相对位置/m</w:t>
                  </w:r>
                </w:p>
              </w:tc>
            </w:tr>
            <w:tr w14:paraId="270C7C7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12" w:hRule="atLeast"/>
                <w:jc w:val="center"/>
              </w:trPr>
              <w:tc>
                <w:tcPr>
                  <w:tcW w:w="498" w:type="pct"/>
                  <w:vMerge w:val="continue"/>
                  <w:tcBorders>
                    <w:top w:val="single" w:color="auto" w:sz="12" w:space="0"/>
                    <w:bottom w:val="single" w:color="auto" w:sz="12" w:space="0"/>
                    <w:tl2br w:val="nil"/>
                    <w:tr2bl w:val="nil"/>
                  </w:tcBorders>
                  <w:noWrap w:val="0"/>
                  <w:vAlign w:val="center"/>
                </w:tcPr>
                <w:p w14:paraId="0801C5E7">
                  <w:pPr>
                    <w:jc w:val="center"/>
                    <w:rPr>
                      <w:rFonts w:hint="default" w:ascii="Times New Roman" w:hAnsi="Times New Roman" w:cs="Times New Roman"/>
                      <w:color w:val="auto"/>
                      <w:highlight w:val="none"/>
                    </w:rPr>
                  </w:pPr>
                </w:p>
              </w:tc>
              <w:tc>
                <w:tcPr>
                  <w:tcW w:w="975" w:type="pct"/>
                  <w:vMerge w:val="continue"/>
                  <w:tcBorders>
                    <w:top w:val="single" w:color="auto" w:sz="12" w:space="0"/>
                    <w:bottom w:val="single" w:color="auto" w:sz="12" w:space="0"/>
                    <w:tl2br w:val="nil"/>
                    <w:tr2bl w:val="nil"/>
                  </w:tcBorders>
                  <w:noWrap w:val="0"/>
                  <w:vAlign w:val="center"/>
                </w:tcPr>
                <w:p w14:paraId="685F011A">
                  <w:pPr>
                    <w:jc w:val="center"/>
                    <w:rPr>
                      <w:rFonts w:hint="default" w:ascii="Times New Roman" w:hAnsi="Times New Roman" w:cs="Times New Roman"/>
                      <w:color w:val="auto"/>
                      <w:highlight w:val="none"/>
                    </w:rPr>
                  </w:pPr>
                </w:p>
              </w:tc>
              <w:tc>
                <w:tcPr>
                  <w:tcW w:w="763" w:type="pct"/>
                  <w:vMerge w:val="continue"/>
                  <w:tcBorders>
                    <w:top w:val="single" w:color="auto" w:sz="12" w:space="0"/>
                    <w:bottom w:val="single" w:color="auto" w:sz="12" w:space="0"/>
                    <w:tl2br w:val="nil"/>
                    <w:tr2bl w:val="nil"/>
                  </w:tcBorders>
                  <w:noWrap w:val="0"/>
                  <w:vAlign w:val="center"/>
                </w:tcPr>
                <w:p w14:paraId="6EDB40A3">
                  <w:pPr>
                    <w:jc w:val="center"/>
                    <w:rPr>
                      <w:rFonts w:hint="default" w:ascii="Times New Roman" w:hAnsi="Times New Roman" w:cs="Times New Roman"/>
                      <w:color w:val="auto"/>
                      <w:highlight w:val="none"/>
                    </w:rPr>
                  </w:pPr>
                </w:p>
              </w:tc>
              <w:tc>
                <w:tcPr>
                  <w:tcW w:w="895" w:type="pct"/>
                  <w:vMerge w:val="continue"/>
                  <w:tcBorders>
                    <w:top w:val="single" w:color="auto" w:sz="12" w:space="0"/>
                    <w:bottom w:val="single" w:color="auto" w:sz="12" w:space="0"/>
                    <w:tl2br w:val="nil"/>
                    <w:tr2bl w:val="nil"/>
                  </w:tcBorders>
                  <w:noWrap w:val="0"/>
                  <w:vAlign w:val="center"/>
                </w:tcPr>
                <w:p w14:paraId="3B7FC9EA">
                  <w:pPr>
                    <w:jc w:val="center"/>
                    <w:rPr>
                      <w:rFonts w:hint="default" w:ascii="Times New Roman" w:hAnsi="Times New Roman" w:cs="Times New Roman"/>
                      <w:color w:val="auto"/>
                      <w:highlight w:val="none"/>
                    </w:rPr>
                  </w:pPr>
                </w:p>
              </w:tc>
              <w:tc>
                <w:tcPr>
                  <w:tcW w:w="854" w:type="pct"/>
                  <w:vMerge w:val="continue"/>
                  <w:tcBorders>
                    <w:top w:val="single" w:color="auto" w:sz="12" w:space="0"/>
                    <w:bottom w:val="single" w:color="auto" w:sz="12" w:space="0"/>
                    <w:tl2br w:val="nil"/>
                    <w:tr2bl w:val="nil"/>
                  </w:tcBorders>
                  <w:noWrap w:val="0"/>
                  <w:vAlign w:val="center"/>
                </w:tcPr>
                <w:p w14:paraId="3075256C">
                  <w:pPr>
                    <w:jc w:val="center"/>
                    <w:rPr>
                      <w:rFonts w:hint="default" w:ascii="Times New Roman" w:hAnsi="Times New Roman" w:cs="Times New Roman"/>
                      <w:color w:val="auto"/>
                      <w:highlight w:val="none"/>
                    </w:rPr>
                  </w:pPr>
                </w:p>
              </w:tc>
              <w:tc>
                <w:tcPr>
                  <w:tcW w:w="1011" w:type="pct"/>
                  <w:vMerge w:val="continue"/>
                  <w:tcBorders>
                    <w:top w:val="single" w:color="auto" w:sz="12" w:space="0"/>
                    <w:bottom w:val="single" w:color="auto" w:sz="12" w:space="0"/>
                    <w:tl2br w:val="nil"/>
                    <w:tr2bl w:val="nil"/>
                  </w:tcBorders>
                  <w:noWrap w:val="0"/>
                  <w:vAlign w:val="center"/>
                </w:tcPr>
                <w:p w14:paraId="42C02D7A">
                  <w:pPr>
                    <w:jc w:val="center"/>
                    <w:rPr>
                      <w:rFonts w:hint="default" w:ascii="Times New Roman" w:hAnsi="Times New Roman" w:cs="Times New Roman"/>
                      <w:color w:val="auto"/>
                      <w:highlight w:val="none"/>
                    </w:rPr>
                  </w:pPr>
                </w:p>
              </w:tc>
            </w:tr>
            <w:tr w14:paraId="3CF7480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98" w:type="pct"/>
                  <w:tcBorders>
                    <w:top w:val="single" w:color="auto" w:sz="12" w:space="0"/>
                    <w:tl2br w:val="nil"/>
                    <w:tr2bl w:val="nil"/>
                  </w:tcBorders>
                  <w:noWrap w:val="0"/>
                  <w:vAlign w:val="center"/>
                </w:tcPr>
                <w:p w14:paraId="51C49CB8">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975" w:type="pct"/>
                  <w:tcBorders>
                    <w:top w:val="single" w:color="auto" w:sz="12" w:space="0"/>
                    <w:tl2br w:val="nil"/>
                    <w:tr2bl w:val="nil"/>
                  </w:tcBorders>
                  <w:noWrap w:val="0"/>
                  <w:vAlign w:val="center"/>
                </w:tcPr>
                <w:p w14:paraId="40915EBC">
                  <w:pPr>
                    <w:jc w:val="center"/>
                    <w:rPr>
                      <w:rFonts w:hint="default" w:ascii="Times New Roman" w:hAnsi="Times New Roman" w:eastAsia="Calibri" w:cs="Times New Roman"/>
                      <w:color w:val="auto"/>
                      <w:szCs w:val="21"/>
                      <w:highlight w:val="none"/>
                    </w:rPr>
                  </w:pPr>
                  <w:r>
                    <w:rPr>
                      <w:rFonts w:hint="default" w:ascii="Times New Roman" w:hAnsi="Times New Roman" w:cs="Times New Roman"/>
                      <w:color w:val="auto"/>
                      <w:szCs w:val="21"/>
                      <w:highlight w:val="none"/>
                    </w:rPr>
                    <w:t>分级筛</w:t>
                  </w:r>
                </w:p>
              </w:tc>
              <w:tc>
                <w:tcPr>
                  <w:tcW w:w="763" w:type="pct"/>
                  <w:tcBorders>
                    <w:top w:val="single" w:color="auto" w:sz="12" w:space="0"/>
                    <w:tl2br w:val="nil"/>
                    <w:tr2bl w:val="nil"/>
                  </w:tcBorders>
                  <w:noWrap w:val="0"/>
                  <w:vAlign w:val="center"/>
                </w:tcPr>
                <w:p w14:paraId="776C1695">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连续</w:t>
                  </w:r>
                </w:p>
              </w:tc>
              <w:tc>
                <w:tcPr>
                  <w:tcW w:w="895" w:type="pct"/>
                  <w:tcBorders>
                    <w:top w:val="single" w:color="auto" w:sz="12" w:space="0"/>
                    <w:tl2br w:val="nil"/>
                    <w:tr2bl w:val="nil"/>
                  </w:tcBorders>
                  <w:noWrap w:val="0"/>
                  <w:vAlign w:val="center"/>
                </w:tcPr>
                <w:p w14:paraId="20F66E2C">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85</w:t>
                  </w:r>
                </w:p>
              </w:tc>
              <w:tc>
                <w:tcPr>
                  <w:tcW w:w="854" w:type="pct"/>
                  <w:vMerge w:val="restart"/>
                  <w:tcBorders>
                    <w:top w:val="single" w:color="auto" w:sz="12" w:space="0"/>
                    <w:tl2br w:val="nil"/>
                    <w:tr2bl w:val="nil"/>
                  </w:tcBorders>
                  <w:noWrap w:val="0"/>
                  <w:vAlign w:val="center"/>
                </w:tcPr>
                <w:p w14:paraId="4C138433">
                  <w:pPr>
                    <w:jc w:val="center"/>
                    <w:rPr>
                      <w:rFonts w:hint="default" w:ascii="Times New Roman" w:hAnsi="Times New Roman" w:eastAsia="Calibri" w:cs="Times New Roman"/>
                      <w:color w:val="auto"/>
                      <w:szCs w:val="21"/>
                      <w:highlight w:val="none"/>
                    </w:rPr>
                  </w:pPr>
                  <w:r>
                    <w:rPr>
                      <w:rFonts w:hint="eastAsia" w:ascii="Times New Roman" w:hAnsi="Times New Roman" w:cs="Times New Roman"/>
                      <w:color w:val="auto"/>
                      <w:szCs w:val="21"/>
                      <w:highlight w:val="none"/>
                      <w:lang w:val="en-US" w:eastAsia="zh-CN"/>
                    </w:rPr>
                    <w:t>厂房隔声</w:t>
                  </w:r>
                  <w:r>
                    <w:rPr>
                      <w:rFonts w:hint="default" w:ascii="Times New Roman" w:hAnsi="Times New Roman" w:cs="Times New Roman"/>
                      <w:color w:val="auto"/>
                      <w:szCs w:val="21"/>
                      <w:highlight w:val="none"/>
                    </w:rPr>
                    <w:t>、减振</w:t>
                  </w:r>
                </w:p>
              </w:tc>
              <w:tc>
                <w:tcPr>
                  <w:tcW w:w="1011" w:type="pct"/>
                  <w:tcBorders>
                    <w:top w:val="single" w:color="auto" w:sz="12" w:space="0"/>
                    <w:tl2br w:val="nil"/>
                    <w:tr2bl w:val="nil"/>
                  </w:tcBorders>
                  <w:noWrap w:val="0"/>
                  <w:vAlign w:val="center"/>
                </w:tcPr>
                <w:p w14:paraId="14C04F74">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-64.9，68.8，1.2</w:t>
                  </w:r>
                </w:p>
              </w:tc>
            </w:tr>
            <w:tr w14:paraId="3A0E8B7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98" w:type="pct"/>
                  <w:tcBorders>
                    <w:tl2br w:val="nil"/>
                    <w:tr2bl w:val="nil"/>
                  </w:tcBorders>
                  <w:noWrap w:val="0"/>
                  <w:vAlign w:val="center"/>
                </w:tcPr>
                <w:p w14:paraId="67606781">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w:t>
                  </w:r>
                </w:p>
              </w:tc>
              <w:tc>
                <w:tcPr>
                  <w:tcW w:w="975" w:type="pct"/>
                  <w:tcBorders>
                    <w:tl2br w:val="nil"/>
                    <w:tr2bl w:val="nil"/>
                  </w:tcBorders>
                  <w:noWrap w:val="0"/>
                  <w:vAlign w:val="center"/>
                </w:tcPr>
                <w:p w14:paraId="2D88CAF6">
                  <w:pPr>
                    <w:jc w:val="center"/>
                    <w:rPr>
                      <w:rFonts w:hint="default" w:ascii="Times New Roman" w:hAnsi="Times New Roman" w:eastAsia="Calibri" w:cs="Times New Roman"/>
                      <w:color w:val="auto"/>
                      <w:szCs w:val="21"/>
                      <w:highlight w:val="none"/>
                    </w:rPr>
                  </w:pPr>
                  <w:r>
                    <w:rPr>
                      <w:rFonts w:hint="default" w:ascii="Times New Roman" w:hAnsi="Times New Roman" w:cs="Times New Roman"/>
                      <w:color w:val="auto"/>
                      <w:szCs w:val="21"/>
                      <w:highlight w:val="none"/>
                    </w:rPr>
                    <w:t>破碎机</w:t>
                  </w:r>
                </w:p>
              </w:tc>
              <w:tc>
                <w:tcPr>
                  <w:tcW w:w="763" w:type="pct"/>
                  <w:tcBorders>
                    <w:tl2br w:val="nil"/>
                    <w:tr2bl w:val="nil"/>
                  </w:tcBorders>
                  <w:noWrap w:val="0"/>
                  <w:vAlign w:val="center"/>
                </w:tcPr>
                <w:p w14:paraId="254CA123">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连续</w:t>
                  </w:r>
                </w:p>
              </w:tc>
              <w:tc>
                <w:tcPr>
                  <w:tcW w:w="895" w:type="pct"/>
                  <w:tcBorders>
                    <w:tl2br w:val="nil"/>
                    <w:tr2bl w:val="nil"/>
                  </w:tcBorders>
                  <w:noWrap w:val="0"/>
                  <w:vAlign w:val="center"/>
                </w:tcPr>
                <w:p w14:paraId="4F98BF84">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95</w:t>
                  </w:r>
                </w:p>
              </w:tc>
              <w:tc>
                <w:tcPr>
                  <w:tcW w:w="854" w:type="pct"/>
                  <w:vMerge w:val="continue"/>
                  <w:tcBorders>
                    <w:tl2br w:val="nil"/>
                    <w:tr2bl w:val="nil"/>
                  </w:tcBorders>
                  <w:noWrap w:val="0"/>
                  <w:vAlign w:val="center"/>
                </w:tcPr>
                <w:p w14:paraId="462D8A3D">
                  <w:pPr>
                    <w:jc w:val="center"/>
                    <w:rPr>
                      <w:rFonts w:hint="default" w:ascii="Times New Roman" w:hAnsi="Times New Roman" w:cs="Times New Roman"/>
                      <w:color w:val="auto"/>
                      <w:szCs w:val="21"/>
                      <w:highlight w:val="none"/>
                    </w:rPr>
                  </w:pPr>
                </w:p>
              </w:tc>
              <w:tc>
                <w:tcPr>
                  <w:tcW w:w="1011" w:type="pct"/>
                  <w:tcBorders>
                    <w:tl2br w:val="nil"/>
                    <w:tr2bl w:val="nil"/>
                  </w:tcBorders>
                  <w:noWrap w:val="0"/>
                  <w:vAlign w:val="center"/>
                </w:tcPr>
                <w:p w14:paraId="64DEC96E">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-48.3，67.1，1.2</w:t>
                  </w:r>
                </w:p>
              </w:tc>
            </w:tr>
            <w:tr w14:paraId="56733E4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98" w:type="pct"/>
                  <w:tcBorders>
                    <w:tl2br w:val="nil"/>
                    <w:tr2bl w:val="nil"/>
                  </w:tcBorders>
                  <w:noWrap w:val="0"/>
                  <w:vAlign w:val="center"/>
                </w:tcPr>
                <w:p w14:paraId="2693EE46">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w:t>
                  </w:r>
                </w:p>
              </w:tc>
              <w:tc>
                <w:tcPr>
                  <w:tcW w:w="975" w:type="pct"/>
                  <w:tcBorders>
                    <w:tl2br w:val="nil"/>
                    <w:tr2bl w:val="nil"/>
                  </w:tcBorders>
                  <w:noWrap w:val="0"/>
                  <w:vAlign w:val="center"/>
                </w:tcPr>
                <w:p w14:paraId="57968BD0">
                  <w:pPr>
                    <w:jc w:val="center"/>
                    <w:rPr>
                      <w:rFonts w:hint="default" w:ascii="Times New Roman" w:hAnsi="Times New Roman" w:eastAsia="Calibri" w:cs="Times New Roman"/>
                      <w:color w:val="auto"/>
                      <w:szCs w:val="21"/>
                      <w:highlight w:val="none"/>
                    </w:rPr>
                  </w:pPr>
                  <w:r>
                    <w:rPr>
                      <w:rFonts w:hint="default" w:ascii="Times New Roman" w:hAnsi="Times New Roman" w:cs="Times New Roman"/>
                      <w:color w:val="auto"/>
                      <w:szCs w:val="21"/>
                      <w:highlight w:val="none"/>
                    </w:rPr>
                    <w:t>跳汰机</w:t>
                  </w:r>
                </w:p>
              </w:tc>
              <w:tc>
                <w:tcPr>
                  <w:tcW w:w="763" w:type="pct"/>
                  <w:tcBorders>
                    <w:tl2br w:val="nil"/>
                    <w:tr2bl w:val="nil"/>
                  </w:tcBorders>
                  <w:noWrap w:val="0"/>
                  <w:vAlign w:val="center"/>
                </w:tcPr>
                <w:p w14:paraId="0C0C968E">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连续</w:t>
                  </w:r>
                </w:p>
              </w:tc>
              <w:tc>
                <w:tcPr>
                  <w:tcW w:w="895" w:type="pct"/>
                  <w:tcBorders>
                    <w:tl2br w:val="nil"/>
                    <w:tr2bl w:val="nil"/>
                  </w:tcBorders>
                  <w:noWrap w:val="0"/>
                  <w:vAlign w:val="center"/>
                </w:tcPr>
                <w:p w14:paraId="442660C1">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80</w:t>
                  </w:r>
                </w:p>
              </w:tc>
              <w:tc>
                <w:tcPr>
                  <w:tcW w:w="854" w:type="pct"/>
                  <w:vMerge w:val="continue"/>
                  <w:tcBorders>
                    <w:tl2br w:val="nil"/>
                    <w:tr2bl w:val="nil"/>
                  </w:tcBorders>
                  <w:noWrap w:val="0"/>
                  <w:vAlign w:val="center"/>
                </w:tcPr>
                <w:p w14:paraId="1E9CFFAB">
                  <w:pPr>
                    <w:jc w:val="center"/>
                    <w:rPr>
                      <w:rFonts w:hint="default" w:ascii="Times New Roman" w:hAnsi="Times New Roman" w:cs="Times New Roman"/>
                      <w:color w:val="auto"/>
                      <w:szCs w:val="21"/>
                      <w:highlight w:val="none"/>
                    </w:rPr>
                  </w:pPr>
                </w:p>
              </w:tc>
              <w:tc>
                <w:tcPr>
                  <w:tcW w:w="1011" w:type="pct"/>
                  <w:tcBorders>
                    <w:tl2br w:val="nil"/>
                    <w:tr2bl w:val="nil"/>
                  </w:tcBorders>
                  <w:noWrap w:val="0"/>
                  <w:vAlign w:val="center"/>
                </w:tcPr>
                <w:p w14:paraId="6F3B8BCD">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13.9，51.8，1.2</w:t>
                  </w:r>
                </w:p>
              </w:tc>
            </w:tr>
            <w:tr w14:paraId="3655714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98" w:type="pct"/>
                  <w:tcBorders>
                    <w:tl2br w:val="nil"/>
                    <w:tr2bl w:val="nil"/>
                  </w:tcBorders>
                  <w:noWrap w:val="0"/>
                  <w:vAlign w:val="center"/>
                </w:tcPr>
                <w:p w14:paraId="12F46FE8">
                  <w:pPr>
                    <w:jc w:val="center"/>
                    <w:rPr>
                      <w:rFonts w:hint="default" w:ascii="Times New Roman" w:hAnsi="Times New Roman" w:eastAsia="Calibri" w:cs="Times New Roman"/>
                      <w:color w:val="auto"/>
                      <w:szCs w:val="21"/>
                      <w:highlight w:val="none"/>
                    </w:rPr>
                  </w:pPr>
                  <w:r>
                    <w:rPr>
                      <w:rFonts w:hint="default" w:ascii="Times New Roman" w:hAnsi="Times New Roman" w:cs="Times New Roman"/>
                      <w:color w:val="auto"/>
                      <w:szCs w:val="21"/>
                      <w:highlight w:val="none"/>
                    </w:rPr>
                    <w:t>4</w:t>
                  </w:r>
                </w:p>
              </w:tc>
              <w:tc>
                <w:tcPr>
                  <w:tcW w:w="975" w:type="pct"/>
                  <w:tcBorders>
                    <w:tl2br w:val="nil"/>
                    <w:tr2bl w:val="nil"/>
                  </w:tcBorders>
                  <w:noWrap w:val="0"/>
                  <w:vAlign w:val="center"/>
                </w:tcPr>
                <w:p w14:paraId="1F5CE845">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浓缩机</w:t>
                  </w:r>
                </w:p>
              </w:tc>
              <w:tc>
                <w:tcPr>
                  <w:tcW w:w="763" w:type="pct"/>
                  <w:tcBorders>
                    <w:tl2br w:val="nil"/>
                    <w:tr2bl w:val="nil"/>
                  </w:tcBorders>
                  <w:noWrap w:val="0"/>
                  <w:vAlign w:val="center"/>
                </w:tcPr>
                <w:p w14:paraId="448937A2">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连续</w:t>
                  </w:r>
                </w:p>
              </w:tc>
              <w:tc>
                <w:tcPr>
                  <w:tcW w:w="895" w:type="pct"/>
                  <w:tcBorders>
                    <w:tl2br w:val="nil"/>
                    <w:tr2bl w:val="nil"/>
                  </w:tcBorders>
                  <w:noWrap w:val="0"/>
                  <w:vAlign w:val="center"/>
                </w:tcPr>
                <w:p w14:paraId="528E215F">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88.01</w:t>
                  </w:r>
                </w:p>
              </w:tc>
              <w:tc>
                <w:tcPr>
                  <w:tcW w:w="854" w:type="pct"/>
                  <w:vMerge w:val="continue"/>
                  <w:tcBorders>
                    <w:tl2br w:val="nil"/>
                    <w:tr2bl w:val="nil"/>
                  </w:tcBorders>
                  <w:noWrap w:val="0"/>
                  <w:vAlign w:val="center"/>
                </w:tcPr>
                <w:p w14:paraId="307E028A">
                  <w:pPr>
                    <w:jc w:val="center"/>
                    <w:rPr>
                      <w:rFonts w:hint="default" w:ascii="Times New Roman" w:hAnsi="Times New Roman" w:cs="Times New Roman"/>
                      <w:color w:val="auto"/>
                      <w:szCs w:val="21"/>
                      <w:highlight w:val="none"/>
                    </w:rPr>
                  </w:pPr>
                </w:p>
              </w:tc>
              <w:tc>
                <w:tcPr>
                  <w:tcW w:w="1011" w:type="pct"/>
                  <w:tcBorders>
                    <w:tl2br w:val="nil"/>
                    <w:tr2bl w:val="nil"/>
                  </w:tcBorders>
                  <w:noWrap w:val="0"/>
                  <w:vAlign w:val="center"/>
                </w:tcPr>
                <w:p w14:paraId="7D2C63EC">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3.9，39.6，1.2</w:t>
                  </w:r>
                </w:p>
              </w:tc>
            </w:tr>
            <w:tr w14:paraId="467D4EB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98" w:type="pct"/>
                  <w:tcBorders>
                    <w:tl2br w:val="nil"/>
                    <w:tr2bl w:val="nil"/>
                  </w:tcBorders>
                  <w:noWrap w:val="0"/>
                  <w:vAlign w:val="center"/>
                </w:tcPr>
                <w:p w14:paraId="367532ED">
                  <w:pPr>
                    <w:jc w:val="center"/>
                    <w:rPr>
                      <w:rFonts w:hint="default" w:ascii="Times New Roman" w:hAnsi="Times New Roman" w:eastAsia="Calibri" w:cs="Times New Roman"/>
                      <w:color w:val="auto"/>
                      <w:szCs w:val="21"/>
                      <w:highlight w:val="none"/>
                    </w:rPr>
                  </w:pPr>
                  <w:r>
                    <w:rPr>
                      <w:rFonts w:hint="default" w:ascii="Times New Roman" w:hAnsi="Times New Roman" w:cs="Times New Roman"/>
                      <w:color w:val="auto"/>
                      <w:szCs w:val="21"/>
                      <w:highlight w:val="none"/>
                    </w:rPr>
                    <w:t>5</w:t>
                  </w:r>
                </w:p>
              </w:tc>
              <w:tc>
                <w:tcPr>
                  <w:tcW w:w="975" w:type="pct"/>
                  <w:tcBorders>
                    <w:tl2br w:val="nil"/>
                    <w:tr2bl w:val="nil"/>
                  </w:tcBorders>
                  <w:noWrap w:val="0"/>
                  <w:vAlign w:val="center"/>
                </w:tcPr>
                <w:p w14:paraId="5A7B3356">
                  <w:pPr>
                    <w:jc w:val="center"/>
                    <w:rPr>
                      <w:rFonts w:hint="default" w:ascii="Times New Roman" w:hAnsi="Times New Roman" w:eastAsia="Calibri" w:cs="Times New Roman"/>
                      <w:color w:val="auto"/>
                      <w:szCs w:val="21"/>
                      <w:highlight w:val="none"/>
                    </w:rPr>
                  </w:pPr>
                  <w:r>
                    <w:rPr>
                      <w:rFonts w:hint="default" w:ascii="Times New Roman" w:hAnsi="Times New Roman" w:cs="Times New Roman"/>
                      <w:color w:val="auto"/>
                      <w:szCs w:val="21"/>
                      <w:highlight w:val="none"/>
                    </w:rPr>
                    <w:t>压滤机</w:t>
                  </w:r>
                </w:p>
              </w:tc>
              <w:tc>
                <w:tcPr>
                  <w:tcW w:w="763" w:type="pct"/>
                  <w:tcBorders>
                    <w:tl2br w:val="nil"/>
                    <w:tr2bl w:val="nil"/>
                  </w:tcBorders>
                  <w:noWrap w:val="0"/>
                  <w:vAlign w:val="center"/>
                </w:tcPr>
                <w:p w14:paraId="37C2B05F">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连续</w:t>
                  </w:r>
                </w:p>
              </w:tc>
              <w:tc>
                <w:tcPr>
                  <w:tcW w:w="895" w:type="pct"/>
                  <w:tcBorders>
                    <w:tl2br w:val="nil"/>
                    <w:tr2bl w:val="nil"/>
                  </w:tcBorders>
                  <w:noWrap w:val="0"/>
                  <w:vAlign w:val="center"/>
                </w:tcPr>
                <w:p w14:paraId="3486DA0D">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84.77</w:t>
                  </w:r>
                </w:p>
              </w:tc>
              <w:tc>
                <w:tcPr>
                  <w:tcW w:w="854" w:type="pct"/>
                  <w:vMerge w:val="continue"/>
                  <w:tcBorders>
                    <w:tl2br w:val="nil"/>
                    <w:tr2bl w:val="nil"/>
                  </w:tcBorders>
                  <w:noWrap w:val="0"/>
                  <w:vAlign w:val="center"/>
                </w:tcPr>
                <w:p w14:paraId="4B4BF2B5">
                  <w:pPr>
                    <w:jc w:val="center"/>
                    <w:rPr>
                      <w:rFonts w:hint="default" w:ascii="Times New Roman" w:hAnsi="Times New Roman" w:cs="Times New Roman"/>
                      <w:color w:val="auto"/>
                      <w:szCs w:val="21"/>
                      <w:highlight w:val="none"/>
                    </w:rPr>
                  </w:pPr>
                </w:p>
              </w:tc>
              <w:tc>
                <w:tcPr>
                  <w:tcW w:w="1011" w:type="pct"/>
                  <w:tcBorders>
                    <w:tl2br w:val="nil"/>
                    <w:tr2bl w:val="nil"/>
                  </w:tcBorders>
                  <w:noWrap w:val="0"/>
                  <w:vAlign w:val="center"/>
                </w:tcPr>
                <w:p w14:paraId="546557B9">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16.5，38.8，1.2</w:t>
                  </w:r>
                </w:p>
              </w:tc>
            </w:tr>
            <w:tr w14:paraId="402DA90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98" w:type="pct"/>
                  <w:tcBorders>
                    <w:tl2br w:val="nil"/>
                    <w:tr2bl w:val="nil"/>
                  </w:tcBorders>
                  <w:noWrap w:val="0"/>
                  <w:vAlign w:val="center"/>
                </w:tcPr>
                <w:p w14:paraId="27AAD667">
                  <w:pPr>
                    <w:jc w:val="center"/>
                    <w:rPr>
                      <w:rFonts w:hint="default" w:ascii="Times New Roman" w:hAnsi="Times New Roman" w:eastAsia="Calibri" w:cs="Times New Roman"/>
                      <w:color w:val="auto"/>
                      <w:szCs w:val="21"/>
                      <w:highlight w:val="none"/>
                    </w:rPr>
                  </w:pPr>
                  <w:r>
                    <w:rPr>
                      <w:rFonts w:hint="default" w:ascii="Times New Roman" w:hAnsi="Times New Roman" w:cs="Times New Roman"/>
                      <w:color w:val="auto"/>
                      <w:szCs w:val="21"/>
                      <w:highlight w:val="none"/>
                    </w:rPr>
                    <w:t>6</w:t>
                  </w:r>
                </w:p>
              </w:tc>
              <w:tc>
                <w:tcPr>
                  <w:tcW w:w="975" w:type="pct"/>
                  <w:tcBorders>
                    <w:tl2br w:val="nil"/>
                    <w:tr2bl w:val="nil"/>
                  </w:tcBorders>
                  <w:noWrap w:val="0"/>
                  <w:vAlign w:val="center"/>
                </w:tcPr>
                <w:p w14:paraId="207D7133">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离心机</w:t>
                  </w:r>
                </w:p>
              </w:tc>
              <w:tc>
                <w:tcPr>
                  <w:tcW w:w="763" w:type="pct"/>
                  <w:tcBorders>
                    <w:tl2br w:val="nil"/>
                    <w:tr2bl w:val="nil"/>
                  </w:tcBorders>
                  <w:noWrap w:val="0"/>
                  <w:vAlign w:val="center"/>
                </w:tcPr>
                <w:p w14:paraId="476955C5">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连续</w:t>
                  </w:r>
                </w:p>
              </w:tc>
              <w:tc>
                <w:tcPr>
                  <w:tcW w:w="895" w:type="pct"/>
                  <w:tcBorders>
                    <w:tl2br w:val="nil"/>
                    <w:tr2bl w:val="nil"/>
                  </w:tcBorders>
                  <w:noWrap w:val="0"/>
                  <w:vAlign w:val="center"/>
                </w:tcPr>
                <w:p w14:paraId="17D3657D">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86.02</w:t>
                  </w:r>
                </w:p>
              </w:tc>
              <w:tc>
                <w:tcPr>
                  <w:tcW w:w="854" w:type="pct"/>
                  <w:vMerge w:val="continue"/>
                  <w:tcBorders>
                    <w:tl2br w:val="nil"/>
                    <w:tr2bl w:val="nil"/>
                  </w:tcBorders>
                  <w:noWrap w:val="0"/>
                  <w:vAlign w:val="center"/>
                </w:tcPr>
                <w:p w14:paraId="673494BE">
                  <w:pPr>
                    <w:jc w:val="center"/>
                    <w:rPr>
                      <w:rFonts w:hint="default" w:ascii="Times New Roman" w:hAnsi="Times New Roman" w:cs="Times New Roman"/>
                      <w:color w:val="auto"/>
                      <w:szCs w:val="21"/>
                      <w:highlight w:val="none"/>
                    </w:rPr>
                  </w:pPr>
                </w:p>
              </w:tc>
              <w:tc>
                <w:tcPr>
                  <w:tcW w:w="1011" w:type="pct"/>
                  <w:tcBorders>
                    <w:tl2br w:val="nil"/>
                    <w:tr2bl w:val="nil"/>
                  </w:tcBorders>
                  <w:noWrap w:val="0"/>
                  <w:vAlign w:val="center"/>
                </w:tcPr>
                <w:p w14:paraId="6F26F93B">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28.7，58.4，1.2</w:t>
                  </w:r>
                </w:p>
              </w:tc>
            </w:tr>
          </w:tbl>
          <w:p w14:paraId="4819232A">
            <w:pPr>
              <w:pStyle w:val="11"/>
              <w:keepNext w:val="0"/>
              <w:keepLines w:val="0"/>
              <w:pageBreakBefore w:val="0"/>
              <w:widowControl w:val="0"/>
              <w:kinsoku/>
              <w:wordWrap/>
              <w:overflowPunct/>
              <w:topLinePunct w:val="0"/>
              <w:autoSpaceDE/>
              <w:autoSpaceDN/>
              <w:bidi w:val="0"/>
              <w:adjustRightInd/>
              <w:snapToGrid/>
              <w:spacing w:after="0" w:line="520" w:lineRule="exact"/>
              <w:ind w:left="0" w:leftChars="0"/>
              <w:contextualSpacing/>
              <w:jc w:val="both"/>
              <w:textAlignment w:val="auto"/>
              <w:rPr>
                <w:rFonts w:hint="eastAsia"/>
                <w:b/>
                <w:bCs/>
                <w:color w:val="auto"/>
                <w:highlight w:val="none"/>
                <w:lang w:val="en-US" w:eastAsia="zh-CN"/>
              </w:rPr>
            </w:pPr>
            <w:r>
              <w:rPr>
                <w:b/>
                <w:bCs/>
                <w:color w:val="auto"/>
                <w:highlight w:val="none"/>
              </w:rPr>
              <w:t>3.2</w:t>
            </w:r>
            <w:r>
              <w:rPr>
                <w:rFonts w:hint="eastAsia"/>
                <w:b/>
                <w:bCs/>
                <w:color w:val="auto"/>
                <w:highlight w:val="none"/>
                <w:lang w:val="en-US" w:eastAsia="zh-CN"/>
              </w:rPr>
              <w:t xml:space="preserve"> 预测范围</w:t>
            </w:r>
          </w:p>
          <w:p w14:paraId="16BE92C7">
            <w:pPr>
              <w:pStyle w:val="12"/>
              <w:keepNext w:val="0"/>
              <w:keepLines w:val="0"/>
              <w:pageBreakBefore w:val="0"/>
              <w:widowControl w:val="0"/>
              <w:kinsoku/>
              <w:wordWrap/>
              <w:overflowPunct/>
              <w:topLinePunct w:val="0"/>
              <w:autoSpaceDE/>
              <w:autoSpaceDN/>
              <w:bidi w:val="0"/>
              <w:adjustRightInd/>
              <w:snapToGrid/>
              <w:spacing w:after="0" w:line="520" w:lineRule="exact"/>
              <w:ind w:left="0" w:leftChars="0" w:firstLine="480" w:firstLineChars="200"/>
              <w:textAlignment w:val="auto"/>
              <w:rPr>
                <w:rFonts w:hint="default"/>
                <w:color w:val="auto"/>
                <w:sz w:val="24"/>
                <w:szCs w:val="24"/>
                <w:highlight w:val="none"/>
                <w:lang w:val="en-US" w:eastAsia="zh-CN"/>
              </w:rPr>
            </w:pPr>
            <w:r>
              <w:rPr>
                <w:rFonts w:hint="eastAsia"/>
                <w:color w:val="auto"/>
                <w:sz w:val="24"/>
                <w:szCs w:val="24"/>
                <w:highlight w:val="none"/>
                <w:lang w:val="en-US" w:eastAsia="zh-CN"/>
              </w:rPr>
              <w:t>根据项目特点及项目周边环境状况，噪声预测范围至厂界外1m。</w:t>
            </w:r>
          </w:p>
          <w:p w14:paraId="1A531503">
            <w:pPr>
              <w:pStyle w:val="11"/>
              <w:keepNext w:val="0"/>
              <w:keepLines w:val="0"/>
              <w:pageBreakBefore w:val="0"/>
              <w:widowControl w:val="0"/>
              <w:kinsoku/>
              <w:wordWrap/>
              <w:overflowPunct/>
              <w:topLinePunct w:val="0"/>
              <w:autoSpaceDE/>
              <w:autoSpaceDN/>
              <w:bidi w:val="0"/>
              <w:adjustRightInd/>
              <w:snapToGrid/>
              <w:spacing w:after="0" w:line="520" w:lineRule="exact"/>
              <w:ind w:left="0" w:leftChars="0"/>
              <w:contextualSpacing/>
              <w:jc w:val="both"/>
              <w:textAlignment w:val="auto"/>
              <w:rPr>
                <w:rFonts w:hint="default" w:eastAsia="宋体"/>
                <w:b/>
                <w:bCs/>
                <w:color w:val="auto"/>
                <w:highlight w:val="none"/>
                <w:lang w:val="en-US" w:eastAsia="zh-CN"/>
              </w:rPr>
            </w:pPr>
            <w:r>
              <w:rPr>
                <w:rFonts w:hint="eastAsia"/>
                <w:b/>
                <w:bCs/>
                <w:color w:val="auto"/>
                <w:highlight w:val="none"/>
                <w:lang w:val="en-US" w:eastAsia="zh-CN"/>
              </w:rPr>
              <w:t xml:space="preserve">3.3 </w:t>
            </w:r>
            <w:r>
              <w:rPr>
                <w:b/>
                <w:bCs/>
                <w:color w:val="auto"/>
                <w:highlight w:val="none"/>
              </w:rPr>
              <w:t>噪声</w:t>
            </w:r>
            <w:r>
              <w:rPr>
                <w:rFonts w:hint="eastAsia"/>
                <w:b/>
                <w:bCs/>
                <w:color w:val="auto"/>
                <w:highlight w:val="none"/>
                <w:lang w:val="en-US" w:eastAsia="zh-CN"/>
              </w:rPr>
              <w:t>预测模式</w:t>
            </w:r>
          </w:p>
          <w:p w14:paraId="176AD45C">
            <w:pPr>
              <w:keepNext w:val="0"/>
              <w:keepLines w:val="0"/>
              <w:pageBreakBefore w:val="0"/>
              <w:widowControl w:val="0"/>
              <w:kinsoku/>
              <w:wordWrap/>
              <w:overflowPunct/>
              <w:topLinePunct w:val="0"/>
              <w:bidi w:val="0"/>
              <w:adjustRightInd w:val="0"/>
              <w:snapToGrid w:val="0"/>
              <w:spacing w:line="520" w:lineRule="exact"/>
              <w:ind w:firstLine="480" w:firstLineChars="200"/>
              <w:textAlignment w:val="auto"/>
              <w:rPr>
                <w:snapToGrid w:val="0"/>
                <w:color w:val="auto"/>
                <w:sz w:val="24"/>
                <w:highlight w:val="none"/>
              </w:rPr>
            </w:pPr>
            <w:r>
              <w:rPr>
                <w:snapToGrid w:val="0"/>
                <w:color w:val="auto"/>
                <w:sz w:val="24"/>
                <w:highlight w:val="none"/>
              </w:rPr>
              <w:t>根据项目设备的噪声排放特点，按照《</w:t>
            </w:r>
            <w:r>
              <w:rPr>
                <w:rFonts w:hint="eastAsia"/>
                <w:snapToGrid w:val="0"/>
                <w:color w:val="auto"/>
                <w:sz w:val="24"/>
                <w:highlight w:val="none"/>
                <w:lang w:eastAsia="zh-CN"/>
              </w:rPr>
              <w:t>环境影响评价技术导则 声环境</w:t>
            </w:r>
            <w:r>
              <w:rPr>
                <w:snapToGrid w:val="0"/>
                <w:color w:val="auto"/>
                <w:sz w:val="24"/>
                <w:highlight w:val="none"/>
              </w:rPr>
              <w:t>》HJ2.4-</w:t>
            </w:r>
            <w:r>
              <w:rPr>
                <w:rFonts w:hint="eastAsia"/>
                <w:snapToGrid w:val="0"/>
                <w:color w:val="auto"/>
                <w:sz w:val="24"/>
                <w:highlight w:val="none"/>
                <w:lang w:val="en-US" w:eastAsia="zh-CN"/>
              </w:rPr>
              <w:t>2021</w:t>
            </w:r>
            <w:r>
              <w:rPr>
                <w:snapToGrid w:val="0"/>
                <w:color w:val="auto"/>
                <w:sz w:val="24"/>
                <w:highlight w:val="none"/>
              </w:rPr>
              <w:t>的要求，选择点声源预测模式预测噪声源排放噪声随距离的衰减变化规律。</w:t>
            </w:r>
          </w:p>
          <w:p w14:paraId="043621B3">
            <w:pPr>
              <w:pStyle w:val="11"/>
              <w:keepNext w:val="0"/>
              <w:keepLines w:val="0"/>
              <w:pageBreakBefore w:val="0"/>
              <w:widowControl w:val="0"/>
              <w:kinsoku/>
              <w:wordWrap/>
              <w:overflowPunct/>
              <w:topLinePunct w:val="0"/>
              <w:autoSpaceDE/>
              <w:autoSpaceDN/>
              <w:bidi w:val="0"/>
              <w:adjustRightInd/>
              <w:snapToGrid/>
              <w:spacing w:after="0" w:line="520" w:lineRule="exact"/>
              <w:ind w:left="0" w:leftChars="0" w:right="0" w:firstLine="480" w:firstLineChars="200"/>
              <w:jc w:val="both"/>
              <w:textAlignment w:val="auto"/>
              <w:rPr>
                <w:rFonts w:hint="default"/>
                <w:color w:val="auto"/>
                <w:sz w:val="24"/>
                <w:highlight w:val="none"/>
                <w:lang w:val="en-US" w:eastAsia="zh-CN"/>
              </w:rPr>
            </w:pPr>
            <w:r>
              <w:rPr>
                <w:rFonts w:hint="default"/>
                <w:color w:val="auto"/>
                <w:sz w:val="24"/>
                <w:highlight w:val="none"/>
                <w:lang w:val="en-US" w:eastAsia="zh-CN"/>
              </w:rPr>
              <w:t>计算出所有室内声源在围护结构处产生的i倍频带叠加声压级：</w:t>
            </w:r>
          </w:p>
          <w:p w14:paraId="11CDB6EE">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color w:val="auto"/>
                <w:sz w:val="24"/>
                <w:highlight w:val="none"/>
                <w:lang w:val="en-US" w:eastAsia="zh-CN"/>
              </w:rPr>
            </w:pPr>
            <w:r>
              <w:rPr>
                <w:rFonts w:hint="default"/>
                <w:color w:val="auto"/>
                <w:sz w:val="24"/>
                <w:highlight w:val="none"/>
                <w:lang w:val="en-US" w:eastAsia="zh-CN"/>
              </w:rPr>
              <w:object>
                <v:shape id="_x0000_i1025" o:spt="75" type="#_x0000_t75" style="height:34.9pt;width:172.9pt;" o:ole="t" filled="f" o:preferrelative="t" stroked="f" coordsize="21600,21600">
                  <v:path/>
                  <v:fill on="f" focussize="0,0"/>
                  <v:stroke on="f"/>
                  <v:imagedata r:id="rId12" o:title=""/>
                  <o:lock v:ext="edit" aspectratio="t"/>
                  <w10:wrap type="none"/>
                  <w10:anchorlock/>
                </v:shape>
                <o:OLEObject Type="Embed" ProgID="Equation.3" ShapeID="_x0000_i1025" DrawAspect="Content" ObjectID="_1468075725" r:id="rId11">
                  <o:LockedField>false</o:LockedField>
                </o:OLEObject>
              </w:object>
            </w:r>
          </w:p>
          <w:p w14:paraId="556BFDD0">
            <w:pPr>
              <w:pStyle w:val="11"/>
              <w:keepNext w:val="0"/>
              <w:keepLines w:val="0"/>
              <w:pageBreakBefore w:val="0"/>
              <w:widowControl w:val="0"/>
              <w:kinsoku/>
              <w:wordWrap/>
              <w:overflowPunct/>
              <w:topLinePunct w:val="0"/>
              <w:autoSpaceDE/>
              <w:autoSpaceDN/>
              <w:bidi w:val="0"/>
              <w:adjustRightInd/>
              <w:snapToGrid/>
              <w:spacing w:after="0" w:line="520" w:lineRule="exact"/>
              <w:ind w:left="0" w:leftChars="0" w:right="0" w:firstLine="480" w:firstLineChars="200"/>
              <w:jc w:val="both"/>
              <w:textAlignment w:val="auto"/>
              <w:rPr>
                <w:rFonts w:hint="default"/>
                <w:color w:val="auto"/>
                <w:sz w:val="24"/>
                <w:highlight w:val="none"/>
                <w:lang w:val="en-US" w:eastAsia="zh-CN"/>
              </w:rPr>
            </w:pPr>
            <w:r>
              <w:rPr>
                <w:rFonts w:hint="default"/>
                <w:color w:val="auto"/>
                <w:sz w:val="24"/>
                <w:highlight w:val="none"/>
                <w:lang w:val="en-US" w:eastAsia="zh-CN"/>
              </w:rPr>
              <w:t>式中：L</w:t>
            </w:r>
            <w:r>
              <w:rPr>
                <w:rFonts w:hint="default"/>
                <w:color w:val="auto"/>
                <w:sz w:val="24"/>
                <w:highlight w:val="none"/>
                <w:vertAlign w:val="subscript"/>
                <w:lang w:val="en-US" w:eastAsia="zh-CN"/>
              </w:rPr>
              <w:t>p1i</w:t>
            </w:r>
            <w:r>
              <w:rPr>
                <w:rFonts w:hint="default"/>
                <w:color w:val="auto"/>
                <w:sz w:val="24"/>
                <w:highlight w:val="none"/>
                <w:lang w:val="en-US" w:eastAsia="zh-CN"/>
              </w:rPr>
              <w:t>（T）——靠近围护结构处室内N个声源i倍频带的叠加声压级，dB；</w:t>
            </w:r>
          </w:p>
          <w:p w14:paraId="095A4E30">
            <w:pPr>
              <w:pStyle w:val="11"/>
              <w:keepNext w:val="0"/>
              <w:keepLines w:val="0"/>
              <w:pageBreakBefore w:val="0"/>
              <w:widowControl w:val="0"/>
              <w:kinsoku/>
              <w:wordWrap/>
              <w:overflowPunct/>
              <w:topLinePunct w:val="0"/>
              <w:autoSpaceDE/>
              <w:autoSpaceDN/>
              <w:bidi w:val="0"/>
              <w:adjustRightInd/>
              <w:snapToGrid/>
              <w:spacing w:after="0" w:line="520" w:lineRule="exact"/>
              <w:ind w:left="0" w:leftChars="0" w:right="0" w:firstLine="480" w:firstLineChars="200"/>
              <w:jc w:val="both"/>
              <w:textAlignment w:val="auto"/>
              <w:rPr>
                <w:rFonts w:hint="default"/>
                <w:color w:val="auto"/>
                <w:sz w:val="24"/>
                <w:highlight w:val="none"/>
                <w:lang w:val="en-US" w:eastAsia="zh-CN"/>
              </w:rPr>
            </w:pPr>
            <w:r>
              <w:rPr>
                <w:rFonts w:hint="default"/>
                <w:color w:val="auto"/>
                <w:sz w:val="24"/>
                <w:highlight w:val="none"/>
                <w:lang w:val="en-US" w:eastAsia="zh-CN"/>
              </w:rPr>
              <w:t>无指向性点声源几何发散衰减的基本公式是：</w:t>
            </w:r>
          </w:p>
          <w:p w14:paraId="4130DBF7">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color w:val="auto"/>
                <w:sz w:val="24"/>
                <w:highlight w:val="none"/>
              </w:rPr>
            </w:pPr>
            <w:r>
              <w:rPr>
                <w:rFonts w:hint="default"/>
                <w:color w:val="auto"/>
                <w:sz w:val="24"/>
                <w:highlight w:val="none"/>
              </w:rPr>
              <w:object>
                <v:shape id="_x0000_i1026" o:spt="75" type="#_x0000_t75" style="height:35.3pt;width:148.2pt;" o:ole="t" filled="f" o:preferrelative="t" stroked="f" coordsize="21600,21600">
                  <v:path/>
                  <v:fill on="f" focussize="0,0"/>
                  <v:stroke on="f"/>
                  <v:imagedata r:id="rId14" o:title=""/>
                  <o:lock v:ext="edit" aspectratio="t"/>
                  <w10:wrap type="none"/>
                  <w10:anchorlock/>
                </v:shape>
                <o:OLEObject Type="Embed" ProgID="Equation.3" ShapeID="_x0000_i1026" DrawAspect="Content" ObjectID="_1468075726" r:id="rId13">
                  <o:LockedField>false</o:LockedField>
                </o:OLEObject>
              </w:object>
            </w:r>
          </w:p>
          <w:p w14:paraId="50F65CC6">
            <w:pPr>
              <w:pStyle w:val="11"/>
              <w:keepNext w:val="0"/>
              <w:keepLines w:val="0"/>
              <w:pageBreakBefore w:val="0"/>
              <w:widowControl w:val="0"/>
              <w:kinsoku/>
              <w:wordWrap/>
              <w:overflowPunct/>
              <w:topLinePunct w:val="0"/>
              <w:autoSpaceDE/>
              <w:autoSpaceDN/>
              <w:bidi w:val="0"/>
              <w:adjustRightInd/>
              <w:snapToGrid/>
              <w:spacing w:after="0" w:line="520" w:lineRule="exact"/>
              <w:ind w:left="0" w:leftChars="0" w:right="0" w:firstLine="480" w:firstLineChars="200"/>
              <w:jc w:val="both"/>
              <w:textAlignment w:val="auto"/>
              <w:rPr>
                <w:rFonts w:hint="default"/>
                <w:color w:val="auto"/>
                <w:sz w:val="24"/>
                <w:highlight w:val="none"/>
                <w:lang w:val="en-US" w:eastAsia="zh-CN"/>
              </w:rPr>
            </w:pPr>
            <w:r>
              <w:rPr>
                <w:rFonts w:hint="default"/>
                <w:color w:val="auto"/>
                <w:sz w:val="24"/>
                <w:highlight w:val="none"/>
                <w:lang w:val="en-US" w:eastAsia="zh-CN"/>
              </w:rPr>
              <w:t>式中：L</w:t>
            </w:r>
            <w:r>
              <w:rPr>
                <w:rFonts w:hint="eastAsia"/>
                <w:color w:val="auto"/>
                <w:sz w:val="24"/>
                <w:highlight w:val="none"/>
                <w:vertAlign w:val="subscript"/>
                <w:lang w:val="en-US" w:eastAsia="zh-CN"/>
              </w:rPr>
              <w:t>p</w:t>
            </w:r>
            <w:r>
              <w:rPr>
                <w:rFonts w:hint="eastAsia"/>
                <w:color w:val="auto"/>
                <w:sz w:val="24"/>
                <w:highlight w:val="none"/>
                <w:lang w:val="en-US" w:eastAsia="zh-CN"/>
              </w:rPr>
              <w:t>（</w:t>
            </w:r>
            <w:r>
              <w:rPr>
                <w:rFonts w:hint="default"/>
                <w:color w:val="auto"/>
                <w:sz w:val="24"/>
                <w:highlight w:val="none"/>
                <w:lang w:val="en-US" w:eastAsia="zh-CN"/>
              </w:rPr>
              <w:t>r</w:t>
            </w:r>
            <w:r>
              <w:rPr>
                <w:rFonts w:hint="eastAsia"/>
                <w:color w:val="auto"/>
                <w:sz w:val="24"/>
                <w:highlight w:val="none"/>
                <w:lang w:val="en-US" w:eastAsia="zh-CN"/>
              </w:rPr>
              <w:t>）</w:t>
            </w:r>
            <w:r>
              <w:rPr>
                <w:rFonts w:hint="default"/>
                <w:color w:val="auto"/>
                <w:sz w:val="24"/>
                <w:highlight w:val="none"/>
                <w:lang w:val="en-US" w:eastAsia="zh-CN"/>
              </w:rPr>
              <w:t>——预测点处声压级，dB；</w:t>
            </w:r>
          </w:p>
          <w:p w14:paraId="325F1661">
            <w:pPr>
              <w:pStyle w:val="11"/>
              <w:keepNext w:val="0"/>
              <w:keepLines w:val="0"/>
              <w:pageBreakBefore w:val="0"/>
              <w:widowControl w:val="0"/>
              <w:kinsoku/>
              <w:wordWrap/>
              <w:overflowPunct/>
              <w:topLinePunct w:val="0"/>
              <w:autoSpaceDE/>
              <w:autoSpaceDN/>
              <w:bidi w:val="0"/>
              <w:adjustRightInd/>
              <w:snapToGrid/>
              <w:spacing w:after="0" w:line="520" w:lineRule="exact"/>
              <w:ind w:left="0" w:leftChars="0" w:right="0" w:firstLine="480" w:firstLineChars="200"/>
              <w:jc w:val="both"/>
              <w:textAlignment w:val="auto"/>
              <w:rPr>
                <w:rFonts w:hint="default"/>
                <w:color w:val="auto"/>
                <w:sz w:val="24"/>
                <w:highlight w:val="none"/>
                <w:lang w:val="en-US" w:eastAsia="zh-CN"/>
              </w:rPr>
            </w:pPr>
            <w:r>
              <w:rPr>
                <w:rFonts w:hint="default"/>
                <w:color w:val="auto"/>
                <w:sz w:val="24"/>
                <w:highlight w:val="none"/>
                <w:lang w:val="en-US" w:eastAsia="zh-CN"/>
              </w:rPr>
              <w:t>L</w:t>
            </w:r>
            <w:r>
              <w:rPr>
                <w:rFonts w:hint="eastAsia"/>
                <w:color w:val="auto"/>
                <w:sz w:val="24"/>
                <w:highlight w:val="none"/>
                <w:vertAlign w:val="subscript"/>
                <w:lang w:val="en-US" w:eastAsia="zh-CN"/>
              </w:rPr>
              <w:t>p</w:t>
            </w:r>
            <w:r>
              <w:rPr>
                <w:rFonts w:hint="eastAsia"/>
                <w:color w:val="auto"/>
                <w:sz w:val="24"/>
                <w:highlight w:val="none"/>
                <w:lang w:val="en-US" w:eastAsia="zh-CN"/>
              </w:rPr>
              <w:t>（</w:t>
            </w:r>
            <w:r>
              <w:rPr>
                <w:rFonts w:hint="default"/>
                <w:color w:val="auto"/>
                <w:sz w:val="24"/>
                <w:highlight w:val="none"/>
                <w:lang w:val="en-US" w:eastAsia="zh-CN"/>
              </w:rPr>
              <w:t>r</w:t>
            </w:r>
            <w:r>
              <w:rPr>
                <w:rFonts w:hint="default"/>
                <w:color w:val="auto"/>
                <w:sz w:val="24"/>
                <w:highlight w:val="none"/>
                <w:vertAlign w:val="subscript"/>
                <w:lang w:val="en-US" w:eastAsia="zh-CN"/>
              </w:rPr>
              <w:t>0</w:t>
            </w:r>
            <w:r>
              <w:rPr>
                <w:rFonts w:hint="eastAsia"/>
                <w:color w:val="auto"/>
                <w:sz w:val="24"/>
                <w:highlight w:val="none"/>
                <w:lang w:val="en-US" w:eastAsia="zh-CN"/>
              </w:rPr>
              <w:t>）</w:t>
            </w:r>
            <w:r>
              <w:rPr>
                <w:rFonts w:hint="default"/>
                <w:color w:val="auto"/>
                <w:sz w:val="24"/>
                <w:highlight w:val="none"/>
                <w:lang w:val="en-US" w:eastAsia="zh-CN"/>
              </w:rPr>
              <w:t>——参考位置r</w:t>
            </w:r>
            <w:r>
              <w:rPr>
                <w:rFonts w:hint="default"/>
                <w:color w:val="auto"/>
                <w:sz w:val="24"/>
                <w:highlight w:val="none"/>
                <w:vertAlign w:val="subscript"/>
                <w:lang w:val="en-US" w:eastAsia="zh-CN"/>
              </w:rPr>
              <w:t>0</w:t>
            </w:r>
            <w:r>
              <w:rPr>
                <w:rFonts w:hint="default"/>
                <w:color w:val="auto"/>
                <w:sz w:val="24"/>
                <w:highlight w:val="none"/>
                <w:lang w:val="en-US" w:eastAsia="zh-CN"/>
              </w:rPr>
              <w:t>处的声压级，dB；</w:t>
            </w:r>
          </w:p>
          <w:p w14:paraId="4ECE59E9">
            <w:pPr>
              <w:pStyle w:val="11"/>
              <w:keepNext w:val="0"/>
              <w:keepLines w:val="0"/>
              <w:pageBreakBefore w:val="0"/>
              <w:widowControl w:val="0"/>
              <w:kinsoku/>
              <w:wordWrap/>
              <w:overflowPunct/>
              <w:topLinePunct w:val="0"/>
              <w:autoSpaceDE/>
              <w:autoSpaceDN/>
              <w:bidi w:val="0"/>
              <w:adjustRightInd/>
              <w:snapToGrid/>
              <w:spacing w:after="0" w:line="520" w:lineRule="exact"/>
              <w:ind w:left="0" w:leftChars="0" w:right="0" w:firstLine="480" w:firstLineChars="200"/>
              <w:jc w:val="both"/>
              <w:textAlignment w:val="auto"/>
              <w:rPr>
                <w:rFonts w:hint="default"/>
                <w:color w:val="auto"/>
                <w:sz w:val="24"/>
                <w:highlight w:val="none"/>
                <w:lang w:val="en-US" w:eastAsia="zh-CN"/>
              </w:rPr>
            </w:pPr>
            <w:r>
              <w:rPr>
                <w:rFonts w:hint="default"/>
                <w:color w:val="auto"/>
                <w:sz w:val="24"/>
                <w:highlight w:val="none"/>
                <w:lang w:val="en-US" w:eastAsia="zh-CN"/>
              </w:rPr>
              <w:t>r——预测点距声源的距离；</w:t>
            </w:r>
          </w:p>
          <w:p w14:paraId="62A42633">
            <w:pPr>
              <w:pStyle w:val="11"/>
              <w:keepNext w:val="0"/>
              <w:keepLines w:val="0"/>
              <w:pageBreakBefore w:val="0"/>
              <w:widowControl w:val="0"/>
              <w:kinsoku/>
              <w:wordWrap/>
              <w:overflowPunct/>
              <w:topLinePunct w:val="0"/>
              <w:autoSpaceDE/>
              <w:autoSpaceDN/>
              <w:bidi w:val="0"/>
              <w:adjustRightInd/>
              <w:snapToGrid/>
              <w:spacing w:after="0" w:line="520" w:lineRule="exact"/>
              <w:ind w:left="0" w:leftChars="0" w:right="0" w:firstLine="480" w:firstLineChars="200"/>
              <w:jc w:val="both"/>
              <w:textAlignment w:val="auto"/>
              <w:rPr>
                <w:rFonts w:hint="default"/>
                <w:color w:val="auto"/>
                <w:sz w:val="24"/>
                <w:highlight w:val="none"/>
                <w:lang w:val="en-US" w:eastAsia="zh-CN"/>
              </w:rPr>
            </w:pPr>
            <w:r>
              <w:rPr>
                <w:rFonts w:hint="eastAsia"/>
                <w:color w:val="auto"/>
                <w:sz w:val="24"/>
                <w:highlight w:val="none"/>
                <w:lang w:val="en-US" w:eastAsia="zh-CN"/>
              </w:rPr>
              <w:t>r</w:t>
            </w:r>
            <w:r>
              <w:rPr>
                <w:rFonts w:hint="eastAsia"/>
                <w:color w:val="auto"/>
                <w:sz w:val="24"/>
                <w:highlight w:val="none"/>
                <w:vertAlign w:val="subscript"/>
                <w:lang w:val="en-US" w:eastAsia="zh-CN"/>
              </w:rPr>
              <w:t>0</w:t>
            </w:r>
            <w:r>
              <w:rPr>
                <w:rFonts w:hint="default"/>
                <w:color w:val="auto"/>
                <w:sz w:val="24"/>
                <w:highlight w:val="none"/>
                <w:lang w:val="en-US" w:eastAsia="zh-CN"/>
              </w:rPr>
              <w:t>——参考位置距声源的距离；</w:t>
            </w:r>
          </w:p>
          <w:p w14:paraId="39673B1E">
            <w:pPr>
              <w:pStyle w:val="11"/>
              <w:keepNext w:val="0"/>
              <w:keepLines w:val="0"/>
              <w:pageBreakBefore w:val="0"/>
              <w:widowControl w:val="0"/>
              <w:kinsoku/>
              <w:wordWrap/>
              <w:overflowPunct/>
              <w:topLinePunct w:val="0"/>
              <w:autoSpaceDE/>
              <w:autoSpaceDN/>
              <w:bidi w:val="0"/>
              <w:adjustRightInd/>
              <w:snapToGrid/>
              <w:spacing w:after="0" w:line="520" w:lineRule="exact"/>
              <w:ind w:left="0" w:leftChars="0" w:right="0" w:firstLine="480" w:firstLineChars="200"/>
              <w:jc w:val="both"/>
              <w:textAlignment w:val="auto"/>
              <w:rPr>
                <w:rFonts w:hint="default"/>
                <w:color w:val="auto"/>
                <w:sz w:val="24"/>
                <w:highlight w:val="none"/>
                <w:lang w:val="en-US" w:eastAsia="zh-CN"/>
              </w:rPr>
            </w:pPr>
            <w:r>
              <w:rPr>
                <w:rFonts w:hint="default"/>
                <w:color w:val="auto"/>
                <w:sz w:val="24"/>
                <w:highlight w:val="none"/>
                <w:lang w:val="en-US" w:eastAsia="zh-CN"/>
              </w:rPr>
              <w:t>噪声贡献值（Leqg）计算公式为：</w:t>
            </w:r>
          </w:p>
          <w:p w14:paraId="0EDA0C62">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color w:val="auto"/>
                <w:sz w:val="24"/>
                <w:highlight w:val="none"/>
                <w:lang w:val="en-US" w:eastAsia="zh-CN"/>
              </w:rPr>
            </w:pPr>
            <w:r>
              <w:rPr>
                <w:rFonts w:hint="default"/>
                <w:color w:val="auto"/>
                <w:sz w:val="24"/>
                <w:highlight w:val="none"/>
              </w:rPr>
              <w:object>
                <v:shape id="_x0000_i1027" o:spt="75" type="#_x0000_t75" style="height:32.55pt;width:155.8pt;" o:ole="t" filled="f" o:preferrelative="t" stroked="f" coordsize="21600,21600">
                  <v:path/>
                  <v:fill on="f" focussize="0,0"/>
                  <v:stroke on="f"/>
                  <v:imagedata r:id="rId16" o:title=""/>
                  <o:lock v:ext="edit" aspectratio="t"/>
                  <w10:wrap type="none"/>
                  <w10:anchorlock/>
                </v:shape>
                <o:OLEObject Type="Embed" ProgID="Equation.3" ShapeID="_x0000_i1027" DrawAspect="Content" ObjectID="_1468075727" r:id="rId15">
                  <o:LockedField>false</o:LockedField>
                </o:OLEObject>
              </w:object>
            </w:r>
          </w:p>
          <w:p w14:paraId="07E7EB05">
            <w:pPr>
              <w:pStyle w:val="11"/>
              <w:keepNext w:val="0"/>
              <w:keepLines w:val="0"/>
              <w:pageBreakBefore w:val="0"/>
              <w:widowControl w:val="0"/>
              <w:kinsoku/>
              <w:wordWrap/>
              <w:overflowPunct/>
              <w:topLinePunct w:val="0"/>
              <w:autoSpaceDE/>
              <w:autoSpaceDN/>
              <w:bidi w:val="0"/>
              <w:adjustRightInd/>
              <w:snapToGrid/>
              <w:spacing w:after="0" w:line="520" w:lineRule="exact"/>
              <w:ind w:left="0" w:leftChars="0" w:right="0" w:firstLine="480" w:firstLineChars="200"/>
              <w:jc w:val="both"/>
              <w:textAlignment w:val="auto"/>
              <w:rPr>
                <w:rFonts w:hint="default"/>
                <w:color w:val="auto"/>
                <w:sz w:val="24"/>
                <w:highlight w:val="none"/>
                <w:lang w:val="en-US" w:eastAsia="zh-CN"/>
              </w:rPr>
            </w:pPr>
            <w:r>
              <w:rPr>
                <w:rFonts w:hint="default"/>
                <w:color w:val="auto"/>
                <w:sz w:val="24"/>
                <w:highlight w:val="none"/>
                <w:lang w:val="en-US" w:eastAsia="zh-CN"/>
              </w:rPr>
              <w:t>式中：L</w:t>
            </w:r>
            <w:r>
              <w:rPr>
                <w:rFonts w:hint="default"/>
                <w:color w:val="auto"/>
                <w:sz w:val="24"/>
                <w:highlight w:val="none"/>
                <w:vertAlign w:val="subscript"/>
                <w:lang w:val="en-US" w:eastAsia="zh-CN"/>
              </w:rPr>
              <w:t>eqg</w:t>
            </w:r>
            <w:r>
              <w:rPr>
                <w:rFonts w:hint="default"/>
                <w:color w:val="auto"/>
                <w:sz w:val="24"/>
                <w:highlight w:val="none"/>
                <w:lang w:val="en-US" w:eastAsia="zh-CN"/>
              </w:rPr>
              <w:t>——噪声贡献值，dB；</w:t>
            </w:r>
          </w:p>
          <w:p w14:paraId="3EF6A68B">
            <w:pPr>
              <w:pStyle w:val="11"/>
              <w:keepNext w:val="0"/>
              <w:keepLines w:val="0"/>
              <w:pageBreakBefore w:val="0"/>
              <w:widowControl w:val="0"/>
              <w:kinsoku/>
              <w:wordWrap/>
              <w:overflowPunct/>
              <w:topLinePunct w:val="0"/>
              <w:autoSpaceDE/>
              <w:autoSpaceDN/>
              <w:bidi w:val="0"/>
              <w:adjustRightInd/>
              <w:snapToGrid/>
              <w:spacing w:after="0" w:line="520" w:lineRule="exact"/>
              <w:ind w:left="0" w:leftChars="0" w:right="0" w:firstLine="480" w:firstLineChars="200"/>
              <w:jc w:val="both"/>
              <w:textAlignment w:val="auto"/>
              <w:rPr>
                <w:rFonts w:hint="default"/>
                <w:color w:val="auto"/>
                <w:sz w:val="24"/>
                <w:highlight w:val="none"/>
                <w:lang w:val="en-US" w:eastAsia="zh-CN"/>
              </w:rPr>
            </w:pPr>
            <w:r>
              <w:rPr>
                <w:rFonts w:hint="default"/>
                <w:color w:val="auto"/>
                <w:sz w:val="24"/>
                <w:highlight w:val="none"/>
                <w:lang w:val="en-US" w:eastAsia="zh-CN"/>
              </w:rPr>
              <w:t>T——预测计算的时间段，s；</w:t>
            </w:r>
          </w:p>
          <w:p w14:paraId="1A7B97CF">
            <w:pPr>
              <w:pStyle w:val="11"/>
              <w:keepNext w:val="0"/>
              <w:keepLines w:val="0"/>
              <w:pageBreakBefore w:val="0"/>
              <w:widowControl w:val="0"/>
              <w:kinsoku/>
              <w:wordWrap/>
              <w:overflowPunct/>
              <w:topLinePunct w:val="0"/>
              <w:autoSpaceDE/>
              <w:autoSpaceDN/>
              <w:bidi w:val="0"/>
              <w:adjustRightInd/>
              <w:snapToGrid/>
              <w:spacing w:after="0" w:line="520" w:lineRule="exact"/>
              <w:ind w:left="0" w:leftChars="0" w:right="0" w:firstLine="480" w:firstLineChars="200"/>
              <w:jc w:val="both"/>
              <w:textAlignment w:val="auto"/>
              <w:rPr>
                <w:rFonts w:hint="default"/>
                <w:color w:val="auto"/>
                <w:sz w:val="24"/>
                <w:highlight w:val="none"/>
                <w:lang w:val="en-US" w:eastAsia="zh-CN"/>
              </w:rPr>
            </w:pPr>
            <w:r>
              <w:rPr>
                <w:rFonts w:hint="default"/>
                <w:color w:val="auto"/>
                <w:sz w:val="24"/>
                <w:highlight w:val="none"/>
                <w:lang w:val="en-US" w:eastAsia="zh-CN"/>
              </w:rPr>
              <w:t>t</w:t>
            </w:r>
            <w:r>
              <w:rPr>
                <w:rFonts w:hint="default"/>
                <w:color w:val="auto"/>
                <w:sz w:val="24"/>
                <w:highlight w:val="none"/>
                <w:vertAlign w:val="subscript"/>
                <w:lang w:val="en-US" w:eastAsia="zh-CN"/>
              </w:rPr>
              <w:t>i</w:t>
            </w:r>
            <w:r>
              <w:rPr>
                <w:rFonts w:hint="default"/>
                <w:color w:val="auto"/>
                <w:sz w:val="24"/>
                <w:highlight w:val="none"/>
                <w:lang w:val="en-US" w:eastAsia="zh-CN"/>
              </w:rPr>
              <w:t>——i声源在T时段内的运行时间，s；</w:t>
            </w:r>
          </w:p>
          <w:p w14:paraId="74A1BBEB">
            <w:pPr>
              <w:pStyle w:val="11"/>
              <w:keepNext w:val="0"/>
              <w:keepLines w:val="0"/>
              <w:pageBreakBefore w:val="0"/>
              <w:widowControl w:val="0"/>
              <w:kinsoku/>
              <w:wordWrap/>
              <w:overflowPunct/>
              <w:topLinePunct w:val="0"/>
              <w:autoSpaceDE/>
              <w:autoSpaceDN/>
              <w:bidi w:val="0"/>
              <w:adjustRightInd/>
              <w:snapToGrid/>
              <w:spacing w:after="0" w:line="520" w:lineRule="exact"/>
              <w:ind w:left="0" w:leftChars="0" w:right="0" w:firstLine="480" w:firstLineChars="200"/>
              <w:jc w:val="both"/>
              <w:textAlignment w:val="auto"/>
              <w:rPr>
                <w:rFonts w:hint="default"/>
                <w:color w:val="auto"/>
                <w:sz w:val="24"/>
                <w:highlight w:val="none"/>
                <w:lang w:val="en-US" w:eastAsia="zh-CN"/>
              </w:rPr>
            </w:pPr>
            <w:r>
              <w:rPr>
                <w:rFonts w:hint="default"/>
                <w:color w:val="auto"/>
                <w:sz w:val="24"/>
                <w:highlight w:val="none"/>
                <w:lang w:val="en-US" w:eastAsia="zh-CN"/>
              </w:rPr>
              <w:t>L</w:t>
            </w:r>
            <w:r>
              <w:rPr>
                <w:rFonts w:hint="default"/>
                <w:color w:val="auto"/>
                <w:sz w:val="24"/>
                <w:highlight w:val="none"/>
                <w:vertAlign w:val="subscript"/>
                <w:lang w:val="en-US" w:eastAsia="zh-CN"/>
              </w:rPr>
              <w:t>Ai</w:t>
            </w:r>
            <w:r>
              <w:rPr>
                <w:rFonts w:hint="default"/>
                <w:color w:val="auto"/>
                <w:sz w:val="24"/>
                <w:highlight w:val="none"/>
                <w:lang w:val="en-US" w:eastAsia="zh-CN"/>
              </w:rPr>
              <w:t>——i声源在预测点产生的等效连续A声级，dB。</w:t>
            </w:r>
          </w:p>
          <w:p w14:paraId="3D191C82">
            <w:pPr>
              <w:pStyle w:val="12"/>
              <w:keepNext w:val="0"/>
              <w:keepLines w:val="0"/>
              <w:pageBreakBefore w:val="0"/>
              <w:widowControl w:val="0"/>
              <w:kinsoku/>
              <w:wordWrap/>
              <w:overflowPunct/>
              <w:topLinePunct w:val="0"/>
              <w:autoSpaceDE/>
              <w:autoSpaceDN/>
              <w:bidi w:val="0"/>
              <w:adjustRightInd/>
              <w:snapToGrid/>
              <w:spacing w:after="0" w:line="520" w:lineRule="exact"/>
              <w:ind w:left="0" w:lef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 xml:space="preserve">表4-9    </w:t>
            </w:r>
            <w:r>
              <w:rPr>
                <w:rFonts w:hint="default" w:ascii="Times New Roman" w:hAnsi="Times New Roman" w:eastAsia="宋体" w:cs="Times New Roman"/>
                <w:b/>
                <w:bCs/>
                <w:color w:val="auto"/>
                <w:sz w:val="21"/>
                <w:szCs w:val="21"/>
                <w:highlight w:val="none"/>
              </w:rPr>
              <w:t>工业企业噪声源强调查清单（室内声源）</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89"/>
              <w:gridCol w:w="391"/>
              <w:gridCol w:w="545"/>
              <w:gridCol w:w="393"/>
              <w:gridCol w:w="378"/>
              <w:gridCol w:w="319"/>
              <w:gridCol w:w="232"/>
              <w:gridCol w:w="404"/>
              <w:gridCol w:w="404"/>
              <w:gridCol w:w="404"/>
              <w:gridCol w:w="315"/>
              <w:gridCol w:w="317"/>
              <w:gridCol w:w="317"/>
              <w:gridCol w:w="317"/>
              <w:gridCol w:w="317"/>
              <w:gridCol w:w="317"/>
              <w:gridCol w:w="317"/>
              <w:gridCol w:w="317"/>
              <w:gridCol w:w="317"/>
              <w:gridCol w:w="315"/>
              <w:gridCol w:w="315"/>
              <w:gridCol w:w="315"/>
              <w:gridCol w:w="315"/>
              <w:gridCol w:w="198"/>
            </w:tblGrid>
            <w:tr w14:paraId="6A2AA5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8" w:type="pct"/>
                  <w:vMerge w:val="restart"/>
                  <w:noWrap w:val="0"/>
                  <w:vAlign w:val="center"/>
                </w:tcPr>
                <w:p w14:paraId="42088A22">
                  <w:pPr>
                    <w:jc w:val="center"/>
                    <w:rPr>
                      <w:rFonts w:hint="default" w:ascii="Times New Roman" w:hAnsi="Times New Roman" w:cs="Times New Roman"/>
                      <w:color w:val="auto"/>
                      <w:szCs w:val="21"/>
                      <w:highlight w:val="none"/>
                    </w:rPr>
                  </w:pPr>
                  <w:bookmarkStart w:id="1" w:name="PT_6"/>
                  <w:r>
                    <w:rPr>
                      <w:rFonts w:hint="default" w:ascii="Times New Roman" w:hAnsi="Times New Roman" w:cs="Times New Roman"/>
                      <w:b/>
                      <w:color w:val="auto"/>
                      <w:szCs w:val="21"/>
                      <w:highlight w:val="none"/>
                    </w:rPr>
                    <w:t>序号</w:t>
                  </w:r>
                </w:p>
              </w:tc>
              <w:tc>
                <w:tcPr>
                  <w:tcW w:w="239" w:type="pct"/>
                  <w:vMerge w:val="restart"/>
                  <w:noWrap w:val="0"/>
                  <w:vAlign w:val="center"/>
                </w:tcPr>
                <w:p w14:paraId="771F425A">
                  <w:pPr>
                    <w:jc w:val="center"/>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rPr>
                    <w:t>声源名称</w:t>
                  </w:r>
                </w:p>
              </w:tc>
              <w:tc>
                <w:tcPr>
                  <w:tcW w:w="333" w:type="pct"/>
                  <w:noWrap w:val="0"/>
                  <w:vAlign w:val="center"/>
                </w:tcPr>
                <w:p w14:paraId="263E1051">
                  <w:pPr>
                    <w:jc w:val="center"/>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rPr>
                    <w:t>声</w:t>
                  </w:r>
                  <w:r>
                    <w:rPr>
                      <w:rFonts w:hint="eastAsia" w:ascii="Times New Roman" w:hAnsi="Times New Roman" w:cs="Times New Roman"/>
                      <w:b/>
                      <w:color w:val="auto"/>
                      <w:szCs w:val="21"/>
                      <w:highlight w:val="none"/>
                      <w:lang w:eastAsia="zh-CN"/>
                    </w:rPr>
                    <w:t>源源</w:t>
                  </w:r>
                  <w:r>
                    <w:rPr>
                      <w:rFonts w:hint="default" w:ascii="Times New Roman" w:hAnsi="Times New Roman" w:cs="Times New Roman"/>
                      <w:b/>
                      <w:color w:val="auto"/>
                      <w:szCs w:val="21"/>
                      <w:highlight w:val="none"/>
                    </w:rPr>
                    <w:t>强</w:t>
                  </w:r>
                </w:p>
              </w:tc>
              <w:tc>
                <w:tcPr>
                  <w:tcW w:w="240" w:type="pct"/>
                  <w:vMerge w:val="restart"/>
                  <w:noWrap w:val="0"/>
                  <w:vAlign w:val="center"/>
                </w:tcPr>
                <w:p w14:paraId="5495AAF6">
                  <w:pPr>
                    <w:jc w:val="center"/>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rPr>
                    <w:t>声源控制措施</w:t>
                  </w:r>
                </w:p>
              </w:tc>
              <w:tc>
                <w:tcPr>
                  <w:tcW w:w="567" w:type="pct"/>
                  <w:gridSpan w:val="3"/>
                  <w:noWrap w:val="0"/>
                  <w:vAlign w:val="center"/>
                </w:tcPr>
                <w:p w14:paraId="247B6FC5">
                  <w:pPr>
                    <w:jc w:val="center"/>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rPr>
                    <w:t>空间相对位置/m</w:t>
                  </w:r>
                </w:p>
              </w:tc>
              <w:tc>
                <w:tcPr>
                  <w:tcW w:w="934" w:type="pct"/>
                  <w:gridSpan w:val="4"/>
                  <w:noWrap w:val="0"/>
                  <w:vAlign w:val="center"/>
                </w:tcPr>
                <w:p w14:paraId="7A345A89">
                  <w:pPr>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距室内边界距离/m</w:t>
                  </w:r>
                </w:p>
              </w:tc>
              <w:tc>
                <w:tcPr>
                  <w:tcW w:w="776" w:type="pct"/>
                  <w:gridSpan w:val="4"/>
                  <w:noWrap w:val="0"/>
                  <w:vAlign w:val="center"/>
                </w:tcPr>
                <w:p w14:paraId="53699AAC">
                  <w:pPr>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室内边界声级/dB(A)</w:t>
                  </w:r>
                </w:p>
              </w:tc>
              <w:tc>
                <w:tcPr>
                  <w:tcW w:w="776" w:type="pct"/>
                  <w:gridSpan w:val="4"/>
                  <w:noWrap w:val="0"/>
                  <w:vAlign w:val="center"/>
                </w:tcPr>
                <w:p w14:paraId="5BFAE5DD">
                  <w:pPr>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建筑物插入损失/dB(A)</w:t>
                  </w:r>
                  <w:bookmarkStart w:id="2" w:name="PT_10"/>
                  <w:bookmarkEnd w:id="2"/>
                </w:p>
              </w:tc>
              <w:tc>
                <w:tcPr>
                  <w:tcW w:w="892" w:type="pct"/>
                  <w:gridSpan w:val="5"/>
                  <w:noWrap w:val="0"/>
                  <w:vAlign w:val="center"/>
                </w:tcPr>
                <w:p w14:paraId="745A04FD">
                  <w:pPr>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建筑物外噪声声压级/dB(A)</w:t>
                  </w:r>
                </w:p>
              </w:tc>
            </w:tr>
            <w:tr w14:paraId="20AC80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8" w:type="pct"/>
                  <w:vMerge w:val="continue"/>
                  <w:tcBorders>
                    <w:bottom w:val="single" w:color="auto" w:sz="12" w:space="0"/>
                  </w:tcBorders>
                  <w:noWrap w:val="0"/>
                  <w:tcMar>
                    <w:top w:w="0" w:type="dxa"/>
                    <w:left w:w="0" w:type="dxa"/>
                    <w:bottom w:w="0" w:type="dxa"/>
                    <w:right w:w="0" w:type="dxa"/>
                  </w:tcMar>
                  <w:vAlign w:val="center"/>
                </w:tcPr>
                <w:p w14:paraId="2F6C9121">
                  <w:pPr>
                    <w:jc w:val="center"/>
                    <w:rPr>
                      <w:rFonts w:hint="default" w:ascii="Times New Roman" w:hAnsi="Times New Roman" w:cs="Times New Roman"/>
                      <w:color w:val="auto"/>
                      <w:szCs w:val="21"/>
                      <w:highlight w:val="none"/>
                    </w:rPr>
                  </w:pPr>
                </w:p>
              </w:tc>
              <w:tc>
                <w:tcPr>
                  <w:tcW w:w="239" w:type="pct"/>
                  <w:vMerge w:val="continue"/>
                  <w:tcBorders>
                    <w:bottom w:val="single" w:color="auto" w:sz="12" w:space="0"/>
                  </w:tcBorders>
                  <w:noWrap w:val="0"/>
                  <w:tcMar>
                    <w:top w:w="0" w:type="dxa"/>
                    <w:left w:w="0" w:type="dxa"/>
                    <w:bottom w:w="0" w:type="dxa"/>
                    <w:right w:w="0" w:type="dxa"/>
                  </w:tcMar>
                  <w:vAlign w:val="center"/>
                </w:tcPr>
                <w:p w14:paraId="4256F8B4">
                  <w:pPr>
                    <w:jc w:val="center"/>
                    <w:rPr>
                      <w:rFonts w:hint="default" w:ascii="Times New Roman" w:hAnsi="Times New Roman" w:cs="Times New Roman"/>
                      <w:color w:val="auto"/>
                      <w:szCs w:val="21"/>
                      <w:highlight w:val="none"/>
                    </w:rPr>
                  </w:pPr>
                </w:p>
              </w:tc>
              <w:tc>
                <w:tcPr>
                  <w:tcW w:w="333" w:type="pct"/>
                  <w:tcBorders>
                    <w:bottom w:val="single" w:color="auto" w:sz="12" w:space="0"/>
                  </w:tcBorders>
                  <w:noWrap w:val="0"/>
                  <w:tcMar>
                    <w:top w:w="0" w:type="dxa"/>
                    <w:left w:w="0" w:type="dxa"/>
                    <w:bottom w:w="0" w:type="dxa"/>
                    <w:right w:w="0" w:type="dxa"/>
                  </w:tcMar>
                  <w:vAlign w:val="center"/>
                </w:tcPr>
                <w:p w14:paraId="3DC15303">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声功率级/dB(A)</w:t>
                  </w:r>
                </w:p>
              </w:tc>
              <w:tc>
                <w:tcPr>
                  <w:tcW w:w="240" w:type="pct"/>
                  <w:vMerge w:val="continue"/>
                  <w:tcBorders>
                    <w:bottom w:val="single" w:color="auto" w:sz="12" w:space="0"/>
                  </w:tcBorders>
                  <w:noWrap w:val="0"/>
                  <w:tcMar>
                    <w:top w:w="0" w:type="dxa"/>
                    <w:left w:w="0" w:type="dxa"/>
                    <w:bottom w:w="0" w:type="dxa"/>
                    <w:right w:w="0" w:type="dxa"/>
                  </w:tcMar>
                  <w:vAlign w:val="center"/>
                </w:tcPr>
                <w:p w14:paraId="4A6FEA6D">
                  <w:pPr>
                    <w:jc w:val="center"/>
                    <w:rPr>
                      <w:rFonts w:hint="default" w:ascii="Times New Roman" w:hAnsi="Times New Roman" w:cs="Times New Roman"/>
                      <w:color w:val="auto"/>
                      <w:szCs w:val="21"/>
                      <w:highlight w:val="none"/>
                    </w:rPr>
                  </w:pPr>
                </w:p>
              </w:tc>
              <w:tc>
                <w:tcPr>
                  <w:tcW w:w="231" w:type="pct"/>
                  <w:tcBorders>
                    <w:bottom w:val="single" w:color="auto" w:sz="12" w:space="0"/>
                  </w:tcBorders>
                  <w:noWrap w:val="0"/>
                  <w:tcMar>
                    <w:top w:w="0" w:type="dxa"/>
                    <w:left w:w="0" w:type="dxa"/>
                    <w:bottom w:w="0" w:type="dxa"/>
                    <w:right w:w="0" w:type="dxa"/>
                  </w:tcMar>
                  <w:vAlign w:val="center"/>
                </w:tcPr>
                <w:p w14:paraId="50625962">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X</w:t>
                  </w:r>
                </w:p>
              </w:tc>
              <w:tc>
                <w:tcPr>
                  <w:tcW w:w="195" w:type="pct"/>
                  <w:tcBorders>
                    <w:bottom w:val="single" w:color="auto" w:sz="12" w:space="0"/>
                  </w:tcBorders>
                  <w:noWrap w:val="0"/>
                  <w:tcMar>
                    <w:top w:w="0" w:type="dxa"/>
                    <w:left w:w="0" w:type="dxa"/>
                    <w:bottom w:w="0" w:type="dxa"/>
                    <w:right w:w="0" w:type="dxa"/>
                  </w:tcMar>
                  <w:vAlign w:val="center"/>
                </w:tcPr>
                <w:p w14:paraId="4028BEBA">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Y</w:t>
                  </w:r>
                </w:p>
              </w:tc>
              <w:tc>
                <w:tcPr>
                  <w:tcW w:w="140" w:type="pct"/>
                  <w:tcBorders>
                    <w:bottom w:val="single" w:color="auto" w:sz="12" w:space="0"/>
                  </w:tcBorders>
                  <w:noWrap w:val="0"/>
                  <w:tcMar>
                    <w:top w:w="0" w:type="dxa"/>
                    <w:left w:w="0" w:type="dxa"/>
                    <w:bottom w:w="0" w:type="dxa"/>
                    <w:right w:w="0" w:type="dxa"/>
                  </w:tcMar>
                  <w:vAlign w:val="center"/>
                </w:tcPr>
                <w:p w14:paraId="1DC334A4">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Z</w:t>
                  </w:r>
                </w:p>
              </w:tc>
              <w:tc>
                <w:tcPr>
                  <w:tcW w:w="247" w:type="pct"/>
                  <w:tcBorders>
                    <w:bottom w:val="single" w:color="auto" w:sz="12" w:space="0"/>
                  </w:tcBorders>
                  <w:noWrap w:val="0"/>
                  <w:tcMar>
                    <w:top w:w="0" w:type="dxa"/>
                    <w:left w:w="0" w:type="dxa"/>
                    <w:bottom w:w="0" w:type="dxa"/>
                    <w:right w:w="0" w:type="dxa"/>
                  </w:tcMar>
                  <w:vAlign w:val="center"/>
                </w:tcPr>
                <w:p w14:paraId="3FE9F303">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东</w:t>
                  </w:r>
                </w:p>
              </w:tc>
              <w:tc>
                <w:tcPr>
                  <w:tcW w:w="247" w:type="pct"/>
                  <w:tcBorders>
                    <w:bottom w:val="single" w:color="auto" w:sz="12" w:space="0"/>
                  </w:tcBorders>
                  <w:noWrap w:val="0"/>
                  <w:tcMar>
                    <w:top w:w="0" w:type="dxa"/>
                    <w:left w:w="0" w:type="dxa"/>
                    <w:bottom w:w="0" w:type="dxa"/>
                    <w:right w:w="0" w:type="dxa"/>
                  </w:tcMar>
                  <w:vAlign w:val="center"/>
                </w:tcPr>
                <w:p w14:paraId="3EDE6D0B">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南</w:t>
                  </w:r>
                </w:p>
              </w:tc>
              <w:tc>
                <w:tcPr>
                  <w:tcW w:w="247" w:type="pct"/>
                  <w:tcBorders>
                    <w:bottom w:val="single" w:color="auto" w:sz="12" w:space="0"/>
                  </w:tcBorders>
                  <w:noWrap w:val="0"/>
                  <w:tcMar>
                    <w:top w:w="0" w:type="dxa"/>
                    <w:left w:w="0" w:type="dxa"/>
                    <w:bottom w:w="0" w:type="dxa"/>
                    <w:right w:w="0" w:type="dxa"/>
                  </w:tcMar>
                  <w:vAlign w:val="center"/>
                </w:tcPr>
                <w:p w14:paraId="5708BBFE">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西</w:t>
                  </w:r>
                </w:p>
              </w:tc>
              <w:tc>
                <w:tcPr>
                  <w:tcW w:w="193" w:type="pct"/>
                  <w:tcBorders>
                    <w:bottom w:val="single" w:color="auto" w:sz="12" w:space="0"/>
                  </w:tcBorders>
                  <w:noWrap w:val="0"/>
                  <w:tcMar>
                    <w:top w:w="0" w:type="dxa"/>
                    <w:left w:w="0" w:type="dxa"/>
                    <w:bottom w:w="0" w:type="dxa"/>
                    <w:right w:w="0" w:type="dxa"/>
                  </w:tcMar>
                  <w:vAlign w:val="center"/>
                </w:tcPr>
                <w:p w14:paraId="52CB5022">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北</w:t>
                  </w:r>
                </w:p>
              </w:tc>
              <w:tc>
                <w:tcPr>
                  <w:tcW w:w="194" w:type="pct"/>
                  <w:tcBorders>
                    <w:bottom w:val="single" w:color="auto" w:sz="12" w:space="0"/>
                  </w:tcBorders>
                  <w:noWrap w:val="0"/>
                  <w:tcMar>
                    <w:top w:w="0" w:type="dxa"/>
                    <w:left w:w="0" w:type="dxa"/>
                    <w:bottom w:w="0" w:type="dxa"/>
                    <w:right w:w="0" w:type="dxa"/>
                  </w:tcMar>
                  <w:vAlign w:val="center"/>
                </w:tcPr>
                <w:p w14:paraId="3F4BAD36">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东</w:t>
                  </w:r>
                </w:p>
              </w:tc>
              <w:tc>
                <w:tcPr>
                  <w:tcW w:w="194" w:type="pct"/>
                  <w:tcBorders>
                    <w:bottom w:val="single" w:color="auto" w:sz="12" w:space="0"/>
                  </w:tcBorders>
                  <w:noWrap w:val="0"/>
                  <w:tcMar>
                    <w:top w:w="0" w:type="dxa"/>
                    <w:left w:w="0" w:type="dxa"/>
                    <w:bottom w:w="0" w:type="dxa"/>
                    <w:right w:w="0" w:type="dxa"/>
                  </w:tcMar>
                  <w:vAlign w:val="center"/>
                </w:tcPr>
                <w:p w14:paraId="6CBF8A86">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南</w:t>
                  </w:r>
                </w:p>
              </w:tc>
              <w:tc>
                <w:tcPr>
                  <w:tcW w:w="194" w:type="pct"/>
                  <w:tcBorders>
                    <w:bottom w:val="single" w:color="auto" w:sz="12" w:space="0"/>
                  </w:tcBorders>
                  <w:noWrap w:val="0"/>
                  <w:tcMar>
                    <w:top w:w="0" w:type="dxa"/>
                    <w:left w:w="0" w:type="dxa"/>
                    <w:bottom w:w="0" w:type="dxa"/>
                    <w:right w:w="0" w:type="dxa"/>
                  </w:tcMar>
                  <w:vAlign w:val="center"/>
                </w:tcPr>
                <w:p w14:paraId="5900ED2D">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西</w:t>
                  </w:r>
                </w:p>
              </w:tc>
              <w:tc>
                <w:tcPr>
                  <w:tcW w:w="194" w:type="pct"/>
                  <w:tcBorders>
                    <w:bottom w:val="single" w:color="auto" w:sz="12" w:space="0"/>
                  </w:tcBorders>
                  <w:noWrap w:val="0"/>
                  <w:tcMar>
                    <w:top w:w="0" w:type="dxa"/>
                    <w:left w:w="0" w:type="dxa"/>
                    <w:bottom w:w="0" w:type="dxa"/>
                    <w:right w:w="0" w:type="dxa"/>
                  </w:tcMar>
                  <w:vAlign w:val="center"/>
                </w:tcPr>
                <w:p w14:paraId="62288ADD">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北</w:t>
                  </w:r>
                </w:p>
              </w:tc>
              <w:tc>
                <w:tcPr>
                  <w:tcW w:w="194" w:type="pct"/>
                  <w:tcBorders>
                    <w:bottom w:val="single" w:color="auto" w:sz="12" w:space="0"/>
                  </w:tcBorders>
                  <w:noWrap w:val="0"/>
                  <w:tcMar>
                    <w:top w:w="0" w:type="dxa"/>
                    <w:left w:w="0" w:type="dxa"/>
                    <w:bottom w:w="0" w:type="dxa"/>
                    <w:right w:w="0" w:type="dxa"/>
                  </w:tcMar>
                  <w:vAlign w:val="center"/>
                </w:tcPr>
                <w:p w14:paraId="3C1496AE">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东</w:t>
                  </w:r>
                </w:p>
              </w:tc>
              <w:tc>
                <w:tcPr>
                  <w:tcW w:w="194" w:type="pct"/>
                  <w:tcBorders>
                    <w:bottom w:val="single" w:color="auto" w:sz="12" w:space="0"/>
                  </w:tcBorders>
                  <w:noWrap w:val="0"/>
                  <w:tcMar>
                    <w:top w:w="0" w:type="dxa"/>
                    <w:left w:w="0" w:type="dxa"/>
                    <w:bottom w:w="0" w:type="dxa"/>
                    <w:right w:w="0" w:type="dxa"/>
                  </w:tcMar>
                  <w:vAlign w:val="center"/>
                </w:tcPr>
                <w:p w14:paraId="5EDC1D57">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南</w:t>
                  </w:r>
                </w:p>
              </w:tc>
              <w:tc>
                <w:tcPr>
                  <w:tcW w:w="194" w:type="pct"/>
                  <w:tcBorders>
                    <w:bottom w:val="single" w:color="auto" w:sz="12" w:space="0"/>
                  </w:tcBorders>
                  <w:noWrap w:val="0"/>
                  <w:tcMar>
                    <w:top w:w="0" w:type="dxa"/>
                    <w:left w:w="0" w:type="dxa"/>
                    <w:bottom w:w="0" w:type="dxa"/>
                    <w:right w:w="0" w:type="dxa"/>
                  </w:tcMar>
                  <w:vAlign w:val="center"/>
                </w:tcPr>
                <w:p w14:paraId="7F371316">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西</w:t>
                  </w:r>
                </w:p>
              </w:tc>
              <w:tc>
                <w:tcPr>
                  <w:tcW w:w="194" w:type="pct"/>
                  <w:tcBorders>
                    <w:bottom w:val="single" w:color="auto" w:sz="12" w:space="0"/>
                  </w:tcBorders>
                  <w:noWrap w:val="0"/>
                  <w:tcMar>
                    <w:top w:w="0" w:type="dxa"/>
                    <w:left w:w="0" w:type="dxa"/>
                    <w:bottom w:w="0" w:type="dxa"/>
                    <w:right w:w="0" w:type="dxa"/>
                  </w:tcMar>
                  <w:vAlign w:val="center"/>
                </w:tcPr>
                <w:p w14:paraId="1102F586">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北</w:t>
                  </w:r>
                </w:p>
              </w:tc>
              <w:tc>
                <w:tcPr>
                  <w:tcW w:w="193" w:type="pct"/>
                  <w:tcBorders>
                    <w:bottom w:val="single" w:color="auto" w:sz="12" w:space="0"/>
                  </w:tcBorders>
                  <w:noWrap w:val="0"/>
                  <w:tcMar>
                    <w:top w:w="0" w:type="dxa"/>
                    <w:left w:w="0" w:type="dxa"/>
                    <w:bottom w:w="0" w:type="dxa"/>
                    <w:right w:w="0" w:type="dxa"/>
                  </w:tcMar>
                  <w:vAlign w:val="center"/>
                </w:tcPr>
                <w:p w14:paraId="01787E62">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东</w:t>
                  </w:r>
                </w:p>
              </w:tc>
              <w:tc>
                <w:tcPr>
                  <w:tcW w:w="193" w:type="pct"/>
                  <w:tcBorders>
                    <w:bottom w:val="single" w:color="auto" w:sz="12" w:space="0"/>
                  </w:tcBorders>
                  <w:noWrap w:val="0"/>
                  <w:tcMar>
                    <w:top w:w="0" w:type="dxa"/>
                    <w:left w:w="0" w:type="dxa"/>
                    <w:bottom w:w="0" w:type="dxa"/>
                    <w:right w:w="0" w:type="dxa"/>
                  </w:tcMar>
                  <w:vAlign w:val="center"/>
                </w:tcPr>
                <w:p w14:paraId="295E594A">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南</w:t>
                  </w:r>
                </w:p>
              </w:tc>
              <w:tc>
                <w:tcPr>
                  <w:tcW w:w="193" w:type="pct"/>
                  <w:tcBorders>
                    <w:bottom w:val="single" w:color="auto" w:sz="12" w:space="0"/>
                  </w:tcBorders>
                  <w:noWrap w:val="0"/>
                  <w:tcMar>
                    <w:top w:w="0" w:type="dxa"/>
                    <w:left w:w="0" w:type="dxa"/>
                    <w:bottom w:w="0" w:type="dxa"/>
                    <w:right w:w="0" w:type="dxa"/>
                  </w:tcMar>
                  <w:vAlign w:val="center"/>
                </w:tcPr>
                <w:p w14:paraId="4C9E8289">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西</w:t>
                  </w:r>
                </w:p>
              </w:tc>
              <w:tc>
                <w:tcPr>
                  <w:tcW w:w="193" w:type="pct"/>
                  <w:tcBorders>
                    <w:bottom w:val="single" w:color="auto" w:sz="12" w:space="0"/>
                  </w:tcBorders>
                  <w:noWrap w:val="0"/>
                  <w:tcMar>
                    <w:top w:w="0" w:type="dxa"/>
                    <w:left w:w="0" w:type="dxa"/>
                    <w:bottom w:w="0" w:type="dxa"/>
                    <w:right w:w="0" w:type="dxa"/>
                  </w:tcMar>
                  <w:vAlign w:val="center"/>
                </w:tcPr>
                <w:p w14:paraId="277A96C2">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北</w:t>
                  </w:r>
                </w:p>
              </w:tc>
              <w:tc>
                <w:tcPr>
                  <w:tcW w:w="118" w:type="pct"/>
                  <w:tcBorders>
                    <w:bottom w:val="single" w:color="auto" w:sz="12" w:space="0"/>
                  </w:tcBorders>
                  <w:noWrap w:val="0"/>
                  <w:tcMar>
                    <w:top w:w="0" w:type="dxa"/>
                    <w:left w:w="0" w:type="dxa"/>
                    <w:bottom w:w="0" w:type="dxa"/>
                    <w:right w:w="0" w:type="dxa"/>
                  </w:tcMar>
                  <w:vAlign w:val="center"/>
                </w:tcPr>
                <w:p w14:paraId="72FB4D83">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建筑物外距离</w:t>
                  </w:r>
                </w:p>
              </w:tc>
            </w:tr>
            <w:tr w14:paraId="09A96B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8" w:type="pct"/>
                  <w:tcBorders>
                    <w:top w:val="single" w:color="auto" w:sz="12" w:space="0"/>
                    <w:tl2br w:val="nil"/>
                    <w:tr2bl w:val="nil"/>
                  </w:tcBorders>
                  <w:noWrap w:val="0"/>
                  <w:tcMar>
                    <w:top w:w="0" w:type="dxa"/>
                    <w:left w:w="0" w:type="dxa"/>
                    <w:bottom w:w="0" w:type="dxa"/>
                    <w:right w:w="0" w:type="dxa"/>
                  </w:tcMar>
                  <w:vAlign w:val="center"/>
                </w:tcPr>
                <w:p w14:paraId="6AD83EE3">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1</w:t>
                  </w:r>
                </w:p>
              </w:tc>
              <w:tc>
                <w:tcPr>
                  <w:tcW w:w="239" w:type="pct"/>
                  <w:tcBorders>
                    <w:top w:val="single" w:color="auto" w:sz="12" w:space="0"/>
                    <w:tl2br w:val="nil"/>
                    <w:tr2bl w:val="nil"/>
                  </w:tcBorders>
                  <w:noWrap w:val="0"/>
                  <w:tcMar>
                    <w:top w:w="0" w:type="dxa"/>
                    <w:left w:w="0" w:type="dxa"/>
                    <w:bottom w:w="0" w:type="dxa"/>
                    <w:right w:w="0" w:type="dxa"/>
                  </w:tcMar>
                  <w:vAlign w:val="center"/>
                </w:tcPr>
                <w:p w14:paraId="240F4C6D">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分级筛</w:t>
                  </w:r>
                </w:p>
              </w:tc>
              <w:tc>
                <w:tcPr>
                  <w:tcW w:w="333" w:type="pct"/>
                  <w:tcBorders>
                    <w:top w:val="single" w:color="auto" w:sz="12" w:space="0"/>
                    <w:tl2br w:val="nil"/>
                    <w:tr2bl w:val="nil"/>
                  </w:tcBorders>
                  <w:noWrap w:val="0"/>
                  <w:tcMar>
                    <w:top w:w="0" w:type="dxa"/>
                    <w:left w:w="0" w:type="dxa"/>
                    <w:bottom w:w="0" w:type="dxa"/>
                    <w:right w:w="0" w:type="dxa"/>
                  </w:tcMar>
                  <w:vAlign w:val="center"/>
                </w:tcPr>
                <w:p w14:paraId="67F30E9D">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85</w:t>
                  </w:r>
                </w:p>
              </w:tc>
              <w:tc>
                <w:tcPr>
                  <w:tcW w:w="240" w:type="pct"/>
                  <w:vMerge w:val="restart"/>
                  <w:tcBorders>
                    <w:top w:val="single" w:color="auto" w:sz="12" w:space="0"/>
                    <w:tl2br w:val="nil"/>
                    <w:tr2bl w:val="nil"/>
                  </w:tcBorders>
                  <w:noWrap w:val="0"/>
                  <w:tcMar>
                    <w:top w:w="0" w:type="dxa"/>
                    <w:left w:w="0" w:type="dxa"/>
                    <w:bottom w:w="0" w:type="dxa"/>
                    <w:right w:w="0" w:type="dxa"/>
                  </w:tcMar>
                  <w:vAlign w:val="center"/>
                </w:tcPr>
                <w:p w14:paraId="779DED6C">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密闭、减振</w:t>
                  </w:r>
                </w:p>
              </w:tc>
              <w:tc>
                <w:tcPr>
                  <w:tcW w:w="231" w:type="pct"/>
                  <w:tcBorders>
                    <w:top w:val="single" w:color="auto" w:sz="12" w:space="0"/>
                    <w:tl2br w:val="nil"/>
                    <w:tr2bl w:val="nil"/>
                  </w:tcBorders>
                  <w:noWrap w:val="0"/>
                  <w:tcMar>
                    <w:top w:w="0" w:type="dxa"/>
                    <w:left w:w="0" w:type="dxa"/>
                    <w:bottom w:w="0" w:type="dxa"/>
                    <w:right w:w="0" w:type="dxa"/>
                  </w:tcMar>
                  <w:vAlign w:val="center"/>
                </w:tcPr>
                <w:p w14:paraId="6E16ABCE">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-64.9</w:t>
                  </w:r>
                </w:p>
              </w:tc>
              <w:tc>
                <w:tcPr>
                  <w:tcW w:w="195" w:type="pct"/>
                  <w:tcBorders>
                    <w:top w:val="single" w:color="auto" w:sz="12" w:space="0"/>
                    <w:tl2br w:val="nil"/>
                    <w:tr2bl w:val="nil"/>
                  </w:tcBorders>
                  <w:noWrap w:val="0"/>
                  <w:tcMar>
                    <w:top w:w="0" w:type="dxa"/>
                    <w:left w:w="0" w:type="dxa"/>
                    <w:bottom w:w="0" w:type="dxa"/>
                    <w:right w:w="0" w:type="dxa"/>
                  </w:tcMar>
                  <w:vAlign w:val="center"/>
                </w:tcPr>
                <w:p w14:paraId="7C1D55A3">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68.8</w:t>
                  </w:r>
                </w:p>
              </w:tc>
              <w:tc>
                <w:tcPr>
                  <w:tcW w:w="140" w:type="pct"/>
                  <w:tcBorders>
                    <w:top w:val="single" w:color="auto" w:sz="12" w:space="0"/>
                    <w:tl2br w:val="nil"/>
                    <w:tr2bl w:val="nil"/>
                  </w:tcBorders>
                  <w:noWrap w:val="0"/>
                  <w:tcMar>
                    <w:top w:w="0" w:type="dxa"/>
                    <w:left w:w="0" w:type="dxa"/>
                    <w:bottom w:w="0" w:type="dxa"/>
                    <w:right w:w="0" w:type="dxa"/>
                  </w:tcMar>
                  <w:vAlign w:val="center"/>
                </w:tcPr>
                <w:p w14:paraId="2892B824">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1.2</w:t>
                  </w:r>
                </w:p>
              </w:tc>
              <w:tc>
                <w:tcPr>
                  <w:tcW w:w="247" w:type="pct"/>
                  <w:tcBorders>
                    <w:top w:val="single" w:color="auto" w:sz="12" w:space="0"/>
                    <w:tl2br w:val="nil"/>
                    <w:tr2bl w:val="nil"/>
                  </w:tcBorders>
                  <w:noWrap w:val="0"/>
                  <w:tcMar>
                    <w:top w:w="0" w:type="dxa"/>
                    <w:left w:w="0" w:type="dxa"/>
                    <w:bottom w:w="0" w:type="dxa"/>
                    <w:right w:w="0" w:type="dxa"/>
                  </w:tcMar>
                  <w:vAlign w:val="center"/>
                </w:tcPr>
                <w:p w14:paraId="781899DC">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138.4</w:t>
                  </w:r>
                </w:p>
              </w:tc>
              <w:tc>
                <w:tcPr>
                  <w:tcW w:w="247" w:type="pct"/>
                  <w:tcBorders>
                    <w:top w:val="single" w:color="auto" w:sz="12" w:space="0"/>
                    <w:tl2br w:val="nil"/>
                    <w:tr2bl w:val="nil"/>
                  </w:tcBorders>
                  <w:noWrap w:val="0"/>
                  <w:tcMar>
                    <w:top w:w="0" w:type="dxa"/>
                    <w:left w:w="0" w:type="dxa"/>
                    <w:bottom w:w="0" w:type="dxa"/>
                    <w:right w:w="0" w:type="dxa"/>
                  </w:tcMar>
                  <w:vAlign w:val="center"/>
                </w:tcPr>
                <w:p w14:paraId="3B8DE35F">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146.3</w:t>
                  </w:r>
                </w:p>
              </w:tc>
              <w:tc>
                <w:tcPr>
                  <w:tcW w:w="247" w:type="pct"/>
                  <w:tcBorders>
                    <w:top w:val="single" w:color="auto" w:sz="12" w:space="0"/>
                    <w:tl2br w:val="nil"/>
                    <w:tr2bl w:val="nil"/>
                  </w:tcBorders>
                  <w:noWrap w:val="0"/>
                  <w:tcMar>
                    <w:top w:w="0" w:type="dxa"/>
                    <w:left w:w="0" w:type="dxa"/>
                    <w:bottom w:w="0" w:type="dxa"/>
                    <w:right w:w="0" w:type="dxa"/>
                  </w:tcMar>
                  <w:vAlign w:val="center"/>
                </w:tcPr>
                <w:p w14:paraId="7FAE8048">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12.6</w:t>
                  </w:r>
                </w:p>
              </w:tc>
              <w:tc>
                <w:tcPr>
                  <w:tcW w:w="193" w:type="pct"/>
                  <w:tcBorders>
                    <w:top w:val="single" w:color="auto" w:sz="12" w:space="0"/>
                    <w:tl2br w:val="nil"/>
                    <w:tr2bl w:val="nil"/>
                  </w:tcBorders>
                  <w:noWrap w:val="0"/>
                  <w:tcMar>
                    <w:top w:w="0" w:type="dxa"/>
                    <w:left w:w="0" w:type="dxa"/>
                    <w:bottom w:w="0" w:type="dxa"/>
                    <w:right w:w="0" w:type="dxa"/>
                  </w:tcMar>
                  <w:vAlign w:val="center"/>
                </w:tcPr>
                <w:p w14:paraId="2E729815">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9.0</w:t>
                  </w:r>
                </w:p>
              </w:tc>
              <w:tc>
                <w:tcPr>
                  <w:tcW w:w="194" w:type="pct"/>
                  <w:tcBorders>
                    <w:top w:val="single" w:color="auto" w:sz="12" w:space="0"/>
                    <w:tl2br w:val="nil"/>
                    <w:tr2bl w:val="nil"/>
                  </w:tcBorders>
                  <w:noWrap w:val="0"/>
                  <w:tcMar>
                    <w:top w:w="0" w:type="dxa"/>
                    <w:left w:w="0" w:type="dxa"/>
                    <w:bottom w:w="0" w:type="dxa"/>
                    <w:right w:w="0" w:type="dxa"/>
                  </w:tcMar>
                  <w:vAlign w:val="center"/>
                </w:tcPr>
                <w:p w14:paraId="19F0FC49">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64.4</w:t>
                  </w:r>
                </w:p>
              </w:tc>
              <w:tc>
                <w:tcPr>
                  <w:tcW w:w="194" w:type="pct"/>
                  <w:tcBorders>
                    <w:top w:val="single" w:color="auto" w:sz="12" w:space="0"/>
                    <w:tl2br w:val="nil"/>
                    <w:tr2bl w:val="nil"/>
                  </w:tcBorders>
                  <w:noWrap w:val="0"/>
                  <w:tcMar>
                    <w:top w:w="0" w:type="dxa"/>
                    <w:left w:w="0" w:type="dxa"/>
                    <w:bottom w:w="0" w:type="dxa"/>
                    <w:right w:w="0" w:type="dxa"/>
                  </w:tcMar>
                  <w:vAlign w:val="center"/>
                </w:tcPr>
                <w:p w14:paraId="7BB81535">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64.4</w:t>
                  </w:r>
                </w:p>
              </w:tc>
              <w:tc>
                <w:tcPr>
                  <w:tcW w:w="194" w:type="pct"/>
                  <w:tcBorders>
                    <w:top w:val="single" w:color="auto" w:sz="12" w:space="0"/>
                    <w:tl2br w:val="nil"/>
                    <w:tr2bl w:val="nil"/>
                  </w:tcBorders>
                  <w:noWrap w:val="0"/>
                  <w:tcMar>
                    <w:top w:w="0" w:type="dxa"/>
                    <w:left w:w="0" w:type="dxa"/>
                    <w:bottom w:w="0" w:type="dxa"/>
                    <w:right w:w="0" w:type="dxa"/>
                  </w:tcMar>
                  <w:vAlign w:val="center"/>
                </w:tcPr>
                <w:p w14:paraId="3EE7184E">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64.6</w:t>
                  </w:r>
                </w:p>
              </w:tc>
              <w:tc>
                <w:tcPr>
                  <w:tcW w:w="194" w:type="pct"/>
                  <w:tcBorders>
                    <w:top w:val="single" w:color="auto" w:sz="12" w:space="0"/>
                    <w:tl2br w:val="nil"/>
                    <w:tr2bl w:val="nil"/>
                  </w:tcBorders>
                  <w:noWrap w:val="0"/>
                  <w:tcMar>
                    <w:top w:w="0" w:type="dxa"/>
                    <w:left w:w="0" w:type="dxa"/>
                    <w:bottom w:w="0" w:type="dxa"/>
                    <w:right w:w="0" w:type="dxa"/>
                  </w:tcMar>
                  <w:vAlign w:val="center"/>
                </w:tcPr>
                <w:p w14:paraId="48A5CD7D">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64.8</w:t>
                  </w:r>
                </w:p>
              </w:tc>
              <w:tc>
                <w:tcPr>
                  <w:tcW w:w="194" w:type="pct"/>
                  <w:tcBorders>
                    <w:top w:val="single" w:color="auto" w:sz="12" w:space="0"/>
                    <w:tl2br w:val="nil"/>
                    <w:tr2bl w:val="nil"/>
                  </w:tcBorders>
                  <w:noWrap w:val="0"/>
                  <w:tcMar>
                    <w:top w:w="0" w:type="dxa"/>
                    <w:left w:w="0" w:type="dxa"/>
                    <w:bottom w:w="0" w:type="dxa"/>
                    <w:right w:w="0" w:type="dxa"/>
                  </w:tcMar>
                  <w:vAlign w:val="center"/>
                </w:tcPr>
                <w:p w14:paraId="5E2F6B84">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26.0</w:t>
                  </w:r>
                </w:p>
              </w:tc>
              <w:tc>
                <w:tcPr>
                  <w:tcW w:w="194" w:type="pct"/>
                  <w:tcBorders>
                    <w:top w:val="single" w:color="auto" w:sz="12" w:space="0"/>
                    <w:tl2br w:val="nil"/>
                    <w:tr2bl w:val="nil"/>
                  </w:tcBorders>
                  <w:noWrap w:val="0"/>
                  <w:tcMar>
                    <w:top w:w="0" w:type="dxa"/>
                    <w:left w:w="0" w:type="dxa"/>
                    <w:bottom w:w="0" w:type="dxa"/>
                    <w:right w:w="0" w:type="dxa"/>
                  </w:tcMar>
                  <w:vAlign w:val="center"/>
                </w:tcPr>
                <w:p w14:paraId="5531EB2E">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26.0</w:t>
                  </w:r>
                </w:p>
              </w:tc>
              <w:tc>
                <w:tcPr>
                  <w:tcW w:w="194" w:type="pct"/>
                  <w:tcBorders>
                    <w:top w:val="single" w:color="auto" w:sz="12" w:space="0"/>
                    <w:tl2br w:val="nil"/>
                    <w:tr2bl w:val="nil"/>
                  </w:tcBorders>
                  <w:noWrap w:val="0"/>
                  <w:tcMar>
                    <w:top w:w="0" w:type="dxa"/>
                    <w:left w:w="0" w:type="dxa"/>
                    <w:bottom w:w="0" w:type="dxa"/>
                    <w:right w:w="0" w:type="dxa"/>
                  </w:tcMar>
                  <w:vAlign w:val="center"/>
                </w:tcPr>
                <w:p w14:paraId="6AA10D17">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26.0</w:t>
                  </w:r>
                </w:p>
              </w:tc>
              <w:tc>
                <w:tcPr>
                  <w:tcW w:w="194" w:type="pct"/>
                  <w:tcBorders>
                    <w:top w:val="single" w:color="auto" w:sz="12" w:space="0"/>
                    <w:tl2br w:val="nil"/>
                    <w:tr2bl w:val="nil"/>
                  </w:tcBorders>
                  <w:noWrap w:val="0"/>
                  <w:tcMar>
                    <w:top w:w="0" w:type="dxa"/>
                    <w:left w:w="0" w:type="dxa"/>
                    <w:bottom w:w="0" w:type="dxa"/>
                    <w:right w:w="0" w:type="dxa"/>
                  </w:tcMar>
                  <w:vAlign w:val="center"/>
                </w:tcPr>
                <w:p w14:paraId="2FE19962">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26.0</w:t>
                  </w:r>
                </w:p>
              </w:tc>
              <w:tc>
                <w:tcPr>
                  <w:tcW w:w="193" w:type="pct"/>
                  <w:tcBorders>
                    <w:top w:val="single" w:color="auto" w:sz="12" w:space="0"/>
                    <w:tl2br w:val="nil"/>
                    <w:tr2bl w:val="nil"/>
                  </w:tcBorders>
                  <w:noWrap w:val="0"/>
                  <w:tcMar>
                    <w:top w:w="0" w:type="dxa"/>
                    <w:left w:w="0" w:type="dxa"/>
                    <w:bottom w:w="0" w:type="dxa"/>
                    <w:right w:w="0" w:type="dxa"/>
                  </w:tcMar>
                  <w:vAlign w:val="center"/>
                </w:tcPr>
                <w:p w14:paraId="7E0F1A04">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38.4</w:t>
                  </w:r>
                </w:p>
              </w:tc>
              <w:tc>
                <w:tcPr>
                  <w:tcW w:w="193" w:type="pct"/>
                  <w:tcBorders>
                    <w:top w:val="single" w:color="auto" w:sz="12" w:space="0"/>
                    <w:tl2br w:val="nil"/>
                    <w:tr2bl w:val="nil"/>
                  </w:tcBorders>
                  <w:noWrap w:val="0"/>
                  <w:tcMar>
                    <w:top w:w="0" w:type="dxa"/>
                    <w:left w:w="0" w:type="dxa"/>
                    <w:bottom w:w="0" w:type="dxa"/>
                    <w:right w:w="0" w:type="dxa"/>
                  </w:tcMar>
                  <w:vAlign w:val="center"/>
                </w:tcPr>
                <w:p w14:paraId="1A1AFE85">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38.4</w:t>
                  </w:r>
                </w:p>
              </w:tc>
              <w:tc>
                <w:tcPr>
                  <w:tcW w:w="193" w:type="pct"/>
                  <w:tcBorders>
                    <w:top w:val="single" w:color="auto" w:sz="12" w:space="0"/>
                    <w:tl2br w:val="nil"/>
                    <w:tr2bl w:val="nil"/>
                  </w:tcBorders>
                  <w:noWrap w:val="0"/>
                  <w:tcMar>
                    <w:top w:w="0" w:type="dxa"/>
                    <w:left w:w="0" w:type="dxa"/>
                    <w:bottom w:w="0" w:type="dxa"/>
                    <w:right w:w="0" w:type="dxa"/>
                  </w:tcMar>
                  <w:vAlign w:val="center"/>
                </w:tcPr>
                <w:p w14:paraId="6F6CF28A">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38.6</w:t>
                  </w:r>
                </w:p>
              </w:tc>
              <w:tc>
                <w:tcPr>
                  <w:tcW w:w="193" w:type="pct"/>
                  <w:tcBorders>
                    <w:top w:val="single" w:color="auto" w:sz="12" w:space="0"/>
                    <w:tl2br w:val="nil"/>
                    <w:tr2bl w:val="nil"/>
                  </w:tcBorders>
                  <w:noWrap w:val="0"/>
                  <w:tcMar>
                    <w:top w:w="0" w:type="dxa"/>
                    <w:left w:w="0" w:type="dxa"/>
                    <w:bottom w:w="0" w:type="dxa"/>
                    <w:right w:w="0" w:type="dxa"/>
                  </w:tcMar>
                  <w:vAlign w:val="center"/>
                </w:tcPr>
                <w:p w14:paraId="54D6068D">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38.8</w:t>
                  </w:r>
                </w:p>
              </w:tc>
              <w:tc>
                <w:tcPr>
                  <w:tcW w:w="118" w:type="pct"/>
                  <w:tcBorders>
                    <w:top w:val="single" w:color="auto" w:sz="12" w:space="0"/>
                    <w:tl2br w:val="nil"/>
                    <w:tr2bl w:val="nil"/>
                  </w:tcBorders>
                  <w:noWrap w:val="0"/>
                  <w:tcMar>
                    <w:top w:w="0" w:type="dxa"/>
                    <w:left w:w="0" w:type="dxa"/>
                    <w:bottom w:w="0" w:type="dxa"/>
                    <w:right w:w="0" w:type="dxa"/>
                  </w:tcMar>
                  <w:vAlign w:val="center"/>
                </w:tcPr>
                <w:p w14:paraId="49869880">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1</w:t>
                  </w:r>
                </w:p>
              </w:tc>
            </w:tr>
            <w:tr w14:paraId="4DDEAC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8" w:type="pct"/>
                  <w:tcBorders>
                    <w:tl2br w:val="nil"/>
                    <w:tr2bl w:val="nil"/>
                  </w:tcBorders>
                  <w:noWrap w:val="0"/>
                  <w:tcMar>
                    <w:top w:w="0" w:type="dxa"/>
                    <w:left w:w="0" w:type="dxa"/>
                    <w:bottom w:w="0" w:type="dxa"/>
                    <w:right w:w="0" w:type="dxa"/>
                  </w:tcMar>
                  <w:vAlign w:val="center"/>
                </w:tcPr>
                <w:p w14:paraId="3F67A3C9">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2</w:t>
                  </w:r>
                </w:p>
              </w:tc>
              <w:tc>
                <w:tcPr>
                  <w:tcW w:w="239" w:type="pct"/>
                  <w:tcBorders>
                    <w:tl2br w:val="nil"/>
                    <w:tr2bl w:val="nil"/>
                  </w:tcBorders>
                  <w:noWrap w:val="0"/>
                  <w:tcMar>
                    <w:top w:w="0" w:type="dxa"/>
                    <w:left w:w="0" w:type="dxa"/>
                    <w:bottom w:w="0" w:type="dxa"/>
                    <w:right w:w="0" w:type="dxa"/>
                  </w:tcMar>
                  <w:vAlign w:val="center"/>
                </w:tcPr>
                <w:p w14:paraId="5E6BE75A">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破碎机</w:t>
                  </w:r>
                </w:p>
              </w:tc>
              <w:tc>
                <w:tcPr>
                  <w:tcW w:w="333" w:type="pct"/>
                  <w:tcBorders>
                    <w:tl2br w:val="nil"/>
                    <w:tr2bl w:val="nil"/>
                  </w:tcBorders>
                  <w:noWrap w:val="0"/>
                  <w:tcMar>
                    <w:top w:w="0" w:type="dxa"/>
                    <w:left w:w="0" w:type="dxa"/>
                    <w:bottom w:w="0" w:type="dxa"/>
                    <w:right w:w="0" w:type="dxa"/>
                  </w:tcMar>
                  <w:vAlign w:val="center"/>
                </w:tcPr>
                <w:p w14:paraId="263F722F">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95</w:t>
                  </w:r>
                </w:p>
              </w:tc>
              <w:tc>
                <w:tcPr>
                  <w:tcW w:w="240" w:type="pct"/>
                  <w:vMerge w:val="continue"/>
                  <w:tcBorders>
                    <w:tl2br w:val="nil"/>
                    <w:tr2bl w:val="nil"/>
                  </w:tcBorders>
                  <w:noWrap w:val="0"/>
                  <w:tcMar>
                    <w:top w:w="0" w:type="dxa"/>
                    <w:left w:w="0" w:type="dxa"/>
                    <w:bottom w:w="0" w:type="dxa"/>
                    <w:right w:w="0" w:type="dxa"/>
                  </w:tcMar>
                  <w:vAlign w:val="center"/>
                </w:tcPr>
                <w:p w14:paraId="14B1A284">
                  <w:pPr>
                    <w:jc w:val="center"/>
                    <w:rPr>
                      <w:rFonts w:hint="default" w:ascii="Times New Roman" w:hAnsi="Times New Roman" w:cs="Times New Roman"/>
                      <w:color w:val="auto"/>
                      <w:szCs w:val="21"/>
                      <w:highlight w:val="none"/>
                    </w:rPr>
                  </w:pPr>
                </w:p>
              </w:tc>
              <w:tc>
                <w:tcPr>
                  <w:tcW w:w="231" w:type="pct"/>
                  <w:tcBorders>
                    <w:tl2br w:val="nil"/>
                    <w:tr2bl w:val="nil"/>
                  </w:tcBorders>
                  <w:noWrap w:val="0"/>
                  <w:tcMar>
                    <w:top w:w="0" w:type="dxa"/>
                    <w:left w:w="0" w:type="dxa"/>
                    <w:bottom w:w="0" w:type="dxa"/>
                    <w:right w:w="0" w:type="dxa"/>
                  </w:tcMar>
                  <w:vAlign w:val="center"/>
                </w:tcPr>
                <w:p w14:paraId="089DC0B0">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-48.3</w:t>
                  </w:r>
                </w:p>
              </w:tc>
              <w:tc>
                <w:tcPr>
                  <w:tcW w:w="195" w:type="pct"/>
                  <w:tcBorders>
                    <w:tl2br w:val="nil"/>
                    <w:tr2bl w:val="nil"/>
                  </w:tcBorders>
                  <w:noWrap w:val="0"/>
                  <w:tcMar>
                    <w:top w:w="0" w:type="dxa"/>
                    <w:left w:w="0" w:type="dxa"/>
                    <w:bottom w:w="0" w:type="dxa"/>
                    <w:right w:w="0" w:type="dxa"/>
                  </w:tcMar>
                  <w:vAlign w:val="center"/>
                </w:tcPr>
                <w:p w14:paraId="0986453C">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67.1</w:t>
                  </w:r>
                </w:p>
              </w:tc>
              <w:tc>
                <w:tcPr>
                  <w:tcW w:w="140" w:type="pct"/>
                  <w:tcBorders>
                    <w:tl2br w:val="nil"/>
                    <w:tr2bl w:val="nil"/>
                  </w:tcBorders>
                  <w:noWrap w:val="0"/>
                  <w:tcMar>
                    <w:top w:w="0" w:type="dxa"/>
                    <w:left w:w="0" w:type="dxa"/>
                    <w:bottom w:w="0" w:type="dxa"/>
                    <w:right w:w="0" w:type="dxa"/>
                  </w:tcMar>
                  <w:vAlign w:val="center"/>
                </w:tcPr>
                <w:p w14:paraId="2DA5DF6C">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1.2</w:t>
                  </w:r>
                </w:p>
              </w:tc>
              <w:tc>
                <w:tcPr>
                  <w:tcW w:w="247" w:type="pct"/>
                  <w:tcBorders>
                    <w:tl2br w:val="nil"/>
                    <w:tr2bl w:val="nil"/>
                  </w:tcBorders>
                  <w:noWrap w:val="0"/>
                  <w:tcMar>
                    <w:top w:w="0" w:type="dxa"/>
                    <w:left w:w="0" w:type="dxa"/>
                    <w:bottom w:w="0" w:type="dxa"/>
                    <w:right w:w="0" w:type="dxa"/>
                  </w:tcMar>
                  <w:vAlign w:val="center"/>
                </w:tcPr>
                <w:p w14:paraId="320A1A50">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121.9</w:t>
                  </w:r>
                </w:p>
              </w:tc>
              <w:tc>
                <w:tcPr>
                  <w:tcW w:w="247" w:type="pct"/>
                  <w:tcBorders>
                    <w:tl2br w:val="nil"/>
                    <w:tr2bl w:val="nil"/>
                  </w:tcBorders>
                  <w:noWrap w:val="0"/>
                  <w:tcMar>
                    <w:top w:w="0" w:type="dxa"/>
                    <w:left w:w="0" w:type="dxa"/>
                    <w:bottom w:w="0" w:type="dxa"/>
                    <w:right w:w="0" w:type="dxa"/>
                  </w:tcMar>
                  <w:vAlign w:val="center"/>
                </w:tcPr>
                <w:p w14:paraId="2476BCBA">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142.0</w:t>
                  </w:r>
                </w:p>
              </w:tc>
              <w:tc>
                <w:tcPr>
                  <w:tcW w:w="247" w:type="pct"/>
                  <w:tcBorders>
                    <w:tl2br w:val="nil"/>
                    <w:tr2bl w:val="nil"/>
                  </w:tcBorders>
                  <w:noWrap w:val="0"/>
                  <w:tcMar>
                    <w:top w:w="0" w:type="dxa"/>
                    <w:left w:w="0" w:type="dxa"/>
                    <w:bottom w:w="0" w:type="dxa"/>
                    <w:right w:w="0" w:type="dxa"/>
                  </w:tcMar>
                  <w:vAlign w:val="center"/>
                </w:tcPr>
                <w:p w14:paraId="240591DF">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29.1</w:t>
                  </w:r>
                </w:p>
              </w:tc>
              <w:tc>
                <w:tcPr>
                  <w:tcW w:w="193" w:type="pct"/>
                  <w:tcBorders>
                    <w:tl2br w:val="nil"/>
                    <w:tr2bl w:val="nil"/>
                  </w:tcBorders>
                  <w:noWrap w:val="0"/>
                  <w:tcMar>
                    <w:top w:w="0" w:type="dxa"/>
                    <w:left w:w="0" w:type="dxa"/>
                    <w:bottom w:w="0" w:type="dxa"/>
                    <w:right w:w="0" w:type="dxa"/>
                  </w:tcMar>
                  <w:vAlign w:val="center"/>
                </w:tcPr>
                <w:p w14:paraId="17017430">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11.6</w:t>
                  </w:r>
                </w:p>
              </w:tc>
              <w:tc>
                <w:tcPr>
                  <w:tcW w:w="194" w:type="pct"/>
                  <w:tcBorders>
                    <w:tl2br w:val="nil"/>
                    <w:tr2bl w:val="nil"/>
                  </w:tcBorders>
                  <w:noWrap w:val="0"/>
                  <w:tcMar>
                    <w:top w:w="0" w:type="dxa"/>
                    <w:left w:w="0" w:type="dxa"/>
                    <w:bottom w:w="0" w:type="dxa"/>
                    <w:right w:w="0" w:type="dxa"/>
                  </w:tcMar>
                  <w:vAlign w:val="center"/>
                </w:tcPr>
                <w:p w14:paraId="43AED605">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74.4</w:t>
                  </w:r>
                </w:p>
              </w:tc>
              <w:tc>
                <w:tcPr>
                  <w:tcW w:w="194" w:type="pct"/>
                  <w:tcBorders>
                    <w:tl2br w:val="nil"/>
                    <w:tr2bl w:val="nil"/>
                  </w:tcBorders>
                  <w:noWrap w:val="0"/>
                  <w:tcMar>
                    <w:top w:w="0" w:type="dxa"/>
                    <w:left w:w="0" w:type="dxa"/>
                    <w:bottom w:w="0" w:type="dxa"/>
                    <w:right w:w="0" w:type="dxa"/>
                  </w:tcMar>
                  <w:vAlign w:val="center"/>
                </w:tcPr>
                <w:p w14:paraId="4C0F1F37">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74.4</w:t>
                  </w:r>
                </w:p>
              </w:tc>
              <w:tc>
                <w:tcPr>
                  <w:tcW w:w="194" w:type="pct"/>
                  <w:tcBorders>
                    <w:tl2br w:val="nil"/>
                    <w:tr2bl w:val="nil"/>
                  </w:tcBorders>
                  <w:noWrap w:val="0"/>
                  <w:tcMar>
                    <w:top w:w="0" w:type="dxa"/>
                    <w:left w:w="0" w:type="dxa"/>
                    <w:bottom w:w="0" w:type="dxa"/>
                    <w:right w:w="0" w:type="dxa"/>
                  </w:tcMar>
                  <w:vAlign w:val="center"/>
                </w:tcPr>
                <w:p w14:paraId="59FD55B8">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74.4</w:t>
                  </w:r>
                </w:p>
              </w:tc>
              <w:tc>
                <w:tcPr>
                  <w:tcW w:w="194" w:type="pct"/>
                  <w:tcBorders>
                    <w:tl2br w:val="nil"/>
                    <w:tr2bl w:val="nil"/>
                  </w:tcBorders>
                  <w:noWrap w:val="0"/>
                  <w:tcMar>
                    <w:top w:w="0" w:type="dxa"/>
                    <w:left w:w="0" w:type="dxa"/>
                    <w:bottom w:w="0" w:type="dxa"/>
                    <w:right w:w="0" w:type="dxa"/>
                  </w:tcMar>
                  <w:vAlign w:val="center"/>
                </w:tcPr>
                <w:p w14:paraId="563881F7">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74.6</w:t>
                  </w:r>
                </w:p>
              </w:tc>
              <w:tc>
                <w:tcPr>
                  <w:tcW w:w="194" w:type="pct"/>
                  <w:tcBorders>
                    <w:tl2br w:val="nil"/>
                    <w:tr2bl w:val="nil"/>
                  </w:tcBorders>
                  <w:noWrap w:val="0"/>
                  <w:tcMar>
                    <w:top w:w="0" w:type="dxa"/>
                    <w:left w:w="0" w:type="dxa"/>
                    <w:bottom w:w="0" w:type="dxa"/>
                    <w:right w:w="0" w:type="dxa"/>
                  </w:tcMar>
                  <w:vAlign w:val="center"/>
                </w:tcPr>
                <w:p w14:paraId="2D8EDABA">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26.0</w:t>
                  </w:r>
                </w:p>
              </w:tc>
              <w:tc>
                <w:tcPr>
                  <w:tcW w:w="194" w:type="pct"/>
                  <w:tcBorders>
                    <w:tl2br w:val="nil"/>
                    <w:tr2bl w:val="nil"/>
                  </w:tcBorders>
                  <w:noWrap w:val="0"/>
                  <w:tcMar>
                    <w:top w:w="0" w:type="dxa"/>
                    <w:left w:w="0" w:type="dxa"/>
                    <w:bottom w:w="0" w:type="dxa"/>
                    <w:right w:w="0" w:type="dxa"/>
                  </w:tcMar>
                  <w:vAlign w:val="center"/>
                </w:tcPr>
                <w:p w14:paraId="449F682E">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26.0</w:t>
                  </w:r>
                </w:p>
              </w:tc>
              <w:tc>
                <w:tcPr>
                  <w:tcW w:w="194" w:type="pct"/>
                  <w:tcBorders>
                    <w:tl2br w:val="nil"/>
                    <w:tr2bl w:val="nil"/>
                  </w:tcBorders>
                  <w:noWrap w:val="0"/>
                  <w:tcMar>
                    <w:top w:w="0" w:type="dxa"/>
                    <w:left w:w="0" w:type="dxa"/>
                    <w:bottom w:w="0" w:type="dxa"/>
                    <w:right w:w="0" w:type="dxa"/>
                  </w:tcMar>
                  <w:vAlign w:val="center"/>
                </w:tcPr>
                <w:p w14:paraId="37AB900A">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26.0</w:t>
                  </w:r>
                </w:p>
              </w:tc>
              <w:tc>
                <w:tcPr>
                  <w:tcW w:w="194" w:type="pct"/>
                  <w:tcBorders>
                    <w:tl2br w:val="nil"/>
                    <w:tr2bl w:val="nil"/>
                  </w:tcBorders>
                  <w:noWrap w:val="0"/>
                  <w:tcMar>
                    <w:top w:w="0" w:type="dxa"/>
                    <w:left w:w="0" w:type="dxa"/>
                    <w:bottom w:w="0" w:type="dxa"/>
                    <w:right w:w="0" w:type="dxa"/>
                  </w:tcMar>
                  <w:vAlign w:val="center"/>
                </w:tcPr>
                <w:p w14:paraId="5E3B5980">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26.0</w:t>
                  </w:r>
                </w:p>
              </w:tc>
              <w:tc>
                <w:tcPr>
                  <w:tcW w:w="193" w:type="pct"/>
                  <w:tcBorders>
                    <w:tl2br w:val="nil"/>
                    <w:tr2bl w:val="nil"/>
                  </w:tcBorders>
                  <w:noWrap w:val="0"/>
                  <w:tcMar>
                    <w:top w:w="0" w:type="dxa"/>
                    <w:left w:w="0" w:type="dxa"/>
                    <w:bottom w:w="0" w:type="dxa"/>
                    <w:right w:w="0" w:type="dxa"/>
                  </w:tcMar>
                  <w:vAlign w:val="center"/>
                </w:tcPr>
                <w:p w14:paraId="0E5FE574">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48.4</w:t>
                  </w:r>
                </w:p>
              </w:tc>
              <w:tc>
                <w:tcPr>
                  <w:tcW w:w="193" w:type="pct"/>
                  <w:tcBorders>
                    <w:tl2br w:val="nil"/>
                    <w:tr2bl w:val="nil"/>
                  </w:tcBorders>
                  <w:noWrap w:val="0"/>
                  <w:tcMar>
                    <w:top w:w="0" w:type="dxa"/>
                    <w:left w:w="0" w:type="dxa"/>
                    <w:bottom w:w="0" w:type="dxa"/>
                    <w:right w:w="0" w:type="dxa"/>
                  </w:tcMar>
                  <w:vAlign w:val="center"/>
                </w:tcPr>
                <w:p w14:paraId="1BFC5F05">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48.4</w:t>
                  </w:r>
                </w:p>
              </w:tc>
              <w:tc>
                <w:tcPr>
                  <w:tcW w:w="193" w:type="pct"/>
                  <w:tcBorders>
                    <w:tl2br w:val="nil"/>
                    <w:tr2bl w:val="nil"/>
                  </w:tcBorders>
                  <w:noWrap w:val="0"/>
                  <w:tcMar>
                    <w:top w:w="0" w:type="dxa"/>
                    <w:left w:w="0" w:type="dxa"/>
                    <w:bottom w:w="0" w:type="dxa"/>
                    <w:right w:w="0" w:type="dxa"/>
                  </w:tcMar>
                  <w:vAlign w:val="center"/>
                </w:tcPr>
                <w:p w14:paraId="44075194">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48.4</w:t>
                  </w:r>
                </w:p>
              </w:tc>
              <w:tc>
                <w:tcPr>
                  <w:tcW w:w="193" w:type="pct"/>
                  <w:tcBorders>
                    <w:tl2br w:val="nil"/>
                    <w:tr2bl w:val="nil"/>
                  </w:tcBorders>
                  <w:noWrap w:val="0"/>
                  <w:tcMar>
                    <w:top w:w="0" w:type="dxa"/>
                    <w:left w:w="0" w:type="dxa"/>
                    <w:bottom w:w="0" w:type="dxa"/>
                    <w:right w:w="0" w:type="dxa"/>
                  </w:tcMar>
                  <w:vAlign w:val="center"/>
                </w:tcPr>
                <w:p w14:paraId="2E886796">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48.6</w:t>
                  </w:r>
                </w:p>
              </w:tc>
              <w:tc>
                <w:tcPr>
                  <w:tcW w:w="118" w:type="pct"/>
                  <w:tcBorders>
                    <w:tl2br w:val="nil"/>
                    <w:tr2bl w:val="nil"/>
                  </w:tcBorders>
                  <w:noWrap w:val="0"/>
                  <w:tcMar>
                    <w:top w:w="0" w:type="dxa"/>
                    <w:left w:w="0" w:type="dxa"/>
                    <w:bottom w:w="0" w:type="dxa"/>
                    <w:right w:w="0" w:type="dxa"/>
                  </w:tcMar>
                  <w:vAlign w:val="center"/>
                </w:tcPr>
                <w:p w14:paraId="4DA6B510">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1</w:t>
                  </w:r>
                </w:p>
              </w:tc>
            </w:tr>
            <w:tr w14:paraId="37E45F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8" w:type="pct"/>
                  <w:tcBorders>
                    <w:tl2br w:val="nil"/>
                    <w:tr2bl w:val="nil"/>
                  </w:tcBorders>
                  <w:noWrap w:val="0"/>
                  <w:tcMar>
                    <w:top w:w="0" w:type="dxa"/>
                    <w:left w:w="0" w:type="dxa"/>
                    <w:bottom w:w="0" w:type="dxa"/>
                    <w:right w:w="0" w:type="dxa"/>
                  </w:tcMar>
                  <w:vAlign w:val="center"/>
                </w:tcPr>
                <w:p w14:paraId="68D982A8">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3</w:t>
                  </w:r>
                </w:p>
              </w:tc>
              <w:tc>
                <w:tcPr>
                  <w:tcW w:w="239" w:type="pct"/>
                  <w:tcBorders>
                    <w:tl2br w:val="nil"/>
                    <w:tr2bl w:val="nil"/>
                  </w:tcBorders>
                  <w:noWrap w:val="0"/>
                  <w:tcMar>
                    <w:top w:w="0" w:type="dxa"/>
                    <w:left w:w="0" w:type="dxa"/>
                    <w:bottom w:w="0" w:type="dxa"/>
                    <w:right w:w="0" w:type="dxa"/>
                  </w:tcMar>
                  <w:vAlign w:val="center"/>
                </w:tcPr>
                <w:p w14:paraId="559533C2">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跳汰机</w:t>
                  </w:r>
                </w:p>
              </w:tc>
              <w:tc>
                <w:tcPr>
                  <w:tcW w:w="333" w:type="pct"/>
                  <w:tcBorders>
                    <w:tl2br w:val="nil"/>
                    <w:tr2bl w:val="nil"/>
                  </w:tcBorders>
                  <w:noWrap w:val="0"/>
                  <w:tcMar>
                    <w:top w:w="0" w:type="dxa"/>
                    <w:left w:w="0" w:type="dxa"/>
                    <w:bottom w:w="0" w:type="dxa"/>
                    <w:right w:w="0" w:type="dxa"/>
                  </w:tcMar>
                  <w:vAlign w:val="center"/>
                </w:tcPr>
                <w:p w14:paraId="1656F287">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80</w:t>
                  </w:r>
                </w:p>
              </w:tc>
              <w:tc>
                <w:tcPr>
                  <w:tcW w:w="240" w:type="pct"/>
                  <w:vMerge w:val="continue"/>
                  <w:tcBorders>
                    <w:tl2br w:val="nil"/>
                    <w:tr2bl w:val="nil"/>
                  </w:tcBorders>
                  <w:noWrap w:val="0"/>
                  <w:tcMar>
                    <w:top w:w="0" w:type="dxa"/>
                    <w:left w:w="0" w:type="dxa"/>
                    <w:bottom w:w="0" w:type="dxa"/>
                    <w:right w:w="0" w:type="dxa"/>
                  </w:tcMar>
                  <w:vAlign w:val="center"/>
                </w:tcPr>
                <w:p w14:paraId="207CBD32">
                  <w:pPr>
                    <w:jc w:val="center"/>
                    <w:rPr>
                      <w:rFonts w:hint="default" w:ascii="Times New Roman" w:hAnsi="Times New Roman" w:cs="Times New Roman"/>
                      <w:color w:val="auto"/>
                      <w:szCs w:val="21"/>
                      <w:highlight w:val="none"/>
                    </w:rPr>
                  </w:pPr>
                </w:p>
              </w:tc>
              <w:tc>
                <w:tcPr>
                  <w:tcW w:w="231" w:type="pct"/>
                  <w:tcBorders>
                    <w:tl2br w:val="nil"/>
                    <w:tr2bl w:val="nil"/>
                  </w:tcBorders>
                  <w:noWrap w:val="0"/>
                  <w:tcMar>
                    <w:top w:w="0" w:type="dxa"/>
                    <w:left w:w="0" w:type="dxa"/>
                    <w:bottom w:w="0" w:type="dxa"/>
                    <w:right w:w="0" w:type="dxa"/>
                  </w:tcMar>
                  <w:vAlign w:val="center"/>
                </w:tcPr>
                <w:p w14:paraId="29BCC826">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13.9</w:t>
                  </w:r>
                </w:p>
              </w:tc>
              <w:tc>
                <w:tcPr>
                  <w:tcW w:w="195" w:type="pct"/>
                  <w:tcBorders>
                    <w:tl2br w:val="nil"/>
                    <w:tr2bl w:val="nil"/>
                  </w:tcBorders>
                  <w:noWrap w:val="0"/>
                  <w:tcMar>
                    <w:top w:w="0" w:type="dxa"/>
                    <w:left w:w="0" w:type="dxa"/>
                    <w:bottom w:w="0" w:type="dxa"/>
                    <w:right w:w="0" w:type="dxa"/>
                  </w:tcMar>
                  <w:vAlign w:val="center"/>
                </w:tcPr>
                <w:p w14:paraId="2228CE6A">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51.8</w:t>
                  </w:r>
                </w:p>
              </w:tc>
              <w:tc>
                <w:tcPr>
                  <w:tcW w:w="140" w:type="pct"/>
                  <w:tcBorders>
                    <w:tl2br w:val="nil"/>
                    <w:tr2bl w:val="nil"/>
                  </w:tcBorders>
                  <w:noWrap w:val="0"/>
                  <w:tcMar>
                    <w:top w:w="0" w:type="dxa"/>
                    <w:left w:w="0" w:type="dxa"/>
                    <w:bottom w:w="0" w:type="dxa"/>
                    <w:right w:w="0" w:type="dxa"/>
                  </w:tcMar>
                  <w:vAlign w:val="center"/>
                </w:tcPr>
                <w:p w14:paraId="2512EF60">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1.2</w:t>
                  </w:r>
                </w:p>
              </w:tc>
              <w:tc>
                <w:tcPr>
                  <w:tcW w:w="247" w:type="pct"/>
                  <w:tcBorders>
                    <w:tl2br w:val="nil"/>
                    <w:tr2bl w:val="nil"/>
                  </w:tcBorders>
                  <w:noWrap w:val="0"/>
                  <w:tcMar>
                    <w:top w:w="0" w:type="dxa"/>
                    <w:left w:w="0" w:type="dxa"/>
                    <w:bottom w:w="0" w:type="dxa"/>
                    <w:right w:w="0" w:type="dxa"/>
                  </w:tcMar>
                  <w:vAlign w:val="center"/>
                </w:tcPr>
                <w:p w14:paraId="27952E70">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61.0</w:t>
                  </w:r>
                </w:p>
              </w:tc>
              <w:tc>
                <w:tcPr>
                  <w:tcW w:w="247" w:type="pct"/>
                  <w:tcBorders>
                    <w:tl2br w:val="nil"/>
                    <w:tr2bl w:val="nil"/>
                  </w:tcBorders>
                  <w:noWrap w:val="0"/>
                  <w:tcMar>
                    <w:top w:w="0" w:type="dxa"/>
                    <w:left w:w="0" w:type="dxa"/>
                    <w:bottom w:w="0" w:type="dxa"/>
                    <w:right w:w="0" w:type="dxa"/>
                  </w:tcMar>
                  <w:vAlign w:val="center"/>
                </w:tcPr>
                <w:p w14:paraId="1EC8AF0B">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117.3</w:t>
                  </w:r>
                </w:p>
              </w:tc>
              <w:tc>
                <w:tcPr>
                  <w:tcW w:w="247" w:type="pct"/>
                  <w:tcBorders>
                    <w:tl2br w:val="nil"/>
                    <w:tr2bl w:val="nil"/>
                  </w:tcBorders>
                  <w:noWrap w:val="0"/>
                  <w:tcMar>
                    <w:top w:w="0" w:type="dxa"/>
                    <w:left w:w="0" w:type="dxa"/>
                    <w:bottom w:w="0" w:type="dxa"/>
                    <w:right w:w="0" w:type="dxa"/>
                  </w:tcMar>
                  <w:vAlign w:val="center"/>
                </w:tcPr>
                <w:p w14:paraId="65AB02BD">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90.4</w:t>
                  </w:r>
                </w:p>
              </w:tc>
              <w:tc>
                <w:tcPr>
                  <w:tcW w:w="193" w:type="pct"/>
                  <w:tcBorders>
                    <w:tl2br w:val="nil"/>
                    <w:tr2bl w:val="nil"/>
                  </w:tcBorders>
                  <w:noWrap w:val="0"/>
                  <w:tcMar>
                    <w:top w:w="0" w:type="dxa"/>
                    <w:left w:w="0" w:type="dxa"/>
                    <w:bottom w:w="0" w:type="dxa"/>
                    <w:right w:w="0" w:type="dxa"/>
                  </w:tcMar>
                  <w:vAlign w:val="center"/>
                </w:tcPr>
                <w:p w14:paraId="3173A2F8">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30.3</w:t>
                  </w:r>
                </w:p>
              </w:tc>
              <w:tc>
                <w:tcPr>
                  <w:tcW w:w="194" w:type="pct"/>
                  <w:tcBorders>
                    <w:tl2br w:val="nil"/>
                    <w:tr2bl w:val="nil"/>
                  </w:tcBorders>
                  <w:noWrap w:val="0"/>
                  <w:tcMar>
                    <w:top w:w="0" w:type="dxa"/>
                    <w:left w:w="0" w:type="dxa"/>
                    <w:bottom w:w="0" w:type="dxa"/>
                    <w:right w:w="0" w:type="dxa"/>
                  </w:tcMar>
                  <w:vAlign w:val="center"/>
                </w:tcPr>
                <w:p w14:paraId="1719B77A">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59.4</w:t>
                  </w:r>
                </w:p>
              </w:tc>
              <w:tc>
                <w:tcPr>
                  <w:tcW w:w="194" w:type="pct"/>
                  <w:tcBorders>
                    <w:tl2br w:val="nil"/>
                    <w:tr2bl w:val="nil"/>
                  </w:tcBorders>
                  <w:noWrap w:val="0"/>
                  <w:tcMar>
                    <w:top w:w="0" w:type="dxa"/>
                    <w:left w:w="0" w:type="dxa"/>
                    <w:bottom w:w="0" w:type="dxa"/>
                    <w:right w:w="0" w:type="dxa"/>
                  </w:tcMar>
                  <w:vAlign w:val="center"/>
                </w:tcPr>
                <w:p w14:paraId="200C1297">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59.4</w:t>
                  </w:r>
                </w:p>
              </w:tc>
              <w:tc>
                <w:tcPr>
                  <w:tcW w:w="194" w:type="pct"/>
                  <w:tcBorders>
                    <w:tl2br w:val="nil"/>
                    <w:tr2bl w:val="nil"/>
                  </w:tcBorders>
                  <w:noWrap w:val="0"/>
                  <w:tcMar>
                    <w:top w:w="0" w:type="dxa"/>
                    <w:left w:w="0" w:type="dxa"/>
                    <w:bottom w:w="0" w:type="dxa"/>
                    <w:right w:w="0" w:type="dxa"/>
                  </w:tcMar>
                  <w:vAlign w:val="center"/>
                </w:tcPr>
                <w:p w14:paraId="2A77F5F1">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59.4</w:t>
                  </w:r>
                </w:p>
              </w:tc>
              <w:tc>
                <w:tcPr>
                  <w:tcW w:w="194" w:type="pct"/>
                  <w:tcBorders>
                    <w:tl2br w:val="nil"/>
                    <w:tr2bl w:val="nil"/>
                  </w:tcBorders>
                  <w:noWrap w:val="0"/>
                  <w:tcMar>
                    <w:top w:w="0" w:type="dxa"/>
                    <w:left w:w="0" w:type="dxa"/>
                    <w:bottom w:w="0" w:type="dxa"/>
                    <w:right w:w="0" w:type="dxa"/>
                  </w:tcMar>
                  <w:vAlign w:val="center"/>
                </w:tcPr>
                <w:p w14:paraId="2DCEB745">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59.4</w:t>
                  </w:r>
                </w:p>
              </w:tc>
              <w:tc>
                <w:tcPr>
                  <w:tcW w:w="194" w:type="pct"/>
                  <w:tcBorders>
                    <w:tl2br w:val="nil"/>
                    <w:tr2bl w:val="nil"/>
                  </w:tcBorders>
                  <w:noWrap w:val="0"/>
                  <w:tcMar>
                    <w:top w:w="0" w:type="dxa"/>
                    <w:left w:w="0" w:type="dxa"/>
                    <w:bottom w:w="0" w:type="dxa"/>
                    <w:right w:w="0" w:type="dxa"/>
                  </w:tcMar>
                  <w:vAlign w:val="center"/>
                </w:tcPr>
                <w:p w14:paraId="694F580B">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26.0</w:t>
                  </w:r>
                </w:p>
              </w:tc>
              <w:tc>
                <w:tcPr>
                  <w:tcW w:w="194" w:type="pct"/>
                  <w:tcBorders>
                    <w:tl2br w:val="nil"/>
                    <w:tr2bl w:val="nil"/>
                  </w:tcBorders>
                  <w:noWrap w:val="0"/>
                  <w:tcMar>
                    <w:top w:w="0" w:type="dxa"/>
                    <w:left w:w="0" w:type="dxa"/>
                    <w:bottom w:w="0" w:type="dxa"/>
                    <w:right w:w="0" w:type="dxa"/>
                  </w:tcMar>
                  <w:vAlign w:val="center"/>
                </w:tcPr>
                <w:p w14:paraId="09A30AFA">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26.0</w:t>
                  </w:r>
                </w:p>
              </w:tc>
              <w:tc>
                <w:tcPr>
                  <w:tcW w:w="194" w:type="pct"/>
                  <w:tcBorders>
                    <w:tl2br w:val="nil"/>
                    <w:tr2bl w:val="nil"/>
                  </w:tcBorders>
                  <w:noWrap w:val="0"/>
                  <w:tcMar>
                    <w:top w:w="0" w:type="dxa"/>
                    <w:left w:w="0" w:type="dxa"/>
                    <w:bottom w:w="0" w:type="dxa"/>
                    <w:right w:w="0" w:type="dxa"/>
                  </w:tcMar>
                  <w:vAlign w:val="center"/>
                </w:tcPr>
                <w:p w14:paraId="61733215">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26.0</w:t>
                  </w:r>
                </w:p>
              </w:tc>
              <w:tc>
                <w:tcPr>
                  <w:tcW w:w="194" w:type="pct"/>
                  <w:tcBorders>
                    <w:tl2br w:val="nil"/>
                    <w:tr2bl w:val="nil"/>
                  </w:tcBorders>
                  <w:noWrap w:val="0"/>
                  <w:tcMar>
                    <w:top w:w="0" w:type="dxa"/>
                    <w:left w:w="0" w:type="dxa"/>
                    <w:bottom w:w="0" w:type="dxa"/>
                    <w:right w:w="0" w:type="dxa"/>
                  </w:tcMar>
                  <w:vAlign w:val="center"/>
                </w:tcPr>
                <w:p w14:paraId="3565467E">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26.0</w:t>
                  </w:r>
                </w:p>
              </w:tc>
              <w:tc>
                <w:tcPr>
                  <w:tcW w:w="193" w:type="pct"/>
                  <w:tcBorders>
                    <w:tl2br w:val="nil"/>
                    <w:tr2bl w:val="nil"/>
                  </w:tcBorders>
                  <w:noWrap w:val="0"/>
                  <w:tcMar>
                    <w:top w:w="0" w:type="dxa"/>
                    <w:left w:w="0" w:type="dxa"/>
                    <w:bottom w:w="0" w:type="dxa"/>
                    <w:right w:w="0" w:type="dxa"/>
                  </w:tcMar>
                  <w:vAlign w:val="center"/>
                </w:tcPr>
                <w:p w14:paraId="6D06AD64">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33.4</w:t>
                  </w:r>
                </w:p>
              </w:tc>
              <w:tc>
                <w:tcPr>
                  <w:tcW w:w="193" w:type="pct"/>
                  <w:tcBorders>
                    <w:tl2br w:val="nil"/>
                    <w:tr2bl w:val="nil"/>
                  </w:tcBorders>
                  <w:noWrap w:val="0"/>
                  <w:tcMar>
                    <w:top w:w="0" w:type="dxa"/>
                    <w:left w:w="0" w:type="dxa"/>
                    <w:bottom w:w="0" w:type="dxa"/>
                    <w:right w:w="0" w:type="dxa"/>
                  </w:tcMar>
                  <w:vAlign w:val="center"/>
                </w:tcPr>
                <w:p w14:paraId="2D4B6B46">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33.4</w:t>
                  </w:r>
                </w:p>
              </w:tc>
              <w:tc>
                <w:tcPr>
                  <w:tcW w:w="193" w:type="pct"/>
                  <w:tcBorders>
                    <w:tl2br w:val="nil"/>
                    <w:tr2bl w:val="nil"/>
                  </w:tcBorders>
                  <w:noWrap w:val="0"/>
                  <w:tcMar>
                    <w:top w:w="0" w:type="dxa"/>
                    <w:left w:w="0" w:type="dxa"/>
                    <w:bottom w:w="0" w:type="dxa"/>
                    <w:right w:w="0" w:type="dxa"/>
                  </w:tcMar>
                  <w:vAlign w:val="center"/>
                </w:tcPr>
                <w:p w14:paraId="37E72269">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33.4</w:t>
                  </w:r>
                </w:p>
              </w:tc>
              <w:tc>
                <w:tcPr>
                  <w:tcW w:w="193" w:type="pct"/>
                  <w:tcBorders>
                    <w:tl2br w:val="nil"/>
                    <w:tr2bl w:val="nil"/>
                  </w:tcBorders>
                  <w:noWrap w:val="0"/>
                  <w:tcMar>
                    <w:top w:w="0" w:type="dxa"/>
                    <w:left w:w="0" w:type="dxa"/>
                    <w:bottom w:w="0" w:type="dxa"/>
                    <w:right w:w="0" w:type="dxa"/>
                  </w:tcMar>
                  <w:vAlign w:val="center"/>
                </w:tcPr>
                <w:p w14:paraId="0E5AD114">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33.4</w:t>
                  </w:r>
                </w:p>
              </w:tc>
              <w:tc>
                <w:tcPr>
                  <w:tcW w:w="118" w:type="pct"/>
                  <w:tcBorders>
                    <w:tl2br w:val="nil"/>
                    <w:tr2bl w:val="nil"/>
                  </w:tcBorders>
                  <w:noWrap w:val="0"/>
                  <w:tcMar>
                    <w:top w:w="0" w:type="dxa"/>
                    <w:left w:w="0" w:type="dxa"/>
                    <w:bottom w:w="0" w:type="dxa"/>
                    <w:right w:w="0" w:type="dxa"/>
                  </w:tcMar>
                  <w:vAlign w:val="center"/>
                </w:tcPr>
                <w:p w14:paraId="03CEAC14">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1</w:t>
                  </w:r>
                </w:p>
              </w:tc>
            </w:tr>
            <w:tr w14:paraId="23299D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8" w:type="pct"/>
                  <w:tcBorders>
                    <w:tl2br w:val="nil"/>
                    <w:tr2bl w:val="nil"/>
                  </w:tcBorders>
                  <w:noWrap w:val="0"/>
                  <w:tcMar>
                    <w:top w:w="0" w:type="dxa"/>
                    <w:left w:w="0" w:type="dxa"/>
                    <w:bottom w:w="0" w:type="dxa"/>
                    <w:right w:w="0" w:type="dxa"/>
                  </w:tcMar>
                  <w:vAlign w:val="center"/>
                </w:tcPr>
                <w:p w14:paraId="1FC876D5">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4</w:t>
                  </w:r>
                </w:p>
              </w:tc>
              <w:tc>
                <w:tcPr>
                  <w:tcW w:w="239" w:type="pct"/>
                  <w:tcBorders>
                    <w:tl2br w:val="nil"/>
                    <w:tr2bl w:val="nil"/>
                  </w:tcBorders>
                  <w:noWrap w:val="0"/>
                  <w:tcMar>
                    <w:top w:w="0" w:type="dxa"/>
                    <w:left w:w="0" w:type="dxa"/>
                    <w:bottom w:w="0" w:type="dxa"/>
                    <w:right w:w="0" w:type="dxa"/>
                  </w:tcMar>
                  <w:vAlign w:val="center"/>
                </w:tcPr>
                <w:p w14:paraId="03CAAA1F">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浓缩机</w:t>
                  </w:r>
                </w:p>
              </w:tc>
              <w:tc>
                <w:tcPr>
                  <w:tcW w:w="333" w:type="pct"/>
                  <w:tcBorders>
                    <w:tl2br w:val="nil"/>
                    <w:tr2bl w:val="nil"/>
                  </w:tcBorders>
                  <w:noWrap w:val="0"/>
                  <w:tcMar>
                    <w:top w:w="0" w:type="dxa"/>
                    <w:left w:w="0" w:type="dxa"/>
                    <w:bottom w:w="0" w:type="dxa"/>
                    <w:right w:w="0" w:type="dxa"/>
                  </w:tcMar>
                  <w:vAlign w:val="center"/>
                </w:tcPr>
                <w:p w14:paraId="12197DE6">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88.01</w:t>
                  </w:r>
                </w:p>
              </w:tc>
              <w:tc>
                <w:tcPr>
                  <w:tcW w:w="240" w:type="pct"/>
                  <w:vMerge w:val="continue"/>
                  <w:tcBorders>
                    <w:tl2br w:val="nil"/>
                    <w:tr2bl w:val="nil"/>
                  </w:tcBorders>
                  <w:noWrap w:val="0"/>
                  <w:tcMar>
                    <w:top w:w="0" w:type="dxa"/>
                    <w:left w:w="0" w:type="dxa"/>
                    <w:bottom w:w="0" w:type="dxa"/>
                    <w:right w:w="0" w:type="dxa"/>
                  </w:tcMar>
                  <w:vAlign w:val="center"/>
                </w:tcPr>
                <w:p w14:paraId="5757C85D">
                  <w:pPr>
                    <w:jc w:val="center"/>
                    <w:rPr>
                      <w:rFonts w:hint="default" w:ascii="Times New Roman" w:hAnsi="Times New Roman" w:cs="Times New Roman"/>
                      <w:color w:val="auto"/>
                      <w:szCs w:val="21"/>
                      <w:highlight w:val="none"/>
                    </w:rPr>
                  </w:pPr>
                </w:p>
              </w:tc>
              <w:tc>
                <w:tcPr>
                  <w:tcW w:w="231" w:type="pct"/>
                  <w:tcBorders>
                    <w:tl2br w:val="nil"/>
                    <w:tr2bl w:val="nil"/>
                  </w:tcBorders>
                  <w:noWrap w:val="0"/>
                  <w:tcMar>
                    <w:top w:w="0" w:type="dxa"/>
                    <w:left w:w="0" w:type="dxa"/>
                    <w:bottom w:w="0" w:type="dxa"/>
                    <w:right w:w="0" w:type="dxa"/>
                  </w:tcMar>
                  <w:vAlign w:val="center"/>
                </w:tcPr>
                <w:p w14:paraId="44870289">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3.9</w:t>
                  </w:r>
                </w:p>
              </w:tc>
              <w:tc>
                <w:tcPr>
                  <w:tcW w:w="195" w:type="pct"/>
                  <w:tcBorders>
                    <w:tl2br w:val="nil"/>
                    <w:tr2bl w:val="nil"/>
                  </w:tcBorders>
                  <w:noWrap w:val="0"/>
                  <w:tcMar>
                    <w:top w:w="0" w:type="dxa"/>
                    <w:left w:w="0" w:type="dxa"/>
                    <w:bottom w:w="0" w:type="dxa"/>
                    <w:right w:w="0" w:type="dxa"/>
                  </w:tcMar>
                  <w:vAlign w:val="center"/>
                </w:tcPr>
                <w:p w14:paraId="231E340A">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39.6</w:t>
                  </w:r>
                </w:p>
              </w:tc>
              <w:tc>
                <w:tcPr>
                  <w:tcW w:w="140" w:type="pct"/>
                  <w:tcBorders>
                    <w:tl2br w:val="nil"/>
                    <w:tr2bl w:val="nil"/>
                  </w:tcBorders>
                  <w:noWrap w:val="0"/>
                  <w:tcMar>
                    <w:top w:w="0" w:type="dxa"/>
                    <w:left w:w="0" w:type="dxa"/>
                    <w:bottom w:w="0" w:type="dxa"/>
                    <w:right w:w="0" w:type="dxa"/>
                  </w:tcMar>
                  <w:vAlign w:val="center"/>
                </w:tcPr>
                <w:p w14:paraId="30E24810">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1.2</w:t>
                  </w:r>
                </w:p>
              </w:tc>
              <w:tc>
                <w:tcPr>
                  <w:tcW w:w="247" w:type="pct"/>
                  <w:tcBorders>
                    <w:tl2br w:val="nil"/>
                    <w:tr2bl w:val="nil"/>
                  </w:tcBorders>
                  <w:noWrap w:val="0"/>
                  <w:tcMar>
                    <w:top w:w="0" w:type="dxa"/>
                    <w:left w:w="0" w:type="dxa"/>
                    <w:bottom w:w="0" w:type="dxa"/>
                    <w:right w:w="0" w:type="dxa"/>
                  </w:tcMar>
                  <w:vAlign w:val="center"/>
                </w:tcPr>
                <w:p w14:paraId="64E5791F">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71.8</w:t>
                  </w:r>
                </w:p>
              </w:tc>
              <w:tc>
                <w:tcPr>
                  <w:tcW w:w="247" w:type="pct"/>
                  <w:tcBorders>
                    <w:tl2br w:val="nil"/>
                    <w:tr2bl w:val="nil"/>
                  </w:tcBorders>
                  <w:noWrap w:val="0"/>
                  <w:tcMar>
                    <w:top w:w="0" w:type="dxa"/>
                    <w:left w:w="0" w:type="dxa"/>
                    <w:bottom w:w="0" w:type="dxa"/>
                    <w:right w:w="0" w:type="dxa"/>
                  </w:tcMar>
                  <w:vAlign w:val="center"/>
                </w:tcPr>
                <w:p w14:paraId="01B5B7C6">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106.8</w:t>
                  </w:r>
                </w:p>
              </w:tc>
              <w:tc>
                <w:tcPr>
                  <w:tcW w:w="247" w:type="pct"/>
                  <w:tcBorders>
                    <w:tl2br w:val="nil"/>
                    <w:tr2bl w:val="nil"/>
                  </w:tcBorders>
                  <w:noWrap w:val="0"/>
                  <w:tcMar>
                    <w:top w:w="0" w:type="dxa"/>
                    <w:left w:w="0" w:type="dxa"/>
                    <w:bottom w:w="0" w:type="dxa"/>
                    <w:right w:w="0" w:type="dxa"/>
                  </w:tcMar>
                  <w:vAlign w:val="center"/>
                </w:tcPr>
                <w:p w14:paraId="31F9897A">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79.8</w:t>
                  </w:r>
                </w:p>
              </w:tc>
              <w:tc>
                <w:tcPr>
                  <w:tcW w:w="193" w:type="pct"/>
                  <w:tcBorders>
                    <w:tl2br w:val="nil"/>
                    <w:tr2bl w:val="nil"/>
                  </w:tcBorders>
                  <w:noWrap w:val="0"/>
                  <w:tcMar>
                    <w:top w:w="0" w:type="dxa"/>
                    <w:left w:w="0" w:type="dxa"/>
                    <w:bottom w:w="0" w:type="dxa"/>
                    <w:right w:w="0" w:type="dxa"/>
                  </w:tcMar>
                  <w:vAlign w:val="center"/>
                </w:tcPr>
                <w:p w14:paraId="519A2F97">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42.0</w:t>
                  </w:r>
                </w:p>
              </w:tc>
              <w:tc>
                <w:tcPr>
                  <w:tcW w:w="194" w:type="pct"/>
                  <w:tcBorders>
                    <w:tl2br w:val="nil"/>
                    <w:tr2bl w:val="nil"/>
                  </w:tcBorders>
                  <w:noWrap w:val="0"/>
                  <w:tcMar>
                    <w:top w:w="0" w:type="dxa"/>
                    <w:left w:w="0" w:type="dxa"/>
                    <w:bottom w:w="0" w:type="dxa"/>
                    <w:right w:w="0" w:type="dxa"/>
                  </w:tcMar>
                  <w:vAlign w:val="center"/>
                </w:tcPr>
                <w:p w14:paraId="605DDEF7">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67.4</w:t>
                  </w:r>
                </w:p>
              </w:tc>
              <w:tc>
                <w:tcPr>
                  <w:tcW w:w="194" w:type="pct"/>
                  <w:tcBorders>
                    <w:tl2br w:val="nil"/>
                    <w:tr2bl w:val="nil"/>
                  </w:tcBorders>
                  <w:noWrap w:val="0"/>
                  <w:tcMar>
                    <w:top w:w="0" w:type="dxa"/>
                    <w:left w:w="0" w:type="dxa"/>
                    <w:bottom w:w="0" w:type="dxa"/>
                    <w:right w:w="0" w:type="dxa"/>
                  </w:tcMar>
                  <w:vAlign w:val="center"/>
                </w:tcPr>
                <w:p w14:paraId="0724081A">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67.4</w:t>
                  </w:r>
                </w:p>
              </w:tc>
              <w:tc>
                <w:tcPr>
                  <w:tcW w:w="194" w:type="pct"/>
                  <w:tcBorders>
                    <w:tl2br w:val="nil"/>
                    <w:tr2bl w:val="nil"/>
                  </w:tcBorders>
                  <w:noWrap w:val="0"/>
                  <w:tcMar>
                    <w:top w:w="0" w:type="dxa"/>
                    <w:left w:w="0" w:type="dxa"/>
                    <w:bottom w:w="0" w:type="dxa"/>
                    <w:right w:w="0" w:type="dxa"/>
                  </w:tcMar>
                  <w:vAlign w:val="center"/>
                </w:tcPr>
                <w:p w14:paraId="3C51B6B2">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67.4</w:t>
                  </w:r>
                </w:p>
              </w:tc>
              <w:tc>
                <w:tcPr>
                  <w:tcW w:w="194" w:type="pct"/>
                  <w:tcBorders>
                    <w:tl2br w:val="nil"/>
                    <w:tr2bl w:val="nil"/>
                  </w:tcBorders>
                  <w:noWrap w:val="0"/>
                  <w:tcMar>
                    <w:top w:w="0" w:type="dxa"/>
                    <w:left w:w="0" w:type="dxa"/>
                    <w:bottom w:w="0" w:type="dxa"/>
                    <w:right w:w="0" w:type="dxa"/>
                  </w:tcMar>
                  <w:vAlign w:val="center"/>
                </w:tcPr>
                <w:p w14:paraId="1F8652A2">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67.4</w:t>
                  </w:r>
                </w:p>
              </w:tc>
              <w:tc>
                <w:tcPr>
                  <w:tcW w:w="194" w:type="pct"/>
                  <w:tcBorders>
                    <w:tl2br w:val="nil"/>
                    <w:tr2bl w:val="nil"/>
                  </w:tcBorders>
                  <w:noWrap w:val="0"/>
                  <w:tcMar>
                    <w:top w:w="0" w:type="dxa"/>
                    <w:left w:w="0" w:type="dxa"/>
                    <w:bottom w:w="0" w:type="dxa"/>
                    <w:right w:w="0" w:type="dxa"/>
                  </w:tcMar>
                  <w:vAlign w:val="center"/>
                </w:tcPr>
                <w:p w14:paraId="5D4CF14F">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26.0</w:t>
                  </w:r>
                </w:p>
              </w:tc>
              <w:tc>
                <w:tcPr>
                  <w:tcW w:w="194" w:type="pct"/>
                  <w:tcBorders>
                    <w:tl2br w:val="nil"/>
                    <w:tr2bl w:val="nil"/>
                  </w:tcBorders>
                  <w:noWrap w:val="0"/>
                  <w:tcMar>
                    <w:top w:w="0" w:type="dxa"/>
                    <w:left w:w="0" w:type="dxa"/>
                    <w:bottom w:w="0" w:type="dxa"/>
                    <w:right w:w="0" w:type="dxa"/>
                  </w:tcMar>
                  <w:vAlign w:val="center"/>
                </w:tcPr>
                <w:p w14:paraId="0C3B47E5">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26.0</w:t>
                  </w:r>
                </w:p>
              </w:tc>
              <w:tc>
                <w:tcPr>
                  <w:tcW w:w="194" w:type="pct"/>
                  <w:tcBorders>
                    <w:tl2br w:val="nil"/>
                    <w:tr2bl w:val="nil"/>
                  </w:tcBorders>
                  <w:noWrap w:val="0"/>
                  <w:tcMar>
                    <w:top w:w="0" w:type="dxa"/>
                    <w:left w:w="0" w:type="dxa"/>
                    <w:bottom w:w="0" w:type="dxa"/>
                    <w:right w:w="0" w:type="dxa"/>
                  </w:tcMar>
                  <w:vAlign w:val="center"/>
                </w:tcPr>
                <w:p w14:paraId="6A88A5E2">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26.0</w:t>
                  </w:r>
                </w:p>
              </w:tc>
              <w:tc>
                <w:tcPr>
                  <w:tcW w:w="194" w:type="pct"/>
                  <w:tcBorders>
                    <w:tl2br w:val="nil"/>
                    <w:tr2bl w:val="nil"/>
                  </w:tcBorders>
                  <w:noWrap w:val="0"/>
                  <w:tcMar>
                    <w:top w:w="0" w:type="dxa"/>
                    <w:left w:w="0" w:type="dxa"/>
                    <w:bottom w:w="0" w:type="dxa"/>
                    <w:right w:w="0" w:type="dxa"/>
                  </w:tcMar>
                  <w:vAlign w:val="center"/>
                </w:tcPr>
                <w:p w14:paraId="0DACD45B">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26.0</w:t>
                  </w:r>
                </w:p>
              </w:tc>
              <w:tc>
                <w:tcPr>
                  <w:tcW w:w="193" w:type="pct"/>
                  <w:tcBorders>
                    <w:tl2br w:val="nil"/>
                    <w:tr2bl w:val="nil"/>
                  </w:tcBorders>
                  <w:noWrap w:val="0"/>
                  <w:tcMar>
                    <w:top w:w="0" w:type="dxa"/>
                    <w:left w:w="0" w:type="dxa"/>
                    <w:bottom w:w="0" w:type="dxa"/>
                    <w:right w:w="0" w:type="dxa"/>
                  </w:tcMar>
                  <w:vAlign w:val="center"/>
                </w:tcPr>
                <w:p w14:paraId="6332267D">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41.4</w:t>
                  </w:r>
                </w:p>
              </w:tc>
              <w:tc>
                <w:tcPr>
                  <w:tcW w:w="193" w:type="pct"/>
                  <w:tcBorders>
                    <w:tl2br w:val="nil"/>
                    <w:tr2bl w:val="nil"/>
                  </w:tcBorders>
                  <w:noWrap w:val="0"/>
                  <w:tcMar>
                    <w:top w:w="0" w:type="dxa"/>
                    <w:left w:w="0" w:type="dxa"/>
                    <w:bottom w:w="0" w:type="dxa"/>
                    <w:right w:w="0" w:type="dxa"/>
                  </w:tcMar>
                  <w:vAlign w:val="center"/>
                </w:tcPr>
                <w:p w14:paraId="6DFB02B5">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41.4</w:t>
                  </w:r>
                </w:p>
              </w:tc>
              <w:tc>
                <w:tcPr>
                  <w:tcW w:w="193" w:type="pct"/>
                  <w:tcBorders>
                    <w:tl2br w:val="nil"/>
                    <w:tr2bl w:val="nil"/>
                  </w:tcBorders>
                  <w:noWrap w:val="0"/>
                  <w:tcMar>
                    <w:top w:w="0" w:type="dxa"/>
                    <w:left w:w="0" w:type="dxa"/>
                    <w:bottom w:w="0" w:type="dxa"/>
                    <w:right w:w="0" w:type="dxa"/>
                  </w:tcMar>
                  <w:vAlign w:val="center"/>
                </w:tcPr>
                <w:p w14:paraId="403C2E62">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41.4</w:t>
                  </w:r>
                </w:p>
              </w:tc>
              <w:tc>
                <w:tcPr>
                  <w:tcW w:w="193" w:type="pct"/>
                  <w:tcBorders>
                    <w:tl2br w:val="nil"/>
                    <w:tr2bl w:val="nil"/>
                  </w:tcBorders>
                  <w:noWrap w:val="0"/>
                  <w:tcMar>
                    <w:top w:w="0" w:type="dxa"/>
                    <w:left w:w="0" w:type="dxa"/>
                    <w:bottom w:w="0" w:type="dxa"/>
                    <w:right w:w="0" w:type="dxa"/>
                  </w:tcMar>
                  <w:vAlign w:val="center"/>
                </w:tcPr>
                <w:p w14:paraId="5470DEED">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41.4</w:t>
                  </w:r>
                </w:p>
              </w:tc>
              <w:tc>
                <w:tcPr>
                  <w:tcW w:w="118" w:type="pct"/>
                  <w:tcBorders>
                    <w:tl2br w:val="nil"/>
                    <w:tr2bl w:val="nil"/>
                  </w:tcBorders>
                  <w:noWrap w:val="0"/>
                  <w:tcMar>
                    <w:top w:w="0" w:type="dxa"/>
                    <w:left w:w="0" w:type="dxa"/>
                    <w:bottom w:w="0" w:type="dxa"/>
                    <w:right w:w="0" w:type="dxa"/>
                  </w:tcMar>
                  <w:vAlign w:val="center"/>
                </w:tcPr>
                <w:p w14:paraId="65180DCC">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1</w:t>
                  </w:r>
                </w:p>
              </w:tc>
            </w:tr>
            <w:tr w14:paraId="48CF0C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8" w:type="pct"/>
                  <w:tcBorders>
                    <w:tl2br w:val="nil"/>
                    <w:tr2bl w:val="nil"/>
                  </w:tcBorders>
                  <w:noWrap w:val="0"/>
                  <w:tcMar>
                    <w:top w:w="0" w:type="dxa"/>
                    <w:left w:w="0" w:type="dxa"/>
                    <w:bottom w:w="0" w:type="dxa"/>
                    <w:right w:w="0" w:type="dxa"/>
                  </w:tcMar>
                  <w:vAlign w:val="center"/>
                </w:tcPr>
                <w:p w14:paraId="28784155">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5</w:t>
                  </w:r>
                </w:p>
              </w:tc>
              <w:tc>
                <w:tcPr>
                  <w:tcW w:w="239" w:type="pct"/>
                  <w:tcBorders>
                    <w:tl2br w:val="nil"/>
                    <w:tr2bl w:val="nil"/>
                  </w:tcBorders>
                  <w:noWrap w:val="0"/>
                  <w:tcMar>
                    <w:top w:w="0" w:type="dxa"/>
                    <w:left w:w="0" w:type="dxa"/>
                    <w:bottom w:w="0" w:type="dxa"/>
                    <w:right w:w="0" w:type="dxa"/>
                  </w:tcMar>
                  <w:vAlign w:val="center"/>
                </w:tcPr>
                <w:p w14:paraId="0BCF24B6">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压滤机</w:t>
                  </w:r>
                </w:p>
              </w:tc>
              <w:tc>
                <w:tcPr>
                  <w:tcW w:w="333" w:type="pct"/>
                  <w:tcBorders>
                    <w:tl2br w:val="nil"/>
                    <w:tr2bl w:val="nil"/>
                  </w:tcBorders>
                  <w:noWrap w:val="0"/>
                  <w:tcMar>
                    <w:top w:w="0" w:type="dxa"/>
                    <w:left w:w="0" w:type="dxa"/>
                    <w:bottom w:w="0" w:type="dxa"/>
                    <w:right w:w="0" w:type="dxa"/>
                  </w:tcMar>
                  <w:vAlign w:val="center"/>
                </w:tcPr>
                <w:p w14:paraId="7A85AF73">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84.77</w:t>
                  </w:r>
                </w:p>
              </w:tc>
              <w:tc>
                <w:tcPr>
                  <w:tcW w:w="240" w:type="pct"/>
                  <w:vMerge w:val="continue"/>
                  <w:tcBorders>
                    <w:tl2br w:val="nil"/>
                    <w:tr2bl w:val="nil"/>
                  </w:tcBorders>
                  <w:noWrap w:val="0"/>
                  <w:tcMar>
                    <w:top w:w="0" w:type="dxa"/>
                    <w:left w:w="0" w:type="dxa"/>
                    <w:bottom w:w="0" w:type="dxa"/>
                    <w:right w:w="0" w:type="dxa"/>
                  </w:tcMar>
                  <w:vAlign w:val="center"/>
                </w:tcPr>
                <w:p w14:paraId="33CBB9DE">
                  <w:pPr>
                    <w:jc w:val="center"/>
                    <w:rPr>
                      <w:rFonts w:hint="default" w:ascii="Times New Roman" w:hAnsi="Times New Roman" w:cs="Times New Roman"/>
                      <w:color w:val="auto"/>
                      <w:szCs w:val="21"/>
                      <w:highlight w:val="none"/>
                    </w:rPr>
                  </w:pPr>
                </w:p>
              </w:tc>
              <w:tc>
                <w:tcPr>
                  <w:tcW w:w="231" w:type="pct"/>
                  <w:tcBorders>
                    <w:tl2br w:val="nil"/>
                    <w:tr2bl w:val="nil"/>
                  </w:tcBorders>
                  <w:noWrap w:val="0"/>
                  <w:tcMar>
                    <w:top w:w="0" w:type="dxa"/>
                    <w:left w:w="0" w:type="dxa"/>
                    <w:bottom w:w="0" w:type="dxa"/>
                    <w:right w:w="0" w:type="dxa"/>
                  </w:tcMar>
                  <w:vAlign w:val="center"/>
                </w:tcPr>
                <w:p w14:paraId="063784D9">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16.5</w:t>
                  </w:r>
                </w:p>
              </w:tc>
              <w:tc>
                <w:tcPr>
                  <w:tcW w:w="195" w:type="pct"/>
                  <w:tcBorders>
                    <w:tl2br w:val="nil"/>
                    <w:tr2bl w:val="nil"/>
                  </w:tcBorders>
                  <w:noWrap w:val="0"/>
                  <w:tcMar>
                    <w:top w:w="0" w:type="dxa"/>
                    <w:left w:w="0" w:type="dxa"/>
                    <w:bottom w:w="0" w:type="dxa"/>
                    <w:right w:w="0" w:type="dxa"/>
                  </w:tcMar>
                  <w:vAlign w:val="center"/>
                </w:tcPr>
                <w:p w14:paraId="0A605C16">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38.8</w:t>
                  </w:r>
                </w:p>
              </w:tc>
              <w:tc>
                <w:tcPr>
                  <w:tcW w:w="140" w:type="pct"/>
                  <w:tcBorders>
                    <w:tl2br w:val="nil"/>
                    <w:tr2bl w:val="nil"/>
                  </w:tcBorders>
                  <w:noWrap w:val="0"/>
                  <w:tcMar>
                    <w:top w:w="0" w:type="dxa"/>
                    <w:left w:w="0" w:type="dxa"/>
                    <w:bottom w:w="0" w:type="dxa"/>
                    <w:right w:w="0" w:type="dxa"/>
                  </w:tcMar>
                  <w:vAlign w:val="center"/>
                </w:tcPr>
                <w:p w14:paraId="19A53DC6">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1.2</w:t>
                  </w:r>
                </w:p>
              </w:tc>
              <w:tc>
                <w:tcPr>
                  <w:tcW w:w="247" w:type="pct"/>
                  <w:tcBorders>
                    <w:tl2br w:val="nil"/>
                    <w:tr2bl w:val="nil"/>
                  </w:tcBorders>
                  <w:noWrap w:val="0"/>
                  <w:tcMar>
                    <w:top w:w="0" w:type="dxa"/>
                    <w:left w:w="0" w:type="dxa"/>
                    <w:bottom w:w="0" w:type="dxa"/>
                    <w:right w:w="0" w:type="dxa"/>
                  </w:tcMar>
                  <w:vAlign w:val="center"/>
                </w:tcPr>
                <w:p w14:paraId="31F71F3E">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59.3</w:t>
                  </w:r>
                </w:p>
              </w:tc>
              <w:tc>
                <w:tcPr>
                  <w:tcW w:w="247" w:type="pct"/>
                  <w:tcBorders>
                    <w:tl2br w:val="nil"/>
                    <w:tr2bl w:val="nil"/>
                  </w:tcBorders>
                  <w:noWrap w:val="0"/>
                  <w:tcMar>
                    <w:top w:w="0" w:type="dxa"/>
                    <w:left w:w="0" w:type="dxa"/>
                    <w:bottom w:w="0" w:type="dxa"/>
                    <w:right w:w="0" w:type="dxa"/>
                  </w:tcMar>
                  <w:vAlign w:val="center"/>
                </w:tcPr>
                <w:p w14:paraId="406052AA">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104.1</w:t>
                  </w:r>
                </w:p>
              </w:tc>
              <w:tc>
                <w:tcPr>
                  <w:tcW w:w="247" w:type="pct"/>
                  <w:tcBorders>
                    <w:tl2br w:val="nil"/>
                    <w:tr2bl w:val="nil"/>
                  </w:tcBorders>
                  <w:noWrap w:val="0"/>
                  <w:tcMar>
                    <w:top w:w="0" w:type="dxa"/>
                    <w:left w:w="0" w:type="dxa"/>
                    <w:bottom w:w="0" w:type="dxa"/>
                    <w:right w:w="0" w:type="dxa"/>
                  </w:tcMar>
                  <w:vAlign w:val="center"/>
                </w:tcPr>
                <w:p w14:paraId="08B5BCBE">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92.4</w:t>
                  </w:r>
                </w:p>
              </w:tc>
              <w:tc>
                <w:tcPr>
                  <w:tcW w:w="193" w:type="pct"/>
                  <w:tcBorders>
                    <w:tl2br w:val="nil"/>
                    <w:tr2bl w:val="nil"/>
                  </w:tcBorders>
                  <w:noWrap w:val="0"/>
                  <w:tcMar>
                    <w:top w:w="0" w:type="dxa"/>
                    <w:left w:w="0" w:type="dxa"/>
                    <w:bottom w:w="0" w:type="dxa"/>
                    <w:right w:w="0" w:type="dxa"/>
                  </w:tcMar>
                  <w:vAlign w:val="center"/>
                </w:tcPr>
                <w:p w14:paraId="17524228">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43.4</w:t>
                  </w:r>
                </w:p>
              </w:tc>
              <w:tc>
                <w:tcPr>
                  <w:tcW w:w="194" w:type="pct"/>
                  <w:tcBorders>
                    <w:tl2br w:val="nil"/>
                    <w:tr2bl w:val="nil"/>
                  </w:tcBorders>
                  <w:noWrap w:val="0"/>
                  <w:tcMar>
                    <w:top w:w="0" w:type="dxa"/>
                    <w:left w:w="0" w:type="dxa"/>
                    <w:bottom w:w="0" w:type="dxa"/>
                    <w:right w:w="0" w:type="dxa"/>
                  </w:tcMar>
                  <w:vAlign w:val="center"/>
                </w:tcPr>
                <w:p w14:paraId="0FBFCE42">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64.1</w:t>
                  </w:r>
                </w:p>
              </w:tc>
              <w:tc>
                <w:tcPr>
                  <w:tcW w:w="194" w:type="pct"/>
                  <w:tcBorders>
                    <w:tl2br w:val="nil"/>
                    <w:tr2bl w:val="nil"/>
                  </w:tcBorders>
                  <w:noWrap w:val="0"/>
                  <w:tcMar>
                    <w:top w:w="0" w:type="dxa"/>
                    <w:left w:w="0" w:type="dxa"/>
                    <w:bottom w:w="0" w:type="dxa"/>
                    <w:right w:w="0" w:type="dxa"/>
                  </w:tcMar>
                  <w:vAlign w:val="center"/>
                </w:tcPr>
                <w:p w14:paraId="69FC7F31">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64.1</w:t>
                  </w:r>
                </w:p>
              </w:tc>
              <w:tc>
                <w:tcPr>
                  <w:tcW w:w="194" w:type="pct"/>
                  <w:tcBorders>
                    <w:tl2br w:val="nil"/>
                    <w:tr2bl w:val="nil"/>
                  </w:tcBorders>
                  <w:noWrap w:val="0"/>
                  <w:tcMar>
                    <w:top w:w="0" w:type="dxa"/>
                    <w:left w:w="0" w:type="dxa"/>
                    <w:bottom w:w="0" w:type="dxa"/>
                    <w:right w:w="0" w:type="dxa"/>
                  </w:tcMar>
                  <w:vAlign w:val="center"/>
                </w:tcPr>
                <w:p w14:paraId="6FDD25F6">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64.1</w:t>
                  </w:r>
                </w:p>
              </w:tc>
              <w:tc>
                <w:tcPr>
                  <w:tcW w:w="194" w:type="pct"/>
                  <w:tcBorders>
                    <w:tl2br w:val="nil"/>
                    <w:tr2bl w:val="nil"/>
                  </w:tcBorders>
                  <w:noWrap w:val="0"/>
                  <w:tcMar>
                    <w:top w:w="0" w:type="dxa"/>
                    <w:left w:w="0" w:type="dxa"/>
                    <w:bottom w:w="0" w:type="dxa"/>
                    <w:right w:w="0" w:type="dxa"/>
                  </w:tcMar>
                  <w:vAlign w:val="center"/>
                </w:tcPr>
                <w:p w14:paraId="140FD212">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64.2</w:t>
                  </w:r>
                </w:p>
              </w:tc>
              <w:tc>
                <w:tcPr>
                  <w:tcW w:w="194" w:type="pct"/>
                  <w:tcBorders>
                    <w:tl2br w:val="nil"/>
                    <w:tr2bl w:val="nil"/>
                  </w:tcBorders>
                  <w:noWrap w:val="0"/>
                  <w:tcMar>
                    <w:top w:w="0" w:type="dxa"/>
                    <w:left w:w="0" w:type="dxa"/>
                    <w:bottom w:w="0" w:type="dxa"/>
                    <w:right w:w="0" w:type="dxa"/>
                  </w:tcMar>
                  <w:vAlign w:val="center"/>
                </w:tcPr>
                <w:p w14:paraId="625580E6">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26.0</w:t>
                  </w:r>
                </w:p>
              </w:tc>
              <w:tc>
                <w:tcPr>
                  <w:tcW w:w="194" w:type="pct"/>
                  <w:tcBorders>
                    <w:tl2br w:val="nil"/>
                    <w:tr2bl w:val="nil"/>
                  </w:tcBorders>
                  <w:noWrap w:val="0"/>
                  <w:tcMar>
                    <w:top w:w="0" w:type="dxa"/>
                    <w:left w:w="0" w:type="dxa"/>
                    <w:bottom w:w="0" w:type="dxa"/>
                    <w:right w:w="0" w:type="dxa"/>
                  </w:tcMar>
                  <w:vAlign w:val="center"/>
                </w:tcPr>
                <w:p w14:paraId="1C710930">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26.0</w:t>
                  </w:r>
                </w:p>
              </w:tc>
              <w:tc>
                <w:tcPr>
                  <w:tcW w:w="194" w:type="pct"/>
                  <w:tcBorders>
                    <w:tl2br w:val="nil"/>
                    <w:tr2bl w:val="nil"/>
                  </w:tcBorders>
                  <w:noWrap w:val="0"/>
                  <w:tcMar>
                    <w:top w:w="0" w:type="dxa"/>
                    <w:left w:w="0" w:type="dxa"/>
                    <w:bottom w:w="0" w:type="dxa"/>
                    <w:right w:w="0" w:type="dxa"/>
                  </w:tcMar>
                  <w:vAlign w:val="center"/>
                </w:tcPr>
                <w:p w14:paraId="2D1694E7">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26.0</w:t>
                  </w:r>
                </w:p>
              </w:tc>
              <w:tc>
                <w:tcPr>
                  <w:tcW w:w="194" w:type="pct"/>
                  <w:tcBorders>
                    <w:tl2br w:val="nil"/>
                    <w:tr2bl w:val="nil"/>
                  </w:tcBorders>
                  <w:noWrap w:val="0"/>
                  <w:tcMar>
                    <w:top w:w="0" w:type="dxa"/>
                    <w:left w:w="0" w:type="dxa"/>
                    <w:bottom w:w="0" w:type="dxa"/>
                    <w:right w:w="0" w:type="dxa"/>
                  </w:tcMar>
                  <w:vAlign w:val="center"/>
                </w:tcPr>
                <w:p w14:paraId="4E2278DC">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26.0</w:t>
                  </w:r>
                </w:p>
              </w:tc>
              <w:tc>
                <w:tcPr>
                  <w:tcW w:w="193" w:type="pct"/>
                  <w:tcBorders>
                    <w:tl2br w:val="nil"/>
                    <w:tr2bl w:val="nil"/>
                  </w:tcBorders>
                  <w:noWrap w:val="0"/>
                  <w:tcMar>
                    <w:top w:w="0" w:type="dxa"/>
                    <w:left w:w="0" w:type="dxa"/>
                    <w:bottom w:w="0" w:type="dxa"/>
                    <w:right w:w="0" w:type="dxa"/>
                  </w:tcMar>
                  <w:vAlign w:val="center"/>
                </w:tcPr>
                <w:p w14:paraId="40067325">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38.1</w:t>
                  </w:r>
                </w:p>
              </w:tc>
              <w:tc>
                <w:tcPr>
                  <w:tcW w:w="193" w:type="pct"/>
                  <w:tcBorders>
                    <w:tl2br w:val="nil"/>
                    <w:tr2bl w:val="nil"/>
                  </w:tcBorders>
                  <w:noWrap w:val="0"/>
                  <w:tcMar>
                    <w:top w:w="0" w:type="dxa"/>
                    <w:left w:w="0" w:type="dxa"/>
                    <w:bottom w:w="0" w:type="dxa"/>
                    <w:right w:w="0" w:type="dxa"/>
                  </w:tcMar>
                  <w:vAlign w:val="center"/>
                </w:tcPr>
                <w:p w14:paraId="6A9C0685">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38.1</w:t>
                  </w:r>
                </w:p>
              </w:tc>
              <w:tc>
                <w:tcPr>
                  <w:tcW w:w="193" w:type="pct"/>
                  <w:tcBorders>
                    <w:tl2br w:val="nil"/>
                    <w:tr2bl w:val="nil"/>
                  </w:tcBorders>
                  <w:noWrap w:val="0"/>
                  <w:tcMar>
                    <w:top w:w="0" w:type="dxa"/>
                    <w:left w:w="0" w:type="dxa"/>
                    <w:bottom w:w="0" w:type="dxa"/>
                    <w:right w:w="0" w:type="dxa"/>
                  </w:tcMar>
                  <w:vAlign w:val="center"/>
                </w:tcPr>
                <w:p w14:paraId="2AEF8C1B">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38.1</w:t>
                  </w:r>
                </w:p>
              </w:tc>
              <w:tc>
                <w:tcPr>
                  <w:tcW w:w="193" w:type="pct"/>
                  <w:tcBorders>
                    <w:tl2br w:val="nil"/>
                    <w:tr2bl w:val="nil"/>
                  </w:tcBorders>
                  <w:noWrap w:val="0"/>
                  <w:tcMar>
                    <w:top w:w="0" w:type="dxa"/>
                    <w:left w:w="0" w:type="dxa"/>
                    <w:bottom w:w="0" w:type="dxa"/>
                    <w:right w:w="0" w:type="dxa"/>
                  </w:tcMar>
                  <w:vAlign w:val="center"/>
                </w:tcPr>
                <w:p w14:paraId="7D22BFC3">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38.2</w:t>
                  </w:r>
                </w:p>
              </w:tc>
              <w:tc>
                <w:tcPr>
                  <w:tcW w:w="118" w:type="pct"/>
                  <w:tcBorders>
                    <w:tl2br w:val="nil"/>
                    <w:tr2bl w:val="nil"/>
                  </w:tcBorders>
                  <w:noWrap w:val="0"/>
                  <w:tcMar>
                    <w:top w:w="0" w:type="dxa"/>
                    <w:left w:w="0" w:type="dxa"/>
                    <w:bottom w:w="0" w:type="dxa"/>
                    <w:right w:w="0" w:type="dxa"/>
                  </w:tcMar>
                  <w:vAlign w:val="center"/>
                </w:tcPr>
                <w:p w14:paraId="7131B0F9">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1</w:t>
                  </w:r>
                </w:p>
              </w:tc>
            </w:tr>
            <w:tr w14:paraId="030216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8" w:type="pct"/>
                  <w:tcBorders>
                    <w:tl2br w:val="nil"/>
                    <w:tr2bl w:val="nil"/>
                  </w:tcBorders>
                  <w:noWrap w:val="0"/>
                  <w:tcMar>
                    <w:top w:w="0" w:type="dxa"/>
                    <w:left w:w="0" w:type="dxa"/>
                    <w:bottom w:w="0" w:type="dxa"/>
                    <w:right w:w="0" w:type="dxa"/>
                  </w:tcMar>
                  <w:vAlign w:val="center"/>
                </w:tcPr>
                <w:p w14:paraId="227656E8">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6</w:t>
                  </w:r>
                </w:p>
              </w:tc>
              <w:tc>
                <w:tcPr>
                  <w:tcW w:w="239" w:type="pct"/>
                  <w:tcBorders>
                    <w:tl2br w:val="nil"/>
                    <w:tr2bl w:val="nil"/>
                  </w:tcBorders>
                  <w:noWrap w:val="0"/>
                  <w:tcMar>
                    <w:top w:w="0" w:type="dxa"/>
                    <w:left w:w="0" w:type="dxa"/>
                    <w:bottom w:w="0" w:type="dxa"/>
                    <w:right w:w="0" w:type="dxa"/>
                  </w:tcMar>
                  <w:vAlign w:val="center"/>
                </w:tcPr>
                <w:p w14:paraId="1ABD1420">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离心机</w:t>
                  </w:r>
                </w:p>
              </w:tc>
              <w:tc>
                <w:tcPr>
                  <w:tcW w:w="333" w:type="pct"/>
                  <w:tcBorders>
                    <w:tl2br w:val="nil"/>
                    <w:tr2bl w:val="nil"/>
                  </w:tcBorders>
                  <w:noWrap w:val="0"/>
                  <w:tcMar>
                    <w:top w:w="0" w:type="dxa"/>
                    <w:left w:w="0" w:type="dxa"/>
                    <w:bottom w:w="0" w:type="dxa"/>
                    <w:right w:w="0" w:type="dxa"/>
                  </w:tcMar>
                  <w:vAlign w:val="center"/>
                </w:tcPr>
                <w:p w14:paraId="6F14B9C2">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86.02</w:t>
                  </w:r>
                </w:p>
              </w:tc>
              <w:tc>
                <w:tcPr>
                  <w:tcW w:w="240" w:type="pct"/>
                  <w:vMerge w:val="continue"/>
                  <w:tcBorders>
                    <w:tl2br w:val="nil"/>
                    <w:tr2bl w:val="nil"/>
                  </w:tcBorders>
                  <w:noWrap w:val="0"/>
                  <w:tcMar>
                    <w:top w:w="0" w:type="dxa"/>
                    <w:left w:w="0" w:type="dxa"/>
                    <w:bottom w:w="0" w:type="dxa"/>
                    <w:right w:w="0" w:type="dxa"/>
                  </w:tcMar>
                  <w:vAlign w:val="center"/>
                </w:tcPr>
                <w:p w14:paraId="45A72266">
                  <w:pPr>
                    <w:jc w:val="center"/>
                    <w:rPr>
                      <w:rFonts w:hint="default" w:ascii="Times New Roman" w:hAnsi="Times New Roman" w:cs="Times New Roman"/>
                      <w:color w:val="auto"/>
                      <w:szCs w:val="21"/>
                      <w:highlight w:val="none"/>
                    </w:rPr>
                  </w:pPr>
                </w:p>
              </w:tc>
              <w:tc>
                <w:tcPr>
                  <w:tcW w:w="231" w:type="pct"/>
                  <w:tcBorders>
                    <w:tl2br w:val="nil"/>
                    <w:tr2bl w:val="nil"/>
                  </w:tcBorders>
                  <w:noWrap w:val="0"/>
                  <w:tcMar>
                    <w:top w:w="0" w:type="dxa"/>
                    <w:left w:w="0" w:type="dxa"/>
                    <w:bottom w:w="0" w:type="dxa"/>
                    <w:right w:w="0" w:type="dxa"/>
                  </w:tcMar>
                  <w:vAlign w:val="center"/>
                </w:tcPr>
                <w:p w14:paraId="597530D6">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28.7</w:t>
                  </w:r>
                </w:p>
              </w:tc>
              <w:tc>
                <w:tcPr>
                  <w:tcW w:w="195" w:type="pct"/>
                  <w:tcBorders>
                    <w:tl2br w:val="nil"/>
                    <w:tr2bl w:val="nil"/>
                  </w:tcBorders>
                  <w:noWrap w:val="0"/>
                  <w:tcMar>
                    <w:top w:w="0" w:type="dxa"/>
                    <w:left w:w="0" w:type="dxa"/>
                    <w:bottom w:w="0" w:type="dxa"/>
                    <w:right w:w="0" w:type="dxa"/>
                  </w:tcMar>
                  <w:vAlign w:val="center"/>
                </w:tcPr>
                <w:p w14:paraId="7E54A31C">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58.4</w:t>
                  </w:r>
                </w:p>
              </w:tc>
              <w:tc>
                <w:tcPr>
                  <w:tcW w:w="140" w:type="pct"/>
                  <w:tcBorders>
                    <w:tl2br w:val="nil"/>
                    <w:tr2bl w:val="nil"/>
                  </w:tcBorders>
                  <w:noWrap w:val="0"/>
                  <w:tcMar>
                    <w:top w:w="0" w:type="dxa"/>
                    <w:left w:w="0" w:type="dxa"/>
                    <w:bottom w:w="0" w:type="dxa"/>
                    <w:right w:w="0" w:type="dxa"/>
                  </w:tcMar>
                  <w:vAlign w:val="center"/>
                </w:tcPr>
                <w:p w14:paraId="5ED4B77E">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1.2</w:t>
                  </w:r>
                </w:p>
              </w:tc>
              <w:tc>
                <w:tcPr>
                  <w:tcW w:w="247" w:type="pct"/>
                  <w:tcBorders>
                    <w:tl2br w:val="nil"/>
                    <w:tr2bl w:val="nil"/>
                  </w:tcBorders>
                  <w:noWrap w:val="0"/>
                  <w:tcMar>
                    <w:top w:w="0" w:type="dxa"/>
                    <w:left w:w="0" w:type="dxa"/>
                    <w:bottom w:w="0" w:type="dxa"/>
                    <w:right w:w="0" w:type="dxa"/>
                  </w:tcMar>
                  <w:vAlign w:val="center"/>
                </w:tcPr>
                <w:p w14:paraId="67A67589">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45.8</w:t>
                  </w:r>
                </w:p>
              </w:tc>
              <w:tc>
                <w:tcPr>
                  <w:tcW w:w="247" w:type="pct"/>
                  <w:tcBorders>
                    <w:tl2br w:val="nil"/>
                    <w:tr2bl w:val="nil"/>
                  </w:tcBorders>
                  <w:noWrap w:val="0"/>
                  <w:tcMar>
                    <w:top w:w="0" w:type="dxa"/>
                    <w:left w:w="0" w:type="dxa"/>
                    <w:bottom w:w="0" w:type="dxa"/>
                    <w:right w:w="0" w:type="dxa"/>
                  </w:tcMar>
                  <w:vAlign w:val="center"/>
                </w:tcPr>
                <w:p w14:paraId="50CF3A2E">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121.5</w:t>
                  </w:r>
                </w:p>
              </w:tc>
              <w:tc>
                <w:tcPr>
                  <w:tcW w:w="247" w:type="pct"/>
                  <w:tcBorders>
                    <w:tl2br w:val="nil"/>
                    <w:tr2bl w:val="nil"/>
                  </w:tcBorders>
                  <w:noWrap w:val="0"/>
                  <w:tcMar>
                    <w:top w:w="0" w:type="dxa"/>
                    <w:left w:w="0" w:type="dxa"/>
                    <w:bottom w:w="0" w:type="dxa"/>
                    <w:right w:w="0" w:type="dxa"/>
                  </w:tcMar>
                  <w:vAlign w:val="center"/>
                </w:tcPr>
                <w:p w14:paraId="61771029">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105.5</w:t>
                  </w:r>
                </w:p>
              </w:tc>
              <w:tc>
                <w:tcPr>
                  <w:tcW w:w="193" w:type="pct"/>
                  <w:tcBorders>
                    <w:tl2br w:val="nil"/>
                    <w:tr2bl w:val="nil"/>
                  </w:tcBorders>
                  <w:noWrap w:val="0"/>
                  <w:tcMar>
                    <w:top w:w="0" w:type="dxa"/>
                    <w:left w:w="0" w:type="dxa"/>
                    <w:bottom w:w="0" w:type="dxa"/>
                    <w:right w:w="0" w:type="dxa"/>
                  </w:tcMar>
                  <w:vAlign w:val="center"/>
                </w:tcPr>
                <w:p w14:paraId="302E342C">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24.5</w:t>
                  </w:r>
                </w:p>
              </w:tc>
              <w:tc>
                <w:tcPr>
                  <w:tcW w:w="194" w:type="pct"/>
                  <w:tcBorders>
                    <w:tl2br w:val="nil"/>
                    <w:tr2bl w:val="nil"/>
                  </w:tcBorders>
                  <w:noWrap w:val="0"/>
                  <w:tcMar>
                    <w:top w:w="0" w:type="dxa"/>
                    <w:left w:w="0" w:type="dxa"/>
                    <w:bottom w:w="0" w:type="dxa"/>
                    <w:right w:w="0" w:type="dxa"/>
                  </w:tcMar>
                  <w:vAlign w:val="center"/>
                </w:tcPr>
                <w:p w14:paraId="4CFDFA21">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65.4</w:t>
                  </w:r>
                </w:p>
              </w:tc>
              <w:tc>
                <w:tcPr>
                  <w:tcW w:w="194" w:type="pct"/>
                  <w:tcBorders>
                    <w:tl2br w:val="nil"/>
                    <w:tr2bl w:val="nil"/>
                  </w:tcBorders>
                  <w:noWrap w:val="0"/>
                  <w:tcMar>
                    <w:top w:w="0" w:type="dxa"/>
                    <w:left w:w="0" w:type="dxa"/>
                    <w:bottom w:w="0" w:type="dxa"/>
                    <w:right w:w="0" w:type="dxa"/>
                  </w:tcMar>
                  <w:vAlign w:val="center"/>
                </w:tcPr>
                <w:p w14:paraId="09A0ABF3">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65.4</w:t>
                  </w:r>
                </w:p>
              </w:tc>
              <w:tc>
                <w:tcPr>
                  <w:tcW w:w="194" w:type="pct"/>
                  <w:tcBorders>
                    <w:tl2br w:val="nil"/>
                    <w:tr2bl w:val="nil"/>
                  </w:tcBorders>
                  <w:noWrap w:val="0"/>
                  <w:tcMar>
                    <w:top w:w="0" w:type="dxa"/>
                    <w:left w:w="0" w:type="dxa"/>
                    <w:bottom w:w="0" w:type="dxa"/>
                    <w:right w:w="0" w:type="dxa"/>
                  </w:tcMar>
                  <w:vAlign w:val="center"/>
                </w:tcPr>
                <w:p w14:paraId="6B61DBEE">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65.4</w:t>
                  </w:r>
                </w:p>
              </w:tc>
              <w:tc>
                <w:tcPr>
                  <w:tcW w:w="194" w:type="pct"/>
                  <w:tcBorders>
                    <w:tl2br w:val="nil"/>
                    <w:tr2bl w:val="nil"/>
                  </w:tcBorders>
                  <w:noWrap w:val="0"/>
                  <w:tcMar>
                    <w:top w:w="0" w:type="dxa"/>
                    <w:left w:w="0" w:type="dxa"/>
                    <w:bottom w:w="0" w:type="dxa"/>
                    <w:right w:w="0" w:type="dxa"/>
                  </w:tcMar>
                  <w:vAlign w:val="center"/>
                </w:tcPr>
                <w:p w14:paraId="3894DF04">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65.4</w:t>
                  </w:r>
                </w:p>
              </w:tc>
              <w:tc>
                <w:tcPr>
                  <w:tcW w:w="194" w:type="pct"/>
                  <w:tcBorders>
                    <w:tl2br w:val="nil"/>
                    <w:tr2bl w:val="nil"/>
                  </w:tcBorders>
                  <w:noWrap w:val="0"/>
                  <w:tcMar>
                    <w:top w:w="0" w:type="dxa"/>
                    <w:left w:w="0" w:type="dxa"/>
                    <w:bottom w:w="0" w:type="dxa"/>
                    <w:right w:w="0" w:type="dxa"/>
                  </w:tcMar>
                  <w:vAlign w:val="center"/>
                </w:tcPr>
                <w:p w14:paraId="650C622D">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26.0</w:t>
                  </w:r>
                </w:p>
              </w:tc>
              <w:tc>
                <w:tcPr>
                  <w:tcW w:w="194" w:type="pct"/>
                  <w:tcBorders>
                    <w:tl2br w:val="nil"/>
                    <w:tr2bl w:val="nil"/>
                  </w:tcBorders>
                  <w:noWrap w:val="0"/>
                  <w:tcMar>
                    <w:top w:w="0" w:type="dxa"/>
                    <w:left w:w="0" w:type="dxa"/>
                    <w:bottom w:w="0" w:type="dxa"/>
                    <w:right w:w="0" w:type="dxa"/>
                  </w:tcMar>
                  <w:vAlign w:val="center"/>
                </w:tcPr>
                <w:p w14:paraId="01A949B8">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26.0</w:t>
                  </w:r>
                </w:p>
              </w:tc>
              <w:tc>
                <w:tcPr>
                  <w:tcW w:w="194" w:type="pct"/>
                  <w:tcBorders>
                    <w:tl2br w:val="nil"/>
                    <w:tr2bl w:val="nil"/>
                  </w:tcBorders>
                  <w:noWrap w:val="0"/>
                  <w:tcMar>
                    <w:top w:w="0" w:type="dxa"/>
                    <w:left w:w="0" w:type="dxa"/>
                    <w:bottom w:w="0" w:type="dxa"/>
                    <w:right w:w="0" w:type="dxa"/>
                  </w:tcMar>
                  <w:vAlign w:val="center"/>
                </w:tcPr>
                <w:p w14:paraId="212B068E">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26.0</w:t>
                  </w:r>
                </w:p>
              </w:tc>
              <w:tc>
                <w:tcPr>
                  <w:tcW w:w="194" w:type="pct"/>
                  <w:tcBorders>
                    <w:tl2br w:val="nil"/>
                    <w:tr2bl w:val="nil"/>
                  </w:tcBorders>
                  <w:noWrap w:val="0"/>
                  <w:tcMar>
                    <w:top w:w="0" w:type="dxa"/>
                    <w:left w:w="0" w:type="dxa"/>
                    <w:bottom w:w="0" w:type="dxa"/>
                    <w:right w:w="0" w:type="dxa"/>
                  </w:tcMar>
                  <w:vAlign w:val="center"/>
                </w:tcPr>
                <w:p w14:paraId="0847818F">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26.0</w:t>
                  </w:r>
                </w:p>
              </w:tc>
              <w:tc>
                <w:tcPr>
                  <w:tcW w:w="193" w:type="pct"/>
                  <w:tcBorders>
                    <w:tl2br w:val="nil"/>
                    <w:tr2bl w:val="nil"/>
                  </w:tcBorders>
                  <w:noWrap w:val="0"/>
                  <w:tcMar>
                    <w:top w:w="0" w:type="dxa"/>
                    <w:left w:w="0" w:type="dxa"/>
                    <w:bottom w:w="0" w:type="dxa"/>
                    <w:right w:w="0" w:type="dxa"/>
                  </w:tcMar>
                  <w:vAlign w:val="center"/>
                </w:tcPr>
                <w:p w14:paraId="6009F6DF">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39.4</w:t>
                  </w:r>
                </w:p>
              </w:tc>
              <w:tc>
                <w:tcPr>
                  <w:tcW w:w="193" w:type="pct"/>
                  <w:tcBorders>
                    <w:tl2br w:val="nil"/>
                    <w:tr2bl w:val="nil"/>
                  </w:tcBorders>
                  <w:noWrap w:val="0"/>
                  <w:tcMar>
                    <w:top w:w="0" w:type="dxa"/>
                    <w:left w:w="0" w:type="dxa"/>
                    <w:bottom w:w="0" w:type="dxa"/>
                    <w:right w:w="0" w:type="dxa"/>
                  </w:tcMar>
                  <w:vAlign w:val="center"/>
                </w:tcPr>
                <w:p w14:paraId="321FF283">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39.4</w:t>
                  </w:r>
                </w:p>
              </w:tc>
              <w:tc>
                <w:tcPr>
                  <w:tcW w:w="193" w:type="pct"/>
                  <w:tcBorders>
                    <w:tl2br w:val="nil"/>
                    <w:tr2bl w:val="nil"/>
                  </w:tcBorders>
                  <w:noWrap w:val="0"/>
                  <w:tcMar>
                    <w:top w:w="0" w:type="dxa"/>
                    <w:left w:w="0" w:type="dxa"/>
                    <w:bottom w:w="0" w:type="dxa"/>
                    <w:right w:w="0" w:type="dxa"/>
                  </w:tcMar>
                  <w:vAlign w:val="center"/>
                </w:tcPr>
                <w:p w14:paraId="71952220">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39.4</w:t>
                  </w:r>
                </w:p>
              </w:tc>
              <w:tc>
                <w:tcPr>
                  <w:tcW w:w="193" w:type="pct"/>
                  <w:tcBorders>
                    <w:tl2br w:val="nil"/>
                    <w:tr2bl w:val="nil"/>
                  </w:tcBorders>
                  <w:noWrap w:val="0"/>
                  <w:tcMar>
                    <w:top w:w="0" w:type="dxa"/>
                    <w:left w:w="0" w:type="dxa"/>
                    <w:bottom w:w="0" w:type="dxa"/>
                    <w:right w:w="0" w:type="dxa"/>
                  </w:tcMar>
                  <w:vAlign w:val="center"/>
                </w:tcPr>
                <w:p w14:paraId="76658C50">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39.4</w:t>
                  </w:r>
                </w:p>
              </w:tc>
              <w:tc>
                <w:tcPr>
                  <w:tcW w:w="118" w:type="pct"/>
                  <w:tcBorders>
                    <w:tl2br w:val="nil"/>
                    <w:tr2bl w:val="nil"/>
                  </w:tcBorders>
                  <w:noWrap w:val="0"/>
                  <w:tcMar>
                    <w:top w:w="0" w:type="dxa"/>
                    <w:left w:w="0" w:type="dxa"/>
                    <w:bottom w:w="0" w:type="dxa"/>
                    <w:right w:w="0" w:type="dxa"/>
                  </w:tcMar>
                  <w:vAlign w:val="center"/>
                </w:tcPr>
                <w:p w14:paraId="76DD539C">
                  <w:pPr>
                    <w:jc w:val="center"/>
                    <w:rPr>
                      <w:rFonts w:hint="default" w:ascii="Times New Roman" w:hAnsi="Times New Roman" w:cs="Times New Roman"/>
                      <w:color w:val="auto"/>
                      <w:szCs w:val="21"/>
                      <w:highlight w:val="none"/>
                    </w:rPr>
                  </w:pPr>
                  <w:r>
                    <w:rPr>
                      <w:rFonts w:hint="default" w:ascii="Times New Roman" w:hAnsi="Times New Roman" w:eastAsia="Arial" w:cs="Times New Roman"/>
                      <w:color w:val="auto"/>
                      <w:szCs w:val="21"/>
                      <w:highlight w:val="none"/>
                    </w:rPr>
                    <w:t>1</w:t>
                  </w:r>
                </w:p>
              </w:tc>
            </w:tr>
            <w:bookmarkEnd w:id="1"/>
          </w:tbl>
          <w:p w14:paraId="191826D1">
            <w:pPr>
              <w:keepNext w:val="0"/>
              <w:keepLines w:val="0"/>
              <w:pageBreakBefore w:val="0"/>
              <w:widowControl w:val="0"/>
              <w:kinsoku/>
              <w:wordWrap/>
              <w:overflowPunct/>
              <w:topLinePunct w:val="0"/>
              <w:autoSpaceDE w:val="0"/>
              <w:autoSpaceDN w:val="0"/>
              <w:bidi w:val="0"/>
              <w:adjustRightInd/>
              <w:snapToGrid/>
              <w:spacing w:line="520" w:lineRule="exact"/>
              <w:ind w:firstLine="480" w:firstLineChars="200"/>
              <w:jc w:val="both"/>
              <w:textAlignment w:val="auto"/>
              <w:rPr>
                <w:color w:val="auto"/>
                <w:sz w:val="24"/>
                <w:highlight w:val="none"/>
              </w:rPr>
            </w:pPr>
            <w:r>
              <w:rPr>
                <w:color w:val="auto"/>
                <w:sz w:val="24"/>
                <w:highlight w:val="none"/>
              </w:rPr>
              <w:t>根据以上模式对主要声源噪声衰减进行预测。产噪设备采取隔声、减</w:t>
            </w:r>
            <w:r>
              <w:rPr>
                <w:rFonts w:hint="eastAsia"/>
                <w:color w:val="auto"/>
                <w:sz w:val="24"/>
                <w:highlight w:val="none"/>
                <w:lang w:val="en-US" w:eastAsia="zh-CN"/>
              </w:rPr>
              <w:t>振</w:t>
            </w:r>
            <w:r>
              <w:rPr>
                <w:color w:val="auto"/>
                <w:sz w:val="24"/>
                <w:highlight w:val="none"/>
              </w:rPr>
              <w:t>、吸声等措施后，结合距离衰减，详见噪声衰减预测结果表4-</w:t>
            </w:r>
            <w:r>
              <w:rPr>
                <w:rFonts w:hint="eastAsia"/>
                <w:color w:val="auto"/>
                <w:sz w:val="24"/>
                <w:highlight w:val="none"/>
                <w:lang w:val="en-US" w:eastAsia="zh-CN"/>
              </w:rPr>
              <w:t>10</w:t>
            </w:r>
            <w:r>
              <w:rPr>
                <w:color w:val="auto"/>
                <w:sz w:val="24"/>
                <w:highlight w:val="none"/>
              </w:rPr>
              <w:t>。</w:t>
            </w:r>
          </w:p>
          <w:p w14:paraId="14D847EA">
            <w:pPr>
              <w:autoSpaceDE w:val="0"/>
              <w:autoSpaceDN w:val="0"/>
              <w:adjustRightInd w:val="0"/>
              <w:ind w:firstLine="105" w:firstLineChars="50"/>
              <w:jc w:val="center"/>
              <w:rPr>
                <w:rFonts w:hint="default" w:ascii="Times New Roman" w:hAnsi="Times New Roman" w:cs="Times New Roman"/>
                <w:b/>
                <w:color w:val="auto"/>
                <w:szCs w:val="21"/>
                <w:highlight w:val="none"/>
                <w:lang w:val="zh-CN"/>
              </w:rPr>
            </w:pPr>
            <w:bookmarkStart w:id="3" w:name="_Hlk71786642"/>
            <w:r>
              <w:rPr>
                <w:rFonts w:hint="default" w:ascii="Times New Roman" w:hAnsi="Times New Roman" w:cs="Times New Roman"/>
                <w:b/>
                <w:color w:val="auto"/>
                <w:szCs w:val="21"/>
                <w:highlight w:val="none"/>
                <w:lang w:val="zh-CN"/>
              </w:rPr>
              <w:t>表</w:t>
            </w:r>
            <w:r>
              <w:rPr>
                <w:rFonts w:hint="default" w:ascii="Times New Roman" w:hAnsi="Times New Roman" w:cs="Times New Roman"/>
                <w:b/>
                <w:color w:val="auto"/>
                <w:szCs w:val="21"/>
                <w:highlight w:val="none"/>
              </w:rPr>
              <w:t>4-1</w:t>
            </w:r>
            <w:r>
              <w:rPr>
                <w:rFonts w:hint="eastAsia" w:ascii="Times New Roman" w:hAnsi="Times New Roman" w:cs="Times New Roman"/>
                <w:b/>
                <w:color w:val="auto"/>
                <w:szCs w:val="21"/>
                <w:highlight w:val="none"/>
                <w:lang w:val="en-US" w:eastAsia="zh-CN"/>
              </w:rPr>
              <w:t xml:space="preserve">0  </w:t>
            </w:r>
            <w:r>
              <w:rPr>
                <w:rFonts w:hint="default" w:ascii="Times New Roman" w:hAnsi="Times New Roman" w:cs="Times New Roman"/>
                <w:b/>
                <w:color w:val="auto"/>
                <w:szCs w:val="21"/>
                <w:highlight w:val="none"/>
                <w:lang w:val="zh-CN"/>
              </w:rPr>
              <w:t xml:space="preserve"> 运营期间噪声预测结果一览表        单位：dB（A）</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44"/>
              <w:gridCol w:w="833"/>
              <w:gridCol w:w="833"/>
              <w:gridCol w:w="826"/>
              <w:gridCol w:w="1080"/>
              <w:gridCol w:w="1454"/>
              <w:gridCol w:w="1382"/>
              <w:gridCol w:w="813"/>
            </w:tblGrid>
            <w:tr w14:paraId="68B4B4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8" w:type="pct"/>
                  <w:vMerge w:val="restart"/>
                  <w:noWrap w:val="0"/>
                  <w:vAlign w:val="center"/>
                </w:tcPr>
                <w:p w14:paraId="7F405274">
                  <w:pPr>
                    <w:jc w:val="center"/>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rPr>
                    <w:t>预测方位</w:t>
                  </w:r>
                </w:p>
              </w:tc>
              <w:tc>
                <w:tcPr>
                  <w:tcW w:w="1526" w:type="pct"/>
                  <w:gridSpan w:val="3"/>
                  <w:noWrap w:val="0"/>
                  <w:vAlign w:val="center"/>
                </w:tcPr>
                <w:p w14:paraId="3864B67A">
                  <w:pPr>
                    <w:jc w:val="center"/>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rPr>
                    <w:t>最大值点空间相对位置/m</w:t>
                  </w:r>
                </w:p>
              </w:tc>
              <w:tc>
                <w:tcPr>
                  <w:tcW w:w="661" w:type="pct"/>
                  <w:vMerge w:val="restart"/>
                  <w:noWrap w:val="0"/>
                  <w:vAlign w:val="center"/>
                </w:tcPr>
                <w:p w14:paraId="3961BF35">
                  <w:pPr>
                    <w:jc w:val="center"/>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rPr>
                    <w:t>时段</w:t>
                  </w:r>
                </w:p>
              </w:tc>
              <w:tc>
                <w:tcPr>
                  <w:tcW w:w="890" w:type="pct"/>
                  <w:vMerge w:val="restart"/>
                  <w:noWrap w:val="0"/>
                  <w:vAlign w:val="center"/>
                </w:tcPr>
                <w:p w14:paraId="47F8CDE7">
                  <w:pPr>
                    <w:jc w:val="center"/>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rPr>
                    <w:t>贡献值（dB(A)）</w:t>
                  </w:r>
                </w:p>
              </w:tc>
              <w:tc>
                <w:tcPr>
                  <w:tcW w:w="846" w:type="pct"/>
                  <w:vMerge w:val="restart"/>
                  <w:noWrap w:val="0"/>
                  <w:vAlign w:val="center"/>
                </w:tcPr>
                <w:p w14:paraId="3D0C06F5">
                  <w:pPr>
                    <w:jc w:val="center"/>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rPr>
                    <w:t>标准限值（dB(A)）</w:t>
                  </w:r>
                </w:p>
              </w:tc>
              <w:tc>
                <w:tcPr>
                  <w:tcW w:w="497" w:type="pct"/>
                  <w:vMerge w:val="restart"/>
                  <w:noWrap w:val="0"/>
                  <w:vAlign w:val="center"/>
                </w:tcPr>
                <w:p w14:paraId="1DA789C9">
                  <w:pPr>
                    <w:jc w:val="center"/>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rPr>
                    <w:t>达标情况</w:t>
                  </w:r>
                </w:p>
              </w:tc>
            </w:tr>
            <w:tr w14:paraId="258364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8" w:type="pct"/>
                  <w:vMerge w:val="continue"/>
                  <w:tcBorders>
                    <w:bottom w:val="single" w:color="auto" w:sz="12" w:space="0"/>
                  </w:tcBorders>
                  <w:noWrap w:val="0"/>
                  <w:vAlign w:val="center"/>
                </w:tcPr>
                <w:p w14:paraId="5A2BE9E0">
                  <w:pPr>
                    <w:jc w:val="center"/>
                    <w:rPr>
                      <w:rFonts w:hint="default" w:ascii="Times New Roman" w:hAnsi="Times New Roman" w:cs="Times New Roman"/>
                      <w:color w:val="auto"/>
                      <w:szCs w:val="21"/>
                      <w:highlight w:val="none"/>
                    </w:rPr>
                  </w:pPr>
                </w:p>
              </w:tc>
              <w:tc>
                <w:tcPr>
                  <w:tcW w:w="510" w:type="pct"/>
                  <w:tcBorders>
                    <w:bottom w:val="single" w:color="auto" w:sz="12" w:space="0"/>
                  </w:tcBorders>
                  <w:noWrap w:val="0"/>
                  <w:vAlign w:val="center"/>
                </w:tcPr>
                <w:p w14:paraId="622150B2">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X</w:t>
                  </w:r>
                </w:p>
              </w:tc>
              <w:tc>
                <w:tcPr>
                  <w:tcW w:w="510" w:type="pct"/>
                  <w:tcBorders>
                    <w:bottom w:val="single" w:color="auto" w:sz="12" w:space="0"/>
                  </w:tcBorders>
                  <w:noWrap w:val="0"/>
                  <w:vAlign w:val="center"/>
                </w:tcPr>
                <w:p w14:paraId="3DCCBD19">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Y</w:t>
                  </w:r>
                </w:p>
              </w:tc>
              <w:tc>
                <w:tcPr>
                  <w:tcW w:w="505" w:type="pct"/>
                  <w:tcBorders>
                    <w:bottom w:val="single" w:color="auto" w:sz="12" w:space="0"/>
                  </w:tcBorders>
                  <w:noWrap w:val="0"/>
                  <w:vAlign w:val="center"/>
                </w:tcPr>
                <w:p w14:paraId="7E76C885">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Z</w:t>
                  </w:r>
                </w:p>
              </w:tc>
              <w:tc>
                <w:tcPr>
                  <w:tcW w:w="661" w:type="pct"/>
                  <w:vMerge w:val="continue"/>
                  <w:tcBorders>
                    <w:bottom w:val="single" w:color="auto" w:sz="12" w:space="0"/>
                  </w:tcBorders>
                  <w:noWrap w:val="0"/>
                  <w:vAlign w:val="center"/>
                </w:tcPr>
                <w:p w14:paraId="5FDE37C9">
                  <w:pPr>
                    <w:jc w:val="center"/>
                    <w:rPr>
                      <w:rFonts w:hint="default" w:ascii="Times New Roman" w:hAnsi="Times New Roman" w:cs="Times New Roman"/>
                      <w:color w:val="auto"/>
                      <w:szCs w:val="21"/>
                      <w:highlight w:val="none"/>
                    </w:rPr>
                  </w:pPr>
                </w:p>
              </w:tc>
              <w:tc>
                <w:tcPr>
                  <w:tcW w:w="890" w:type="pct"/>
                  <w:vMerge w:val="continue"/>
                  <w:tcBorders>
                    <w:bottom w:val="single" w:color="auto" w:sz="12" w:space="0"/>
                  </w:tcBorders>
                  <w:noWrap w:val="0"/>
                  <w:vAlign w:val="center"/>
                </w:tcPr>
                <w:p w14:paraId="4883EE8E">
                  <w:pPr>
                    <w:jc w:val="center"/>
                    <w:rPr>
                      <w:rFonts w:hint="default" w:ascii="Times New Roman" w:hAnsi="Times New Roman" w:cs="Times New Roman"/>
                      <w:color w:val="auto"/>
                      <w:szCs w:val="21"/>
                      <w:highlight w:val="none"/>
                    </w:rPr>
                  </w:pPr>
                </w:p>
              </w:tc>
              <w:tc>
                <w:tcPr>
                  <w:tcW w:w="846" w:type="pct"/>
                  <w:vMerge w:val="continue"/>
                  <w:tcBorders>
                    <w:bottom w:val="single" w:color="auto" w:sz="12" w:space="0"/>
                  </w:tcBorders>
                  <w:noWrap w:val="0"/>
                  <w:vAlign w:val="center"/>
                </w:tcPr>
                <w:p w14:paraId="1BE22E2D">
                  <w:pPr>
                    <w:jc w:val="center"/>
                    <w:rPr>
                      <w:rFonts w:hint="default" w:ascii="Times New Roman" w:hAnsi="Times New Roman" w:cs="Times New Roman"/>
                      <w:color w:val="auto"/>
                      <w:szCs w:val="21"/>
                      <w:highlight w:val="none"/>
                    </w:rPr>
                  </w:pPr>
                </w:p>
              </w:tc>
              <w:tc>
                <w:tcPr>
                  <w:tcW w:w="497" w:type="pct"/>
                  <w:vMerge w:val="continue"/>
                  <w:tcBorders>
                    <w:bottom w:val="single" w:color="auto" w:sz="12" w:space="0"/>
                  </w:tcBorders>
                  <w:noWrap w:val="0"/>
                  <w:vAlign w:val="center"/>
                </w:tcPr>
                <w:p w14:paraId="16B09172">
                  <w:pPr>
                    <w:jc w:val="center"/>
                    <w:rPr>
                      <w:rFonts w:hint="default" w:ascii="Times New Roman" w:hAnsi="Times New Roman" w:cs="Times New Roman"/>
                      <w:color w:val="auto"/>
                      <w:szCs w:val="21"/>
                      <w:highlight w:val="none"/>
                    </w:rPr>
                  </w:pPr>
                </w:p>
              </w:tc>
            </w:tr>
            <w:tr w14:paraId="6F3EB1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8" w:type="pct"/>
                  <w:vMerge w:val="restart"/>
                  <w:tcBorders>
                    <w:top w:val="single" w:color="auto" w:sz="12" w:space="0"/>
                    <w:tl2br w:val="nil"/>
                    <w:tr2bl w:val="nil"/>
                  </w:tcBorders>
                  <w:noWrap w:val="0"/>
                  <w:vAlign w:val="center"/>
                </w:tcPr>
                <w:p w14:paraId="22C57A45">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东侧</w:t>
                  </w:r>
                </w:p>
              </w:tc>
              <w:tc>
                <w:tcPr>
                  <w:tcW w:w="510" w:type="pct"/>
                  <w:tcBorders>
                    <w:top w:val="single" w:color="auto" w:sz="12" w:space="0"/>
                    <w:tl2br w:val="nil"/>
                    <w:tr2bl w:val="nil"/>
                  </w:tcBorders>
                  <w:noWrap w:val="0"/>
                  <w:vAlign w:val="center"/>
                </w:tcPr>
                <w:p w14:paraId="5361233B">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82.6</w:t>
                  </w:r>
                </w:p>
              </w:tc>
              <w:tc>
                <w:tcPr>
                  <w:tcW w:w="510" w:type="pct"/>
                  <w:tcBorders>
                    <w:top w:val="single" w:color="auto" w:sz="12" w:space="0"/>
                    <w:tl2br w:val="nil"/>
                    <w:tr2bl w:val="nil"/>
                  </w:tcBorders>
                  <w:noWrap w:val="0"/>
                  <w:vAlign w:val="center"/>
                </w:tcPr>
                <w:p w14:paraId="060E228F">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57</w:t>
                  </w:r>
                </w:p>
              </w:tc>
              <w:tc>
                <w:tcPr>
                  <w:tcW w:w="505" w:type="pct"/>
                  <w:tcBorders>
                    <w:top w:val="single" w:color="auto" w:sz="12" w:space="0"/>
                    <w:tl2br w:val="nil"/>
                    <w:tr2bl w:val="nil"/>
                  </w:tcBorders>
                  <w:noWrap w:val="0"/>
                  <w:vAlign w:val="center"/>
                </w:tcPr>
                <w:p w14:paraId="4DAA8DF4">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w:t>
                  </w:r>
                </w:p>
              </w:tc>
              <w:tc>
                <w:tcPr>
                  <w:tcW w:w="661" w:type="pct"/>
                  <w:tcBorders>
                    <w:top w:val="single" w:color="auto" w:sz="12" w:space="0"/>
                    <w:tl2br w:val="nil"/>
                    <w:tr2bl w:val="nil"/>
                  </w:tcBorders>
                  <w:noWrap w:val="0"/>
                  <w:vAlign w:val="center"/>
                </w:tcPr>
                <w:p w14:paraId="784123A9">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昼间</w:t>
                  </w:r>
                </w:p>
              </w:tc>
              <w:tc>
                <w:tcPr>
                  <w:tcW w:w="890" w:type="pct"/>
                  <w:tcBorders>
                    <w:top w:val="single" w:color="auto" w:sz="12" w:space="0"/>
                    <w:tl2br w:val="nil"/>
                    <w:tr2bl w:val="nil"/>
                  </w:tcBorders>
                  <w:noWrap w:val="0"/>
                  <w:vAlign w:val="center"/>
                </w:tcPr>
                <w:p w14:paraId="3D556EB8">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47.9</w:t>
                  </w:r>
                </w:p>
              </w:tc>
              <w:tc>
                <w:tcPr>
                  <w:tcW w:w="846" w:type="pct"/>
                  <w:tcBorders>
                    <w:top w:val="single" w:color="auto" w:sz="12" w:space="0"/>
                    <w:tl2br w:val="nil"/>
                    <w:tr2bl w:val="nil"/>
                  </w:tcBorders>
                  <w:noWrap w:val="0"/>
                  <w:vAlign w:val="center"/>
                </w:tcPr>
                <w:p w14:paraId="72BFCCCC">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65</w:t>
                  </w:r>
                </w:p>
              </w:tc>
              <w:tc>
                <w:tcPr>
                  <w:tcW w:w="497" w:type="pct"/>
                  <w:tcBorders>
                    <w:top w:val="single" w:color="auto" w:sz="12" w:space="0"/>
                    <w:tl2br w:val="nil"/>
                    <w:tr2bl w:val="nil"/>
                  </w:tcBorders>
                  <w:noWrap w:val="0"/>
                  <w:vAlign w:val="center"/>
                </w:tcPr>
                <w:p w14:paraId="2CEC4B56">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3FCE17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8" w:type="pct"/>
                  <w:vMerge w:val="continue"/>
                  <w:tcBorders>
                    <w:tl2br w:val="nil"/>
                    <w:tr2bl w:val="nil"/>
                  </w:tcBorders>
                  <w:noWrap w:val="0"/>
                  <w:vAlign w:val="center"/>
                </w:tcPr>
                <w:p w14:paraId="1F744250">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东侧</w:t>
                  </w:r>
                </w:p>
              </w:tc>
              <w:tc>
                <w:tcPr>
                  <w:tcW w:w="510" w:type="pct"/>
                  <w:tcBorders>
                    <w:tl2br w:val="nil"/>
                    <w:tr2bl w:val="nil"/>
                  </w:tcBorders>
                  <w:noWrap w:val="0"/>
                  <w:vAlign w:val="center"/>
                </w:tcPr>
                <w:p w14:paraId="476AEBAD">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82.6</w:t>
                  </w:r>
                </w:p>
              </w:tc>
              <w:tc>
                <w:tcPr>
                  <w:tcW w:w="510" w:type="pct"/>
                  <w:tcBorders>
                    <w:tl2br w:val="nil"/>
                    <w:tr2bl w:val="nil"/>
                  </w:tcBorders>
                  <w:noWrap w:val="0"/>
                  <w:vAlign w:val="center"/>
                </w:tcPr>
                <w:p w14:paraId="0C008F1A">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57</w:t>
                  </w:r>
                </w:p>
              </w:tc>
              <w:tc>
                <w:tcPr>
                  <w:tcW w:w="505" w:type="pct"/>
                  <w:tcBorders>
                    <w:tl2br w:val="nil"/>
                    <w:tr2bl w:val="nil"/>
                  </w:tcBorders>
                  <w:noWrap w:val="0"/>
                  <w:vAlign w:val="center"/>
                </w:tcPr>
                <w:p w14:paraId="3272FFCE">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w:t>
                  </w:r>
                </w:p>
              </w:tc>
              <w:tc>
                <w:tcPr>
                  <w:tcW w:w="661" w:type="pct"/>
                  <w:tcBorders>
                    <w:tl2br w:val="nil"/>
                    <w:tr2bl w:val="nil"/>
                  </w:tcBorders>
                  <w:noWrap w:val="0"/>
                  <w:vAlign w:val="center"/>
                </w:tcPr>
                <w:p w14:paraId="2042F8BF">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夜间</w:t>
                  </w:r>
                </w:p>
              </w:tc>
              <w:tc>
                <w:tcPr>
                  <w:tcW w:w="890" w:type="pct"/>
                  <w:tcBorders>
                    <w:tl2br w:val="nil"/>
                    <w:tr2bl w:val="nil"/>
                  </w:tcBorders>
                  <w:noWrap w:val="0"/>
                  <w:vAlign w:val="center"/>
                </w:tcPr>
                <w:p w14:paraId="0A33EBD3">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47.9</w:t>
                  </w:r>
                </w:p>
              </w:tc>
              <w:tc>
                <w:tcPr>
                  <w:tcW w:w="846" w:type="pct"/>
                  <w:tcBorders>
                    <w:tl2br w:val="nil"/>
                    <w:tr2bl w:val="nil"/>
                  </w:tcBorders>
                  <w:noWrap w:val="0"/>
                  <w:vAlign w:val="center"/>
                </w:tcPr>
                <w:p w14:paraId="5AE3FF49">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55</w:t>
                  </w:r>
                </w:p>
              </w:tc>
              <w:tc>
                <w:tcPr>
                  <w:tcW w:w="497" w:type="pct"/>
                  <w:tcBorders>
                    <w:tl2br w:val="nil"/>
                    <w:tr2bl w:val="nil"/>
                  </w:tcBorders>
                  <w:noWrap w:val="0"/>
                  <w:vAlign w:val="center"/>
                </w:tcPr>
                <w:p w14:paraId="1931E7B0">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7D5787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8" w:type="pct"/>
                  <w:vMerge w:val="restart"/>
                  <w:tcBorders>
                    <w:tl2br w:val="nil"/>
                    <w:tr2bl w:val="nil"/>
                  </w:tcBorders>
                  <w:noWrap w:val="0"/>
                  <w:vAlign w:val="center"/>
                </w:tcPr>
                <w:p w14:paraId="72729568">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南侧</w:t>
                  </w:r>
                </w:p>
              </w:tc>
              <w:tc>
                <w:tcPr>
                  <w:tcW w:w="510" w:type="pct"/>
                  <w:tcBorders>
                    <w:tl2br w:val="nil"/>
                    <w:tr2bl w:val="nil"/>
                  </w:tcBorders>
                  <w:noWrap w:val="0"/>
                  <w:vAlign w:val="center"/>
                </w:tcPr>
                <w:p w14:paraId="5B616114">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-24.6</w:t>
                  </w:r>
                </w:p>
              </w:tc>
              <w:tc>
                <w:tcPr>
                  <w:tcW w:w="510" w:type="pct"/>
                  <w:tcBorders>
                    <w:tl2br w:val="nil"/>
                    <w:tr2bl w:val="nil"/>
                  </w:tcBorders>
                  <w:noWrap w:val="0"/>
                  <w:vAlign w:val="center"/>
                </w:tcPr>
                <w:p w14:paraId="07AAF895">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-85.6</w:t>
                  </w:r>
                </w:p>
              </w:tc>
              <w:tc>
                <w:tcPr>
                  <w:tcW w:w="505" w:type="pct"/>
                  <w:tcBorders>
                    <w:tl2br w:val="nil"/>
                    <w:tr2bl w:val="nil"/>
                  </w:tcBorders>
                  <w:noWrap w:val="0"/>
                  <w:vAlign w:val="center"/>
                </w:tcPr>
                <w:p w14:paraId="456CF143">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w:t>
                  </w:r>
                </w:p>
              </w:tc>
              <w:tc>
                <w:tcPr>
                  <w:tcW w:w="661" w:type="pct"/>
                  <w:tcBorders>
                    <w:tl2br w:val="nil"/>
                    <w:tr2bl w:val="nil"/>
                  </w:tcBorders>
                  <w:noWrap w:val="0"/>
                  <w:vAlign w:val="center"/>
                </w:tcPr>
                <w:p w14:paraId="2C77775F">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昼间</w:t>
                  </w:r>
                </w:p>
              </w:tc>
              <w:tc>
                <w:tcPr>
                  <w:tcW w:w="890" w:type="pct"/>
                  <w:tcBorders>
                    <w:tl2br w:val="nil"/>
                    <w:tr2bl w:val="nil"/>
                  </w:tcBorders>
                  <w:noWrap w:val="0"/>
                  <w:vAlign w:val="center"/>
                </w:tcPr>
                <w:p w14:paraId="18D48398">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44.9</w:t>
                  </w:r>
                </w:p>
              </w:tc>
              <w:tc>
                <w:tcPr>
                  <w:tcW w:w="846" w:type="pct"/>
                  <w:tcBorders>
                    <w:tl2br w:val="nil"/>
                    <w:tr2bl w:val="nil"/>
                  </w:tcBorders>
                  <w:noWrap w:val="0"/>
                  <w:vAlign w:val="center"/>
                </w:tcPr>
                <w:p w14:paraId="70938690">
                  <w:pPr>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65</w:t>
                  </w:r>
                </w:p>
              </w:tc>
              <w:tc>
                <w:tcPr>
                  <w:tcW w:w="497" w:type="pct"/>
                  <w:tcBorders>
                    <w:tl2br w:val="nil"/>
                    <w:tr2bl w:val="nil"/>
                  </w:tcBorders>
                  <w:noWrap w:val="0"/>
                  <w:vAlign w:val="center"/>
                </w:tcPr>
                <w:p w14:paraId="5256399B">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5BF58C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8" w:type="pct"/>
                  <w:vMerge w:val="continue"/>
                  <w:tcBorders>
                    <w:tl2br w:val="nil"/>
                    <w:tr2bl w:val="nil"/>
                  </w:tcBorders>
                  <w:noWrap w:val="0"/>
                  <w:vAlign w:val="center"/>
                </w:tcPr>
                <w:p w14:paraId="11AE97DF">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南侧</w:t>
                  </w:r>
                </w:p>
              </w:tc>
              <w:tc>
                <w:tcPr>
                  <w:tcW w:w="510" w:type="pct"/>
                  <w:tcBorders>
                    <w:tl2br w:val="nil"/>
                    <w:tr2bl w:val="nil"/>
                  </w:tcBorders>
                  <w:noWrap w:val="0"/>
                  <w:vAlign w:val="center"/>
                </w:tcPr>
                <w:p w14:paraId="2A9C6F47">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-24.6</w:t>
                  </w:r>
                </w:p>
              </w:tc>
              <w:tc>
                <w:tcPr>
                  <w:tcW w:w="510" w:type="pct"/>
                  <w:tcBorders>
                    <w:tl2br w:val="nil"/>
                    <w:tr2bl w:val="nil"/>
                  </w:tcBorders>
                  <w:noWrap w:val="0"/>
                  <w:vAlign w:val="center"/>
                </w:tcPr>
                <w:p w14:paraId="143F0023">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-85.6</w:t>
                  </w:r>
                </w:p>
              </w:tc>
              <w:tc>
                <w:tcPr>
                  <w:tcW w:w="505" w:type="pct"/>
                  <w:tcBorders>
                    <w:tl2br w:val="nil"/>
                    <w:tr2bl w:val="nil"/>
                  </w:tcBorders>
                  <w:noWrap w:val="0"/>
                  <w:vAlign w:val="center"/>
                </w:tcPr>
                <w:p w14:paraId="5F72FA3A">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w:t>
                  </w:r>
                </w:p>
              </w:tc>
              <w:tc>
                <w:tcPr>
                  <w:tcW w:w="661" w:type="pct"/>
                  <w:tcBorders>
                    <w:tl2br w:val="nil"/>
                    <w:tr2bl w:val="nil"/>
                  </w:tcBorders>
                  <w:noWrap w:val="0"/>
                  <w:vAlign w:val="center"/>
                </w:tcPr>
                <w:p w14:paraId="7E7AA513">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夜间</w:t>
                  </w:r>
                </w:p>
              </w:tc>
              <w:tc>
                <w:tcPr>
                  <w:tcW w:w="890" w:type="pct"/>
                  <w:tcBorders>
                    <w:tl2br w:val="nil"/>
                    <w:tr2bl w:val="nil"/>
                  </w:tcBorders>
                  <w:noWrap w:val="0"/>
                  <w:vAlign w:val="center"/>
                </w:tcPr>
                <w:p w14:paraId="363443FA">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44.9</w:t>
                  </w:r>
                </w:p>
              </w:tc>
              <w:tc>
                <w:tcPr>
                  <w:tcW w:w="846" w:type="pct"/>
                  <w:tcBorders>
                    <w:tl2br w:val="nil"/>
                    <w:tr2bl w:val="nil"/>
                  </w:tcBorders>
                  <w:noWrap w:val="0"/>
                  <w:vAlign w:val="center"/>
                </w:tcPr>
                <w:p w14:paraId="16705CC0">
                  <w:pPr>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55</w:t>
                  </w:r>
                </w:p>
              </w:tc>
              <w:tc>
                <w:tcPr>
                  <w:tcW w:w="497" w:type="pct"/>
                  <w:tcBorders>
                    <w:tl2br w:val="nil"/>
                    <w:tr2bl w:val="nil"/>
                  </w:tcBorders>
                  <w:noWrap w:val="0"/>
                  <w:vAlign w:val="center"/>
                </w:tcPr>
                <w:p w14:paraId="04CB13D4">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6BB9C2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8" w:type="pct"/>
                  <w:vMerge w:val="restart"/>
                  <w:tcBorders>
                    <w:tl2br w:val="nil"/>
                    <w:tr2bl w:val="nil"/>
                  </w:tcBorders>
                  <w:noWrap w:val="0"/>
                  <w:vAlign w:val="center"/>
                </w:tcPr>
                <w:p w14:paraId="154AC4D2">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西侧</w:t>
                  </w:r>
                </w:p>
              </w:tc>
              <w:tc>
                <w:tcPr>
                  <w:tcW w:w="510" w:type="pct"/>
                  <w:tcBorders>
                    <w:tl2br w:val="nil"/>
                    <w:tr2bl w:val="nil"/>
                  </w:tcBorders>
                  <w:noWrap w:val="0"/>
                  <w:vAlign w:val="center"/>
                </w:tcPr>
                <w:p w14:paraId="4484D402">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-0.9</w:t>
                  </w:r>
                </w:p>
              </w:tc>
              <w:tc>
                <w:tcPr>
                  <w:tcW w:w="510" w:type="pct"/>
                  <w:tcBorders>
                    <w:tl2br w:val="nil"/>
                    <w:tr2bl w:val="nil"/>
                  </w:tcBorders>
                  <w:noWrap w:val="0"/>
                  <w:vAlign w:val="center"/>
                </w:tcPr>
                <w:p w14:paraId="27202D63">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w:t>
                  </w:r>
                </w:p>
              </w:tc>
              <w:tc>
                <w:tcPr>
                  <w:tcW w:w="505" w:type="pct"/>
                  <w:tcBorders>
                    <w:tl2br w:val="nil"/>
                    <w:tr2bl w:val="nil"/>
                  </w:tcBorders>
                  <w:noWrap w:val="0"/>
                  <w:vAlign w:val="center"/>
                </w:tcPr>
                <w:p w14:paraId="1078B23A">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w:t>
                  </w:r>
                </w:p>
              </w:tc>
              <w:tc>
                <w:tcPr>
                  <w:tcW w:w="661" w:type="pct"/>
                  <w:tcBorders>
                    <w:tl2br w:val="nil"/>
                    <w:tr2bl w:val="nil"/>
                  </w:tcBorders>
                  <w:noWrap w:val="0"/>
                  <w:vAlign w:val="center"/>
                </w:tcPr>
                <w:p w14:paraId="532E077B">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昼间</w:t>
                  </w:r>
                </w:p>
              </w:tc>
              <w:tc>
                <w:tcPr>
                  <w:tcW w:w="890" w:type="pct"/>
                  <w:tcBorders>
                    <w:tl2br w:val="nil"/>
                    <w:tr2bl w:val="nil"/>
                  </w:tcBorders>
                  <w:noWrap w:val="0"/>
                  <w:vAlign w:val="center"/>
                </w:tcPr>
                <w:p w14:paraId="422BE3A3">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44.1</w:t>
                  </w:r>
                </w:p>
              </w:tc>
              <w:tc>
                <w:tcPr>
                  <w:tcW w:w="846" w:type="pct"/>
                  <w:tcBorders>
                    <w:tl2br w:val="nil"/>
                    <w:tr2bl w:val="nil"/>
                  </w:tcBorders>
                  <w:noWrap w:val="0"/>
                  <w:vAlign w:val="center"/>
                </w:tcPr>
                <w:p w14:paraId="74F4B373">
                  <w:pPr>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65</w:t>
                  </w:r>
                </w:p>
              </w:tc>
              <w:tc>
                <w:tcPr>
                  <w:tcW w:w="497" w:type="pct"/>
                  <w:tcBorders>
                    <w:tl2br w:val="nil"/>
                    <w:tr2bl w:val="nil"/>
                  </w:tcBorders>
                  <w:noWrap w:val="0"/>
                  <w:vAlign w:val="center"/>
                </w:tcPr>
                <w:p w14:paraId="6FD839C5">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4E6B83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8" w:type="pct"/>
                  <w:vMerge w:val="continue"/>
                  <w:tcBorders>
                    <w:tl2br w:val="nil"/>
                    <w:tr2bl w:val="nil"/>
                  </w:tcBorders>
                  <w:noWrap w:val="0"/>
                  <w:vAlign w:val="center"/>
                </w:tcPr>
                <w:p w14:paraId="67AC8ED5">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西侧</w:t>
                  </w:r>
                </w:p>
              </w:tc>
              <w:tc>
                <w:tcPr>
                  <w:tcW w:w="510" w:type="pct"/>
                  <w:tcBorders>
                    <w:tl2br w:val="nil"/>
                    <w:tr2bl w:val="nil"/>
                  </w:tcBorders>
                  <w:noWrap w:val="0"/>
                  <w:vAlign w:val="center"/>
                </w:tcPr>
                <w:p w14:paraId="7134BD3C">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-0.9</w:t>
                  </w:r>
                </w:p>
              </w:tc>
              <w:tc>
                <w:tcPr>
                  <w:tcW w:w="510" w:type="pct"/>
                  <w:tcBorders>
                    <w:tl2br w:val="nil"/>
                    <w:tr2bl w:val="nil"/>
                  </w:tcBorders>
                  <w:noWrap w:val="0"/>
                  <w:vAlign w:val="center"/>
                </w:tcPr>
                <w:p w14:paraId="315C7C1F">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w:t>
                  </w:r>
                </w:p>
              </w:tc>
              <w:tc>
                <w:tcPr>
                  <w:tcW w:w="505" w:type="pct"/>
                  <w:tcBorders>
                    <w:tl2br w:val="nil"/>
                    <w:tr2bl w:val="nil"/>
                  </w:tcBorders>
                  <w:noWrap w:val="0"/>
                  <w:vAlign w:val="center"/>
                </w:tcPr>
                <w:p w14:paraId="15398FC7">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w:t>
                  </w:r>
                </w:p>
              </w:tc>
              <w:tc>
                <w:tcPr>
                  <w:tcW w:w="661" w:type="pct"/>
                  <w:tcBorders>
                    <w:tl2br w:val="nil"/>
                    <w:tr2bl w:val="nil"/>
                  </w:tcBorders>
                  <w:noWrap w:val="0"/>
                  <w:vAlign w:val="center"/>
                </w:tcPr>
                <w:p w14:paraId="4D203AEE">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夜间</w:t>
                  </w:r>
                </w:p>
              </w:tc>
              <w:tc>
                <w:tcPr>
                  <w:tcW w:w="890" w:type="pct"/>
                  <w:tcBorders>
                    <w:tl2br w:val="nil"/>
                    <w:tr2bl w:val="nil"/>
                  </w:tcBorders>
                  <w:noWrap w:val="0"/>
                  <w:vAlign w:val="center"/>
                </w:tcPr>
                <w:p w14:paraId="1CBC0027">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44.1</w:t>
                  </w:r>
                </w:p>
              </w:tc>
              <w:tc>
                <w:tcPr>
                  <w:tcW w:w="846" w:type="pct"/>
                  <w:tcBorders>
                    <w:tl2br w:val="nil"/>
                    <w:tr2bl w:val="nil"/>
                  </w:tcBorders>
                  <w:noWrap w:val="0"/>
                  <w:vAlign w:val="center"/>
                </w:tcPr>
                <w:p w14:paraId="2CEF3C26">
                  <w:pPr>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55</w:t>
                  </w:r>
                </w:p>
              </w:tc>
              <w:tc>
                <w:tcPr>
                  <w:tcW w:w="497" w:type="pct"/>
                  <w:tcBorders>
                    <w:tl2br w:val="nil"/>
                    <w:tr2bl w:val="nil"/>
                  </w:tcBorders>
                  <w:noWrap w:val="0"/>
                  <w:vAlign w:val="center"/>
                </w:tcPr>
                <w:p w14:paraId="2A2D3ECC">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277C46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8" w:type="pct"/>
                  <w:vMerge w:val="restart"/>
                  <w:tcBorders>
                    <w:tl2br w:val="nil"/>
                    <w:tr2bl w:val="nil"/>
                  </w:tcBorders>
                  <w:noWrap w:val="0"/>
                  <w:vAlign w:val="center"/>
                </w:tcPr>
                <w:p w14:paraId="3AB929AB">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北侧</w:t>
                  </w:r>
                </w:p>
              </w:tc>
              <w:tc>
                <w:tcPr>
                  <w:tcW w:w="510" w:type="pct"/>
                  <w:tcBorders>
                    <w:tl2br w:val="nil"/>
                    <w:tr2bl w:val="nil"/>
                  </w:tcBorders>
                  <w:noWrap w:val="0"/>
                  <w:vAlign w:val="center"/>
                </w:tcPr>
                <w:p w14:paraId="45D82F45">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48.1</w:t>
                  </w:r>
                </w:p>
              </w:tc>
              <w:tc>
                <w:tcPr>
                  <w:tcW w:w="510" w:type="pct"/>
                  <w:tcBorders>
                    <w:tl2br w:val="nil"/>
                    <w:tr2bl w:val="nil"/>
                  </w:tcBorders>
                  <w:noWrap w:val="0"/>
                  <w:vAlign w:val="center"/>
                </w:tcPr>
                <w:p w14:paraId="70C19D76">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57.6</w:t>
                  </w:r>
                </w:p>
              </w:tc>
              <w:tc>
                <w:tcPr>
                  <w:tcW w:w="505" w:type="pct"/>
                  <w:tcBorders>
                    <w:tl2br w:val="nil"/>
                    <w:tr2bl w:val="nil"/>
                  </w:tcBorders>
                  <w:noWrap w:val="0"/>
                  <w:vAlign w:val="center"/>
                </w:tcPr>
                <w:p w14:paraId="7C523604">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w:t>
                  </w:r>
                </w:p>
              </w:tc>
              <w:tc>
                <w:tcPr>
                  <w:tcW w:w="661" w:type="pct"/>
                  <w:tcBorders>
                    <w:tl2br w:val="nil"/>
                    <w:tr2bl w:val="nil"/>
                  </w:tcBorders>
                  <w:noWrap w:val="0"/>
                  <w:vAlign w:val="center"/>
                </w:tcPr>
                <w:p w14:paraId="483BE028">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昼间</w:t>
                  </w:r>
                </w:p>
              </w:tc>
              <w:tc>
                <w:tcPr>
                  <w:tcW w:w="890" w:type="pct"/>
                  <w:tcBorders>
                    <w:tl2br w:val="nil"/>
                    <w:tr2bl w:val="nil"/>
                  </w:tcBorders>
                  <w:noWrap w:val="0"/>
                  <w:vAlign w:val="center"/>
                </w:tcPr>
                <w:p w14:paraId="30D5A522">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49.4</w:t>
                  </w:r>
                </w:p>
              </w:tc>
              <w:tc>
                <w:tcPr>
                  <w:tcW w:w="846" w:type="pct"/>
                  <w:tcBorders>
                    <w:tl2br w:val="nil"/>
                    <w:tr2bl w:val="nil"/>
                  </w:tcBorders>
                  <w:noWrap w:val="0"/>
                  <w:vAlign w:val="center"/>
                </w:tcPr>
                <w:p w14:paraId="6F6220D5">
                  <w:pPr>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65</w:t>
                  </w:r>
                </w:p>
              </w:tc>
              <w:tc>
                <w:tcPr>
                  <w:tcW w:w="497" w:type="pct"/>
                  <w:tcBorders>
                    <w:tl2br w:val="nil"/>
                    <w:tr2bl w:val="nil"/>
                  </w:tcBorders>
                  <w:noWrap w:val="0"/>
                  <w:vAlign w:val="center"/>
                </w:tcPr>
                <w:p w14:paraId="6F6C3760">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69DA63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8" w:type="pct"/>
                  <w:vMerge w:val="continue"/>
                  <w:tcBorders>
                    <w:tl2br w:val="nil"/>
                    <w:tr2bl w:val="nil"/>
                  </w:tcBorders>
                  <w:noWrap w:val="0"/>
                  <w:vAlign w:val="center"/>
                </w:tcPr>
                <w:p w14:paraId="12562B28">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北侧</w:t>
                  </w:r>
                </w:p>
              </w:tc>
              <w:tc>
                <w:tcPr>
                  <w:tcW w:w="510" w:type="pct"/>
                  <w:tcBorders>
                    <w:tl2br w:val="nil"/>
                    <w:tr2bl w:val="nil"/>
                  </w:tcBorders>
                  <w:noWrap w:val="0"/>
                  <w:vAlign w:val="center"/>
                </w:tcPr>
                <w:p w14:paraId="4AF3C8B2">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48.1</w:t>
                  </w:r>
                </w:p>
              </w:tc>
              <w:tc>
                <w:tcPr>
                  <w:tcW w:w="510" w:type="pct"/>
                  <w:tcBorders>
                    <w:tl2br w:val="nil"/>
                    <w:tr2bl w:val="nil"/>
                  </w:tcBorders>
                  <w:noWrap w:val="0"/>
                  <w:vAlign w:val="center"/>
                </w:tcPr>
                <w:p w14:paraId="0CCCBA94">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57.6</w:t>
                  </w:r>
                </w:p>
              </w:tc>
              <w:tc>
                <w:tcPr>
                  <w:tcW w:w="505" w:type="pct"/>
                  <w:tcBorders>
                    <w:tl2br w:val="nil"/>
                    <w:tr2bl w:val="nil"/>
                  </w:tcBorders>
                  <w:noWrap w:val="0"/>
                  <w:vAlign w:val="center"/>
                </w:tcPr>
                <w:p w14:paraId="16959263">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w:t>
                  </w:r>
                </w:p>
              </w:tc>
              <w:tc>
                <w:tcPr>
                  <w:tcW w:w="661" w:type="pct"/>
                  <w:tcBorders>
                    <w:tl2br w:val="nil"/>
                    <w:tr2bl w:val="nil"/>
                  </w:tcBorders>
                  <w:noWrap w:val="0"/>
                  <w:vAlign w:val="center"/>
                </w:tcPr>
                <w:p w14:paraId="6810DE4C">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夜间</w:t>
                  </w:r>
                </w:p>
              </w:tc>
              <w:tc>
                <w:tcPr>
                  <w:tcW w:w="890" w:type="pct"/>
                  <w:tcBorders>
                    <w:tl2br w:val="nil"/>
                    <w:tr2bl w:val="nil"/>
                  </w:tcBorders>
                  <w:noWrap w:val="0"/>
                  <w:vAlign w:val="center"/>
                </w:tcPr>
                <w:p w14:paraId="40F39817">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49.4</w:t>
                  </w:r>
                </w:p>
              </w:tc>
              <w:tc>
                <w:tcPr>
                  <w:tcW w:w="846" w:type="pct"/>
                  <w:tcBorders>
                    <w:tl2br w:val="nil"/>
                    <w:tr2bl w:val="nil"/>
                  </w:tcBorders>
                  <w:noWrap w:val="0"/>
                  <w:vAlign w:val="center"/>
                </w:tcPr>
                <w:p w14:paraId="118BBC60">
                  <w:pPr>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55</w:t>
                  </w:r>
                </w:p>
              </w:tc>
              <w:tc>
                <w:tcPr>
                  <w:tcW w:w="497" w:type="pct"/>
                  <w:tcBorders>
                    <w:tl2br w:val="nil"/>
                    <w:tr2bl w:val="nil"/>
                  </w:tcBorders>
                  <w:noWrap w:val="0"/>
                  <w:vAlign w:val="center"/>
                </w:tcPr>
                <w:p w14:paraId="04984CA7">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bl>
          <w:p w14:paraId="535054E4">
            <w:pPr>
              <w:keepNext w:val="0"/>
              <w:keepLines w:val="0"/>
              <w:pageBreakBefore w:val="0"/>
              <w:widowControl w:val="0"/>
              <w:kinsoku/>
              <w:wordWrap/>
              <w:overflowPunct/>
              <w:topLinePunct w:val="0"/>
              <w:autoSpaceDE/>
              <w:autoSpaceDN/>
              <w:bidi w:val="0"/>
              <w:spacing w:line="520" w:lineRule="exact"/>
              <w:ind w:firstLine="480" w:firstLineChars="200"/>
              <w:jc w:val="both"/>
              <w:textAlignment w:val="auto"/>
              <w:rPr>
                <w:color w:val="auto"/>
                <w:sz w:val="24"/>
              </w:rPr>
            </w:pPr>
            <w:r>
              <w:rPr>
                <w:rFonts w:hint="default" w:eastAsia="宋体"/>
                <w:color w:val="auto"/>
                <w:kern w:val="2"/>
                <w:sz w:val="24"/>
                <w:szCs w:val="24"/>
                <w:lang w:eastAsia="zh-CN"/>
              </w:rPr>
              <w:t>由上表可知，建设项目投入运营后，</w:t>
            </w:r>
            <w:r>
              <w:rPr>
                <w:rFonts w:hint="default" w:eastAsia="宋体"/>
                <w:color w:val="auto"/>
                <w:kern w:val="2"/>
                <w:sz w:val="24"/>
                <w:szCs w:val="24"/>
                <w:lang w:val="en-US" w:eastAsia="zh-CN"/>
              </w:rPr>
              <w:t>昼间</w:t>
            </w:r>
            <w:r>
              <w:rPr>
                <w:rFonts w:hint="eastAsia"/>
                <w:color w:val="auto"/>
                <w:kern w:val="2"/>
                <w:sz w:val="24"/>
                <w:szCs w:val="24"/>
                <w:lang w:val="en-US" w:eastAsia="zh-CN"/>
              </w:rPr>
              <w:t>、夜间</w:t>
            </w:r>
            <w:r>
              <w:rPr>
                <w:rFonts w:hint="default" w:eastAsia="宋体"/>
                <w:color w:val="auto"/>
                <w:kern w:val="2"/>
                <w:sz w:val="24"/>
                <w:szCs w:val="24"/>
                <w:lang w:eastAsia="zh-CN"/>
              </w:rPr>
              <w:t>各厂界噪声可以达到《工业企业厂界环境噪声排放标准》（GB12348-2008）</w:t>
            </w:r>
            <w:r>
              <w:rPr>
                <w:rFonts w:hint="default" w:eastAsia="宋体"/>
                <w:color w:val="auto"/>
                <w:kern w:val="2"/>
                <w:sz w:val="24"/>
                <w:szCs w:val="24"/>
                <w:lang w:val="en-US" w:eastAsia="zh-CN"/>
              </w:rPr>
              <w:t>中</w:t>
            </w:r>
            <w:r>
              <w:rPr>
                <w:rFonts w:hint="eastAsia"/>
                <w:color w:val="auto"/>
                <w:kern w:val="2"/>
                <w:sz w:val="24"/>
                <w:szCs w:val="24"/>
                <w:lang w:val="en-US" w:eastAsia="zh-CN"/>
              </w:rPr>
              <w:t>3</w:t>
            </w:r>
            <w:r>
              <w:rPr>
                <w:rFonts w:hint="default" w:eastAsia="宋体"/>
                <w:color w:val="auto"/>
                <w:kern w:val="2"/>
                <w:sz w:val="24"/>
                <w:szCs w:val="24"/>
                <w:lang w:val="en-US" w:eastAsia="zh-CN"/>
              </w:rPr>
              <w:t>类标准要求</w:t>
            </w:r>
            <w:r>
              <w:rPr>
                <w:rFonts w:hint="default" w:eastAsia="宋体"/>
                <w:color w:val="auto"/>
                <w:kern w:val="2"/>
                <w:sz w:val="24"/>
                <w:szCs w:val="24"/>
                <w:lang w:eastAsia="zh-CN"/>
              </w:rPr>
              <w:t>。</w:t>
            </w:r>
            <w:r>
              <w:rPr>
                <w:color w:val="auto"/>
                <w:sz w:val="24"/>
              </w:rPr>
              <w:t>本项目多数强噪声设备均安装在室内，故该项目建设对周围环境造成影响较小。</w:t>
            </w:r>
          </w:p>
          <w:p w14:paraId="539CB68D">
            <w:pPr>
              <w:keepNext w:val="0"/>
              <w:keepLines w:val="0"/>
              <w:pageBreakBefore w:val="0"/>
              <w:widowControl w:val="0"/>
              <w:kinsoku/>
              <w:wordWrap/>
              <w:overflowPunct/>
              <w:topLinePunct w:val="0"/>
              <w:autoSpaceDE/>
              <w:autoSpaceDN/>
              <w:bidi w:val="0"/>
              <w:spacing w:line="520" w:lineRule="exact"/>
              <w:ind w:firstLine="480" w:firstLineChars="200"/>
              <w:jc w:val="both"/>
              <w:textAlignment w:val="auto"/>
              <w:rPr>
                <w:color w:val="auto"/>
                <w:sz w:val="24"/>
              </w:rPr>
            </w:pPr>
            <w:r>
              <w:rPr>
                <w:color w:val="auto"/>
                <w:sz w:val="24"/>
              </w:rPr>
              <w:t>综上所述，建设项目噪声排放对周围的环境影响较小，噪声防治措施可行。企业在生产过程中应注意加强设备噪声治理，在项目新建过程中应重视</w:t>
            </w:r>
            <w:r>
              <w:rPr>
                <w:rFonts w:hint="eastAsia"/>
                <w:color w:val="auto"/>
                <w:sz w:val="24"/>
                <w:lang w:eastAsia="zh-CN"/>
              </w:rPr>
              <w:t>减振</w:t>
            </w:r>
            <w:r>
              <w:rPr>
                <w:color w:val="auto"/>
                <w:sz w:val="24"/>
              </w:rPr>
              <w:t>工程的设计及施工质量。确保厂界噪声达标，不影响周边环境。</w:t>
            </w:r>
            <w:bookmarkEnd w:id="3"/>
          </w:p>
          <w:p w14:paraId="692AF037">
            <w:pPr>
              <w:pStyle w:val="11"/>
              <w:keepNext w:val="0"/>
              <w:keepLines w:val="0"/>
              <w:pageBreakBefore w:val="0"/>
              <w:widowControl w:val="0"/>
              <w:kinsoku/>
              <w:wordWrap/>
              <w:overflowPunct/>
              <w:topLinePunct w:val="0"/>
              <w:autoSpaceDE/>
              <w:autoSpaceDN/>
              <w:bidi w:val="0"/>
              <w:spacing w:after="0" w:line="520" w:lineRule="exact"/>
              <w:ind w:left="0" w:leftChars="0"/>
              <w:contextualSpacing/>
              <w:jc w:val="both"/>
              <w:textAlignment w:val="auto"/>
              <w:rPr>
                <w:b/>
                <w:bCs/>
                <w:color w:val="auto"/>
                <w:szCs w:val="24"/>
              </w:rPr>
            </w:pPr>
            <w:r>
              <w:rPr>
                <w:b/>
                <w:bCs/>
                <w:color w:val="auto"/>
                <w:szCs w:val="24"/>
              </w:rPr>
              <w:t>3.4</w:t>
            </w:r>
            <w:r>
              <w:rPr>
                <w:rFonts w:hint="eastAsia"/>
                <w:b/>
                <w:bCs/>
                <w:color w:val="auto"/>
                <w:szCs w:val="24"/>
                <w:lang w:val="en-US" w:eastAsia="zh-CN"/>
              </w:rPr>
              <w:t xml:space="preserve"> </w:t>
            </w:r>
            <w:r>
              <w:rPr>
                <w:b/>
                <w:bCs/>
                <w:color w:val="auto"/>
                <w:szCs w:val="24"/>
              </w:rPr>
              <w:t>噪声防治措施</w:t>
            </w:r>
          </w:p>
          <w:p w14:paraId="034AA91A">
            <w:pPr>
              <w:keepNext w:val="0"/>
              <w:keepLines w:val="0"/>
              <w:pageBreakBefore w:val="0"/>
              <w:widowControl w:val="0"/>
              <w:kinsoku/>
              <w:wordWrap/>
              <w:overflowPunct/>
              <w:topLinePunct w:val="0"/>
              <w:autoSpaceDE/>
              <w:autoSpaceDN/>
              <w:bidi w:val="0"/>
              <w:spacing w:line="520" w:lineRule="exact"/>
              <w:ind w:firstLine="480" w:firstLineChars="200"/>
              <w:jc w:val="both"/>
              <w:textAlignment w:val="auto"/>
              <w:rPr>
                <w:color w:val="auto"/>
                <w:sz w:val="24"/>
              </w:rPr>
            </w:pPr>
            <w:r>
              <w:rPr>
                <w:color w:val="auto"/>
                <w:sz w:val="24"/>
              </w:rPr>
              <w:t>项目50m范围内不存在敏感目标，不会对周围敏感点造成影响。</w:t>
            </w:r>
          </w:p>
          <w:p w14:paraId="728C09F2">
            <w:pPr>
              <w:keepNext w:val="0"/>
              <w:keepLines w:val="0"/>
              <w:pageBreakBefore w:val="0"/>
              <w:widowControl w:val="0"/>
              <w:kinsoku/>
              <w:wordWrap/>
              <w:overflowPunct/>
              <w:topLinePunct w:val="0"/>
              <w:autoSpaceDE/>
              <w:autoSpaceDN/>
              <w:bidi w:val="0"/>
              <w:adjustRightInd w:val="0"/>
              <w:snapToGrid w:val="0"/>
              <w:spacing w:line="520" w:lineRule="exact"/>
              <w:ind w:firstLine="489" w:firstLineChars="204"/>
              <w:jc w:val="both"/>
              <w:textAlignment w:val="auto"/>
              <w:rPr>
                <w:color w:val="auto"/>
                <w:sz w:val="24"/>
              </w:rPr>
            </w:pPr>
            <w:r>
              <w:rPr>
                <w:color w:val="auto"/>
                <w:sz w:val="24"/>
              </w:rPr>
              <w:t>尽管项目区产生噪声能够达标排放，但企业运营中仍应严格管理，避免出现噪声扰民现象，具体措施为：</w:t>
            </w:r>
          </w:p>
          <w:p w14:paraId="10F29399">
            <w:pPr>
              <w:keepNext w:val="0"/>
              <w:keepLines w:val="0"/>
              <w:pageBreakBefore w:val="0"/>
              <w:widowControl w:val="0"/>
              <w:kinsoku/>
              <w:wordWrap/>
              <w:overflowPunct/>
              <w:topLinePunct w:val="0"/>
              <w:autoSpaceDE/>
              <w:autoSpaceDN/>
              <w:bidi w:val="0"/>
              <w:adjustRightInd w:val="0"/>
              <w:snapToGrid w:val="0"/>
              <w:spacing w:line="520" w:lineRule="exact"/>
              <w:ind w:firstLine="489" w:firstLineChars="204"/>
              <w:jc w:val="both"/>
              <w:textAlignment w:val="auto"/>
              <w:rPr>
                <w:color w:val="auto"/>
                <w:sz w:val="24"/>
              </w:rPr>
            </w:pPr>
            <w:r>
              <w:rPr>
                <w:color w:val="auto"/>
                <w:sz w:val="24"/>
              </w:rPr>
              <w:t>（1）加强设备检修维护，避免出现非正常高噪声运转；</w:t>
            </w:r>
          </w:p>
          <w:p w14:paraId="6B61CD99">
            <w:pPr>
              <w:keepNext w:val="0"/>
              <w:keepLines w:val="0"/>
              <w:pageBreakBefore w:val="0"/>
              <w:widowControl w:val="0"/>
              <w:kinsoku/>
              <w:wordWrap/>
              <w:overflowPunct/>
              <w:topLinePunct w:val="0"/>
              <w:autoSpaceDE/>
              <w:autoSpaceDN/>
              <w:bidi w:val="0"/>
              <w:adjustRightInd w:val="0"/>
              <w:snapToGrid w:val="0"/>
              <w:spacing w:line="520" w:lineRule="exact"/>
              <w:ind w:firstLine="489" w:firstLineChars="204"/>
              <w:jc w:val="both"/>
              <w:textAlignment w:val="auto"/>
              <w:rPr>
                <w:color w:val="auto"/>
                <w:sz w:val="24"/>
              </w:rPr>
            </w:pPr>
            <w:r>
              <w:rPr>
                <w:color w:val="auto"/>
                <w:sz w:val="24"/>
              </w:rPr>
              <w:t>（2）所有设备全部设置在车间内，严禁露天从事生产、维修活动；</w:t>
            </w:r>
          </w:p>
          <w:p w14:paraId="131B2DC2">
            <w:pPr>
              <w:keepNext w:val="0"/>
              <w:keepLines w:val="0"/>
              <w:pageBreakBefore w:val="0"/>
              <w:widowControl w:val="0"/>
              <w:kinsoku/>
              <w:wordWrap/>
              <w:overflowPunct/>
              <w:topLinePunct w:val="0"/>
              <w:autoSpaceDE/>
              <w:autoSpaceDN/>
              <w:bidi w:val="0"/>
              <w:adjustRightInd w:val="0"/>
              <w:snapToGrid w:val="0"/>
              <w:spacing w:line="520" w:lineRule="exact"/>
              <w:ind w:firstLine="489" w:firstLineChars="204"/>
              <w:jc w:val="both"/>
              <w:textAlignment w:val="auto"/>
              <w:rPr>
                <w:color w:val="auto"/>
                <w:sz w:val="24"/>
              </w:rPr>
            </w:pPr>
            <w:r>
              <w:rPr>
                <w:color w:val="auto"/>
                <w:sz w:val="24"/>
              </w:rPr>
              <w:t>（3）对高噪声设备要加装</w:t>
            </w:r>
            <w:r>
              <w:rPr>
                <w:rFonts w:hint="eastAsia"/>
                <w:color w:val="auto"/>
                <w:sz w:val="24"/>
                <w:lang w:eastAsia="zh-CN"/>
              </w:rPr>
              <w:t>减振</w:t>
            </w:r>
            <w:r>
              <w:rPr>
                <w:color w:val="auto"/>
                <w:sz w:val="24"/>
              </w:rPr>
              <w:t>、降噪的防护措施；</w:t>
            </w:r>
          </w:p>
          <w:p w14:paraId="1B08C170">
            <w:pPr>
              <w:keepNext w:val="0"/>
              <w:keepLines w:val="0"/>
              <w:pageBreakBefore w:val="0"/>
              <w:widowControl w:val="0"/>
              <w:kinsoku/>
              <w:wordWrap/>
              <w:overflowPunct/>
              <w:topLinePunct w:val="0"/>
              <w:autoSpaceDE/>
              <w:autoSpaceDN/>
              <w:bidi w:val="0"/>
              <w:adjustRightInd w:val="0"/>
              <w:spacing w:line="520" w:lineRule="exact"/>
              <w:ind w:firstLine="480" w:firstLineChars="200"/>
              <w:jc w:val="both"/>
              <w:textAlignment w:val="auto"/>
              <w:rPr>
                <w:color w:val="auto"/>
                <w:sz w:val="24"/>
              </w:rPr>
            </w:pPr>
            <w:r>
              <w:rPr>
                <w:color w:val="auto"/>
                <w:sz w:val="24"/>
              </w:rPr>
              <w:t>（4）对操作工人直接接触的噪声设备，采用隔声耳罩，对工人形成一定保护，降噪效果可达5~ 20dB(A)。</w:t>
            </w:r>
          </w:p>
          <w:p w14:paraId="6096C4BF">
            <w:pPr>
              <w:pStyle w:val="11"/>
              <w:keepNext w:val="0"/>
              <w:keepLines w:val="0"/>
              <w:pageBreakBefore w:val="0"/>
              <w:widowControl w:val="0"/>
              <w:kinsoku/>
              <w:wordWrap/>
              <w:overflowPunct/>
              <w:topLinePunct w:val="0"/>
              <w:autoSpaceDE/>
              <w:autoSpaceDN/>
              <w:bidi w:val="0"/>
              <w:spacing w:after="0" w:line="520" w:lineRule="exact"/>
              <w:ind w:left="0" w:leftChars="0"/>
              <w:contextualSpacing/>
              <w:jc w:val="both"/>
              <w:textAlignment w:val="auto"/>
              <w:rPr>
                <w:b/>
                <w:bCs/>
                <w:color w:val="auto"/>
              </w:rPr>
            </w:pPr>
            <w:r>
              <w:rPr>
                <w:b/>
                <w:bCs/>
                <w:color w:val="auto"/>
              </w:rPr>
              <w:t>3.5</w:t>
            </w:r>
            <w:r>
              <w:rPr>
                <w:rFonts w:hint="eastAsia"/>
                <w:b/>
                <w:bCs/>
                <w:color w:val="auto"/>
                <w:lang w:val="en-US" w:eastAsia="zh-CN"/>
              </w:rPr>
              <w:t xml:space="preserve"> </w:t>
            </w:r>
            <w:r>
              <w:rPr>
                <w:b/>
                <w:bCs/>
                <w:color w:val="auto"/>
                <w:szCs w:val="24"/>
              </w:rPr>
              <w:t>噪声监测计划</w:t>
            </w:r>
          </w:p>
          <w:p w14:paraId="7FA4F451">
            <w:pPr>
              <w:keepNext w:val="0"/>
              <w:keepLines w:val="0"/>
              <w:pageBreakBefore w:val="0"/>
              <w:widowControl w:val="0"/>
              <w:kinsoku/>
              <w:wordWrap/>
              <w:overflowPunct/>
              <w:topLinePunct w:val="0"/>
              <w:autoSpaceDE/>
              <w:autoSpaceDN/>
              <w:bidi w:val="0"/>
              <w:spacing w:line="520" w:lineRule="exact"/>
              <w:ind w:firstLine="480" w:firstLineChars="200"/>
              <w:jc w:val="both"/>
              <w:textAlignment w:val="auto"/>
              <w:rPr>
                <w:color w:val="auto"/>
                <w:sz w:val="24"/>
              </w:rPr>
            </w:pPr>
            <w:r>
              <w:rPr>
                <w:rFonts w:hint="eastAsia"/>
                <w:color w:val="auto"/>
                <w:sz w:val="24"/>
                <w:lang w:val="en-US" w:eastAsia="zh-CN"/>
              </w:rPr>
              <w:t>根据《</w:t>
            </w:r>
            <w:r>
              <w:rPr>
                <w:rFonts w:hint="default"/>
                <w:color w:val="auto"/>
                <w:sz w:val="24"/>
              </w:rPr>
              <w:t>排污单位自行监测技术指南总则</w:t>
            </w:r>
            <w:r>
              <w:rPr>
                <w:rFonts w:hint="eastAsia"/>
                <w:color w:val="auto"/>
                <w:sz w:val="24"/>
                <w:lang w:eastAsia="zh-CN"/>
              </w:rPr>
              <w:t>》（</w:t>
            </w:r>
            <w:r>
              <w:rPr>
                <w:rFonts w:hint="eastAsia"/>
                <w:color w:val="auto"/>
                <w:sz w:val="24"/>
                <w:lang w:val="en-US" w:eastAsia="zh-CN"/>
              </w:rPr>
              <w:t>HJ819-2017</w:t>
            </w:r>
            <w:r>
              <w:rPr>
                <w:rFonts w:hint="eastAsia"/>
                <w:color w:val="auto"/>
                <w:sz w:val="24"/>
                <w:lang w:eastAsia="zh-CN"/>
              </w:rPr>
              <w:t>）</w:t>
            </w:r>
            <w:r>
              <w:rPr>
                <w:color w:val="auto"/>
                <w:sz w:val="24"/>
              </w:rPr>
              <w:t>本项目噪声监测方案见表4-</w:t>
            </w:r>
            <w:r>
              <w:rPr>
                <w:rFonts w:hint="eastAsia"/>
                <w:color w:val="auto"/>
                <w:sz w:val="24"/>
                <w:lang w:val="en-US" w:eastAsia="zh-CN"/>
              </w:rPr>
              <w:t>11</w:t>
            </w:r>
            <w:r>
              <w:rPr>
                <w:color w:val="auto"/>
                <w:sz w:val="24"/>
              </w:rPr>
              <w:t>。</w:t>
            </w:r>
          </w:p>
          <w:p w14:paraId="59B7E7E7">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b/>
                <w:bCs/>
                <w:color w:val="auto"/>
                <w:szCs w:val="21"/>
              </w:rPr>
            </w:pPr>
            <w:r>
              <w:rPr>
                <w:b/>
                <w:bCs/>
                <w:color w:val="auto"/>
                <w:szCs w:val="21"/>
              </w:rPr>
              <w:t>表4-</w:t>
            </w:r>
            <w:r>
              <w:rPr>
                <w:rFonts w:hint="eastAsia"/>
                <w:b/>
                <w:bCs/>
                <w:color w:val="auto"/>
                <w:szCs w:val="21"/>
                <w:lang w:val="en-US" w:eastAsia="zh-CN"/>
              </w:rPr>
              <w:t>11</w:t>
            </w:r>
            <w:r>
              <w:rPr>
                <w:b/>
                <w:bCs/>
                <w:color w:val="auto"/>
                <w:szCs w:val="21"/>
              </w:rPr>
              <w:t xml:space="preserve">    项目运营期噪声监测计划</w:t>
            </w:r>
          </w:p>
          <w:tbl>
            <w:tblPr>
              <w:tblStyle w:val="27"/>
              <w:tblW w:w="4998" w:type="pct"/>
              <w:tblInd w:w="10" w:type="dxa"/>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Layout w:type="fixed"/>
              <w:tblCellMar>
                <w:top w:w="0" w:type="dxa"/>
                <w:left w:w="108" w:type="dxa"/>
                <w:bottom w:w="0" w:type="dxa"/>
                <w:right w:w="108" w:type="dxa"/>
              </w:tblCellMar>
            </w:tblPr>
            <w:tblGrid>
              <w:gridCol w:w="1187"/>
              <w:gridCol w:w="1370"/>
              <w:gridCol w:w="1187"/>
              <w:gridCol w:w="2819"/>
              <w:gridCol w:w="1601"/>
            </w:tblGrid>
            <w:tr w14:paraId="2CFC9DE3">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CellMar>
                  <w:top w:w="0" w:type="dxa"/>
                  <w:left w:w="108" w:type="dxa"/>
                  <w:bottom w:w="0" w:type="dxa"/>
                  <w:right w:w="108" w:type="dxa"/>
                </w:tblCellMar>
              </w:tblPrEx>
              <w:trPr>
                <w:trHeight w:val="420" w:hRule="atLeast"/>
              </w:trPr>
              <w:tc>
                <w:tcPr>
                  <w:tcW w:w="1199" w:type="dxa"/>
                  <w:vAlign w:val="center"/>
                </w:tcPr>
                <w:p w14:paraId="282DE8E4">
                  <w:pPr>
                    <w:pStyle w:val="40"/>
                    <w:adjustRightInd/>
                    <w:snapToGrid/>
                    <w:jc w:val="center"/>
                    <w:rPr>
                      <w:rFonts w:hint="default" w:ascii="Times New Roman" w:hAnsi="Times New Roman"/>
                      <w:color w:val="auto"/>
                      <w:sz w:val="21"/>
                    </w:rPr>
                  </w:pPr>
                  <w:r>
                    <w:rPr>
                      <w:rFonts w:hint="default" w:ascii="Times New Roman" w:hAnsi="Times New Roman"/>
                      <w:color w:val="auto"/>
                      <w:sz w:val="21"/>
                    </w:rPr>
                    <w:t>监测点位</w:t>
                  </w:r>
                </w:p>
              </w:tc>
              <w:tc>
                <w:tcPr>
                  <w:tcW w:w="1384" w:type="dxa"/>
                  <w:vAlign w:val="center"/>
                </w:tcPr>
                <w:p w14:paraId="686F4051">
                  <w:pPr>
                    <w:pStyle w:val="40"/>
                    <w:adjustRightInd/>
                    <w:snapToGrid/>
                    <w:jc w:val="center"/>
                    <w:rPr>
                      <w:rFonts w:hint="default" w:ascii="Times New Roman" w:hAnsi="Times New Roman"/>
                      <w:color w:val="auto"/>
                      <w:sz w:val="21"/>
                    </w:rPr>
                  </w:pPr>
                  <w:r>
                    <w:rPr>
                      <w:rFonts w:hint="default" w:ascii="Times New Roman" w:hAnsi="Times New Roman"/>
                      <w:color w:val="auto"/>
                      <w:sz w:val="21"/>
                    </w:rPr>
                    <w:t>监测指标</w:t>
                  </w:r>
                </w:p>
              </w:tc>
              <w:tc>
                <w:tcPr>
                  <w:tcW w:w="1200" w:type="dxa"/>
                  <w:vAlign w:val="center"/>
                </w:tcPr>
                <w:p w14:paraId="1A7DBAF0">
                  <w:pPr>
                    <w:pStyle w:val="40"/>
                    <w:adjustRightInd/>
                    <w:snapToGrid/>
                    <w:jc w:val="center"/>
                    <w:rPr>
                      <w:rFonts w:hint="default" w:ascii="Times New Roman" w:hAnsi="Times New Roman"/>
                      <w:color w:val="auto"/>
                      <w:sz w:val="21"/>
                    </w:rPr>
                  </w:pPr>
                  <w:r>
                    <w:rPr>
                      <w:rFonts w:hint="default" w:ascii="Times New Roman" w:hAnsi="Times New Roman"/>
                      <w:color w:val="auto"/>
                      <w:sz w:val="21"/>
                    </w:rPr>
                    <w:t>监测频次</w:t>
                  </w:r>
                </w:p>
              </w:tc>
              <w:tc>
                <w:tcPr>
                  <w:tcW w:w="2845" w:type="dxa"/>
                  <w:vAlign w:val="center"/>
                </w:tcPr>
                <w:p w14:paraId="6C1EF17A">
                  <w:pPr>
                    <w:pStyle w:val="40"/>
                    <w:adjustRightInd/>
                    <w:snapToGrid/>
                    <w:jc w:val="center"/>
                    <w:rPr>
                      <w:rFonts w:hint="default" w:ascii="Times New Roman" w:hAnsi="Times New Roman"/>
                      <w:color w:val="auto"/>
                      <w:sz w:val="21"/>
                    </w:rPr>
                  </w:pPr>
                  <w:r>
                    <w:rPr>
                      <w:rFonts w:hint="default" w:ascii="Times New Roman" w:hAnsi="Times New Roman"/>
                      <w:color w:val="auto"/>
                      <w:sz w:val="21"/>
                    </w:rPr>
                    <w:t>执行标准</w:t>
                  </w:r>
                </w:p>
              </w:tc>
              <w:tc>
                <w:tcPr>
                  <w:tcW w:w="1618" w:type="dxa"/>
                  <w:vAlign w:val="center"/>
                </w:tcPr>
                <w:p w14:paraId="73A0C902">
                  <w:pPr>
                    <w:pStyle w:val="40"/>
                    <w:adjustRightInd/>
                    <w:snapToGrid/>
                    <w:jc w:val="center"/>
                    <w:rPr>
                      <w:rFonts w:hint="default" w:ascii="Times New Roman" w:hAnsi="Times New Roman"/>
                      <w:color w:val="auto"/>
                      <w:sz w:val="21"/>
                    </w:rPr>
                  </w:pPr>
                  <w:r>
                    <w:rPr>
                      <w:rFonts w:hint="default" w:ascii="Times New Roman" w:hAnsi="Times New Roman"/>
                      <w:color w:val="auto"/>
                      <w:sz w:val="21"/>
                    </w:rPr>
                    <w:t>监测点位</w:t>
                  </w:r>
                </w:p>
              </w:tc>
            </w:tr>
            <w:tr w14:paraId="31B1AA49">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CellMar>
                  <w:top w:w="0" w:type="dxa"/>
                  <w:left w:w="108" w:type="dxa"/>
                  <w:bottom w:w="0" w:type="dxa"/>
                  <w:right w:w="108" w:type="dxa"/>
                </w:tblCellMar>
              </w:tblPrEx>
              <w:trPr>
                <w:trHeight w:val="415" w:hRule="atLeast"/>
              </w:trPr>
              <w:tc>
                <w:tcPr>
                  <w:tcW w:w="1199" w:type="dxa"/>
                  <w:vAlign w:val="center"/>
                </w:tcPr>
                <w:p w14:paraId="5BC78D81">
                  <w:pPr>
                    <w:pStyle w:val="40"/>
                    <w:adjustRightInd/>
                    <w:snapToGrid/>
                    <w:jc w:val="center"/>
                    <w:rPr>
                      <w:rFonts w:hint="default" w:ascii="Times New Roman" w:hAnsi="Times New Roman"/>
                      <w:b w:val="0"/>
                      <w:color w:val="auto"/>
                      <w:sz w:val="21"/>
                    </w:rPr>
                  </w:pPr>
                  <w:r>
                    <w:rPr>
                      <w:rFonts w:hint="default" w:ascii="Times New Roman" w:hAnsi="Times New Roman"/>
                      <w:b w:val="0"/>
                      <w:color w:val="auto"/>
                      <w:sz w:val="21"/>
                    </w:rPr>
                    <w:t>厂界外1米处</w:t>
                  </w:r>
                </w:p>
              </w:tc>
              <w:tc>
                <w:tcPr>
                  <w:tcW w:w="1384" w:type="dxa"/>
                  <w:vAlign w:val="center"/>
                </w:tcPr>
                <w:p w14:paraId="70889701">
                  <w:pPr>
                    <w:pStyle w:val="40"/>
                    <w:adjustRightInd/>
                    <w:snapToGrid/>
                    <w:jc w:val="center"/>
                    <w:rPr>
                      <w:rFonts w:hint="default" w:ascii="Times New Roman" w:hAnsi="Times New Roman"/>
                      <w:b w:val="0"/>
                      <w:color w:val="auto"/>
                      <w:sz w:val="21"/>
                    </w:rPr>
                  </w:pPr>
                  <w:r>
                    <w:rPr>
                      <w:rFonts w:hint="default" w:ascii="Times New Roman" w:hAnsi="Times New Roman"/>
                      <w:b w:val="0"/>
                      <w:color w:val="auto"/>
                      <w:sz w:val="21"/>
                    </w:rPr>
                    <w:t>等效连续A声级</w:t>
                  </w:r>
                </w:p>
              </w:tc>
              <w:tc>
                <w:tcPr>
                  <w:tcW w:w="1200" w:type="dxa"/>
                  <w:vAlign w:val="center"/>
                </w:tcPr>
                <w:p w14:paraId="428A29D6">
                  <w:pPr>
                    <w:pStyle w:val="40"/>
                    <w:adjustRightInd/>
                    <w:snapToGrid/>
                    <w:jc w:val="center"/>
                    <w:rPr>
                      <w:rFonts w:hint="default" w:ascii="Times New Roman" w:hAnsi="Times New Roman"/>
                      <w:b w:val="0"/>
                      <w:color w:val="auto"/>
                      <w:sz w:val="21"/>
                      <w:highlight w:val="yellow"/>
                    </w:rPr>
                  </w:pPr>
                  <w:r>
                    <w:rPr>
                      <w:rFonts w:hint="default" w:ascii="Times New Roman" w:hAnsi="Times New Roman"/>
                      <w:b w:val="0"/>
                      <w:color w:val="auto"/>
                      <w:sz w:val="21"/>
                    </w:rPr>
                    <w:t>1次/季度</w:t>
                  </w:r>
                </w:p>
              </w:tc>
              <w:tc>
                <w:tcPr>
                  <w:tcW w:w="2845" w:type="dxa"/>
                  <w:vAlign w:val="center"/>
                </w:tcPr>
                <w:p w14:paraId="0C9A8E1E">
                  <w:pPr>
                    <w:pStyle w:val="40"/>
                    <w:adjustRightInd/>
                    <w:snapToGrid/>
                    <w:jc w:val="center"/>
                    <w:rPr>
                      <w:rFonts w:hint="default" w:ascii="Times New Roman" w:hAnsi="Times New Roman"/>
                      <w:b w:val="0"/>
                      <w:color w:val="auto"/>
                      <w:sz w:val="21"/>
                    </w:rPr>
                  </w:pPr>
                  <w:r>
                    <w:rPr>
                      <w:rFonts w:hint="default" w:ascii="Times New Roman" w:hAnsi="Times New Roman"/>
                      <w:b w:val="0"/>
                      <w:color w:val="auto"/>
                      <w:sz w:val="21"/>
                    </w:rPr>
                    <w:t>《工业企业厂界环境噪声排放标准》（GB12348-2008）</w:t>
                  </w:r>
                  <w:r>
                    <w:rPr>
                      <w:rFonts w:hint="eastAsia" w:ascii="Times New Roman" w:hAnsi="Times New Roman"/>
                      <w:b w:val="0"/>
                      <w:color w:val="auto"/>
                      <w:sz w:val="21"/>
                      <w:lang w:val="en-US" w:eastAsia="zh-CN"/>
                    </w:rPr>
                    <w:t>3</w:t>
                  </w:r>
                  <w:r>
                    <w:rPr>
                      <w:rFonts w:hint="default" w:ascii="Times New Roman" w:hAnsi="Times New Roman"/>
                      <w:b w:val="0"/>
                      <w:color w:val="auto"/>
                      <w:sz w:val="21"/>
                    </w:rPr>
                    <w:t>类标准</w:t>
                  </w:r>
                </w:p>
              </w:tc>
              <w:tc>
                <w:tcPr>
                  <w:tcW w:w="1618" w:type="dxa"/>
                  <w:vAlign w:val="center"/>
                </w:tcPr>
                <w:p w14:paraId="7349B8DA">
                  <w:pPr>
                    <w:pStyle w:val="40"/>
                    <w:adjustRightInd/>
                    <w:snapToGrid/>
                    <w:jc w:val="center"/>
                    <w:rPr>
                      <w:rFonts w:hint="default" w:ascii="Times New Roman" w:hAnsi="Times New Roman"/>
                      <w:b w:val="0"/>
                      <w:color w:val="auto"/>
                      <w:sz w:val="21"/>
                    </w:rPr>
                  </w:pPr>
                  <w:r>
                    <w:rPr>
                      <w:rFonts w:hint="default" w:ascii="Times New Roman" w:hAnsi="Times New Roman"/>
                      <w:b w:val="0"/>
                      <w:color w:val="auto"/>
                      <w:sz w:val="21"/>
                    </w:rPr>
                    <w:t>厂界外1米处</w:t>
                  </w:r>
                </w:p>
              </w:tc>
            </w:tr>
          </w:tbl>
          <w:p w14:paraId="2EB00121">
            <w:pPr>
              <w:pStyle w:val="11"/>
              <w:keepNext w:val="0"/>
              <w:keepLines w:val="0"/>
              <w:pageBreakBefore w:val="0"/>
              <w:widowControl w:val="0"/>
              <w:numPr>
                <w:ilvl w:val="0"/>
                <w:numId w:val="13"/>
              </w:numPr>
              <w:kinsoku/>
              <w:wordWrap/>
              <w:overflowPunct/>
              <w:topLinePunct w:val="0"/>
              <w:autoSpaceDE/>
              <w:autoSpaceDN/>
              <w:bidi w:val="0"/>
              <w:adjustRightInd/>
              <w:snapToGrid/>
              <w:spacing w:after="0" w:line="520" w:lineRule="exact"/>
              <w:ind w:left="0" w:leftChars="0" w:firstLine="0" w:firstLineChars="0"/>
              <w:contextualSpacing/>
              <w:textAlignment w:val="auto"/>
              <w:rPr>
                <w:rFonts w:ascii="Times New Roman" w:hAnsi="Times New Roman" w:eastAsia="宋体" w:cs="Times New Roman"/>
                <w:b/>
                <w:bCs/>
                <w:color w:val="auto"/>
              </w:rPr>
            </w:pPr>
            <w:r>
              <w:rPr>
                <w:rFonts w:ascii="Times New Roman" w:hAnsi="Times New Roman" w:eastAsia="宋体" w:cs="Times New Roman"/>
                <w:b/>
                <w:bCs/>
                <w:color w:val="auto"/>
              </w:rPr>
              <w:t>固体废弃物</w:t>
            </w:r>
          </w:p>
          <w:p w14:paraId="19C30596">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color w:val="auto"/>
                <w:sz w:val="24"/>
              </w:rPr>
            </w:pPr>
            <w:r>
              <w:rPr>
                <w:color w:val="auto"/>
                <w:sz w:val="24"/>
              </w:rPr>
              <w:t>本项目营运期产生的固体废物主要为</w:t>
            </w:r>
            <w:r>
              <w:rPr>
                <w:rFonts w:hint="eastAsia"/>
                <w:color w:val="auto"/>
                <w:sz w:val="24"/>
                <w:lang w:val="en-US" w:eastAsia="zh-CN"/>
              </w:rPr>
              <w:t>煤矸石、煤泥、除尘灰和设备检维修产生的废机油</w:t>
            </w:r>
            <w:r>
              <w:rPr>
                <w:color w:val="auto"/>
                <w:sz w:val="24"/>
              </w:rPr>
              <w:t>。</w:t>
            </w:r>
          </w:p>
          <w:p w14:paraId="370027B4">
            <w:pPr>
              <w:pStyle w:val="11"/>
              <w:keepNext w:val="0"/>
              <w:keepLines w:val="0"/>
              <w:pageBreakBefore w:val="0"/>
              <w:widowControl w:val="0"/>
              <w:kinsoku/>
              <w:wordWrap/>
              <w:overflowPunct/>
              <w:topLinePunct w:val="0"/>
              <w:autoSpaceDE/>
              <w:autoSpaceDN/>
              <w:bidi w:val="0"/>
              <w:snapToGrid/>
              <w:spacing w:after="0" w:line="520" w:lineRule="exact"/>
              <w:ind w:left="0" w:leftChars="0"/>
              <w:contextualSpacing/>
              <w:textAlignment w:val="auto"/>
              <w:rPr>
                <w:b/>
                <w:bCs/>
                <w:color w:val="auto"/>
              </w:rPr>
            </w:pPr>
            <w:r>
              <w:rPr>
                <w:b/>
                <w:bCs/>
                <w:color w:val="auto"/>
              </w:rPr>
              <w:t>4.1</w:t>
            </w:r>
            <w:r>
              <w:rPr>
                <w:rFonts w:hint="eastAsia"/>
                <w:b/>
                <w:bCs/>
                <w:color w:val="auto"/>
                <w:lang w:val="en-US" w:eastAsia="zh-CN"/>
              </w:rPr>
              <w:t xml:space="preserve"> </w:t>
            </w:r>
            <w:r>
              <w:rPr>
                <w:b/>
                <w:bCs/>
                <w:color w:val="auto"/>
              </w:rPr>
              <w:t>固废排放情况</w:t>
            </w:r>
          </w:p>
          <w:p w14:paraId="5A799514">
            <w:pPr>
              <w:keepNext w:val="0"/>
              <w:keepLines w:val="0"/>
              <w:pageBreakBefore w:val="0"/>
              <w:widowControl w:val="0"/>
              <w:kinsoku/>
              <w:wordWrap/>
              <w:overflowPunct/>
              <w:topLinePunct w:val="0"/>
              <w:autoSpaceDE/>
              <w:autoSpaceDN/>
              <w:bidi w:val="0"/>
              <w:snapToGrid/>
              <w:spacing w:line="520" w:lineRule="exact"/>
              <w:ind w:firstLine="480" w:firstLineChars="200"/>
              <w:textAlignment w:val="auto"/>
              <w:rPr>
                <w:b w:val="0"/>
                <w:bCs w:val="0"/>
                <w:color w:val="auto"/>
                <w:sz w:val="24"/>
              </w:rPr>
            </w:pPr>
            <w:r>
              <w:rPr>
                <w:b w:val="0"/>
                <w:bCs w:val="0"/>
                <w:color w:val="auto"/>
                <w:sz w:val="24"/>
                <w:lang w:val="en-GB"/>
              </w:rPr>
              <w:t>（</w:t>
            </w:r>
            <w:r>
              <w:rPr>
                <w:b w:val="0"/>
                <w:bCs w:val="0"/>
                <w:color w:val="auto"/>
                <w:sz w:val="24"/>
              </w:rPr>
              <w:t>1</w:t>
            </w:r>
            <w:r>
              <w:rPr>
                <w:b w:val="0"/>
                <w:bCs w:val="0"/>
                <w:color w:val="auto"/>
                <w:sz w:val="24"/>
                <w:lang w:val="en-GB"/>
              </w:rPr>
              <w:t>）</w:t>
            </w:r>
            <w:r>
              <w:rPr>
                <w:rFonts w:hint="eastAsia"/>
                <w:b w:val="0"/>
                <w:bCs w:val="0"/>
                <w:color w:val="auto"/>
                <w:sz w:val="24"/>
                <w:lang w:val="en-US" w:eastAsia="zh-CN"/>
              </w:rPr>
              <w:t>项目</w:t>
            </w:r>
            <w:r>
              <w:rPr>
                <w:b w:val="0"/>
                <w:bCs w:val="0"/>
                <w:color w:val="auto"/>
                <w:sz w:val="24"/>
              </w:rPr>
              <w:t>产生的固体废物</w:t>
            </w:r>
          </w:p>
          <w:p w14:paraId="45951913">
            <w:pPr>
              <w:keepNext w:val="0"/>
              <w:keepLines w:val="0"/>
              <w:pageBreakBefore w:val="0"/>
              <w:widowControl w:val="0"/>
              <w:kinsoku/>
              <w:wordWrap/>
              <w:overflowPunct/>
              <w:topLinePunct w:val="0"/>
              <w:autoSpaceDE/>
              <w:autoSpaceDN/>
              <w:bidi w:val="0"/>
              <w:snapToGrid/>
              <w:spacing w:line="520" w:lineRule="exact"/>
              <w:ind w:firstLine="480" w:firstLineChars="200"/>
              <w:textAlignment w:val="auto"/>
              <w:rPr>
                <w:color w:val="auto"/>
                <w:sz w:val="24"/>
                <w:lang w:val="en-GB"/>
              </w:rPr>
            </w:pPr>
            <w:r>
              <w:rPr>
                <w:color w:val="auto"/>
                <w:sz w:val="24"/>
              </w:rPr>
              <w:t>①</w:t>
            </w:r>
            <w:r>
              <w:rPr>
                <w:color w:val="auto"/>
                <w:sz w:val="24"/>
                <w:lang w:val="en-GB"/>
              </w:rPr>
              <w:t>一般固废</w:t>
            </w:r>
          </w:p>
          <w:p w14:paraId="4B73529C">
            <w:pPr>
              <w:keepNext w:val="0"/>
              <w:keepLines w:val="0"/>
              <w:pageBreakBefore w:val="0"/>
              <w:widowControl w:val="0"/>
              <w:kinsoku/>
              <w:wordWrap/>
              <w:overflowPunct/>
              <w:topLinePunct w:val="0"/>
              <w:autoSpaceDE/>
              <w:autoSpaceDN/>
              <w:bidi w:val="0"/>
              <w:snapToGrid/>
              <w:spacing w:line="520" w:lineRule="exact"/>
              <w:ind w:firstLine="480" w:firstLineChars="200"/>
              <w:textAlignment w:val="auto"/>
              <w:rPr>
                <w:rFonts w:hint="default" w:ascii="Times New Roman" w:hAnsi="Times New Roman" w:eastAsia="宋体" w:cs="Times New Roman"/>
                <w:color w:val="auto"/>
                <w:spacing w:val="0"/>
                <w:sz w:val="24"/>
                <w:szCs w:val="24"/>
                <w:highlight w:val="none"/>
                <w:lang w:val="en-US" w:eastAsia="zh-CN"/>
              </w:rPr>
            </w:pPr>
            <w:r>
              <w:rPr>
                <w:rFonts w:hint="eastAsia"/>
                <w:color w:val="auto"/>
                <w:sz w:val="24"/>
                <w:lang w:val="en-US" w:eastAsia="zh-CN"/>
              </w:rPr>
              <w:t>矸石：类比其他公司洗煤生产线矸石的产生量可知，本项目煤矸石产生量约为3.58万t/a，项目产生的煤矸石暂存于副产品车间，定期作为制砖材料外售处理。</w:t>
            </w:r>
          </w:p>
          <w:p w14:paraId="41D42D81">
            <w:pPr>
              <w:keepNext w:val="0"/>
              <w:keepLines w:val="0"/>
              <w:pageBreakBefore w:val="0"/>
              <w:widowControl w:val="0"/>
              <w:kinsoku/>
              <w:wordWrap/>
              <w:overflowPunct/>
              <w:topLinePunct w:val="0"/>
              <w:autoSpaceDE/>
              <w:autoSpaceDN/>
              <w:bidi w:val="0"/>
              <w:snapToGrid/>
              <w:spacing w:line="520" w:lineRule="exact"/>
              <w:ind w:firstLine="480" w:firstLineChars="200"/>
              <w:textAlignment w:val="auto"/>
              <w:rPr>
                <w:rFonts w:hint="default"/>
                <w:color w:val="auto"/>
                <w:sz w:val="24"/>
                <w:lang w:val="en-GB" w:eastAsia="zh-CN"/>
              </w:rPr>
            </w:pPr>
            <w:r>
              <w:rPr>
                <w:rFonts w:hint="eastAsia"/>
                <w:color w:val="auto"/>
                <w:sz w:val="24"/>
                <w:lang w:val="en-US" w:eastAsia="zh-CN"/>
              </w:rPr>
              <w:t>煤泥</w:t>
            </w:r>
            <w:r>
              <w:rPr>
                <w:color w:val="auto"/>
                <w:sz w:val="24"/>
                <w:lang w:val="en-GB"/>
              </w:rPr>
              <w:t>：</w:t>
            </w:r>
            <w:r>
              <w:rPr>
                <w:rFonts w:hint="eastAsia"/>
                <w:color w:val="auto"/>
                <w:sz w:val="24"/>
                <w:lang w:val="en-US" w:eastAsia="zh-CN"/>
              </w:rPr>
              <w:t>煤泥的矿物组成主要成分为SiO</w:t>
            </w:r>
            <w:r>
              <w:rPr>
                <w:rFonts w:hint="eastAsia"/>
                <w:color w:val="auto"/>
                <w:sz w:val="24"/>
                <w:vertAlign w:val="subscript"/>
                <w:lang w:val="en-US" w:eastAsia="zh-CN"/>
              </w:rPr>
              <w:t>2</w:t>
            </w:r>
            <w:r>
              <w:rPr>
                <w:rFonts w:hint="eastAsia"/>
                <w:color w:val="auto"/>
                <w:sz w:val="24"/>
                <w:vertAlign w:val="baseline"/>
                <w:lang w:val="en-US" w:eastAsia="zh-CN"/>
              </w:rPr>
              <w:t>、AL</w:t>
            </w:r>
            <w:r>
              <w:rPr>
                <w:rFonts w:hint="eastAsia"/>
                <w:color w:val="auto"/>
                <w:sz w:val="24"/>
                <w:vertAlign w:val="subscript"/>
                <w:lang w:val="en-US" w:eastAsia="zh-CN"/>
              </w:rPr>
              <w:t>2</w:t>
            </w:r>
            <w:r>
              <w:rPr>
                <w:rFonts w:hint="eastAsia"/>
                <w:color w:val="auto"/>
                <w:sz w:val="24"/>
                <w:vertAlign w:val="baseline"/>
                <w:lang w:val="en-US" w:eastAsia="zh-CN"/>
              </w:rPr>
              <w:t>O</w:t>
            </w:r>
            <w:r>
              <w:rPr>
                <w:rFonts w:hint="eastAsia"/>
                <w:color w:val="auto"/>
                <w:sz w:val="24"/>
                <w:vertAlign w:val="subscript"/>
                <w:lang w:val="en-US" w:eastAsia="zh-CN"/>
              </w:rPr>
              <w:t>3</w:t>
            </w:r>
            <w:r>
              <w:rPr>
                <w:rFonts w:hint="eastAsia"/>
                <w:color w:val="auto"/>
                <w:sz w:val="24"/>
                <w:vertAlign w:val="baseline"/>
                <w:lang w:val="en-US" w:eastAsia="zh-CN"/>
              </w:rPr>
              <w:t>、C、F</w:t>
            </w:r>
            <w:r>
              <w:rPr>
                <w:rFonts w:hint="eastAsia"/>
                <w:color w:val="auto"/>
                <w:sz w:val="24"/>
                <w:vertAlign w:val="subscript"/>
                <w:lang w:val="en-US" w:eastAsia="zh-CN"/>
              </w:rPr>
              <w:t>2</w:t>
            </w:r>
            <w:r>
              <w:rPr>
                <w:rFonts w:hint="eastAsia"/>
                <w:color w:val="auto"/>
                <w:sz w:val="24"/>
                <w:vertAlign w:val="baseline"/>
                <w:lang w:val="en-US" w:eastAsia="zh-CN"/>
              </w:rPr>
              <w:t>O</w:t>
            </w:r>
            <w:r>
              <w:rPr>
                <w:rFonts w:hint="eastAsia"/>
                <w:color w:val="auto"/>
                <w:sz w:val="24"/>
                <w:vertAlign w:val="subscript"/>
                <w:lang w:val="en-US" w:eastAsia="zh-CN"/>
              </w:rPr>
              <w:t>3</w:t>
            </w:r>
            <w:r>
              <w:rPr>
                <w:rFonts w:hint="eastAsia"/>
                <w:color w:val="auto"/>
                <w:sz w:val="24"/>
                <w:lang w:val="en-US" w:eastAsia="zh-CN"/>
              </w:rPr>
              <w:t>，产生量为1.34万t/a</w:t>
            </w:r>
            <w:r>
              <w:rPr>
                <w:rFonts w:hint="default"/>
                <w:color w:val="auto"/>
                <w:sz w:val="24"/>
                <w:lang w:val="en-GB" w:eastAsia="zh-CN"/>
              </w:rPr>
              <w:t>。</w:t>
            </w:r>
            <w:r>
              <w:rPr>
                <w:rFonts w:hint="eastAsia"/>
                <w:color w:val="auto"/>
                <w:sz w:val="24"/>
                <w:lang w:val="en-US" w:eastAsia="zh-CN"/>
              </w:rPr>
              <w:t>产生的煤泥含水量为12-15%，在副产品车间划定的煤泥储存区进行储存，定期外售给当地电厂，本次环评要求严禁将煤泥混入原煤中销售</w:t>
            </w:r>
            <w:r>
              <w:rPr>
                <w:rFonts w:hint="default"/>
                <w:color w:val="auto"/>
                <w:sz w:val="24"/>
                <w:lang w:val="en-GB" w:eastAsia="zh-CN"/>
              </w:rPr>
              <w:t>。</w:t>
            </w:r>
          </w:p>
          <w:p w14:paraId="52844278">
            <w:pPr>
              <w:pStyle w:val="53"/>
              <w:keepNext w:val="0"/>
              <w:keepLines w:val="0"/>
              <w:pageBreakBefore w:val="0"/>
              <w:widowControl w:val="0"/>
              <w:tabs>
                <w:tab w:val="left" w:pos="1862"/>
              </w:tabs>
              <w:kinsoku/>
              <w:wordWrap/>
              <w:overflowPunct/>
              <w:topLinePunct w:val="0"/>
              <w:autoSpaceDE/>
              <w:autoSpaceDN/>
              <w:bidi w:val="0"/>
              <w:adjustRightInd/>
              <w:snapToGrid/>
              <w:spacing w:line="520" w:lineRule="exact"/>
              <w:ind w:left="0" w:firstLine="480" w:firstLineChars="200"/>
              <w:textAlignment w:val="auto"/>
              <w:rPr>
                <w:rFonts w:hint="default" w:ascii="Times New Roman" w:hAnsi="Times New Roman" w:cs="Times New Roman"/>
                <w:color w:val="auto"/>
                <w:sz w:val="24"/>
                <w:u w:val="none"/>
                <w:lang w:val="en-US" w:eastAsia="zh-CN" w:bidi="ar-SA"/>
              </w:rPr>
            </w:pPr>
            <w:r>
              <w:rPr>
                <w:rFonts w:hint="eastAsia" w:ascii="Times New Roman" w:hAnsi="Times New Roman" w:cs="Times New Roman"/>
                <w:color w:val="auto"/>
                <w:sz w:val="24"/>
                <w:u w:val="none"/>
                <w:lang w:val="en-US" w:eastAsia="zh-CN" w:bidi="ar-SA"/>
              </w:rPr>
              <w:t>收集尘：项目破碎筛分工序产生的粉尘经袋式除尘器处理达标后排放，袋式除尘器收集粉尘量约为769.824t/a，产生的收集尘采用吨包袋收集，在副产品车间划定的收集尘储存区进行储存，定期外售处理。</w:t>
            </w:r>
          </w:p>
          <w:p w14:paraId="218AFAC4">
            <w:pPr>
              <w:keepNext w:val="0"/>
              <w:keepLines w:val="0"/>
              <w:pageBreakBefore w:val="0"/>
              <w:widowControl w:val="0"/>
              <w:kinsoku/>
              <w:wordWrap/>
              <w:overflowPunct/>
              <w:topLinePunct w:val="0"/>
              <w:autoSpaceDE/>
              <w:autoSpaceDN/>
              <w:bidi w:val="0"/>
              <w:snapToGrid/>
              <w:spacing w:line="520" w:lineRule="exact"/>
              <w:ind w:firstLine="480" w:firstLineChars="200"/>
              <w:textAlignment w:val="auto"/>
              <w:rPr>
                <w:rFonts w:ascii="Times New Roman" w:hAnsi="Times New Roman" w:cs="Times New Roman"/>
                <w:color w:val="auto"/>
                <w:sz w:val="24"/>
                <w:lang w:val="en-GB"/>
              </w:rPr>
            </w:pPr>
            <w:r>
              <w:rPr>
                <w:rFonts w:hint="eastAsia" w:ascii="Times New Roman" w:hAnsi="Times New Roman" w:cs="Times New Roman"/>
                <w:color w:val="auto"/>
                <w:sz w:val="24"/>
                <w:lang w:val="en-US" w:eastAsia="zh-CN"/>
              </w:rPr>
              <w:t>②</w:t>
            </w:r>
            <w:r>
              <w:rPr>
                <w:rFonts w:ascii="Times New Roman" w:hAnsi="Times New Roman" w:cs="Times New Roman"/>
                <w:color w:val="auto"/>
                <w:sz w:val="24"/>
                <w:lang w:val="en-GB"/>
              </w:rPr>
              <w:t>危险废物</w:t>
            </w:r>
          </w:p>
          <w:p w14:paraId="23A415F2">
            <w:pPr>
              <w:keepNext w:val="0"/>
              <w:keepLines w:val="0"/>
              <w:pageBreakBefore w:val="0"/>
              <w:widowControl w:val="0"/>
              <w:kinsoku/>
              <w:wordWrap/>
              <w:overflowPunct/>
              <w:topLinePunct w:val="0"/>
              <w:autoSpaceDE/>
              <w:autoSpaceDN/>
              <w:bidi w:val="0"/>
              <w:snapToGrid/>
              <w:spacing w:line="520" w:lineRule="exact"/>
              <w:ind w:firstLine="480" w:firstLineChars="200"/>
              <w:textAlignment w:val="auto"/>
              <w:rPr>
                <w:rFonts w:hint="eastAsia" w:ascii="Times New Roman" w:hAnsi="Times New Roman" w:cs="Times New Roman"/>
                <w:color w:val="auto"/>
                <w:sz w:val="24"/>
                <w:u w:val="none"/>
                <w:lang w:val="en-US" w:eastAsia="zh-CN" w:bidi="ar-SA"/>
              </w:rPr>
            </w:pPr>
            <w:r>
              <w:rPr>
                <w:rFonts w:hint="eastAsia" w:ascii="Times New Roman" w:hAnsi="Times New Roman" w:cs="Times New Roman"/>
                <w:color w:val="auto"/>
                <w:sz w:val="24"/>
                <w:lang w:val="en-US" w:eastAsia="zh-CN"/>
              </w:rPr>
              <w:t>废</w:t>
            </w:r>
            <w:r>
              <w:rPr>
                <w:rFonts w:hint="eastAsia" w:cs="Times New Roman"/>
                <w:color w:val="auto"/>
                <w:sz w:val="24"/>
                <w:lang w:val="en-US" w:eastAsia="zh-CN"/>
              </w:rPr>
              <w:t>机油</w:t>
            </w:r>
            <w:r>
              <w:rPr>
                <w:rFonts w:hint="eastAsia" w:ascii="Times New Roman" w:hAnsi="Times New Roman" w:cs="Times New Roman"/>
                <w:color w:val="auto"/>
                <w:sz w:val="24"/>
                <w:u w:val="none"/>
                <w:lang w:val="en-US" w:eastAsia="zh-CN" w:bidi="ar-SA"/>
              </w:rPr>
              <w:t>：</w:t>
            </w:r>
            <w:r>
              <w:rPr>
                <w:rFonts w:ascii="Times New Roman" w:hAnsi="Times New Roman" w:cs="Times New Roman"/>
                <w:color w:val="auto"/>
                <w:sz w:val="24"/>
                <w:u w:val="none"/>
                <w:lang w:val="en-US" w:bidi="ar-SA"/>
              </w:rPr>
              <w:t>本项目</w:t>
            </w:r>
            <w:r>
              <w:rPr>
                <w:rFonts w:hint="eastAsia" w:ascii="Times New Roman" w:hAnsi="Times New Roman" w:cs="Times New Roman"/>
                <w:color w:val="auto"/>
                <w:sz w:val="24"/>
                <w:u w:val="none"/>
                <w:lang w:val="en-US" w:bidi="ar-SA"/>
              </w:rPr>
              <w:t>设备检修维护时，会产生少量废润滑油</w:t>
            </w:r>
            <w:r>
              <w:rPr>
                <w:rFonts w:ascii="Times New Roman" w:hAnsi="Times New Roman" w:cs="Times New Roman"/>
                <w:color w:val="auto"/>
                <w:sz w:val="24"/>
                <w:u w:val="none"/>
                <w:lang w:val="en-US" w:bidi="ar-SA"/>
              </w:rPr>
              <w:t>，产生量为0.</w:t>
            </w:r>
            <w:r>
              <w:rPr>
                <w:rFonts w:hint="eastAsia" w:ascii="Times New Roman" w:hAnsi="Times New Roman" w:cs="Times New Roman"/>
                <w:color w:val="auto"/>
                <w:sz w:val="24"/>
                <w:u w:val="none"/>
                <w:lang w:val="en-US" w:eastAsia="zh-CN" w:bidi="ar-SA"/>
              </w:rPr>
              <w:t>05</w:t>
            </w:r>
            <w:r>
              <w:rPr>
                <w:rFonts w:ascii="Times New Roman" w:hAnsi="Times New Roman" w:cs="Times New Roman"/>
                <w:color w:val="auto"/>
                <w:sz w:val="24"/>
                <w:u w:val="none"/>
                <w:lang w:val="en-US" w:bidi="ar-SA"/>
              </w:rPr>
              <w:t>t/a，危废代码900-214-08。</w:t>
            </w:r>
            <w:r>
              <w:rPr>
                <w:rFonts w:hint="eastAsia" w:ascii="Times New Roman" w:hAnsi="Times New Roman" w:cs="Times New Roman"/>
                <w:color w:val="auto"/>
                <w:sz w:val="24"/>
                <w:u w:val="none"/>
                <w:lang w:val="en-US" w:eastAsia="zh-CN" w:bidi="ar-SA"/>
              </w:rPr>
              <w:t>产生的废润滑油收集后暂存于危废间，定期委托有资质单位处置。</w:t>
            </w:r>
          </w:p>
          <w:p w14:paraId="2F93E93C">
            <w:pPr>
              <w:keepNext w:val="0"/>
              <w:keepLines w:val="0"/>
              <w:pageBreakBefore w:val="0"/>
              <w:widowControl w:val="0"/>
              <w:kinsoku/>
              <w:wordWrap/>
              <w:overflowPunct/>
              <w:topLinePunct w:val="0"/>
              <w:autoSpaceDE/>
              <w:autoSpaceDN/>
              <w:bidi w:val="0"/>
              <w:adjustRightInd w:val="0"/>
              <w:snapToGrid/>
              <w:spacing w:line="520" w:lineRule="exact"/>
              <w:ind w:firstLine="480" w:firstLineChars="200"/>
              <w:textAlignment w:val="auto"/>
              <w:rPr>
                <w:rFonts w:hint="eastAsia"/>
                <w:color w:val="auto"/>
                <w:sz w:val="24"/>
                <w:lang w:val="en-US" w:eastAsia="zh-CN"/>
              </w:rPr>
            </w:pPr>
            <w:r>
              <w:rPr>
                <w:rFonts w:hint="eastAsia"/>
                <w:color w:val="auto"/>
                <w:sz w:val="24"/>
                <w:lang w:val="en-US" w:eastAsia="zh-CN"/>
              </w:rPr>
              <w:t>③生活垃圾</w:t>
            </w:r>
          </w:p>
          <w:p w14:paraId="1FD04BCD">
            <w:pPr>
              <w:keepNext w:val="0"/>
              <w:keepLines w:val="0"/>
              <w:pageBreakBefore w:val="0"/>
              <w:widowControl w:val="0"/>
              <w:kinsoku/>
              <w:wordWrap/>
              <w:overflowPunct/>
              <w:topLinePunct w:val="0"/>
              <w:autoSpaceDE/>
              <w:autoSpaceDN/>
              <w:bidi w:val="0"/>
              <w:snapToGrid/>
              <w:spacing w:line="520" w:lineRule="exact"/>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参照《城镇生活源产排污系数手册（2008年）》表5中相关参数及当地情况，生活垃圾产生量约为1.0kg/（人·d）。项目员工为</w:t>
            </w:r>
            <w:r>
              <w:rPr>
                <w:rFonts w:hint="eastAsia" w:ascii="Times New Roman" w:hAnsi="Times New Roman" w:eastAsia="宋体" w:cs="Times New Roman"/>
                <w:color w:val="auto"/>
                <w:sz w:val="24"/>
                <w:lang w:val="en-US" w:eastAsia="zh-CN"/>
              </w:rPr>
              <w:t>20</w:t>
            </w:r>
            <w:r>
              <w:rPr>
                <w:rFonts w:hint="default" w:ascii="Times New Roman" w:hAnsi="Times New Roman" w:eastAsia="宋体" w:cs="Times New Roman"/>
                <w:color w:val="auto"/>
                <w:sz w:val="24"/>
                <w:lang w:val="en-US" w:eastAsia="zh-CN"/>
              </w:rPr>
              <w:t>人，经计算项目生活垃圾产生量为</w:t>
            </w:r>
            <w:r>
              <w:rPr>
                <w:rFonts w:hint="eastAsia" w:ascii="Times New Roman" w:hAnsi="Times New Roman" w:eastAsia="宋体" w:cs="Times New Roman"/>
                <w:color w:val="auto"/>
                <w:sz w:val="24"/>
                <w:lang w:val="en-US" w:eastAsia="zh-CN"/>
              </w:rPr>
              <w:t>6</w:t>
            </w:r>
            <w:r>
              <w:rPr>
                <w:rFonts w:hint="default" w:ascii="Times New Roman" w:hAnsi="Times New Roman" w:eastAsia="宋体" w:cs="Times New Roman"/>
                <w:color w:val="auto"/>
                <w:sz w:val="24"/>
                <w:lang w:val="en-US" w:eastAsia="zh-CN"/>
              </w:rPr>
              <w:t>/a。项目配置移动式塑料垃圾箱，经分类收集后，由环卫部门统一清运。</w:t>
            </w:r>
          </w:p>
          <w:p w14:paraId="1201056E">
            <w:pPr>
              <w:keepNext w:val="0"/>
              <w:keepLines w:val="0"/>
              <w:pageBreakBefore w:val="0"/>
              <w:widowControl w:val="0"/>
              <w:kinsoku/>
              <w:wordWrap/>
              <w:overflowPunct/>
              <w:topLinePunct w:val="0"/>
              <w:autoSpaceDE/>
              <w:autoSpaceDN/>
              <w:bidi w:val="0"/>
              <w:adjustRightInd w:val="0"/>
              <w:snapToGrid/>
              <w:spacing w:line="520" w:lineRule="exact"/>
              <w:ind w:firstLine="480" w:firstLineChars="200"/>
              <w:textAlignment w:val="auto"/>
              <w:rPr>
                <w:rFonts w:hint="default" w:eastAsia="宋体"/>
                <w:color w:val="auto"/>
                <w:sz w:val="24"/>
                <w:lang w:val="en-US" w:eastAsia="zh-CN"/>
              </w:rPr>
            </w:pPr>
            <w:r>
              <w:rPr>
                <w:color w:val="auto"/>
                <w:sz w:val="24"/>
              </w:rPr>
              <w:t>根据项目工程情况可知，本项目固体废物处置情况见表4-</w:t>
            </w:r>
            <w:r>
              <w:rPr>
                <w:rFonts w:hint="eastAsia"/>
                <w:color w:val="auto"/>
                <w:sz w:val="24"/>
                <w:lang w:val="en-US" w:eastAsia="zh-CN"/>
              </w:rPr>
              <w:t>12、4-13。</w:t>
            </w:r>
          </w:p>
          <w:p w14:paraId="639E1AEC">
            <w:pPr>
              <w:pStyle w:val="54"/>
              <w:keepNext w:val="0"/>
              <w:keepLines w:val="0"/>
              <w:pageBreakBefore w:val="0"/>
              <w:widowControl w:val="0"/>
              <w:kinsoku/>
              <w:wordWrap/>
              <w:overflowPunct/>
              <w:topLinePunct w:val="0"/>
              <w:autoSpaceDE/>
              <w:autoSpaceDN/>
              <w:bidi w:val="0"/>
              <w:adjustRightInd/>
              <w:snapToGrid/>
              <w:spacing w:before="0" w:beforeLines="0" w:line="520" w:lineRule="exact"/>
              <w:ind w:firstLine="0" w:firstLineChars="0"/>
              <w:textAlignment w:val="auto"/>
              <w:rPr>
                <w:rFonts w:hAnsi="Times New Roman"/>
                <w:color w:val="auto"/>
                <w:sz w:val="21"/>
              </w:rPr>
            </w:pPr>
            <w:r>
              <w:rPr>
                <w:rFonts w:hAnsi="Times New Roman"/>
                <w:color w:val="auto"/>
                <w:sz w:val="21"/>
              </w:rPr>
              <w:t>表4-</w:t>
            </w:r>
            <w:r>
              <w:rPr>
                <w:rFonts w:hint="eastAsia" w:hAnsi="Times New Roman"/>
                <w:color w:val="auto"/>
                <w:sz w:val="21"/>
                <w:lang w:val="en-US" w:eastAsia="zh-CN"/>
              </w:rPr>
              <w:t>12</w:t>
            </w:r>
            <w:r>
              <w:rPr>
                <w:rFonts w:hAnsi="Times New Roman"/>
                <w:color w:val="auto"/>
                <w:sz w:val="21"/>
              </w:rPr>
              <w:t xml:space="preserve">    </w:t>
            </w:r>
            <w:r>
              <w:rPr>
                <w:rFonts w:hint="eastAsia" w:hAnsi="Times New Roman"/>
                <w:color w:val="auto"/>
                <w:sz w:val="21"/>
                <w:lang w:val="en-US" w:eastAsia="zh-CN"/>
              </w:rPr>
              <w:t>生活垃圾及一般固废</w:t>
            </w:r>
            <w:r>
              <w:rPr>
                <w:rFonts w:hAnsi="Times New Roman"/>
                <w:color w:val="auto"/>
                <w:sz w:val="21"/>
                <w:lang w:val="zh-CN"/>
              </w:rPr>
              <w:t>产生情况汇总</w:t>
            </w:r>
            <w:r>
              <w:rPr>
                <w:rFonts w:hAnsi="Times New Roman"/>
                <w:color w:val="auto"/>
                <w:sz w:val="21"/>
              </w:rPr>
              <w:t>表</w:t>
            </w:r>
          </w:p>
          <w:tbl>
            <w:tblPr>
              <w:tblStyle w:val="27"/>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8"/>
              <w:gridCol w:w="1269"/>
              <w:gridCol w:w="1552"/>
              <w:gridCol w:w="1235"/>
              <w:gridCol w:w="1311"/>
              <w:gridCol w:w="808"/>
              <w:gridCol w:w="1239"/>
            </w:tblGrid>
            <w:tr w14:paraId="41EAB5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8" w:type="pct"/>
                  <w:vAlign w:val="center"/>
                </w:tcPr>
                <w:p w14:paraId="6F1F36C2">
                  <w:pPr>
                    <w:adjustRightInd w:val="0"/>
                    <w:snapToGrid w:val="0"/>
                    <w:jc w:val="center"/>
                    <w:rPr>
                      <w:b/>
                      <w:bCs/>
                      <w:color w:val="auto"/>
                      <w:kern w:val="0"/>
                      <w:szCs w:val="21"/>
                    </w:rPr>
                  </w:pPr>
                  <w:r>
                    <w:rPr>
                      <w:b/>
                      <w:bCs/>
                      <w:color w:val="auto"/>
                      <w:kern w:val="0"/>
                      <w:szCs w:val="21"/>
                    </w:rPr>
                    <w:t>序号</w:t>
                  </w:r>
                </w:p>
              </w:tc>
              <w:tc>
                <w:tcPr>
                  <w:tcW w:w="777" w:type="pct"/>
                  <w:vAlign w:val="center"/>
                </w:tcPr>
                <w:p w14:paraId="5CEF1B4C">
                  <w:pPr>
                    <w:adjustRightInd w:val="0"/>
                    <w:snapToGrid w:val="0"/>
                    <w:jc w:val="center"/>
                    <w:rPr>
                      <w:b/>
                      <w:bCs/>
                      <w:color w:val="auto"/>
                      <w:kern w:val="0"/>
                      <w:szCs w:val="21"/>
                    </w:rPr>
                  </w:pPr>
                  <w:r>
                    <w:rPr>
                      <w:b/>
                      <w:bCs/>
                      <w:color w:val="auto"/>
                      <w:kern w:val="0"/>
                      <w:szCs w:val="21"/>
                    </w:rPr>
                    <w:t>固废名称</w:t>
                  </w:r>
                </w:p>
              </w:tc>
              <w:tc>
                <w:tcPr>
                  <w:tcW w:w="951" w:type="pct"/>
                  <w:vAlign w:val="center"/>
                </w:tcPr>
                <w:p w14:paraId="7B33495D">
                  <w:pPr>
                    <w:adjustRightInd w:val="0"/>
                    <w:snapToGrid w:val="0"/>
                    <w:jc w:val="center"/>
                    <w:rPr>
                      <w:rFonts w:hint="eastAsia" w:eastAsia="宋体"/>
                      <w:b/>
                      <w:bCs/>
                      <w:color w:val="auto"/>
                      <w:kern w:val="0"/>
                      <w:szCs w:val="21"/>
                      <w:lang w:val="en-US" w:eastAsia="zh-CN"/>
                    </w:rPr>
                  </w:pPr>
                  <w:r>
                    <w:rPr>
                      <w:rFonts w:hint="eastAsia"/>
                      <w:b/>
                      <w:bCs/>
                      <w:color w:val="auto"/>
                      <w:kern w:val="0"/>
                      <w:szCs w:val="21"/>
                      <w:lang w:val="en-US" w:eastAsia="zh-CN"/>
                    </w:rPr>
                    <w:t>代码</w:t>
                  </w:r>
                </w:p>
              </w:tc>
              <w:tc>
                <w:tcPr>
                  <w:tcW w:w="756" w:type="pct"/>
                  <w:vAlign w:val="center"/>
                </w:tcPr>
                <w:p w14:paraId="471BA94B">
                  <w:pPr>
                    <w:adjustRightInd w:val="0"/>
                    <w:snapToGrid w:val="0"/>
                    <w:jc w:val="center"/>
                    <w:rPr>
                      <w:rFonts w:hint="eastAsia" w:eastAsia="宋体"/>
                      <w:b/>
                      <w:bCs/>
                      <w:color w:val="auto"/>
                      <w:kern w:val="0"/>
                      <w:szCs w:val="21"/>
                      <w:lang w:val="en-US" w:eastAsia="zh-CN"/>
                    </w:rPr>
                  </w:pPr>
                  <w:r>
                    <w:rPr>
                      <w:rFonts w:hint="eastAsia"/>
                      <w:b/>
                      <w:bCs/>
                      <w:color w:val="auto"/>
                      <w:kern w:val="0"/>
                      <w:szCs w:val="21"/>
                      <w:lang w:val="en-US" w:eastAsia="zh-CN"/>
                    </w:rPr>
                    <w:t>类别</w:t>
                  </w:r>
                </w:p>
              </w:tc>
              <w:tc>
                <w:tcPr>
                  <w:tcW w:w="803" w:type="pct"/>
                  <w:vAlign w:val="center"/>
                </w:tcPr>
                <w:p w14:paraId="0CE8A696">
                  <w:pPr>
                    <w:adjustRightInd w:val="0"/>
                    <w:snapToGrid w:val="0"/>
                    <w:jc w:val="center"/>
                    <w:rPr>
                      <w:b/>
                      <w:bCs/>
                      <w:color w:val="auto"/>
                      <w:kern w:val="0"/>
                      <w:szCs w:val="21"/>
                    </w:rPr>
                  </w:pPr>
                  <w:r>
                    <w:rPr>
                      <w:b/>
                      <w:bCs/>
                      <w:color w:val="auto"/>
                      <w:kern w:val="0"/>
                      <w:szCs w:val="21"/>
                    </w:rPr>
                    <w:t>产生工序</w:t>
                  </w:r>
                </w:p>
              </w:tc>
              <w:tc>
                <w:tcPr>
                  <w:tcW w:w="494" w:type="pct"/>
                  <w:vAlign w:val="center"/>
                </w:tcPr>
                <w:p w14:paraId="0067822A">
                  <w:pPr>
                    <w:adjustRightInd w:val="0"/>
                    <w:snapToGrid w:val="0"/>
                    <w:jc w:val="center"/>
                    <w:rPr>
                      <w:b/>
                      <w:bCs/>
                      <w:color w:val="auto"/>
                      <w:kern w:val="0"/>
                      <w:szCs w:val="21"/>
                    </w:rPr>
                  </w:pPr>
                  <w:r>
                    <w:rPr>
                      <w:b/>
                      <w:bCs/>
                      <w:color w:val="auto"/>
                      <w:kern w:val="0"/>
                      <w:szCs w:val="21"/>
                    </w:rPr>
                    <w:t>形态</w:t>
                  </w:r>
                </w:p>
              </w:tc>
              <w:tc>
                <w:tcPr>
                  <w:tcW w:w="758" w:type="pct"/>
                  <w:vAlign w:val="center"/>
                </w:tcPr>
                <w:p w14:paraId="380146E2">
                  <w:pPr>
                    <w:adjustRightInd w:val="0"/>
                    <w:snapToGrid w:val="0"/>
                    <w:jc w:val="center"/>
                    <w:rPr>
                      <w:b/>
                      <w:bCs/>
                      <w:color w:val="auto"/>
                      <w:kern w:val="0"/>
                      <w:szCs w:val="21"/>
                    </w:rPr>
                  </w:pPr>
                  <w:r>
                    <w:rPr>
                      <w:b/>
                      <w:bCs/>
                      <w:color w:val="auto"/>
                      <w:kern w:val="0"/>
                      <w:szCs w:val="21"/>
                    </w:rPr>
                    <w:t>产生量</w:t>
                  </w:r>
                </w:p>
              </w:tc>
            </w:tr>
            <w:tr w14:paraId="1446C2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8" w:type="pct"/>
                  <w:vAlign w:val="center"/>
                </w:tcPr>
                <w:p w14:paraId="1B32EF93">
                  <w:pPr>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1</w:t>
                  </w:r>
                </w:p>
              </w:tc>
              <w:tc>
                <w:tcPr>
                  <w:tcW w:w="777" w:type="pct"/>
                  <w:vAlign w:val="center"/>
                </w:tcPr>
                <w:p w14:paraId="17978E5C">
                  <w:pPr>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煤矸石</w:t>
                  </w:r>
                </w:p>
              </w:tc>
              <w:tc>
                <w:tcPr>
                  <w:tcW w:w="951" w:type="pct"/>
                  <w:vAlign w:val="center"/>
                </w:tcPr>
                <w:p w14:paraId="1C0976F0">
                  <w:pPr>
                    <w:adjustRightInd w:val="0"/>
                    <w:snapToGrid w:val="0"/>
                    <w:jc w:val="center"/>
                    <w:rPr>
                      <w:rFonts w:hint="default"/>
                      <w:color w:val="auto"/>
                      <w:kern w:val="0"/>
                      <w:szCs w:val="21"/>
                      <w:lang w:val="en-US" w:eastAsia="zh-CN"/>
                    </w:rPr>
                  </w:pPr>
                  <w:r>
                    <w:rPr>
                      <w:rFonts w:hint="eastAsia"/>
                      <w:color w:val="auto"/>
                      <w:sz w:val="21"/>
                      <w:szCs w:val="21"/>
                      <w:lang w:val="en-US" w:eastAsia="zh-CN"/>
                    </w:rPr>
                    <w:t>SW061-001-21</w:t>
                  </w:r>
                </w:p>
              </w:tc>
              <w:tc>
                <w:tcPr>
                  <w:tcW w:w="756" w:type="pct"/>
                  <w:vAlign w:val="center"/>
                </w:tcPr>
                <w:p w14:paraId="334E8022">
                  <w:pPr>
                    <w:adjustRightInd w:val="0"/>
                    <w:snapToGrid w:val="0"/>
                    <w:jc w:val="center"/>
                    <w:rPr>
                      <w:rFonts w:hint="default"/>
                      <w:color w:val="auto"/>
                      <w:kern w:val="0"/>
                      <w:szCs w:val="21"/>
                      <w:lang w:val="en-US" w:eastAsia="zh-CN"/>
                    </w:rPr>
                  </w:pPr>
                  <w:r>
                    <w:rPr>
                      <w:rFonts w:hint="eastAsia"/>
                      <w:color w:val="auto"/>
                      <w:kern w:val="0"/>
                      <w:szCs w:val="21"/>
                      <w:lang w:val="en-US" w:eastAsia="zh-CN"/>
                    </w:rPr>
                    <w:t>一般固废</w:t>
                  </w:r>
                </w:p>
              </w:tc>
              <w:tc>
                <w:tcPr>
                  <w:tcW w:w="803" w:type="pct"/>
                  <w:vAlign w:val="center"/>
                </w:tcPr>
                <w:p w14:paraId="5CCCA546">
                  <w:pPr>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生产过程</w:t>
                  </w:r>
                </w:p>
              </w:tc>
              <w:tc>
                <w:tcPr>
                  <w:tcW w:w="494" w:type="pct"/>
                  <w:vAlign w:val="center"/>
                </w:tcPr>
                <w:p w14:paraId="33A5E31E">
                  <w:pPr>
                    <w:adjustRightInd w:val="0"/>
                    <w:snapToGrid w:val="0"/>
                    <w:jc w:val="center"/>
                    <w:rPr>
                      <w:rFonts w:ascii="Times New Roman" w:hAnsi="Times New Roman" w:eastAsia="宋体" w:cs="Times New Roman"/>
                      <w:color w:val="auto"/>
                      <w:kern w:val="0"/>
                      <w:sz w:val="21"/>
                      <w:szCs w:val="21"/>
                      <w:lang w:val="en-US" w:eastAsia="zh-CN" w:bidi="ar-SA"/>
                    </w:rPr>
                  </w:pPr>
                  <w:r>
                    <w:rPr>
                      <w:color w:val="auto"/>
                      <w:kern w:val="0"/>
                      <w:szCs w:val="21"/>
                    </w:rPr>
                    <w:t>固态</w:t>
                  </w:r>
                </w:p>
              </w:tc>
              <w:tc>
                <w:tcPr>
                  <w:tcW w:w="758" w:type="pct"/>
                  <w:vAlign w:val="center"/>
                </w:tcPr>
                <w:p w14:paraId="1D1E19C6">
                  <w:pPr>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3.58万t/a</w:t>
                  </w:r>
                </w:p>
              </w:tc>
            </w:tr>
            <w:tr w14:paraId="36E61F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8" w:type="pct"/>
                  <w:vAlign w:val="center"/>
                </w:tcPr>
                <w:p w14:paraId="35096A5C">
                  <w:pPr>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2</w:t>
                  </w:r>
                </w:p>
              </w:tc>
              <w:tc>
                <w:tcPr>
                  <w:tcW w:w="777" w:type="pct"/>
                  <w:vAlign w:val="center"/>
                </w:tcPr>
                <w:p w14:paraId="0CBECF37">
                  <w:pPr>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煤泥</w:t>
                  </w:r>
                </w:p>
              </w:tc>
              <w:tc>
                <w:tcPr>
                  <w:tcW w:w="951" w:type="pct"/>
                  <w:vAlign w:val="center"/>
                </w:tcPr>
                <w:p w14:paraId="2DE79C0E">
                  <w:pPr>
                    <w:adjustRightInd w:val="0"/>
                    <w:snapToGrid w:val="0"/>
                    <w:jc w:val="center"/>
                    <w:rPr>
                      <w:color w:val="auto"/>
                      <w:kern w:val="0"/>
                      <w:szCs w:val="21"/>
                    </w:rPr>
                  </w:pPr>
                  <w:r>
                    <w:rPr>
                      <w:rFonts w:hint="eastAsia"/>
                      <w:color w:val="auto"/>
                      <w:sz w:val="21"/>
                      <w:szCs w:val="21"/>
                      <w:lang w:val="en-US" w:eastAsia="zh-CN"/>
                    </w:rPr>
                    <w:t>SW061-001-29</w:t>
                  </w:r>
                </w:p>
              </w:tc>
              <w:tc>
                <w:tcPr>
                  <w:tcW w:w="756" w:type="pct"/>
                  <w:vAlign w:val="center"/>
                </w:tcPr>
                <w:p w14:paraId="19257EF3">
                  <w:pPr>
                    <w:adjustRightInd w:val="0"/>
                    <w:snapToGrid w:val="0"/>
                    <w:jc w:val="center"/>
                    <w:rPr>
                      <w:color w:val="auto"/>
                      <w:kern w:val="0"/>
                      <w:szCs w:val="21"/>
                    </w:rPr>
                  </w:pPr>
                  <w:r>
                    <w:rPr>
                      <w:rFonts w:hint="eastAsia"/>
                      <w:color w:val="auto"/>
                      <w:kern w:val="0"/>
                      <w:szCs w:val="21"/>
                      <w:lang w:val="en-US" w:eastAsia="zh-CN"/>
                    </w:rPr>
                    <w:t>一般固废</w:t>
                  </w:r>
                </w:p>
              </w:tc>
              <w:tc>
                <w:tcPr>
                  <w:tcW w:w="803" w:type="pct"/>
                  <w:vAlign w:val="center"/>
                </w:tcPr>
                <w:p w14:paraId="76FFAEC5">
                  <w:pPr>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生产过冲</w:t>
                  </w:r>
                </w:p>
              </w:tc>
              <w:tc>
                <w:tcPr>
                  <w:tcW w:w="494" w:type="pct"/>
                  <w:vAlign w:val="center"/>
                </w:tcPr>
                <w:p w14:paraId="77235716">
                  <w:pPr>
                    <w:adjustRightInd w:val="0"/>
                    <w:snapToGrid w:val="0"/>
                    <w:jc w:val="center"/>
                    <w:rPr>
                      <w:rFonts w:hint="eastAsia" w:ascii="Times New Roman" w:hAnsi="Times New Roman" w:eastAsia="宋体" w:cs="Times New Roman"/>
                      <w:color w:val="auto"/>
                      <w:kern w:val="0"/>
                      <w:sz w:val="21"/>
                      <w:szCs w:val="21"/>
                      <w:lang w:val="en-US" w:eastAsia="zh-CN" w:bidi="ar-SA"/>
                    </w:rPr>
                  </w:pPr>
                  <w:r>
                    <w:rPr>
                      <w:color w:val="auto"/>
                      <w:kern w:val="0"/>
                      <w:szCs w:val="21"/>
                    </w:rPr>
                    <w:t>固态</w:t>
                  </w:r>
                </w:p>
              </w:tc>
              <w:tc>
                <w:tcPr>
                  <w:tcW w:w="758" w:type="pct"/>
                  <w:vAlign w:val="center"/>
                </w:tcPr>
                <w:p w14:paraId="7AA4382A">
                  <w:pPr>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1.34万t/a</w:t>
                  </w:r>
                </w:p>
              </w:tc>
            </w:tr>
            <w:tr w14:paraId="1E3B12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8" w:type="pct"/>
                  <w:vAlign w:val="center"/>
                </w:tcPr>
                <w:p w14:paraId="6941871E">
                  <w:pPr>
                    <w:adjustRightInd w:val="0"/>
                    <w:snapToGrid w:val="0"/>
                    <w:jc w:val="center"/>
                    <w:rPr>
                      <w:rFonts w:hint="default"/>
                      <w:color w:val="auto"/>
                      <w:kern w:val="0"/>
                      <w:szCs w:val="21"/>
                      <w:lang w:val="en-US" w:eastAsia="zh-CN"/>
                    </w:rPr>
                  </w:pPr>
                  <w:r>
                    <w:rPr>
                      <w:rFonts w:hint="eastAsia"/>
                      <w:color w:val="auto"/>
                      <w:kern w:val="0"/>
                      <w:szCs w:val="21"/>
                      <w:lang w:val="en-US" w:eastAsia="zh-CN"/>
                    </w:rPr>
                    <w:t>3</w:t>
                  </w:r>
                </w:p>
              </w:tc>
              <w:tc>
                <w:tcPr>
                  <w:tcW w:w="777" w:type="pct"/>
                  <w:vAlign w:val="center"/>
                </w:tcPr>
                <w:p w14:paraId="1DE0352E">
                  <w:pPr>
                    <w:adjustRightInd w:val="0"/>
                    <w:snapToGrid w:val="0"/>
                    <w:jc w:val="center"/>
                    <w:rPr>
                      <w:rFonts w:hint="default"/>
                      <w:color w:val="auto"/>
                      <w:kern w:val="0"/>
                      <w:szCs w:val="21"/>
                      <w:lang w:val="en-US" w:eastAsia="zh-CN"/>
                    </w:rPr>
                  </w:pPr>
                  <w:r>
                    <w:rPr>
                      <w:rFonts w:hint="eastAsia"/>
                      <w:color w:val="auto"/>
                      <w:kern w:val="0"/>
                      <w:szCs w:val="21"/>
                      <w:lang w:val="en-US" w:eastAsia="zh-CN"/>
                    </w:rPr>
                    <w:t>收集尘</w:t>
                  </w:r>
                </w:p>
              </w:tc>
              <w:tc>
                <w:tcPr>
                  <w:tcW w:w="951" w:type="pct"/>
                  <w:vAlign w:val="center"/>
                </w:tcPr>
                <w:p w14:paraId="732BBCB4">
                  <w:pPr>
                    <w:adjustRightInd w:val="0"/>
                    <w:snapToGrid w:val="0"/>
                    <w:jc w:val="center"/>
                    <w:rPr>
                      <w:rFonts w:hint="default" w:eastAsia="宋体"/>
                      <w:color w:val="auto"/>
                      <w:kern w:val="0"/>
                      <w:szCs w:val="21"/>
                      <w:lang w:val="en-US" w:eastAsia="zh-CN"/>
                    </w:rPr>
                  </w:pPr>
                  <w:r>
                    <w:rPr>
                      <w:rFonts w:hint="eastAsia"/>
                      <w:color w:val="auto"/>
                      <w:sz w:val="21"/>
                      <w:szCs w:val="21"/>
                      <w:lang w:val="en-US" w:eastAsia="zh-CN"/>
                    </w:rPr>
                    <w:t>SW061-001-66</w:t>
                  </w:r>
                </w:p>
              </w:tc>
              <w:tc>
                <w:tcPr>
                  <w:tcW w:w="756" w:type="pct"/>
                  <w:vAlign w:val="center"/>
                </w:tcPr>
                <w:p w14:paraId="2CFFAA01">
                  <w:pPr>
                    <w:adjustRightInd w:val="0"/>
                    <w:snapToGrid w:val="0"/>
                    <w:jc w:val="center"/>
                    <w:rPr>
                      <w:rFonts w:hint="default"/>
                      <w:color w:val="auto"/>
                      <w:kern w:val="0"/>
                      <w:szCs w:val="21"/>
                      <w:lang w:val="en-US" w:eastAsia="zh-CN"/>
                    </w:rPr>
                  </w:pPr>
                  <w:r>
                    <w:rPr>
                      <w:rFonts w:hint="eastAsia"/>
                      <w:color w:val="auto"/>
                      <w:kern w:val="0"/>
                      <w:szCs w:val="21"/>
                      <w:lang w:val="en-US" w:eastAsia="zh-CN"/>
                    </w:rPr>
                    <w:t>一般固废</w:t>
                  </w:r>
                </w:p>
              </w:tc>
              <w:tc>
                <w:tcPr>
                  <w:tcW w:w="803" w:type="pct"/>
                  <w:vAlign w:val="center"/>
                </w:tcPr>
                <w:p w14:paraId="0586FC8F">
                  <w:pPr>
                    <w:adjustRightInd w:val="0"/>
                    <w:snapToGrid w:val="0"/>
                    <w:jc w:val="center"/>
                    <w:rPr>
                      <w:rFonts w:hint="default"/>
                      <w:color w:val="auto"/>
                      <w:kern w:val="0"/>
                      <w:szCs w:val="21"/>
                      <w:lang w:val="en-US" w:eastAsia="zh-CN"/>
                    </w:rPr>
                  </w:pPr>
                  <w:r>
                    <w:rPr>
                      <w:rFonts w:hint="eastAsia"/>
                      <w:color w:val="auto"/>
                      <w:kern w:val="0"/>
                      <w:szCs w:val="21"/>
                      <w:lang w:val="en-US" w:eastAsia="zh-CN"/>
                    </w:rPr>
                    <w:t>环保设施</w:t>
                  </w:r>
                </w:p>
              </w:tc>
              <w:tc>
                <w:tcPr>
                  <w:tcW w:w="494" w:type="pct"/>
                  <w:vAlign w:val="center"/>
                </w:tcPr>
                <w:p w14:paraId="6CEF28B9">
                  <w:pPr>
                    <w:adjustRightInd w:val="0"/>
                    <w:snapToGrid w:val="0"/>
                    <w:jc w:val="center"/>
                    <w:rPr>
                      <w:rFonts w:hint="eastAsia" w:eastAsia="宋体"/>
                      <w:color w:val="auto"/>
                      <w:kern w:val="0"/>
                      <w:szCs w:val="21"/>
                      <w:lang w:val="en-US" w:eastAsia="zh-CN"/>
                    </w:rPr>
                  </w:pPr>
                  <w:r>
                    <w:rPr>
                      <w:rFonts w:hint="eastAsia"/>
                      <w:color w:val="auto"/>
                      <w:kern w:val="0"/>
                      <w:szCs w:val="21"/>
                      <w:lang w:val="en-US" w:eastAsia="zh-CN"/>
                    </w:rPr>
                    <w:t>固态</w:t>
                  </w:r>
                </w:p>
              </w:tc>
              <w:tc>
                <w:tcPr>
                  <w:tcW w:w="758" w:type="pct"/>
                  <w:vAlign w:val="center"/>
                </w:tcPr>
                <w:p w14:paraId="631CF69F">
                  <w:pPr>
                    <w:adjustRightInd w:val="0"/>
                    <w:snapToGrid w:val="0"/>
                    <w:jc w:val="center"/>
                    <w:rPr>
                      <w:rFonts w:hint="default"/>
                      <w:color w:val="auto"/>
                      <w:kern w:val="0"/>
                      <w:szCs w:val="21"/>
                      <w:lang w:val="en-US" w:eastAsia="zh-CN"/>
                    </w:rPr>
                  </w:pPr>
                  <w:r>
                    <w:rPr>
                      <w:rFonts w:hint="eastAsia"/>
                      <w:color w:val="auto"/>
                      <w:kern w:val="0"/>
                      <w:szCs w:val="21"/>
                      <w:lang w:val="en-US" w:eastAsia="zh-CN"/>
                    </w:rPr>
                    <w:t>769.824t/a</w:t>
                  </w:r>
                </w:p>
              </w:tc>
            </w:tr>
            <w:tr w14:paraId="5A2911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8" w:type="pct"/>
                  <w:vAlign w:val="center"/>
                </w:tcPr>
                <w:p w14:paraId="2CCC4C69">
                  <w:pPr>
                    <w:adjustRightInd w:val="0"/>
                    <w:snapToGrid w:val="0"/>
                    <w:jc w:val="center"/>
                    <w:rPr>
                      <w:rFonts w:hint="default"/>
                      <w:color w:val="auto"/>
                      <w:kern w:val="0"/>
                      <w:szCs w:val="21"/>
                      <w:lang w:val="en-US" w:eastAsia="zh-CN"/>
                    </w:rPr>
                  </w:pPr>
                  <w:r>
                    <w:rPr>
                      <w:rFonts w:hint="eastAsia"/>
                      <w:color w:val="auto"/>
                      <w:kern w:val="0"/>
                      <w:szCs w:val="21"/>
                      <w:lang w:val="en-US" w:eastAsia="zh-CN"/>
                    </w:rPr>
                    <w:t>4</w:t>
                  </w:r>
                </w:p>
              </w:tc>
              <w:tc>
                <w:tcPr>
                  <w:tcW w:w="777" w:type="pct"/>
                  <w:vAlign w:val="center"/>
                </w:tcPr>
                <w:p w14:paraId="0CD45123">
                  <w:pPr>
                    <w:adjustRightInd w:val="0"/>
                    <w:snapToGrid w:val="0"/>
                    <w:jc w:val="center"/>
                    <w:rPr>
                      <w:rFonts w:hint="default"/>
                      <w:color w:val="auto"/>
                      <w:kern w:val="0"/>
                      <w:szCs w:val="21"/>
                      <w:lang w:val="en-US" w:eastAsia="zh-CN"/>
                    </w:rPr>
                  </w:pPr>
                  <w:r>
                    <w:rPr>
                      <w:rFonts w:hint="eastAsia"/>
                      <w:color w:val="auto"/>
                      <w:kern w:val="0"/>
                      <w:szCs w:val="21"/>
                      <w:lang w:val="en-US" w:eastAsia="zh-CN"/>
                    </w:rPr>
                    <w:t>生活垃圾</w:t>
                  </w:r>
                </w:p>
              </w:tc>
              <w:tc>
                <w:tcPr>
                  <w:tcW w:w="951" w:type="pct"/>
                  <w:vAlign w:val="center"/>
                </w:tcPr>
                <w:p w14:paraId="0EA374E8">
                  <w:pPr>
                    <w:adjustRightInd w:val="0"/>
                    <w:snapToGrid w:val="0"/>
                    <w:jc w:val="center"/>
                    <w:rPr>
                      <w:rFonts w:hint="default"/>
                      <w:color w:val="auto"/>
                      <w:sz w:val="21"/>
                      <w:szCs w:val="21"/>
                      <w:lang w:val="en-US" w:eastAsia="zh-CN"/>
                    </w:rPr>
                  </w:pPr>
                  <w:r>
                    <w:rPr>
                      <w:rFonts w:hint="eastAsia"/>
                      <w:color w:val="auto"/>
                      <w:sz w:val="21"/>
                      <w:szCs w:val="21"/>
                      <w:lang w:val="en-US" w:eastAsia="zh-CN"/>
                    </w:rPr>
                    <w:t>/</w:t>
                  </w:r>
                </w:p>
              </w:tc>
              <w:tc>
                <w:tcPr>
                  <w:tcW w:w="756" w:type="pct"/>
                  <w:vAlign w:val="center"/>
                </w:tcPr>
                <w:p w14:paraId="34345CB7">
                  <w:pPr>
                    <w:adjustRightInd w:val="0"/>
                    <w:snapToGrid w:val="0"/>
                    <w:jc w:val="center"/>
                    <w:rPr>
                      <w:rFonts w:hint="default"/>
                      <w:color w:val="auto"/>
                      <w:kern w:val="0"/>
                      <w:szCs w:val="21"/>
                      <w:lang w:val="en-US" w:eastAsia="zh-CN"/>
                    </w:rPr>
                  </w:pPr>
                  <w:r>
                    <w:rPr>
                      <w:rFonts w:hint="eastAsia"/>
                      <w:color w:val="auto"/>
                      <w:kern w:val="0"/>
                      <w:szCs w:val="21"/>
                      <w:lang w:val="en-US" w:eastAsia="zh-CN"/>
                    </w:rPr>
                    <w:t>生活垃圾</w:t>
                  </w:r>
                </w:p>
              </w:tc>
              <w:tc>
                <w:tcPr>
                  <w:tcW w:w="803" w:type="pct"/>
                  <w:vAlign w:val="center"/>
                </w:tcPr>
                <w:p w14:paraId="7EEF34B5">
                  <w:pPr>
                    <w:adjustRightInd w:val="0"/>
                    <w:snapToGrid w:val="0"/>
                    <w:jc w:val="center"/>
                    <w:rPr>
                      <w:rFonts w:hint="default"/>
                      <w:color w:val="auto"/>
                      <w:kern w:val="0"/>
                      <w:szCs w:val="21"/>
                      <w:lang w:val="en-US" w:eastAsia="zh-CN"/>
                    </w:rPr>
                  </w:pPr>
                  <w:r>
                    <w:rPr>
                      <w:rFonts w:hint="eastAsia"/>
                      <w:color w:val="auto"/>
                      <w:kern w:val="0"/>
                      <w:szCs w:val="21"/>
                      <w:lang w:val="en-US" w:eastAsia="zh-CN"/>
                    </w:rPr>
                    <w:t>员工生活</w:t>
                  </w:r>
                </w:p>
              </w:tc>
              <w:tc>
                <w:tcPr>
                  <w:tcW w:w="494" w:type="pct"/>
                  <w:vAlign w:val="center"/>
                </w:tcPr>
                <w:p w14:paraId="76EB56A0">
                  <w:pPr>
                    <w:adjustRightInd w:val="0"/>
                    <w:snapToGrid w:val="0"/>
                    <w:jc w:val="center"/>
                    <w:rPr>
                      <w:rFonts w:hint="default"/>
                      <w:color w:val="auto"/>
                      <w:kern w:val="0"/>
                      <w:szCs w:val="21"/>
                      <w:lang w:val="en-US" w:eastAsia="zh-CN"/>
                    </w:rPr>
                  </w:pPr>
                  <w:r>
                    <w:rPr>
                      <w:rFonts w:hint="eastAsia"/>
                      <w:color w:val="auto"/>
                      <w:kern w:val="0"/>
                      <w:szCs w:val="21"/>
                      <w:lang w:val="en-US" w:eastAsia="zh-CN"/>
                    </w:rPr>
                    <w:t>固态</w:t>
                  </w:r>
                </w:p>
              </w:tc>
              <w:tc>
                <w:tcPr>
                  <w:tcW w:w="758" w:type="pct"/>
                  <w:vAlign w:val="center"/>
                </w:tcPr>
                <w:p w14:paraId="693C015D">
                  <w:pPr>
                    <w:adjustRightInd w:val="0"/>
                    <w:snapToGrid w:val="0"/>
                    <w:jc w:val="center"/>
                    <w:rPr>
                      <w:rFonts w:hint="default"/>
                      <w:color w:val="auto"/>
                      <w:kern w:val="0"/>
                      <w:szCs w:val="21"/>
                      <w:lang w:val="en-US" w:eastAsia="zh-CN"/>
                    </w:rPr>
                  </w:pPr>
                  <w:r>
                    <w:rPr>
                      <w:rFonts w:hint="eastAsia"/>
                      <w:color w:val="auto"/>
                      <w:kern w:val="0"/>
                      <w:szCs w:val="21"/>
                      <w:lang w:val="en-US" w:eastAsia="zh-CN"/>
                    </w:rPr>
                    <w:t>6t/a</w:t>
                  </w:r>
                </w:p>
              </w:tc>
            </w:tr>
          </w:tbl>
          <w:p w14:paraId="6E785100">
            <w:pPr>
              <w:pStyle w:val="54"/>
              <w:keepNext w:val="0"/>
              <w:keepLines w:val="0"/>
              <w:pageBreakBefore w:val="0"/>
              <w:widowControl w:val="0"/>
              <w:kinsoku/>
              <w:wordWrap/>
              <w:overflowPunct/>
              <w:topLinePunct w:val="0"/>
              <w:autoSpaceDE/>
              <w:autoSpaceDN/>
              <w:bidi w:val="0"/>
              <w:adjustRightInd/>
              <w:snapToGrid/>
              <w:spacing w:before="0" w:beforeLines="0" w:line="520" w:lineRule="exact"/>
              <w:ind w:firstLine="0" w:firstLineChars="0"/>
              <w:textAlignment w:val="auto"/>
              <w:rPr>
                <w:rFonts w:hint="eastAsia" w:eastAsia="宋体"/>
                <w:color w:val="auto"/>
                <w:lang w:val="en-US" w:eastAsia="zh-CN"/>
              </w:rPr>
            </w:pPr>
            <w:r>
              <w:rPr>
                <w:rFonts w:hAnsi="Times New Roman"/>
                <w:color w:val="auto"/>
                <w:sz w:val="21"/>
              </w:rPr>
              <w:t>表4-</w:t>
            </w:r>
            <w:r>
              <w:rPr>
                <w:rFonts w:hint="eastAsia" w:hAnsi="Times New Roman"/>
                <w:color w:val="auto"/>
                <w:sz w:val="21"/>
                <w:lang w:val="en-US" w:eastAsia="zh-CN"/>
              </w:rPr>
              <w:t>13</w:t>
            </w:r>
            <w:r>
              <w:rPr>
                <w:rFonts w:hAnsi="Times New Roman"/>
                <w:color w:val="auto"/>
                <w:sz w:val="21"/>
              </w:rPr>
              <w:t xml:space="preserve">    </w:t>
            </w:r>
            <w:r>
              <w:rPr>
                <w:rFonts w:hint="eastAsia" w:hAnsi="Times New Roman"/>
                <w:color w:val="auto"/>
                <w:sz w:val="21"/>
                <w:lang w:val="en-US" w:eastAsia="zh-CN"/>
              </w:rPr>
              <w:t>危险废物</w:t>
            </w:r>
            <w:r>
              <w:rPr>
                <w:rFonts w:hAnsi="Times New Roman"/>
                <w:color w:val="auto"/>
                <w:sz w:val="21"/>
                <w:lang w:val="zh-CN"/>
              </w:rPr>
              <w:t>产生情况汇总</w:t>
            </w:r>
            <w:r>
              <w:rPr>
                <w:rFonts w:hAnsi="Times New Roman"/>
                <w:color w:val="auto"/>
                <w:sz w:val="21"/>
              </w:rPr>
              <w:t>表</w:t>
            </w:r>
          </w:p>
          <w:tbl>
            <w:tblPr>
              <w:tblStyle w:val="27"/>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9"/>
              <w:gridCol w:w="1193"/>
              <w:gridCol w:w="1662"/>
              <w:gridCol w:w="1124"/>
              <w:gridCol w:w="1314"/>
              <w:gridCol w:w="808"/>
              <w:gridCol w:w="1241"/>
            </w:tblGrid>
            <w:tr w14:paraId="574E64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2" w:type="pct"/>
                  <w:tcBorders>
                    <w:bottom w:val="single" w:color="auto" w:sz="12" w:space="0"/>
                  </w:tcBorders>
                  <w:vAlign w:val="center"/>
                </w:tcPr>
                <w:p w14:paraId="0145506D">
                  <w:pPr>
                    <w:adjustRightInd w:val="0"/>
                    <w:snapToGrid w:val="0"/>
                    <w:jc w:val="center"/>
                    <w:rPr>
                      <w:rFonts w:hint="default" w:ascii="Times New Roman" w:hAnsi="Times New Roman" w:eastAsia="宋体" w:cs="Times New Roman"/>
                      <w:b/>
                      <w:bCs/>
                      <w:color w:val="auto"/>
                      <w:kern w:val="0"/>
                      <w:sz w:val="21"/>
                      <w:szCs w:val="21"/>
                      <w:lang w:val="en-US" w:eastAsia="zh-CN" w:bidi="ar-SA"/>
                    </w:rPr>
                  </w:pPr>
                  <w:r>
                    <w:rPr>
                      <w:b/>
                      <w:bCs/>
                      <w:color w:val="auto"/>
                      <w:kern w:val="0"/>
                      <w:szCs w:val="21"/>
                    </w:rPr>
                    <w:t>序号</w:t>
                  </w:r>
                </w:p>
              </w:tc>
              <w:tc>
                <w:tcPr>
                  <w:tcW w:w="730" w:type="pct"/>
                  <w:tcBorders>
                    <w:bottom w:val="single" w:color="auto" w:sz="12" w:space="0"/>
                  </w:tcBorders>
                  <w:vAlign w:val="center"/>
                </w:tcPr>
                <w:p w14:paraId="2E00396F">
                  <w:pPr>
                    <w:adjustRightInd w:val="0"/>
                    <w:snapToGrid w:val="0"/>
                    <w:jc w:val="center"/>
                    <w:rPr>
                      <w:rFonts w:hint="eastAsia" w:ascii="Times New Roman" w:hAnsi="Times New Roman" w:eastAsia="宋体" w:cs="Times New Roman"/>
                      <w:b/>
                      <w:bCs/>
                      <w:color w:val="auto"/>
                      <w:kern w:val="0"/>
                      <w:sz w:val="21"/>
                      <w:szCs w:val="21"/>
                      <w:lang w:val="en-US" w:eastAsia="zh-CN" w:bidi="ar-SA"/>
                    </w:rPr>
                  </w:pPr>
                  <w:r>
                    <w:rPr>
                      <w:b/>
                      <w:bCs/>
                      <w:color w:val="auto"/>
                      <w:kern w:val="0"/>
                      <w:szCs w:val="21"/>
                    </w:rPr>
                    <w:t>固废名称</w:t>
                  </w:r>
                </w:p>
              </w:tc>
              <w:tc>
                <w:tcPr>
                  <w:tcW w:w="1018" w:type="pct"/>
                  <w:tcBorders>
                    <w:bottom w:val="single" w:color="auto" w:sz="12" w:space="0"/>
                  </w:tcBorders>
                  <w:vAlign w:val="center"/>
                </w:tcPr>
                <w:p w14:paraId="3C089057">
                  <w:pPr>
                    <w:adjustRightInd w:val="0"/>
                    <w:snapToGrid w:val="0"/>
                    <w:jc w:val="center"/>
                    <w:rPr>
                      <w:rFonts w:hint="eastAsia" w:ascii="Times New Roman" w:hAnsi="Times New Roman" w:eastAsia="宋体" w:cs="Times New Roman"/>
                      <w:b/>
                      <w:bCs/>
                      <w:color w:val="auto"/>
                      <w:kern w:val="0"/>
                      <w:sz w:val="21"/>
                      <w:szCs w:val="21"/>
                      <w:lang w:val="en-US" w:eastAsia="zh-CN" w:bidi="ar-SA"/>
                    </w:rPr>
                  </w:pPr>
                  <w:r>
                    <w:rPr>
                      <w:rFonts w:hint="eastAsia"/>
                      <w:b/>
                      <w:bCs/>
                      <w:color w:val="auto"/>
                      <w:kern w:val="0"/>
                      <w:szCs w:val="21"/>
                      <w:lang w:val="en-US" w:eastAsia="zh-CN"/>
                    </w:rPr>
                    <w:t>代码</w:t>
                  </w:r>
                </w:p>
              </w:tc>
              <w:tc>
                <w:tcPr>
                  <w:tcW w:w="689" w:type="pct"/>
                  <w:tcBorders>
                    <w:bottom w:val="single" w:color="auto" w:sz="12" w:space="0"/>
                  </w:tcBorders>
                  <w:vAlign w:val="center"/>
                </w:tcPr>
                <w:p w14:paraId="1B1A978D">
                  <w:pPr>
                    <w:adjustRightInd w:val="0"/>
                    <w:snapToGrid w:val="0"/>
                    <w:jc w:val="center"/>
                    <w:rPr>
                      <w:rFonts w:hint="default" w:ascii="Times New Roman" w:hAnsi="Times New Roman" w:eastAsia="宋体" w:cs="Times New Roman"/>
                      <w:b/>
                      <w:bCs/>
                      <w:color w:val="auto"/>
                      <w:kern w:val="0"/>
                      <w:sz w:val="21"/>
                      <w:szCs w:val="21"/>
                      <w:lang w:val="en-US" w:eastAsia="zh-CN" w:bidi="ar-SA"/>
                    </w:rPr>
                  </w:pPr>
                  <w:r>
                    <w:rPr>
                      <w:rFonts w:hint="eastAsia"/>
                      <w:b/>
                      <w:bCs/>
                      <w:color w:val="auto"/>
                      <w:kern w:val="0"/>
                      <w:szCs w:val="21"/>
                      <w:lang w:val="en-US" w:eastAsia="zh-CN"/>
                    </w:rPr>
                    <w:t>类别</w:t>
                  </w:r>
                </w:p>
              </w:tc>
              <w:tc>
                <w:tcPr>
                  <w:tcW w:w="804" w:type="pct"/>
                  <w:tcBorders>
                    <w:bottom w:val="single" w:color="auto" w:sz="12" w:space="0"/>
                  </w:tcBorders>
                  <w:vAlign w:val="center"/>
                </w:tcPr>
                <w:p w14:paraId="0799D23C">
                  <w:pPr>
                    <w:adjustRightInd w:val="0"/>
                    <w:snapToGrid w:val="0"/>
                    <w:jc w:val="center"/>
                    <w:rPr>
                      <w:rFonts w:hint="eastAsia" w:ascii="Times New Roman" w:hAnsi="Times New Roman" w:eastAsia="宋体" w:cs="Times New Roman"/>
                      <w:b/>
                      <w:bCs/>
                      <w:color w:val="auto"/>
                      <w:kern w:val="0"/>
                      <w:sz w:val="21"/>
                      <w:szCs w:val="21"/>
                      <w:lang w:val="en-US" w:eastAsia="zh-CN" w:bidi="ar-SA"/>
                    </w:rPr>
                  </w:pPr>
                  <w:r>
                    <w:rPr>
                      <w:b/>
                      <w:bCs/>
                      <w:color w:val="auto"/>
                      <w:kern w:val="0"/>
                      <w:szCs w:val="21"/>
                    </w:rPr>
                    <w:t>产生工序</w:t>
                  </w:r>
                </w:p>
              </w:tc>
              <w:tc>
                <w:tcPr>
                  <w:tcW w:w="494" w:type="pct"/>
                  <w:tcBorders>
                    <w:bottom w:val="single" w:color="auto" w:sz="12" w:space="0"/>
                  </w:tcBorders>
                  <w:vAlign w:val="center"/>
                </w:tcPr>
                <w:p w14:paraId="552D2A04">
                  <w:pPr>
                    <w:adjustRightInd w:val="0"/>
                    <w:snapToGrid w:val="0"/>
                    <w:jc w:val="center"/>
                    <w:rPr>
                      <w:rFonts w:hint="eastAsia" w:ascii="Times New Roman" w:hAnsi="Times New Roman" w:eastAsia="宋体" w:cs="Times New Roman"/>
                      <w:b/>
                      <w:bCs/>
                      <w:color w:val="auto"/>
                      <w:kern w:val="0"/>
                      <w:sz w:val="21"/>
                      <w:szCs w:val="21"/>
                      <w:lang w:val="en-US" w:eastAsia="zh-CN" w:bidi="ar-SA"/>
                    </w:rPr>
                  </w:pPr>
                  <w:r>
                    <w:rPr>
                      <w:b/>
                      <w:bCs/>
                      <w:color w:val="auto"/>
                      <w:kern w:val="0"/>
                      <w:szCs w:val="21"/>
                    </w:rPr>
                    <w:t>形态</w:t>
                  </w:r>
                </w:p>
              </w:tc>
              <w:tc>
                <w:tcPr>
                  <w:tcW w:w="759" w:type="pct"/>
                  <w:tcBorders>
                    <w:bottom w:val="single" w:color="auto" w:sz="12" w:space="0"/>
                  </w:tcBorders>
                  <w:vAlign w:val="center"/>
                </w:tcPr>
                <w:p w14:paraId="7891BF89">
                  <w:pPr>
                    <w:adjustRightInd w:val="0"/>
                    <w:snapToGrid w:val="0"/>
                    <w:jc w:val="center"/>
                    <w:rPr>
                      <w:rFonts w:hint="eastAsia" w:ascii="Times New Roman" w:hAnsi="Times New Roman" w:eastAsia="宋体" w:cs="Times New Roman"/>
                      <w:b/>
                      <w:bCs/>
                      <w:color w:val="auto"/>
                      <w:kern w:val="0"/>
                      <w:sz w:val="21"/>
                      <w:szCs w:val="21"/>
                      <w:lang w:val="en-US" w:eastAsia="zh-CN" w:bidi="ar-SA"/>
                    </w:rPr>
                  </w:pPr>
                  <w:r>
                    <w:rPr>
                      <w:b/>
                      <w:bCs/>
                      <w:color w:val="auto"/>
                      <w:kern w:val="0"/>
                      <w:szCs w:val="21"/>
                    </w:rPr>
                    <w:t>产生量</w:t>
                  </w:r>
                </w:p>
              </w:tc>
            </w:tr>
            <w:tr w14:paraId="53BDE0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2" w:type="pct"/>
                  <w:tcBorders>
                    <w:top w:val="single" w:color="auto" w:sz="12" w:space="0"/>
                  </w:tcBorders>
                  <w:vAlign w:val="center"/>
                </w:tcPr>
                <w:p w14:paraId="393FE8A4">
                  <w:pPr>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1</w:t>
                  </w:r>
                </w:p>
              </w:tc>
              <w:tc>
                <w:tcPr>
                  <w:tcW w:w="730" w:type="pct"/>
                  <w:tcBorders>
                    <w:top w:val="single" w:color="auto" w:sz="12" w:space="0"/>
                  </w:tcBorders>
                  <w:vAlign w:val="center"/>
                </w:tcPr>
                <w:p w14:paraId="412F807F">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eastAsia="zh-CN"/>
                    </w:rPr>
                    <w:t>废润滑油</w:t>
                  </w:r>
                </w:p>
              </w:tc>
              <w:tc>
                <w:tcPr>
                  <w:tcW w:w="1018" w:type="pct"/>
                  <w:tcBorders>
                    <w:top w:val="single" w:color="auto" w:sz="12" w:space="0"/>
                  </w:tcBorders>
                  <w:vAlign w:val="center"/>
                </w:tcPr>
                <w:p w14:paraId="19F3C653">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HW</w:t>
                  </w:r>
                  <w:r>
                    <w:rPr>
                      <w:rFonts w:hint="eastAsia"/>
                      <w:color w:val="auto"/>
                      <w:szCs w:val="21"/>
                      <w:lang w:val="en-US" w:eastAsia="zh-CN"/>
                    </w:rPr>
                    <w:t>900-214-08</w:t>
                  </w:r>
                </w:p>
              </w:tc>
              <w:tc>
                <w:tcPr>
                  <w:tcW w:w="689" w:type="pct"/>
                  <w:tcBorders>
                    <w:top w:val="single" w:color="auto" w:sz="12" w:space="0"/>
                  </w:tcBorders>
                  <w:vAlign w:val="center"/>
                </w:tcPr>
                <w:p w14:paraId="654BC3A0">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危险废物</w:t>
                  </w:r>
                </w:p>
              </w:tc>
              <w:tc>
                <w:tcPr>
                  <w:tcW w:w="804" w:type="pct"/>
                  <w:tcBorders>
                    <w:top w:val="single" w:color="auto" w:sz="12" w:space="0"/>
                  </w:tcBorders>
                  <w:vAlign w:val="center"/>
                </w:tcPr>
                <w:p w14:paraId="440FF9B1">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设备保养</w:t>
                  </w:r>
                </w:p>
              </w:tc>
              <w:tc>
                <w:tcPr>
                  <w:tcW w:w="494" w:type="pct"/>
                  <w:tcBorders>
                    <w:top w:val="single" w:color="auto" w:sz="12" w:space="0"/>
                  </w:tcBorders>
                  <w:vAlign w:val="center"/>
                </w:tcPr>
                <w:p w14:paraId="535A2AEC">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液态</w:t>
                  </w:r>
                </w:p>
              </w:tc>
              <w:tc>
                <w:tcPr>
                  <w:tcW w:w="759" w:type="pct"/>
                  <w:tcBorders>
                    <w:top w:val="single" w:color="auto" w:sz="12" w:space="0"/>
                  </w:tcBorders>
                  <w:vAlign w:val="center"/>
                </w:tcPr>
                <w:p w14:paraId="527B9929">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0.05t/a</w:t>
                  </w:r>
                </w:p>
              </w:tc>
            </w:tr>
          </w:tbl>
          <w:p w14:paraId="2DE5EFAB">
            <w:pPr>
              <w:pStyle w:val="11"/>
              <w:keepNext w:val="0"/>
              <w:keepLines w:val="0"/>
              <w:pageBreakBefore w:val="0"/>
              <w:widowControl w:val="0"/>
              <w:kinsoku/>
              <w:wordWrap/>
              <w:overflowPunct/>
              <w:topLinePunct w:val="0"/>
              <w:autoSpaceDE/>
              <w:autoSpaceDN/>
              <w:bidi w:val="0"/>
              <w:adjustRightInd/>
              <w:snapToGrid/>
              <w:spacing w:after="0" w:line="520" w:lineRule="exact"/>
              <w:ind w:left="0" w:leftChars="0"/>
              <w:contextualSpacing/>
              <w:textAlignment w:val="auto"/>
              <w:rPr>
                <w:rFonts w:hint="eastAsia" w:eastAsia="宋体"/>
                <w:b/>
                <w:color w:val="auto"/>
                <w:kern w:val="0"/>
                <w:sz w:val="24"/>
                <w:lang w:val="en-US" w:eastAsia="zh-CN"/>
              </w:rPr>
            </w:pPr>
            <w:r>
              <w:rPr>
                <w:b/>
                <w:bCs/>
                <w:color w:val="auto"/>
              </w:rPr>
              <w:t>4.2</w:t>
            </w:r>
            <w:r>
              <w:rPr>
                <w:rFonts w:hint="eastAsia"/>
                <w:b/>
                <w:bCs/>
                <w:color w:val="auto"/>
                <w:lang w:val="en-US" w:eastAsia="zh-CN"/>
              </w:rPr>
              <w:t xml:space="preserve"> </w:t>
            </w:r>
            <w:r>
              <w:rPr>
                <w:b/>
                <w:bCs/>
                <w:color w:val="auto"/>
              </w:rPr>
              <w:t>固废防治措施</w:t>
            </w:r>
          </w:p>
          <w:p w14:paraId="1FF776C4">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color w:val="auto"/>
                <w:kern w:val="0"/>
                <w:sz w:val="24"/>
              </w:rPr>
            </w:pPr>
            <w:r>
              <w:rPr>
                <w:b/>
                <w:color w:val="auto"/>
                <w:kern w:val="0"/>
                <w:sz w:val="24"/>
              </w:rPr>
              <w:t>一般固废：</w:t>
            </w:r>
            <w:r>
              <w:rPr>
                <w:rFonts w:hint="eastAsia"/>
                <w:color w:val="auto"/>
                <w:kern w:val="0"/>
                <w:sz w:val="24"/>
                <w:szCs w:val="24"/>
                <w:lang w:val="en-US" w:eastAsia="zh-CN"/>
              </w:rPr>
              <w:t>煤矸石、煤泥、收集尘均外售处理，生活垃圾集中收集后由环卫部门统一清运</w:t>
            </w:r>
            <w:r>
              <w:rPr>
                <w:color w:val="auto"/>
                <w:kern w:val="0"/>
                <w:sz w:val="24"/>
              </w:rPr>
              <w:t>。</w:t>
            </w:r>
          </w:p>
          <w:p w14:paraId="6D83916E">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b w:val="0"/>
                <w:bCs w:val="0"/>
                <w:color w:val="auto"/>
                <w:kern w:val="0"/>
                <w:sz w:val="24"/>
                <w:lang w:val="en-US" w:eastAsia="zh-CN"/>
              </w:rPr>
            </w:pPr>
            <w:r>
              <w:rPr>
                <w:b/>
                <w:bCs/>
                <w:color w:val="auto"/>
                <w:kern w:val="0"/>
                <w:sz w:val="24"/>
              </w:rPr>
              <w:t>危险废物：</w:t>
            </w:r>
            <w:r>
              <w:rPr>
                <w:rFonts w:hint="eastAsia"/>
                <w:b w:val="0"/>
                <w:bCs w:val="0"/>
                <w:color w:val="auto"/>
                <w:kern w:val="0"/>
                <w:sz w:val="24"/>
                <w:lang w:val="en-US" w:eastAsia="zh-CN"/>
              </w:rPr>
              <w:t>本项目废润滑油收集后暂存于危废间内，定期委托有资质的单位处置。</w:t>
            </w:r>
          </w:p>
          <w:p w14:paraId="705C7C1D">
            <w:pPr>
              <w:pStyle w:val="11"/>
              <w:keepNext w:val="0"/>
              <w:keepLines w:val="0"/>
              <w:pageBreakBefore w:val="0"/>
              <w:widowControl w:val="0"/>
              <w:kinsoku/>
              <w:wordWrap/>
              <w:overflowPunct/>
              <w:topLinePunct w:val="0"/>
              <w:autoSpaceDE/>
              <w:autoSpaceDN/>
              <w:bidi w:val="0"/>
              <w:adjustRightInd/>
              <w:snapToGrid/>
              <w:spacing w:after="0" w:line="520" w:lineRule="exact"/>
              <w:ind w:left="0" w:leftChars="0"/>
              <w:contextualSpacing/>
              <w:jc w:val="both"/>
              <w:textAlignment w:val="auto"/>
              <w:rPr>
                <w:rFonts w:hint="eastAsia"/>
                <w:b/>
                <w:bCs/>
                <w:color w:val="auto"/>
                <w:lang w:val="en-US" w:eastAsia="zh-CN"/>
              </w:rPr>
            </w:pPr>
            <w:r>
              <w:rPr>
                <w:rFonts w:hint="eastAsia"/>
                <w:b/>
                <w:bCs/>
                <w:color w:val="auto"/>
                <w:lang w:val="en-US" w:eastAsia="zh-CN"/>
              </w:rPr>
              <w:t>4.3 固废环境管理要求</w:t>
            </w:r>
          </w:p>
          <w:p w14:paraId="69EE354F">
            <w:pPr>
              <w:pStyle w:val="37"/>
              <w:keepNext w:val="0"/>
              <w:keepLines w:val="0"/>
              <w:pageBreakBefore w:val="0"/>
              <w:widowControl w:val="0"/>
              <w:kinsoku/>
              <w:wordWrap/>
              <w:overflowPunct/>
              <w:topLinePunct w:val="0"/>
              <w:autoSpaceDE/>
              <w:autoSpaceDN/>
              <w:bidi w:val="0"/>
              <w:adjustRightInd/>
              <w:snapToGrid/>
              <w:spacing w:line="520" w:lineRule="exact"/>
              <w:ind w:left="0" w:leftChars="0" w:firstLine="480" w:firstLineChars="200"/>
              <w:jc w:val="both"/>
              <w:textAlignment w:val="auto"/>
              <w:rPr>
                <w:rFonts w:hint="default"/>
                <w:b w:val="0"/>
                <w:bCs w:val="0"/>
                <w:color w:val="auto"/>
                <w:kern w:val="0"/>
                <w:sz w:val="24"/>
                <w:lang w:val="en-US" w:eastAsia="zh-CN"/>
              </w:rPr>
            </w:pPr>
            <w:r>
              <w:rPr>
                <w:rFonts w:hint="default"/>
                <w:b w:val="0"/>
                <w:bCs w:val="0"/>
                <w:color w:val="auto"/>
                <w:kern w:val="0"/>
                <w:sz w:val="24"/>
                <w:lang w:val="en-US" w:eastAsia="zh-CN"/>
              </w:rPr>
              <w:t>本项目煤矸石、煤泥、收集尘均外售处理，生活垃圾集中收集后由环卫部门统一清运，</w:t>
            </w:r>
            <w:r>
              <w:rPr>
                <w:rFonts w:hint="eastAsia"/>
                <w:b w:val="0"/>
                <w:bCs w:val="0"/>
                <w:color w:val="auto"/>
                <w:kern w:val="0"/>
                <w:sz w:val="24"/>
                <w:lang w:val="en-US" w:eastAsia="zh-CN"/>
              </w:rPr>
              <w:t>废润滑油</w:t>
            </w:r>
            <w:r>
              <w:rPr>
                <w:rFonts w:hint="default"/>
                <w:b w:val="0"/>
                <w:bCs w:val="0"/>
                <w:color w:val="auto"/>
                <w:kern w:val="0"/>
                <w:sz w:val="24"/>
                <w:lang w:val="en-US" w:eastAsia="zh-CN"/>
              </w:rPr>
              <w:t>集中收集在危险废物暂存间内，定期委托有资质的单位处置。建设单位严格按照《一般工业固体废物贮存和填埋污染控制标准》（GB18599-2020）对固体废物进行处理处置。</w:t>
            </w:r>
          </w:p>
          <w:p w14:paraId="0A9F0432">
            <w:pPr>
              <w:pStyle w:val="37"/>
              <w:keepNext w:val="0"/>
              <w:keepLines w:val="0"/>
              <w:pageBreakBefore w:val="0"/>
              <w:widowControl w:val="0"/>
              <w:kinsoku/>
              <w:wordWrap/>
              <w:overflowPunct/>
              <w:topLinePunct w:val="0"/>
              <w:autoSpaceDE/>
              <w:autoSpaceDN/>
              <w:bidi w:val="0"/>
              <w:adjustRightInd/>
              <w:snapToGrid/>
              <w:spacing w:line="520" w:lineRule="exact"/>
              <w:ind w:left="0" w:leftChars="0" w:firstLine="480" w:firstLineChars="200"/>
              <w:jc w:val="both"/>
              <w:textAlignment w:val="auto"/>
              <w:rPr>
                <w:rFonts w:hint="default"/>
                <w:b w:val="0"/>
                <w:bCs w:val="0"/>
                <w:color w:val="auto"/>
                <w:kern w:val="0"/>
                <w:sz w:val="24"/>
                <w:lang w:val="en-US" w:eastAsia="zh-CN"/>
              </w:rPr>
            </w:pPr>
            <w:r>
              <w:rPr>
                <w:rFonts w:hint="default"/>
                <w:b w:val="0"/>
                <w:bCs w:val="0"/>
                <w:color w:val="auto"/>
                <w:kern w:val="0"/>
                <w:sz w:val="24"/>
                <w:lang w:val="en-US" w:eastAsia="zh-CN"/>
              </w:rPr>
              <w:t>本项目</w:t>
            </w:r>
            <w:r>
              <w:rPr>
                <w:rFonts w:hint="eastAsia"/>
                <w:b w:val="0"/>
                <w:bCs w:val="0"/>
                <w:color w:val="auto"/>
                <w:kern w:val="0"/>
                <w:sz w:val="24"/>
                <w:lang w:val="en-US" w:eastAsia="zh-CN"/>
              </w:rPr>
              <w:t>危险废物暂存于10m</w:t>
            </w:r>
            <w:r>
              <w:rPr>
                <w:rFonts w:hint="eastAsia"/>
                <w:b w:val="0"/>
                <w:bCs w:val="0"/>
                <w:color w:val="auto"/>
                <w:kern w:val="0"/>
                <w:sz w:val="24"/>
                <w:vertAlign w:val="superscript"/>
                <w:lang w:val="en-US" w:eastAsia="zh-CN"/>
              </w:rPr>
              <w:t>2</w:t>
            </w:r>
            <w:r>
              <w:rPr>
                <w:rFonts w:hint="eastAsia"/>
                <w:b w:val="0"/>
                <w:bCs w:val="0"/>
                <w:color w:val="auto"/>
                <w:kern w:val="0"/>
                <w:sz w:val="24"/>
                <w:vertAlign w:val="baseline"/>
                <w:lang w:val="en-US" w:eastAsia="zh-CN"/>
              </w:rPr>
              <w:t>危废暂存间内</w:t>
            </w:r>
            <w:r>
              <w:rPr>
                <w:rFonts w:hint="default"/>
                <w:b w:val="0"/>
                <w:bCs w:val="0"/>
                <w:color w:val="auto"/>
                <w:kern w:val="0"/>
                <w:sz w:val="24"/>
                <w:lang w:val="en-US" w:eastAsia="zh-CN"/>
              </w:rPr>
              <w:t>，危废暂存间按照《危险废物贮存污染控制标准》（GB18597-2023）中的要求，建设危废暂存间必须做防渗处理，并满足生态环境管理部门的要求，在醒目的位置安装危废的标识牌。危废暂存间用于暂存</w:t>
            </w:r>
            <w:r>
              <w:rPr>
                <w:rFonts w:hint="eastAsia"/>
                <w:b w:val="0"/>
                <w:bCs w:val="0"/>
                <w:color w:val="auto"/>
                <w:kern w:val="0"/>
                <w:sz w:val="24"/>
                <w:lang w:val="en-US" w:eastAsia="zh-CN"/>
              </w:rPr>
              <w:t>废润滑油</w:t>
            </w:r>
            <w:r>
              <w:rPr>
                <w:rFonts w:hint="default"/>
                <w:b w:val="0"/>
                <w:bCs w:val="0"/>
                <w:color w:val="auto"/>
                <w:kern w:val="0"/>
                <w:sz w:val="24"/>
                <w:lang w:val="en-US" w:eastAsia="zh-CN"/>
              </w:rPr>
              <w:t>，危险废物收集后存放于危废暂存间，并做好防扬散、防流失、防渗漏措施，由危废处置单位委托具有危险货物专业运输资质的运输单位进行承运，并根据规定实施危废转移联单制度。</w:t>
            </w:r>
          </w:p>
          <w:p w14:paraId="71C909DB">
            <w:pPr>
              <w:pStyle w:val="52"/>
              <w:keepNext w:val="0"/>
              <w:keepLines w:val="0"/>
              <w:pageBreakBefore w:val="0"/>
              <w:widowControl w:val="0"/>
              <w:numPr>
                <w:ilvl w:val="0"/>
                <w:numId w:val="0"/>
              </w:numPr>
              <w:tabs>
                <w:tab w:val="left" w:pos="366"/>
              </w:tabs>
              <w:kinsoku/>
              <w:wordWrap w:val="0"/>
              <w:overflowPunct/>
              <w:topLinePunct w:val="0"/>
              <w:autoSpaceDE/>
              <w:autoSpaceDN/>
              <w:bidi w:val="0"/>
              <w:adjustRightInd/>
              <w:snapToGrid/>
              <w:spacing w:line="520" w:lineRule="exact"/>
              <w:ind w:right="0" w:rightChars="0"/>
              <w:jc w:val="both"/>
              <w:textAlignment w:val="auto"/>
              <w:rPr>
                <w:rFonts w:hint="default" w:ascii="Times New Roman" w:hAnsi="Times New Roman" w:eastAsia="宋体" w:cs="Times New Roman"/>
                <w:b/>
                <w:bCs/>
                <w:color w:val="auto"/>
                <w:spacing w:val="0"/>
                <w:sz w:val="24"/>
                <w:szCs w:val="24"/>
                <w:highlight w:val="none"/>
              </w:rPr>
            </w:pPr>
            <w:r>
              <w:rPr>
                <w:rFonts w:hint="eastAsia" w:ascii="Times New Roman" w:hAnsi="Times New Roman" w:cs="Times New Roman"/>
                <w:b/>
                <w:bCs/>
                <w:color w:val="auto"/>
                <w:spacing w:val="0"/>
                <w:sz w:val="24"/>
                <w:szCs w:val="24"/>
                <w:highlight w:val="none"/>
                <w:lang w:val="en-US" w:eastAsia="zh-CN"/>
              </w:rPr>
              <w:t xml:space="preserve">4.4 </w:t>
            </w:r>
            <w:r>
              <w:rPr>
                <w:rFonts w:hint="default" w:ascii="Times New Roman" w:hAnsi="Times New Roman" w:eastAsia="宋体" w:cs="Times New Roman"/>
                <w:b/>
                <w:bCs/>
                <w:color w:val="auto"/>
                <w:spacing w:val="0"/>
                <w:sz w:val="24"/>
                <w:szCs w:val="24"/>
                <w:highlight w:val="none"/>
              </w:rPr>
              <w:t>危废暂存间设计原则</w:t>
            </w:r>
          </w:p>
          <w:p w14:paraId="2782D0DA">
            <w:pPr>
              <w:pStyle w:val="52"/>
              <w:keepNext w:val="0"/>
              <w:keepLines w:val="0"/>
              <w:pageBreakBefore w:val="0"/>
              <w:widowControl w:val="0"/>
              <w:kinsoku/>
              <w:wordWrap w:val="0"/>
              <w:overflowPunct/>
              <w:topLinePunct w:val="0"/>
              <w:autoSpaceDE/>
              <w:autoSpaceDN/>
              <w:bidi w:val="0"/>
              <w:adjustRightInd/>
              <w:snapToGrid/>
              <w:spacing w:line="520" w:lineRule="exact"/>
              <w:ind w:left="0" w:leftChars="0" w:right="0" w:firstLine="480" w:firstLineChars="200"/>
              <w:jc w:val="both"/>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根据《危险废物贮存污染控制标准》（GB18597-</w:t>
            </w:r>
            <w:r>
              <w:rPr>
                <w:rFonts w:hint="eastAsia" w:ascii="Times New Roman" w:hAnsi="Times New Roman" w:eastAsia="宋体" w:cs="Times New Roman"/>
                <w:color w:val="auto"/>
                <w:spacing w:val="0"/>
                <w:sz w:val="24"/>
                <w:szCs w:val="24"/>
                <w:highlight w:val="none"/>
                <w:lang w:val="en-US" w:eastAsia="zh-CN"/>
              </w:rPr>
              <w:t>2023</w:t>
            </w:r>
            <w:r>
              <w:rPr>
                <w:rFonts w:hint="default" w:ascii="Times New Roman" w:hAnsi="Times New Roman" w:eastAsia="宋体" w:cs="Times New Roman"/>
                <w:color w:val="auto"/>
                <w:spacing w:val="0"/>
                <w:sz w:val="24"/>
                <w:szCs w:val="24"/>
                <w:highlight w:val="none"/>
              </w:rPr>
              <w:t>）要求，危险废物贮存设施（仓库式）的设计原则：</w:t>
            </w:r>
          </w:p>
          <w:p w14:paraId="67D485DB">
            <w:pPr>
              <w:pStyle w:val="52"/>
              <w:keepNext w:val="0"/>
              <w:keepLines w:val="0"/>
              <w:pageBreakBefore w:val="0"/>
              <w:widowControl w:val="0"/>
              <w:numPr>
                <w:ilvl w:val="0"/>
                <w:numId w:val="0"/>
              </w:numPr>
              <w:tabs>
                <w:tab w:val="left" w:pos="1087"/>
              </w:tabs>
              <w:kinsoku/>
              <w:wordWrap w:val="0"/>
              <w:overflowPunct/>
              <w:topLinePunct w:val="0"/>
              <w:autoSpaceDE/>
              <w:autoSpaceDN/>
              <w:bidi w:val="0"/>
              <w:adjustRightInd/>
              <w:snapToGrid/>
              <w:spacing w:line="520" w:lineRule="exact"/>
              <w:ind w:leftChars="0" w:right="0" w:rightChars="0" w:firstLine="480" w:firstLineChars="200"/>
              <w:jc w:val="both"/>
              <w:textAlignment w:val="auto"/>
              <w:rPr>
                <w:rFonts w:hint="default" w:ascii="Times New Roman" w:hAnsi="Times New Roman" w:eastAsia="宋体" w:cs="Times New Roman"/>
                <w:color w:val="auto"/>
                <w:spacing w:val="0"/>
                <w:sz w:val="24"/>
                <w:szCs w:val="24"/>
                <w:highlight w:val="none"/>
              </w:rPr>
            </w:pPr>
            <w:r>
              <w:rPr>
                <w:rFonts w:hint="eastAsia" w:ascii="Times New Roman" w:hAnsi="Times New Roman" w:cs="Times New Roman"/>
                <w:color w:val="auto"/>
                <w:spacing w:val="0"/>
                <w:sz w:val="24"/>
                <w:szCs w:val="24"/>
                <w:highlight w:val="none"/>
                <w:lang w:eastAsia="zh-CN"/>
              </w:rPr>
              <w:t>（</w:t>
            </w:r>
            <w:r>
              <w:rPr>
                <w:rFonts w:hint="eastAsia" w:ascii="Times New Roman" w:hAnsi="Times New Roman" w:cs="Times New Roman"/>
                <w:color w:val="auto"/>
                <w:spacing w:val="0"/>
                <w:sz w:val="24"/>
                <w:szCs w:val="24"/>
                <w:highlight w:val="none"/>
                <w:lang w:val="en-US" w:eastAsia="zh-CN"/>
              </w:rPr>
              <w:t>1</w:t>
            </w:r>
            <w:r>
              <w:rPr>
                <w:rFonts w:hint="eastAsia" w:ascii="Times New Roman" w:hAnsi="Times New Roman"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rPr>
              <w:t>地面与裙脚要用坚固、防渗的材料建造，建筑材料必须与危险废物相容。</w:t>
            </w:r>
          </w:p>
          <w:p w14:paraId="01AB2860">
            <w:pPr>
              <w:pStyle w:val="52"/>
              <w:keepNext w:val="0"/>
              <w:keepLines w:val="0"/>
              <w:pageBreakBefore w:val="0"/>
              <w:widowControl w:val="0"/>
              <w:numPr>
                <w:ilvl w:val="0"/>
                <w:numId w:val="0"/>
              </w:numPr>
              <w:tabs>
                <w:tab w:val="left" w:pos="1087"/>
              </w:tabs>
              <w:kinsoku/>
              <w:wordWrap w:val="0"/>
              <w:overflowPunct/>
              <w:topLinePunct w:val="0"/>
              <w:autoSpaceDE/>
              <w:autoSpaceDN/>
              <w:bidi w:val="0"/>
              <w:adjustRightInd/>
              <w:snapToGrid/>
              <w:spacing w:line="520" w:lineRule="exact"/>
              <w:ind w:leftChars="0" w:right="0" w:rightChars="0" w:firstLine="480" w:firstLineChars="200"/>
              <w:jc w:val="both"/>
              <w:textAlignment w:val="auto"/>
              <w:rPr>
                <w:rFonts w:hint="default" w:ascii="Times New Roman" w:hAnsi="Times New Roman" w:eastAsia="宋体" w:cs="Times New Roman"/>
                <w:color w:val="auto"/>
                <w:spacing w:val="0"/>
                <w:sz w:val="24"/>
                <w:szCs w:val="24"/>
                <w:highlight w:val="none"/>
              </w:rPr>
            </w:pPr>
            <w:r>
              <w:rPr>
                <w:rFonts w:hint="eastAsia" w:ascii="Times New Roman" w:hAnsi="Times New Roman" w:cs="Times New Roman"/>
                <w:color w:val="auto"/>
                <w:spacing w:val="0"/>
                <w:sz w:val="24"/>
                <w:szCs w:val="24"/>
                <w:highlight w:val="none"/>
                <w:lang w:eastAsia="zh-CN"/>
              </w:rPr>
              <w:t>（</w:t>
            </w:r>
            <w:r>
              <w:rPr>
                <w:rFonts w:hint="eastAsia" w:ascii="Times New Roman" w:hAnsi="Times New Roman" w:cs="Times New Roman"/>
                <w:color w:val="auto"/>
                <w:spacing w:val="0"/>
                <w:sz w:val="24"/>
                <w:szCs w:val="24"/>
                <w:highlight w:val="none"/>
                <w:lang w:val="en-US" w:eastAsia="zh-CN"/>
              </w:rPr>
              <w:t>2</w:t>
            </w:r>
            <w:r>
              <w:rPr>
                <w:rFonts w:hint="eastAsia" w:ascii="Times New Roman" w:hAnsi="Times New Roman"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rPr>
              <w:t>必须有泄漏液体收集装置、气体导出口及气体净化装置。</w:t>
            </w:r>
          </w:p>
          <w:p w14:paraId="1A731C31">
            <w:pPr>
              <w:pStyle w:val="52"/>
              <w:keepNext w:val="0"/>
              <w:keepLines w:val="0"/>
              <w:pageBreakBefore w:val="0"/>
              <w:widowControl w:val="0"/>
              <w:numPr>
                <w:ilvl w:val="0"/>
                <w:numId w:val="0"/>
              </w:numPr>
              <w:tabs>
                <w:tab w:val="left" w:pos="1087"/>
              </w:tabs>
              <w:kinsoku/>
              <w:wordWrap w:val="0"/>
              <w:overflowPunct/>
              <w:topLinePunct w:val="0"/>
              <w:autoSpaceDE/>
              <w:autoSpaceDN/>
              <w:bidi w:val="0"/>
              <w:adjustRightInd/>
              <w:snapToGrid/>
              <w:spacing w:line="520" w:lineRule="exact"/>
              <w:ind w:leftChars="0" w:right="0" w:rightChars="0" w:firstLine="480" w:firstLineChars="200"/>
              <w:jc w:val="both"/>
              <w:textAlignment w:val="auto"/>
              <w:rPr>
                <w:rFonts w:hint="default" w:ascii="Times New Roman" w:hAnsi="Times New Roman" w:eastAsia="宋体" w:cs="Times New Roman"/>
                <w:color w:val="auto"/>
                <w:spacing w:val="0"/>
                <w:sz w:val="24"/>
                <w:szCs w:val="24"/>
                <w:highlight w:val="none"/>
              </w:rPr>
            </w:pPr>
            <w:r>
              <w:rPr>
                <w:rFonts w:hint="eastAsia" w:ascii="Times New Roman" w:hAnsi="Times New Roman" w:cs="Times New Roman"/>
                <w:color w:val="auto"/>
                <w:spacing w:val="0"/>
                <w:sz w:val="24"/>
                <w:szCs w:val="24"/>
                <w:highlight w:val="none"/>
                <w:lang w:eastAsia="zh-CN"/>
              </w:rPr>
              <w:t>（</w:t>
            </w:r>
            <w:r>
              <w:rPr>
                <w:rFonts w:hint="eastAsia" w:ascii="Times New Roman" w:hAnsi="Times New Roman" w:cs="Times New Roman"/>
                <w:color w:val="auto"/>
                <w:spacing w:val="0"/>
                <w:sz w:val="24"/>
                <w:szCs w:val="24"/>
                <w:highlight w:val="none"/>
                <w:lang w:val="en-US" w:eastAsia="zh-CN"/>
              </w:rPr>
              <w:t>3</w:t>
            </w:r>
            <w:r>
              <w:rPr>
                <w:rFonts w:hint="eastAsia" w:ascii="Times New Roman" w:hAnsi="Times New Roman"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rPr>
              <w:t>设施内要有安全照明设施和观察窗口。</w:t>
            </w:r>
          </w:p>
          <w:p w14:paraId="5028C219">
            <w:pPr>
              <w:pStyle w:val="52"/>
              <w:keepNext w:val="0"/>
              <w:keepLines w:val="0"/>
              <w:pageBreakBefore w:val="0"/>
              <w:widowControl w:val="0"/>
              <w:kinsoku/>
              <w:wordWrap w:val="0"/>
              <w:overflowPunct/>
              <w:topLinePunct w:val="0"/>
              <w:autoSpaceDE/>
              <w:autoSpaceDN/>
              <w:bidi w:val="0"/>
              <w:adjustRightInd/>
              <w:snapToGrid/>
              <w:spacing w:line="520" w:lineRule="exact"/>
              <w:ind w:left="0" w:leftChars="0" w:right="0" w:firstLine="480" w:firstLineChars="200"/>
              <w:jc w:val="both"/>
              <w:textAlignment w:val="auto"/>
              <w:rPr>
                <w:rFonts w:hint="default" w:ascii="Times New Roman" w:hAnsi="Times New Roman" w:eastAsia="宋体" w:cs="Times New Roman"/>
                <w:color w:val="auto"/>
                <w:spacing w:val="0"/>
                <w:sz w:val="24"/>
                <w:szCs w:val="24"/>
                <w:highlight w:val="none"/>
              </w:rPr>
            </w:pPr>
            <w:r>
              <w:rPr>
                <w:rFonts w:hint="eastAsia" w:ascii="Times New Roman" w:hAnsi="Times New Roman" w:cs="Times New Roman"/>
                <w:color w:val="auto"/>
                <w:spacing w:val="0"/>
                <w:sz w:val="24"/>
                <w:szCs w:val="24"/>
                <w:highlight w:val="none"/>
                <w:lang w:eastAsia="zh-CN"/>
              </w:rPr>
              <w:t>（</w:t>
            </w:r>
            <w:r>
              <w:rPr>
                <w:rFonts w:hint="eastAsia" w:ascii="Times New Roman" w:hAnsi="Times New Roman" w:cs="Times New Roman"/>
                <w:color w:val="auto"/>
                <w:spacing w:val="0"/>
                <w:sz w:val="24"/>
                <w:szCs w:val="24"/>
                <w:highlight w:val="none"/>
                <w:lang w:val="en-US" w:eastAsia="zh-CN"/>
              </w:rPr>
              <w:t>4</w:t>
            </w:r>
            <w:r>
              <w:rPr>
                <w:rFonts w:hint="eastAsia" w:ascii="Times New Roman" w:hAnsi="Times New Roman"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rPr>
              <w:t>用以存放装载液体、半固体危险废物容器的地方，必须有耐腐蚀的硬化地面，且表面无裂隙。</w:t>
            </w:r>
          </w:p>
          <w:p w14:paraId="3E3E3128">
            <w:pPr>
              <w:pStyle w:val="52"/>
              <w:keepNext w:val="0"/>
              <w:keepLines w:val="0"/>
              <w:pageBreakBefore w:val="0"/>
              <w:widowControl w:val="0"/>
              <w:numPr>
                <w:ilvl w:val="0"/>
                <w:numId w:val="0"/>
              </w:numPr>
              <w:tabs>
                <w:tab w:val="left" w:pos="1194"/>
              </w:tabs>
              <w:kinsoku/>
              <w:wordWrap w:val="0"/>
              <w:overflowPunct/>
              <w:topLinePunct w:val="0"/>
              <w:autoSpaceDE/>
              <w:autoSpaceDN/>
              <w:bidi w:val="0"/>
              <w:adjustRightInd/>
              <w:snapToGrid/>
              <w:spacing w:line="520" w:lineRule="exact"/>
              <w:ind w:leftChars="0" w:right="0" w:rightChars="0" w:firstLine="480" w:firstLineChars="200"/>
              <w:jc w:val="both"/>
              <w:textAlignment w:val="auto"/>
              <w:rPr>
                <w:rFonts w:hint="default" w:ascii="Times New Roman" w:hAnsi="Times New Roman" w:eastAsia="宋体" w:cs="Times New Roman"/>
                <w:color w:val="auto"/>
                <w:spacing w:val="0"/>
                <w:sz w:val="24"/>
                <w:szCs w:val="24"/>
                <w:highlight w:val="none"/>
              </w:rPr>
            </w:pPr>
            <w:r>
              <w:rPr>
                <w:rFonts w:hint="eastAsia" w:ascii="Times New Roman" w:hAnsi="Times New Roman" w:cs="Times New Roman"/>
                <w:color w:val="auto"/>
                <w:spacing w:val="0"/>
                <w:sz w:val="24"/>
                <w:szCs w:val="24"/>
                <w:highlight w:val="none"/>
                <w:lang w:eastAsia="zh-CN"/>
              </w:rPr>
              <w:t>（</w:t>
            </w:r>
            <w:r>
              <w:rPr>
                <w:rFonts w:hint="eastAsia" w:ascii="Times New Roman" w:hAnsi="Times New Roman" w:cs="Times New Roman"/>
                <w:color w:val="auto"/>
                <w:spacing w:val="0"/>
                <w:sz w:val="24"/>
                <w:szCs w:val="24"/>
                <w:highlight w:val="none"/>
                <w:lang w:val="en-US" w:eastAsia="zh-CN"/>
              </w:rPr>
              <w:t>5</w:t>
            </w:r>
            <w:r>
              <w:rPr>
                <w:rFonts w:hint="eastAsia" w:ascii="Times New Roman" w:hAnsi="Times New Roman"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rPr>
              <w:t>应设计堵截泄漏的裙脚，地面与裙脚所围建的容积不低于堵截最大容器的最大储量或总储量的五分之一。</w:t>
            </w:r>
          </w:p>
          <w:p w14:paraId="7C91FB38">
            <w:pPr>
              <w:pStyle w:val="52"/>
              <w:keepNext w:val="0"/>
              <w:keepLines w:val="0"/>
              <w:pageBreakBefore w:val="0"/>
              <w:widowControl w:val="0"/>
              <w:numPr>
                <w:ilvl w:val="0"/>
                <w:numId w:val="0"/>
              </w:numPr>
              <w:tabs>
                <w:tab w:val="left" w:pos="1194"/>
              </w:tabs>
              <w:kinsoku/>
              <w:wordWrap w:val="0"/>
              <w:overflowPunct/>
              <w:topLinePunct w:val="0"/>
              <w:autoSpaceDE/>
              <w:autoSpaceDN/>
              <w:bidi w:val="0"/>
              <w:adjustRightInd/>
              <w:snapToGrid/>
              <w:spacing w:line="520" w:lineRule="exact"/>
              <w:ind w:leftChars="0" w:right="0" w:rightChars="0" w:firstLine="480" w:firstLineChars="200"/>
              <w:jc w:val="both"/>
              <w:textAlignment w:val="auto"/>
              <w:rPr>
                <w:rFonts w:hint="default" w:ascii="Times New Roman" w:hAnsi="Times New Roman" w:eastAsia="宋体" w:cs="Times New Roman"/>
                <w:color w:val="auto"/>
                <w:spacing w:val="0"/>
                <w:sz w:val="24"/>
                <w:szCs w:val="24"/>
                <w:highlight w:val="none"/>
              </w:rPr>
            </w:pPr>
            <w:r>
              <w:rPr>
                <w:rFonts w:hint="eastAsia" w:ascii="Times New Roman" w:hAnsi="Times New Roman" w:cs="Times New Roman"/>
                <w:color w:val="auto"/>
                <w:spacing w:val="0"/>
                <w:sz w:val="24"/>
                <w:szCs w:val="24"/>
                <w:highlight w:val="none"/>
                <w:lang w:eastAsia="zh-CN"/>
              </w:rPr>
              <w:t>（</w:t>
            </w:r>
            <w:r>
              <w:rPr>
                <w:rFonts w:hint="eastAsia" w:ascii="Times New Roman" w:hAnsi="Times New Roman" w:cs="Times New Roman"/>
                <w:color w:val="auto"/>
                <w:spacing w:val="0"/>
                <w:sz w:val="24"/>
                <w:szCs w:val="24"/>
                <w:highlight w:val="none"/>
                <w:lang w:val="en-US" w:eastAsia="zh-CN"/>
              </w:rPr>
              <w:t>6</w:t>
            </w:r>
            <w:r>
              <w:rPr>
                <w:rFonts w:hint="eastAsia" w:ascii="Times New Roman" w:hAnsi="Times New Roman"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rPr>
              <w:t>不相容的危险废物必须分开存放，并设有隔离间隔断。</w:t>
            </w:r>
          </w:p>
          <w:p w14:paraId="5D19B9E4">
            <w:pPr>
              <w:pStyle w:val="52"/>
              <w:keepNext w:val="0"/>
              <w:keepLines w:val="0"/>
              <w:pageBreakBefore w:val="0"/>
              <w:numPr>
                <w:ilvl w:val="0"/>
                <w:numId w:val="0"/>
              </w:numPr>
              <w:tabs>
                <w:tab w:val="left" w:pos="473"/>
              </w:tabs>
              <w:kinsoku/>
              <w:wordWrap w:val="0"/>
              <w:overflowPunct/>
              <w:topLinePunct w:val="0"/>
              <w:autoSpaceDE/>
              <w:autoSpaceDN/>
              <w:bidi w:val="0"/>
              <w:adjustRightInd/>
              <w:spacing w:line="520" w:lineRule="exact"/>
              <w:ind w:right="0" w:rightChars="0"/>
              <w:jc w:val="both"/>
              <w:textAlignment w:val="auto"/>
              <w:rPr>
                <w:rFonts w:hint="default" w:ascii="Times New Roman" w:hAnsi="Times New Roman" w:eastAsia="宋体" w:cs="Times New Roman"/>
                <w:b/>
                <w:bCs/>
                <w:color w:val="auto"/>
                <w:spacing w:val="0"/>
                <w:sz w:val="24"/>
                <w:szCs w:val="24"/>
                <w:highlight w:val="none"/>
              </w:rPr>
            </w:pPr>
            <w:r>
              <w:rPr>
                <w:rFonts w:hint="eastAsia" w:ascii="Times New Roman" w:hAnsi="Times New Roman" w:cs="Times New Roman"/>
                <w:b/>
                <w:bCs/>
                <w:color w:val="auto"/>
                <w:spacing w:val="0"/>
                <w:sz w:val="24"/>
                <w:szCs w:val="24"/>
                <w:highlight w:val="none"/>
                <w:lang w:val="en-US" w:eastAsia="zh-CN"/>
              </w:rPr>
              <w:t xml:space="preserve">4.5 </w:t>
            </w:r>
            <w:r>
              <w:rPr>
                <w:rFonts w:hint="default" w:ascii="Times New Roman" w:hAnsi="Times New Roman" w:eastAsia="宋体" w:cs="Times New Roman"/>
                <w:b/>
                <w:bCs/>
                <w:color w:val="auto"/>
                <w:spacing w:val="0"/>
                <w:sz w:val="24"/>
                <w:szCs w:val="24"/>
                <w:highlight w:val="none"/>
              </w:rPr>
              <w:t>危险废物的堆放要求</w:t>
            </w:r>
          </w:p>
          <w:p w14:paraId="5C7E7D9D">
            <w:pPr>
              <w:pStyle w:val="52"/>
              <w:keepNext w:val="0"/>
              <w:keepLines w:val="0"/>
              <w:pageBreakBefore w:val="0"/>
              <w:widowControl w:val="0"/>
              <w:kinsoku/>
              <w:wordWrap w:val="0"/>
              <w:overflowPunct/>
              <w:topLinePunct w:val="0"/>
              <w:autoSpaceDE/>
              <w:autoSpaceDN/>
              <w:bidi w:val="0"/>
              <w:adjustRightInd/>
              <w:snapToGrid/>
              <w:spacing w:line="520" w:lineRule="exact"/>
              <w:ind w:left="0" w:leftChars="0" w:right="0" w:firstLine="480" w:firstLineChars="200"/>
              <w:jc w:val="both"/>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根据《危险废物贮存污染控制标准》（GB18597-</w:t>
            </w:r>
            <w:r>
              <w:rPr>
                <w:rFonts w:hint="eastAsia" w:ascii="Times New Roman" w:hAnsi="Times New Roman" w:eastAsia="宋体" w:cs="Times New Roman"/>
                <w:color w:val="auto"/>
                <w:spacing w:val="0"/>
                <w:sz w:val="24"/>
                <w:szCs w:val="24"/>
                <w:highlight w:val="none"/>
                <w:lang w:val="en-US" w:eastAsia="zh-CN"/>
              </w:rPr>
              <w:t>2023</w:t>
            </w:r>
            <w:r>
              <w:rPr>
                <w:rFonts w:hint="default" w:ascii="Times New Roman" w:hAnsi="Times New Roman" w:eastAsia="宋体" w:cs="Times New Roman"/>
                <w:color w:val="auto"/>
                <w:spacing w:val="0"/>
                <w:sz w:val="24"/>
                <w:szCs w:val="24"/>
                <w:highlight w:val="none"/>
              </w:rPr>
              <w:t>）要求，危险废物的堆放要求：</w:t>
            </w:r>
          </w:p>
          <w:p w14:paraId="7DA97909">
            <w:pPr>
              <w:pStyle w:val="52"/>
              <w:keepNext w:val="0"/>
              <w:keepLines w:val="0"/>
              <w:pageBreakBefore w:val="0"/>
              <w:widowControl w:val="0"/>
              <w:numPr>
                <w:ilvl w:val="0"/>
                <w:numId w:val="0"/>
              </w:numPr>
              <w:tabs>
                <w:tab w:val="left" w:pos="1197"/>
              </w:tabs>
              <w:kinsoku/>
              <w:wordWrap w:val="0"/>
              <w:overflowPunct/>
              <w:topLinePunct w:val="0"/>
              <w:autoSpaceDE/>
              <w:autoSpaceDN/>
              <w:bidi w:val="0"/>
              <w:adjustRightInd/>
              <w:snapToGrid/>
              <w:spacing w:line="520" w:lineRule="exact"/>
              <w:ind w:leftChars="0" w:right="0" w:rightChars="0" w:firstLine="480" w:firstLineChars="200"/>
              <w:jc w:val="both"/>
              <w:textAlignment w:val="auto"/>
              <w:rPr>
                <w:rFonts w:hint="default" w:ascii="Times New Roman" w:hAnsi="Times New Roman" w:eastAsia="宋体" w:cs="Times New Roman"/>
                <w:color w:val="auto"/>
                <w:spacing w:val="0"/>
                <w:sz w:val="24"/>
                <w:szCs w:val="24"/>
                <w:highlight w:val="none"/>
              </w:rPr>
            </w:pPr>
            <w:r>
              <w:rPr>
                <w:rFonts w:hint="eastAsia" w:ascii="Times New Roman" w:hAnsi="Times New Roman" w:cs="Times New Roman"/>
                <w:color w:val="auto"/>
                <w:spacing w:val="0"/>
                <w:sz w:val="24"/>
                <w:szCs w:val="24"/>
                <w:highlight w:val="none"/>
                <w:lang w:eastAsia="zh-CN"/>
              </w:rPr>
              <w:t>（</w:t>
            </w:r>
            <w:r>
              <w:rPr>
                <w:rFonts w:hint="eastAsia" w:ascii="Times New Roman" w:hAnsi="Times New Roman" w:cs="Times New Roman"/>
                <w:color w:val="auto"/>
                <w:spacing w:val="0"/>
                <w:sz w:val="24"/>
                <w:szCs w:val="24"/>
                <w:highlight w:val="none"/>
                <w:lang w:val="en-US" w:eastAsia="zh-CN"/>
              </w:rPr>
              <w:t>1</w:t>
            </w:r>
            <w:r>
              <w:rPr>
                <w:rFonts w:hint="eastAsia" w:ascii="Times New Roman" w:hAnsi="Times New Roman"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rPr>
              <w:t>基础必须防渗，防渗层为至少1米厚</w:t>
            </w:r>
            <w:r>
              <w:rPr>
                <w:rFonts w:hint="eastAsia" w:ascii="Times New Roman" w:hAnsi="Times New Roman" w:cs="Times New Roman"/>
                <w:color w:val="auto"/>
                <w:spacing w:val="0"/>
                <w:sz w:val="24"/>
                <w:szCs w:val="24"/>
                <w:highlight w:val="none"/>
                <w:lang w:eastAsia="zh-CN"/>
              </w:rPr>
              <w:t>黏土</w:t>
            </w:r>
            <w:r>
              <w:rPr>
                <w:rFonts w:hint="default" w:ascii="Times New Roman" w:hAnsi="Times New Roman" w:eastAsia="宋体" w:cs="Times New Roman"/>
                <w:color w:val="auto"/>
                <w:spacing w:val="0"/>
                <w:sz w:val="24"/>
                <w:szCs w:val="24"/>
                <w:highlight w:val="none"/>
              </w:rPr>
              <w:t>层（渗透系数≤10</w:t>
            </w:r>
            <w:r>
              <w:rPr>
                <w:rFonts w:hint="default" w:ascii="Times New Roman" w:hAnsi="Times New Roman" w:eastAsia="宋体" w:cs="Times New Roman"/>
                <w:color w:val="auto"/>
                <w:spacing w:val="0"/>
                <w:sz w:val="24"/>
                <w:szCs w:val="24"/>
                <w:highlight w:val="none"/>
                <w:vertAlign w:val="superscript"/>
              </w:rPr>
              <w:t>-7</w:t>
            </w:r>
            <w:r>
              <w:rPr>
                <w:rFonts w:hint="default" w:ascii="Times New Roman" w:hAnsi="Times New Roman" w:eastAsia="宋体" w:cs="Times New Roman"/>
                <w:color w:val="auto"/>
                <w:spacing w:val="0"/>
                <w:sz w:val="24"/>
                <w:szCs w:val="24"/>
                <w:highlight w:val="none"/>
              </w:rPr>
              <w:t>厘米/秒），或2毫米厚高密度聚乙烯，或至少2毫米厚</w:t>
            </w:r>
            <w:r>
              <w:rPr>
                <w:rFonts w:hint="eastAsia" w:ascii="Times New Roman" w:hAnsi="Times New Roman" w:cs="Times New Roman"/>
                <w:color w:val="auto"/>
                <w:spacing w:val="0"/>
                <w:sz w:val="24"/>
                <w:szCs w:val="24"/>
                <w:highlight w:val="none"/>
                <w:lang w:eastAsia="zh-CN"/>
              </w:rPr>
              <w:t>的其他</w:t>
            </w:r>
            <w:r>
              <w:rPr>
                <w:rFonts w:hint="default" w:ascii="Times New Roman" w:hAnsi="Times New Roman" w:eastAsia="宋体" w:cs="Times New Roman"/>
                <w:color w:val="auto"/>
                <w:spacing w:val="0"/>
                <w:sz w:val="24"/>
                <w:szCs w:val="24"/>
                <w:highlight w:val="none"/>
              </w:rPr>
              <w:t>人工材料，渗透系数≤10</w:t>
            </w:r>
            <w:r>
              <w:rPr>
                <w:rFonts w:hint="default" w:ascii="Times New Roman" w:hAnsi="Times New Roman" w:eastAsia="宋体" w:cs="Times New Roman"/>
                <w:color w:val="auto"/>
                <w:spacing w:val="0"/>
                <w:sz w:val="24"/>
                <w:szCs w:val="24"/>
                <w:highlight w:val="none"/>
                <w:vertAlign w:val="superscript"/>
              </w:rPr>
              <w:t>-10</w:t>
            </w:r>
            <w:r>
              <w:rPr>
                <w:rFonts w:hint="default" w:ascii="Times New Roman" w:hAnsi="Times New Roman" w:eastAsia="宋体" w:cs="Times New Roman"/>
                <w:color w:val="auto"/>
                <w:spacing w:val="0"/>
                <w:sz w:val="24"/>
                <w:szCs w:val="24"/>
                <w:highlight w:val="none"/>
              </w:rPr>
              <w:t>厘米/秒。</w:t>
            </w:r>
          </w:p>
          <w:p w14:paraId="6F8AF8E3">
            <w:pPr>
              <w:pStyle w:val="52"/>
              <w:keepNext w:val="0"/>
              <w:keepLines w:val="0"/>
              <w:pageBreakBefore w:val="0"/>
              <w:widowControl w:val="0"/>
              <w:numPr>
                <w:ilvl w:val="0"/>
                <w:numId w:val="0"/>
              </w:numPr>
              <w:tabs>
                <w:tab w:val="left" w:pos="1194"/>
              </w:tabs>
              <w:kinsoku/>
              <w:wordWrap w:val="0"/>
              <w:overflowPunct/>
              <w:topLinePunct w:val="0"/>
              <w:autoSpaceDE/>
              <w:autoSpaceDN/>
              <w:bidi w:val="0"/>
              <w:adjustRightInd/>
              <w:snapToGrid/>
              <w:spacing w:line="520" w:lineRule="exact"/>
              <w:ind w:leftChars="0" w:right="0" w:rightChars="0" w:firstLine="480" w:firstLineChars="200"/>
              <w:jc w:val="both"/>
              <w:textAlignment w:val="auto"/>
              <w:rPr>
                <w:rFonts w:hint="default" w:ascii="Times New Roman" w:hAnsi="Times New Roman" w:eastAsia="宋体" w:cs="Times New Roman"/>
                <w:color w:val="auto"/>
                <w:spacing w:val="0"/>
                <w:sz w:val="24"/>
                <w:szCs w:val="24"/>
                <w:highlight w:val="none"/>
              </w:rPr>
            </w:pPr>
            <w:r>
              <w:rPr>
                <w:rFonts w:hint="eastAsia" w:ascii="Times New Roman" w:hAnsi="Times New Roman" w:cs="Times New Roman"/>
                <w:color w:val="auto"/>
                <w:spacing w:val="0"/>
                <w:sz w:val="24"/>
                <w:szCs w:val="24"/>
                <w:highlight w:val="none"/>
                <w:lang w:eastAsia="zh-CN"/>
              </w:rPr>
              <w:t>（</w:t>
            </w:r>
            <w:r>
              <w:rPr>
                <w:rFonts w:hint="eastAsia" w:ascii="Times New Roman" w:hAnsi="Times New Roman" w:cs="Times New Roman"/>
                <w:color w:val="auto"/>
                <w:spacing w:val="0"/>
                <w:sz w:val="24"/>
                <w:szCs w:val="24"/>
                <w:highlight w:val="none"/>
                <w:lang w:val="en-US" w:eastAsia="zh-CN"/>
              </w:rPr>
              <w:t>2</w:t>
            </w:r>
            <w:r>
              <w:rPr>
                <w:rFonts w:hint="eastAsia" w:ascii="Times New Roman" w:hAnsi="Times New Roman"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rPr>
              <w:t>堆放危险废物的高度应根据地面承载能力确定。</w:t>
            </w:r>
          </w:p>
          <w:p w14:paraId="45551E63">
            <w:pPr>
              <w:pStyle w:val="52"/>
              <w:keepNext w:val="0"/>
              <w:keepLines w:val="0"/>
              <w:pageBreakBefore w:val="0"/>
              <w:widowControl w:val="0"/>
              <w:numPr>
                <w:ilvl w:val="0"/>
                <w:numId w:val="0"/>
              </w:numPr>
              <w:tabs>
                <w:tab w:val="left" w:pos="1194"/>
              </w:tabs>
              <w:kinsoku/>
              <w:wordWrap w:val="0"/>
              <w:overflowPunct/>
              <w:topLinePunct w:val="0"/>
              <w:autoSpaceDE/>
              <w:autoSpaceDN/>
              <w:bidi w:val="0"/>
              <w:adjustRightInd/>
              <w:snapToGrid/>
              <w:spacing w:line="520" w:lineRule="exact"/>
              <w:ind w:leftChars="0" w:right="0" w:rightChars="0" w:firstLine="480" w:firstLineChars="200"/>
              <w:jc w:val="both"/>
              <w:textAlignment w:val="auto"/>
              <w:rPr>
                <w:rFonts w:hint="default" w:ascii="Times New Roman" w:hAnsi="Times New Roman" w:eastAsia="宋体" w:cs="Times New Roman"/>
                <w:color w:val="auto"/>
                <w:spacing w:val="0"/>
                <w:sz w:val="24"/>
                <w:szCs w:val="24"/>
                <w:highlight w:val="none"/>
              </w:rPr>
            </w:pPr>
            <w:r>
              <w:rPr>
                <w:rFonts w:hint="eastAsia" w:ascii="Times New Roman" w:hAnsi="Times New Roman" w:cs="Times New Roman"/>
                <w:color w:val="auto"/>
                <w:spacing w:val="0"/>
                <w:sz w:val="24"/>
                <w:szCs w:val="24"/>
                <w:highlight w:val="none"/>
                <w:lang w:eastAsia="zh-CN"/>
              </w:rPr>
              <w:t>（</w:t>
            </w:r>
            <w:r>
              <w:rPr>
                <w:rFonts w:hint="eastAsia" w:ascii="Times New Roman" w:hAnsi="Times New Roman" w:cs="Times New Roman"/>
                <w:color w:val="auto"/>
                <w:spacing w:val="0"/>
                <w:sz w:val="24"/>
                <w:szCs w:val="24"/>
                <w:highlight w:val="none"/>
                <w:lang w:val="en-US" w:eastAsia="zh-CN"/>
              </w:rPr>
              <w:t>3</w:t>
            </w:r>
            <w:r>
              <w:rPr>
                <w:rFonts w:hint="eastAsia" w:ascii="Times New Roman" w:hAnsi="Times New Roman"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rPr>
              <w:t>衬里放在一个基础或底座上。</w:t>
            </w:r>
          </w:p>
          <w:p w14:paraId="5A66B490">
            <w:pPr>
              <w:pStyle w:val="52"/>
              <w:keepNext w:val="0"/>
              <w:keepLines w:val="0"/>
              <w:pageBreakBefore w:val="0"/>
              <w:widowControl w:val="0"/>
              <w:numPr>
                <w:ilvl w:val="0"/>
                <w:numId w:val="0"/>
              </w:numPr>
              <w:tabs>
                <w:tab w:val="left" w:pos="1194"/>
              </w:tabs>
              <w:kinsoku/>
              <w:wordWrap w:val="0"/>
              <w:overflowPunct/>
              <w:topLinePunct w:val="0"/>
              <w:autoSpaceDE/>
              <w:autoSpaceDN/>
              <w:bidi w:val="0"/>
              <w:adjustRightInd/>
              <w:snapToGrid/>
              <w:spacing w:line="520" w:lineRule="exact"/>
              <w:ind w:leftChars="0" w:right="0" w:rightChars="0" w:firstLine="480" w:firstLineChars="200"/>
              <w:jc w:val="both"/>
              <w:textAlignment w:val="auto"/>
              <w:rPr>
                <w:rFonts w:hint="default" w:ascii="Times New Roman" w:hAnsi="Times New Roman" w:eastAsia="宋体" w:cs="Times New Roman"/>
                <w:color w:val="auto"/>
                <w:spacing w:val="0"/>
                <w:sz w:val="24"/>
                <w:szCs w:val="24"/>
                <w:highlight w:val="none"/>
              </w:rPr>
            </w:pPr>
            <w:r>
              <w:rPr>
                <w:rFonts w:hint="eastAsia" w:ascii="Times New Roman" w:hAnsi="Times New Roman" w:cs="Times New Roman"/>
                <w:color w:val="auto"/>
                <w:spacing w:val="0"/>
                <w:sz w:val="24"/>
                <w:szCs w:val="24"/>
                <w:highlight w:val="none"/>
                <w:lang w:eastAsia="zh-CN"/>
              </w:rPr>
              <w:t>（</w:t>
            </w:r>
            <w:r>
              <w:rPr>
                <w:rFonts w:hint="eastAsia" w:ascii="Times New Roman" w:hAnsi="Times New Roman" w:cs="Times New Roman"/>
                <w:color w:val="auto"/>
                <w:spacing w:val="0"/>
                <w:sz w:val="24"/>
                <w:szCs w:val="24"/>
                <w:highlight w:val="none"/>
                <w:lang w:val="en-US" w:eastAsia="zh-CN"/>
              </w:rPr>
              <w:t>4</w:t>
            </w:r>
            <w:r>
              <w:rPr>
                <w:rFonts w:hint="eastAsia" w:ascii="Times New Roman" w:hAnsi="Times New Roman"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rPr>
              <w:t>衬里要能够覆盖危险废物或其溶出物可能</w:t>
            </w:r>
            <w:r>
              <w:rPr>
                <w:rFonts w:hint="eastAsia" w:ascii="Times New Roman" w:hAnsi="Times New Roman" w:cs="Times New Roman"/>
                <w:color w:val="auto"/>
                <w:spacing w:val="0"/>
                <w:sz w:val="24"/>
                <w:szCs w:val="24"/>
                <w:highlight w:val="none"/>
                <w:lang w:eastAsia="zh-CN"/>
              </w:rPr>
              <w:t>涉及的</w:t>
            </w:r>
            <w:r>
              <w:rPr>
                <w:rFonts w:hint="default" w:ascii="Times New Roman" w:hAnsi="Times New Roman" w:eastAsia="宋体" w:cs="Times New Roman"/>
                <w:color w:val="auto"/>
                <w:spacing w:val="0"/>
                <w:sz w:val="24"/>
                <w:szCs w:val="24"/>
                <w:highlight w:val="none"/>
              </w:rPr>
              <w:t>范围。</w:t>
            </w:r>
          </w:p>
          <w:p w14:paraId="6CD1DD9D">
            <w:pPr>
              <w:pStyle w:val="52"/>
              <w:keepNext w:val="0"/>
              <w:keepLines w:val="0"/>
              <w:pageBreakBefore w:val="0"/>
              <w:widowControl w:val="0"/>
              <w:numPr>
                <w:ilvl w:val="0"/>
                <w:numId w:val="0"/>
              </w:numPr>
              <w:tabs>
                <w:tab w:val="left" w:pos="1194"/>
              </w:tabs>
              <w:kinsoku/>
              <w:wordWrap w:val="0"/>
              <w:overflowPunct/>
              <w:topLinePunct w:val="0"/>
              <w:autoSpaceDE/>
              <w:autoSpaceDN/>
              <w:bidi w:val="0"/>
              <w:adjustRightInd/>
              <w:snapToGrid/>
              <w:spacing w:line="520" w:lineRule="exact"/>
              <w:ind w:leftChars="0" w:right="0" w:rightChars="0" w:firstLine="480" w:firstLineChars="200"/>
              <w:jc w:val="both"/>
              <w:textAlignment w:val="auto"/>
              <w:rPr>
                <w:rFonts w:hint="default" w:ascii="Times New Roman" w:hAnsi="Times New Roman" w:eastAsia="宋体" w:cs="Times New Roman"/>
                <w:color w:val="auto"/>
                <w:spacing w:val="0"/>
                <w:sz w:val="24"/>
                <w:szCs w:val="24"/>
                <w:highlight w:val="none"/>
              </w:rPr>
            </w:pPr>
            <w:r>
              <w:rPr>
                <w:rFonts w:hint="eastAsia" w:ascii="Times New Roman" w:hAnsi="Times New Roman" w:cs="Times New Roman"/>
                <w:color w:val="auto"/>
                <w:spacing w:val="0"/>
                <w:sz w:val="24"/>
                <w:szCs w:val="24"/>
                <w:highlight w:val="none"/>
                <w:lang w:eastAsia="zh-CN"/>
              </w:rPr>
              <w:t>（</w:t>
            </w:r>
            <w:r>
              <w:rPr>
                <w:rFonts w:hint="eastAsia" w:ascii="Times New Roman" w:hAnsi="Times New Roman" w:cs="Times New Roman"/>
                <w:color w:val="auto"/>
                <w:spacing w:val="0"/>
                <w:sz w:val="24"/>
                <w:szCs w:val="24"/>
                <w:highlight w:val="none"/>
                <w:lang w:val="en-US" w:eastAsia="zh-CN"/>
              </w:rPr>
              <w:t>5</w:t>
            </w:r>
            <w:r>
              <w:rPr>
                <w:rFonts w:hint="eastAsia" w:ascii="Times New Roman" w:hAnsi="Times New Roman"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rPr>
              <w:t>衬里材料与堆放危险废物相容。</w:t>
            </w:r>
          </w:p>
          <w:p w14:paraId="1D0DCB8B">
            <w:pPr>
              <w:pStyle w:val="52"/>
              <w:keepNext w:val="0"/>
              <w:keepLines w:val="0"/>
              <w:pageBreakBefore w:val="0"/>
              <w:widowControl w:val="0"/>
              <w:numPr>
                <w:ilvl w:val="0"/>
                <w:numId w:val="0"/>
              </w:numPr>
              <w:tabs>
                <w:tab w:val="left" w:pos="1194"/>
              </w:tabs>
              <w:kinsoku/>
              <w:wordWrap w:val="0"/>
              <w:overflowPunct/>
              <w:topLinePunct w:val="0"/>
              <w:autoSpaceDE/>
              <w:autoSpaceDN/>
              <w:bidi w:val="0"/>
              <w:adjustRightInd/>
              <w:snapToGrid/>
              <w:spacing w:line="520" w:lineRule="exact"/>
              <w:ind w:leftChars="0" w:right="0" w:rightChars="0" w:firstLine="480" w:firstLineChars="200"/>
              <w:jc w:val="both"/>
              <w:textAlignment w:val="auto"/>
              <w:rPr>
                <w:rFonts w:hint="default" w:ascii="Times New Roman" w:hAnsi="Times New Roman" w:eastAsia="宋体" w:cs="Times New Roman"/>
                <w:color w:val="auto"/>
                <w:spacing w:val="0"/>
                <w:sz w:val="24"/>
                <w:szCs w:val="24"/>
                <w:highlight w:val="none"/>
              </w:rPr>
            </w:pPr>
            <w:r>
              <w:rPr>
                <w:rFonts w:hint="eastAsia" w:ascii="Times New Roman" w:hAnsi="Times New Roman" w:cs="Times New Roman"/>
                <w:color w:val="auto"/>
                <w:spacing w:val="0"/>
                <w:sz w:val="24"/>
                <w:szCs w:val="24"/>
                <w:highlight w:val="none"/>
                <w:lang w:eastAsia="zh-CN"/>
              </w:rPr>
              <w:t>（</w:t>
            </w:r>
            <w:r>
              <w:rPr>
                <w:rFonts w:hint="eastAsia" w:ascii="Times New Roman" w:hAnsi="Times New Roman" w:cs="Times New Roman"/>
                <w:color w:val="auto"/>
                <w:spacing w:val="0"/>
                <w:sz w:val="24"/>
                <w:szCs w:val="24"/>
                <w:highlight w:val="none"/>
                <w:lang w:val="en-US" w:eastAsia="zh-CN"/>
              </w:rPr>
              <w:t>6</w:t>
            </w:r>
            <w:r>
              <w:rPr>
                <w:rFonts w:hint="eastAsia" w:ascii="Times New Roman" w:hAnsi="Times New Roman"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rPr>
              <w:t>在衬里上设计、建造浸出液收集清除系统。</w:t>
            </w:r>
          </w:p>
          <w:p w14:paraId="57A8F72C">
            <w:pPr>
              <w:pStyle w:val="52"/>
              <w:keepNext w:val="0"/>
              <w:keepLines w:val="0"/>
              <w:pageBreakBefore w:val="0"/>
              <w:widowControl w:val="0"/>
              <w:numPr>
                <w:ilvl w:val="0"/>
                <w:numId w:val="0"/>
              </w:numPr>
              <w:tabs>
                <w:tab w:val="left" w:pos="1197"/>
              </w:tabs>
              <w:kinsoku/>
              <w:wordWrap w:val="0"/>
              <w:overflowPunct/>
              <w:topLinePunct w:val="0"/>
              <w:autoSpaceDE/>
              <w:autoSpaceDN/>
              <w:bidi w:val="0"/>
              <w:adjustRightInd/>
              <w:snapToGrid/>
              <w:spacing w:line="520" w:lineRule="exact"/>
              <w:ind w:leftChars="0" w:right="0" w:rightChars="0" w:firstLine="480" w:firstLineChars="200"/>
              <w:jc w:val="both"/>
              <w:textAlignment w:val="auto"/>
              <w:rPr>
                <w:rFonts w:hint="default" w:ascii="Times New Roman" w:hAnsi="Times New Roman" w:eastAsia="宋体" w:cs="Times New Roman"/>
                <w:color w:val="auto"/>
                <w:spacing w:val="0"/>
                <w:sz w:val="24"/>
                <w:szCs w:val="24"/>
                <w:highlight w:val="none"/>
              </w:rPr>
            </w:pPr>
            <w:r>
              <w:rPr>
                <w:rFonts w:hint="eastAsia" w:ascii="Times New Roman" w:hAnsi="Times New Roman" w:cs="Times New Roman"/>
                <w:color w:val="auto"/>
                <w:spacing w:val="0"/>
                <w:sz w:val="24"/>
                <w:szCs w:val="24"/>
                <w:highlight w:val="none"/>
                <w:lang w:eastAsia="zh-CN"/>
              </w:rPr>
              <w:t>（</w:t>
            </w:r>
            <w:r>
              <w:rPr>
                <w:rFonts w:hint="eastAsia" w:ascii="Times New Roman" w:hAnsi="Times New Roman" w:cs="Times New Roman"/>
                <w:color w:val="auto"/>
                <w:spacing w:val="0"/>
                <w:sz w:val="24"/>
                <w:szCs w:val="24"/>
                <w:highlight w:val="none"/>
                <w:lang w:val="en-US" w:eastAsia="zh-CN"/>
              </w:rPr>
              <w:t>7</w:t>
            </w:r>
            <w:r>
              <w:rPr>
                <w:rFonts w:hint="eastAsia" w:ascii="Times New Roman" w:hAnsi="Times New Roman"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rPr>
              <w:t>应设计建造径流疏导系统，保证能防止25年一遇的暴雨不会流到危险废物堆里。</w:t>
            </w:r>
          </w:p>
          <w:p w14:paraId="37DB27A6">
            <w:pPr>
              <w:pStyle w:val="52"/>
              <w:keepNext w:val="0"/>
              <w:keepLines w:val="0"/>
              <w:pageBreakBefore w:val="0"/>
              <w:widowControl w:val="0"/>
              <w:numPr>
                <w:ilvl w:val="0"/>
                <w:numId w:val="0"/>
              </w:numPr>
              <w:tabs>
                <w:tab w:val="left" w:pos="1194"/>
              </w:tabs>
              <w:kinsoku/>
              <w:wordWrap w:val="0"/>
              <w:overflowPunct/>
              <w:topLinePunct w:val="0"/>
              <w:autoSpaceDE/>
              <w:autoSpaceDN/>
              <w:bidi w:val="0"/>
              <w:adjustRightInd/>
              <w:snapToGrid/>
              <w:spacing w:line="520" w:lineRule="exact"/>
              <w:ind w:leftChars="0" w:right="0" w:rightChars="0" w:firstLine="480" w:firstLineChars="200"/>
              <w:jc w:val="both"/>
              <w:textAlignment w:val="auto"/>
              <w:rPr>
                <w:rFonts w:hint="default" w:ascii="Times New Roman" w:hAnsi="Times New Roman" w:eastAsia="宋体" w:cs="Times New Roman"/>
                <w:color w:val="auto"/>
                <w:spacing w:val="0"/>
                <w:sz w:val="24"/>
                <w:szCs w:val="24"/>
                <w:highlight w:val="none"/>
              </w:rPr>
            </w:pPr>
            <w:r>
              <w:rPr>
                <w:rFonts w:hint="eastAsia" w:ascii="Times New Roman" w:hAnsi="Times New Roman" w:cs="Times New Roman"/>
                <w:color w:val="auto"/>
                <w:spacing w:val="0"/>
                <w:sz w:val="24"/>
                <w:szCs w:val="24"/>
                <w:highlight w:val="none"/>
                <w:lang w:eastAsia="zh-CN"/>
              </w:rPr>
              <w:t>（</w:t>
            </w:r>
            <w:r>
              <w:rPr>
                <w:rFonts w:hint="eastAsia" w:ascii="Times New Roman" w:hAnsi="Times New Roman" w:cs="Times New Roman"/>
                <w:color w:val="auto"/>
                <w:spacing w:val="0"/>
                <w:sz w:val="24"/>
                <w:szCs w:val="24"/>
                <w:highlight w:val="none"/>
                <w:lang w:val="en-US" w:eastAsia="zh-CN"/>
              </w:rPr>
              <w:t>8</w:t>
            </w:r>
            <w:r>
              <w:rPr>
                <w:rFonts w:hint="eastAsia" w:ascii="Times New Roman" w:hAnsi="Times New Roman"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rPr>
              <w:t>危险废物堆内设计雨水收集池，并能收集25年一遇的暴雨24小时降水量</w:t>
            </w:r>
            <w:r>
              <w:rPr>
                <w:rFonts w:hint="eastAsia" w:ascii="Times New Roman" w:hAnsi="Times New Roman"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rPr>
              <w:t>危险废物堆要防风、防雨、防晒。</w:t>
            </w:r>
          </w:p>
          <w:p w14:paraId="02EBA75C">
            <w:pPr>
              <w:pStyle w:val="52"/>
              <w:keepNext w:val="0"/>
              <w:keepLines w:val="0"/>
              <w:pageBreakBefore w:val="0"/>
              <w:widowControl w:val="0"/>
              <w:numPr>
                <w:ilvl w:val="0"/>
                <w:numId w:val="0"/>
              </w:numPr>
              <w:tabs>
                <w:tab w:val="left" w:pos="1317"/>
              </w:tabs>
              <w:kinsoku/>
              <w:wordWrap w:val="0"/>
              <w:overflowPunct/>
              <w:topLinePunct w:val="0"/>
              <w:autoSpaceDE/>
              <w:autoSpaceDN/>
              <w:bidi w:val="0"/>
              <w:adjustRightInd/>
              <w:snapToGrid/>
              <w:spacing w:line="520" w:lineRule="exact"/>
              <w:ind w:leftChars="0" w:right="0" w:rightChars="0" w:firstLine="480" w:firstLineChars="200"/>
              <w:jc w:val="both"/>
              <w:textAlignment w:val="auto"/>
              <w:rPr>
                <w:rFonts w:hint="default" w:ascii="Times New Roman" w:hAnsi="Times New Roman" w:eastAsia="宋体" w:cs="Times New Roman"/>
                <w:color w:val="auto"/>
                <w:spacing w:val="0"/>
                <w:sz w:val="24"/>
                <w:szCs w:val="24"/>
                <w:highlight w:val="none"/>
              </w:rPr>
            </w:pPr>
            <w:r>
              <w:rPr>
                <w:rFonts w:hint="eastAsia" w:ascii="Times New Roman" w:hAnsi="Times New Roman" w:cs="Times New Roman"/>
                <w:color w:val="auto"/>
                <w:spacing w:val="0"/>
                <w:sz w:val="24"/>
                <w:szCs w:val="24"/>
                <w:highlight w:val="none"/>
                <w:lang w:eastAsia="zh-CN"/>
              </w:rPr>
              <w:t>（</w:t>
            </w:r>
            <w:r>
              <w:rPr>
                <w:rFonts w:hint="eastAsia" w:ascii="Times New Roman" w:hAnsi="Times New Roman" w:cs="Times New Roman"/>
                <w:color w:val="auto"/>
                <w:spacing w:val="0"/>
                <w:sz w:val="24"/>
                <w:szCs w:val="24"/>
                <w:highlight w:val="none"/>
                <w:lang w:val="en-US" w:eastAsia="zh-CN"/>
              </w:rPr>
              <w:t>9</w:t>
            </w:r>
            <w:r>
              <w:rPr>
                <w:rFonts w:hint="eastAsia" w:ascii="Times New Roman" w:hAnsi="Times New Roman"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rPr>
              <w:t>产生量大的危险废物可以散装方式堆放贮存在按上述要求设计的废物堆里。</w:t>
            </w:r>
          </w:p>
          <w:p w14:paraId="6B986B27">
            <w:pPr>
              <w:pStyle w:val="52"/>
              <w:keepNext w:val="0"/>
              <w:keepLines w:val="0"/>
              <w:pageBreakBefore w:val="0"/>
              <w:widowControl w:val="0"/>
              <w:numPr>
                <w:ilvl w:val="0"/>
                <w:numId w:val="0"/>
              </w:numPr>
              <w:tabs>
                <w:tab w:val="left" w:pos="1304"/>
              </w:tabs>
              <w:kinsoku/>
              <w:wordWrap w:val="0"/>
              <w:overflowPunct/>
              <w:topLinePunct w:val="0"/>
              <w:autoSpaceDE/>
              <w:autoSpaceDN/>
              <w:bidi w:val="0"/>
              <w:adjustRightInd/>
              <w:snapToGrid/>
              <w:spacing w:line="520" w:lineRule="exact"/>
              <w:ind w:leftChars="0" w:right="0" w:rightChars="0" w:firstLine="480" w:firstLineChars="200"/>
              <w:jc w:val="both"/>
              <w:textAlignment w:val="auto"/>
              <w:rPr>
                <w:rFonts w:hint="default" w:ascii="Times New Roman" w:hAnsi="Times New Roman" w:eastAsia="宋体" w:cs="Times New Roman"/>
                <w:color w:val="auto"/>
                <w:spacing w:val="0"/>
                <w:sz w:val="24"/>
                <w:szCs w:val="24"/>
                <w:highlight w:val="none"/>
              </w:rPr>
            </w:pPr>
            <w:r>
              <w:rPr>
                <w:rFonts w:hint="eastAsia" w:ascii="Times New Roman" w:hAnsi="Times New Roman" w:cs="Times New Roman"/>
                <w:color w:val="auto"/>
                <w:spacing w:val="0"/>
                <w:sz w:val="24"/>
                <w:szCs w:val="24"/>
                <w:highlight w:val="none"/>
                <w:lang w:eastAsia="zh-CN"/>
              </w:rPr>
              <w:t>（</w:t>
            </w:r>
            <w:r>
              <w:rPr>
                <w:rFonts w:hint="eastAsia" w:ascii="Times New Roman" w:hAnsi="Times New Roman" w:cs="Times New Roman"/>
                <w:color w:val="auto"/>
                <w:spacing w:val="0"/>
                <w:sz w:val="24"/>
                <w:szCs w:val="24"/>
                <w:highlight w:val="none"/>
                <w:lang w:val="en-US" w:eastAsia="zh-CN"/>
              </w:rPr>
              <w:t>10</w:t>
            </w:r>
            <w:r>
              <w:rPr>
                <w:rFonts w:hint="eastAsia" w:ascii="Times New Roman" w:hAnsi="Times New Roman"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rPr>
              <w:t>不相容的危险废物不能堆放在一起。</w:t>
            </w:r>
          </w:p>
          <w:p w14:paraId="5A413F03">
            <w:pPr>
              <w:pStyle w:val="52"/>
              <w:keepNext w:val="0"/>
              <w:keepLines w:val="0"/>
              <w:pageBreakBefore w:val="0"/>
              <w:widowControl w:val="0"/>
              <w:kinsoku/>
              <w:wordWrap w:val="0"/>
              <w:overflowPunct/>
              <w:topLinePunct w:val="0"/>
              <w:autoSpaceDE/>
              <w:autoSpaceDN/>
              <w:bidi w:val="0"/>
              <w:adjustRightInd/>
              <w:snapToGrid/>
              <w:spacing w:line="520" w:lineRule="exact"/>
              <w:ind w:left="0" w:leftChars="0" w:right="0" w:firstLine="480" w:firstLineChars="200"/>
              <w:jc w:val="both"/>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总贮存量不超过300kg</w:t>
            </w:r>
            <w:r>
              <w:rPr>
                <w:rFonts w:hint="eastAsia" w:ascii="Times New Roman" w:hAnsi="Times New Roman"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rPr>
              <w:t>L</w:t>
            </w:r>
            <w:r>
              <w:rPr>
                <w:rFonts w:hint="eastAsia" w:ascii="Times New Roman" w:hAnsi="Times New Roman"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rPr>
              <w:t>的危险废物要放入符合标准的容器内，加上标签，容器放入坚固的柜或箱中，柜或箱应设多个直径不少于30毫米的排气孔。不相容危险废物要分别存放或存放在不渗透间隔分开的区域内，每个部分都应有防漏裙脚或储漏盘，防漏裙脚或储漏盘的材料要与危险废物相容。</w:t>
            </w:r>
          </w:p>
          <w:p w14:paraId="4B15E475">
            <w:pPr>
              <w:pStyle w:val="52"/>
              <w:keepNext w:val="0"/>
              <w:keepLines w:val="0"/>
              <w:pageBreakBefore w:val="0"/>
              <w:kinsoku/>
              <w:wordWrap w:val="0"/>
              <w:overflowPunct/>
              <w:topLinePunct w:val="0"/>
              <w:autoSpaceDE/>
              <w:autoSpaceDN/>
              <w:bidi w:val="0"/>
              <w:adjustRightInd/>
              <w:spacing w:line="520" w:lineRule="exact"/>
              <w:ind w:right="0"/>
              <w:jc w:val="both"/>
              <w:textAlignment w:val="auto"/>
              <w:rPr>
                <w:rFonts w:hint="default" w:ascii="Times New Roman" w:hAnsi="Times New Roman" w:eastAsia="宋体" w:cs="Times New Roman"/>
                <w:b/>
                <w:bCs/>
                <w:color w:val="auto"/>
                <w:spacing w:val="0"/>
                <w:sz w:val="24"/>
                <w:szCs w:val="24"/>
                <w:highlight w:val="none"/>
              </w:rPr>
            </w:pPr>
            <w:r>
              <w:rPr>
                <w:rFonts w:hint="eastAsia" w:ascii="Times New Roman" w:hAnsi="Times New Roman" w:cs="Times New Roman"/>
                <w:b/>
                <w:bCs/>
                <w:color w:val="auto"/>
                <w:spacing w:val="0"/>
                <w:sz w:val="24"/>
                <w:szCs w:val="24"/>
                <w:highlight w:val="none"/>
                <w:lang w:val="en-US" w:eastAsia="zh-CN"/>
              </w:rPr>
              <w:t>4</w:t>
            </w:r>
            <w:r>
              <w:rPr>
                <w:rFonts w:hint="default" w:ascii="Times New Roman" w:hAnsi="Times New Roman" w:eastAsia="宋体" w:cs="Times New Roman"/>
                <w:b/>
                <w:bCs/>
                <w:color w:val="auto"/>
                <w:spacing w:val="0"/>
                <w:sz w:val="24"/>
                <w:szCs w:val="24"/>
                <w:highlight w:val="none"/>
              </w:rPr>
              <w:t>.</w:t>
            </w:r>
            <w:r>
              <w:rPr>
                <w:rFonts w:hint="eastAsia" w:ascii="Times New Roman" w:hAnsi="Times New Roman" w:eastAsia="宋体" w:cs="Times New Roman"/>
                <w:b/>
                <w:bCs/>
                <w:color w:val="auto"/>
                <w:spacing w:val="0"/>
                <w:sz w:val="24"/>
                <w:szCs w:val="24"/>
                <w:highlight w:val="none"/>
                <w:lang w:val="en-US" w:eastAsia="zh-CN"/>
              </w:rPr>
              <w:t xml:space="preserve">6 </w:t>
            </w:r>
            <w:r>
              <w:rPr>
                <w:rFonts w:hint="default" w:ascii="Times New Roman" w:hAnsi="Times New Roman" w:eastAsia="宋体" w:cs="Times New Roman"/>
                <w:b/>
                <w:bCs/>
                <w:color w:val="auto"/>
                <w:spacing w:val="0"/>
                <w:sz w:val="24"/>
                <w:szCs w:val="24"/>
                <w:highlight w:val="none"/>
              </w:rPr>
              <w:t>危险废物贮存要求</w:t>
            </w:r>
          </w:p>
          <w:p w14:paraId="442E5FAE">
            <w:pPr>
              <w:pStyle w:val="52"/>
              <w:keepNext w:val="0"/>
              <w:keepLines w:val="0"/>
              <w:pageBreakBefore w:val="0"/>
              <w:kinsoku/>
              <w:wordWrap w:val="0"/>
              <w:overflowPunct/>
              <w:topLinePunct w:val="0"/>
              <w:autoSpaceDE/>
              <w:autoSpaceDN/>
              <w:bidi w:val="0"/>
              <w:adjustRightInd/>
              <w:spacing w:line="520" w:lineRule="exact"/>
              <w:ind w:left="0" w:right="0" w:firstLine="480" w:firstLineChars="200"/>
              <w:jc w:val="both"/>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危险废物的转移和处理必须按照国家危险废弃物管理的规定，严格遵守《</w:t>
            </w:r>
            <w:r>
              <w:rPr>
                <w:rFonts w:hint="eastAsia" w:ascii="Times New Roman" w:hAnsi="Times New Roman" w:cs="Times New Roman"/>
                <w:color w:val="auto"/>
                <w:spacing w:val="0"/>
                <w:sz w:val="24"/>
                <w:szCs w:val="24"/>
                <w:highlight w:val="none"/>
                <w:lang w:eastAsia="zh-CN"/>
              </w:rPr>
              <w:t>危险废物转移管理办法</w:t>
            </w:r>
            <w:r>
              <w:rPr>
                <w:rFonts w:hint="default" w:ascii="Times New Roman" w:hAnsi="Times New Roman" w:eastAsia="宋体" w:cs="Times New Roman"/>
                <w:color w:val="auto"/>
                <w:spacing w:val="0"/>
                <w:sz w:val="24"/>
                <w:szCs w:val="24"/>
                <w:highlight w:val="none"/>
              </w:rPr>
              <w:t>》执行。危险废物贮存必须按照《危险废物贮存污染控制标准》（GB18597-</w:t>
            </w:r>
            <w:r>
              <w:rPr>
                <w:rFonts w:hint="eastAsia" w:ascii="Times New Roman" w:hAnsi="Times New Roman" w:eastAsia="宋体" w:cs="Times New Roman"/>
                <w:color w:val="auto"/>
                <w:spacing w:val="0"/>
                <w:sz w:val="24"/>
                <w:szCs w:val="24"/>
                <w:highlight w:val="none"/>
                <w:lang w:val="en-US" w:eastAsia="zh-CN"/>
              </w:rPr>
              <w:t>2023</w:t>
            </w:r>
            <w:r>
              <w:rPr>
                <w:rFonts w:hint="default" w:ascii="Times New Roman" w:hAnsi="Times New Roman" w:eastAsia="宋体" w:cs="Times New Roman"/>
                <w:color w:val="auto"/>
                <w:spacing w:val="0"/>
                <w:sz w:val="24"/>
                <w:szCs w:val="24"/>
                <w:highlight w:val="none"/>
              </w:rPr>
              <w:t>）的规定进行，具体要求如下：</w:t>
            </w:r>
          </w:p>
          <w:p w14:paraId="6963E982">
            <w:pPr>
              <w:pStyle w:val="52"/>
              <w:keepNext w:val="0"/>
              <w:keepLines w:val="0"/>
              <w:pageBreakBefore w:val="0"/>
              <w:kinsoku/>
              <w:wordWrap w:val="0"/>
              <w:overflowPunct/>
              <w:topLinePunct w:val="0"/>
              <w:autoSpaceDE/>
              <w:autoSpaceDN/>
              <w:bidi w:val="0"/>
              <w:adjustRightInd/>
              <w:spacing w:line="520" w:lineRule="exact"/>
              <w:ind w:left="0" w:right="0" w:firstLine="480" w:firstLineChars="200"/>
              <w:jc w:val="both"/>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①危险废物贮存设施必须按照规定设置警示标志；</w:t>
            </w:r>
          </w:p>
          <w:p w14:paraId="283F804D">
            <w:pPr>
              <w:pStyle w:val="52"/>
              <w:keepNext w:val="0"/>
              <w:keepLines w:val="0"/>
              <w:pageBreakBefore w:val="0"/>
              <w:kinsoku/>
              <w:wordWrap w:val="0"/>
              <w:overflowPunct/>
              <w:topLinePunct w:val="0"/>
              <w:autoSpaceDE/>
              <w:autoSpaceDN/>
              <w:bidi w:val="0"/>
              <w:adjustRightInd/>
              <w:spacing w:line="520" w:lineRule="exact"/>
              <w:ind w:left="0" w:right="0" w:firstLine="480" w:firstLineChars="200"/>
              <w:jc w:val="both"/>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②危险废物贮存设施周围应设置围栏</w:t>
            </w:r>
            <w:r>
              <w:rPr>
                <w:rFonts w:hint="eastAsia" w:ascii="Times New Roman" w:hAnsi="Times New Roman" w:cs="Times New Roman"/>
                <w:color w:val="auto"/>
                <w:spacing w:val="0"/>
                <w:sz w:val="24"/>
                <w:szCs w:val="24"/>
                <w:highlight w:val="none"/>
                <w:lang w:eastAsia="zh-CN"/>
              </w:rPr>
              <w:t>或其他</w:t>
            </w:r>
            <w:r>
              <w:rPr>
                <w:rFonts w:hint="default" w:ascii="Times New Roman" w:hAnsi="Times New Roman" w:eastAsia="宋体" w:cs="Times New Roman"/>
                <w:color w:val="auto"/>
                <w:spacing w:val="0"/>
                <w:sz w:val="24"/>
                <w:szCs w:val="24"/>
                <w:highlight w:val="none"/>
              </w:rPr>
              <w:t>防护措施；</w:t>
            </w:r>
          </w:p>
          <w:p w14:paraId="007C503E">
            <w:pPr>
              <w:pStyle w:val="52"/>
              <w:keepNext w:val="0"/>
              <w:keepLines w:val="0"/>
              <w:pageBreakBefore w:val="0"/>
              <w:kinsoku/>
              <w:wordWrap w:val="0"/>
              <w:overflowPunct/>
              <w:topLinePunct w:val="0"/>
              <w:autoSpaceDE/>
              <w:autoSpaceDN/>
              <w:bidi w:val="0"/>
              <w:adjustRightInd/>
              <w:spacing w:line="520" w:lineRule="exact"/>
              <w:ind w:left="0" w:right="0" w:firstLine="480" w:firstLineChars="200"/>
              <w:jc w:val="both"/>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③危险废物贮存设施应配备通讯设备、照明设施、安全防护服装及工具，并设有应急防护设施；</w:t>
            </w:r>
          </w:p>
          <w:p w14:paraId="508E7456">
            <w:pPr>
              <w:pStyle w:val="52"/>
              <w:keepNext w:val="0"/>
              <w:keepLines w:val="0"/>
              <w:pageBreakBefore w:val="0"/>
              <w:kinsoku/>
              <w:wordWrap w:val="0"/>
              <w:overflowPunct/>
              <w:topLinePunct w:val="0"/>
              <w:autoSpaceDE/>
              <w:autoSpaceDN/>
              <w:bidi w:val="0"/>
              <w:adjustRightInd/>
              <w:spacing w:line="520" w:lineRule="exact"/>
              <w:ind w:left="0" w:right="0" w:firstLine="480" w:firstLineChars="200"/>
              <w:jc w:val="both"/>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④危险废物贮存设施内清理出来的泄漏物，一律按危险废物处理；</w:t>
            </w:r>
          </w:p>
          <w:p w14:paraId="4DDD7EDF">
            <w:pPr>
              <w:pStyle w:val="52"/>
              <w:keepNext w:val="0"/>
              <w:keepLines w:val="0"/>
              <w:pageBreakBefore w:val="0"/>
              <w:kinsoku/>
              <w:wordWrap w:val="0"/>
              <w:overflowPunct/>
              <w:topLinePunct w:val="0"/>
              <w:autoSpaceDE/>
              <w:autoSpaceDN/>
              <w:bidi w:val="0"/>
              <w:adjustRightInd/>
              <w:spacing w:line="520" w:lineRule="exact"/>
              <w:ind w:left="0" w:right="0" w:firstLine="480" w:firstLineChars="200"/>
              <w:jc w:val="both"/>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⑤危险废物盛放容器要有识别标志、密闭加盖，必须分类储存、禁止混放；</w:t>
            </w:r>
          </w:p>
          <w:p w14:paraId="304A0246">
            <w:pPr>
              <w:pStyle w:val="52"/>
              <w:keepNext w:val="0"/>
              <w:keepLines w:val="0"/>
              <w:pageBreakBefore w:val="0"/>
              <w:kinsoku/>
              <w:wordWrap w:val="0"/>
              <w:overflowPunct/>
              <w:topLinePunct w:val="0"/>
              <w:autoSpaceDE/>
              <w:autoSpaceDN/>
              <w:bidi w:val="0"/>
              <w:adjustRightInd/>
              <w:spacing w:line="520" w:lineRule="exact"/>
              <w:ind w:left="0" w:right="0" w:firstLine="480" w:firstLineChars="200"/>
              <w:jc w:val="both"/>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⑥装载液体、半固体的危险废物的容器内需留足够的空间，容器顶部与液体需留有100mm的空间；</w:t>
            </w:r>
          </w:p>
          <w:p w14:paraId="606807EA">
            <w:pPr>
              <w:pStyle w:val="52"/>
              <w:keepNext w:val="0"/>
              <w:keepLines w:val="0"/>
              <w:pageBreakBefore w:val="0"/>
              <w:kinsoku/>
              <w:wordWrap w:val="0"/>
              <w:overflowPunct/>
              <w:topLinePunct w:val="0"/>
              <w:autoSpaceDE/>
              <w:autoSpaceDN/>
              <w:bidi w:val="0"/>
              <w:adjustRightInd/>
              <w:spacing w:line="520" w:lineRule="exact"/>
              <w:ind w:left="0" w:right="0" w:firstLine="480" w:firstLineChars="200"/>
              <w:jc w:val="both"/>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⑦危险废物贮存设施必须由专人管理，其他人未经允许不得进入库内，危险废物管理人员定期检查危险废物储存容器是否有渗漏，如发现应及时采取措施更换；</w:t>
            </w:r>
          </w:p>
          <w:p w14:paraId="0A1D9A5F">
            <w:pPr>
              <w:pStyle w:val="52"/>
              <w:keepNext w:val="0"/>
              <w:keepLines w:val="0"/>
              <w:pageBreakBefore w:val="0"/>
              <w:kinsoku/>
              <w:wordWrap w:val="0"/>
              <w:overflowPunct/>
              <w:topLinePunct w:val="0"/>
              <w:autoSpaceDE/>
              <w:autoSpaceDN/>
              <w:bidi w:val="0"/>
              <w:adjustRightInd/>
              <w:spacing w:line="520" w:lineRule="exact"/>
              <w:ind w:left="0" w:right="0" w:firstLine="480" w:firstLineChars="200"/>
              <w:jc w:val="both"/>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⑧产生的危险废物每次送危险废物贮存设施要进行登记，并</w:t>
            </w:r>
            <w:r>
              <w:rPr>
                <w:rFonts w:hint="eastAsia" w:ascii="Times New Roman" w:hAnsi="Times New Roman" w:cs="Times New Roman"/>
                <w:color w:val="auto"/>
                <w:spacing w:val="0"/>
                <w:sz w:val="24"/>
                <w:szCs w:val="24"/>
                <w:highlight w:val="none"/>
                <w:lang w:eastAsia="zh-CN"/>
              </w:rPr>
              <w:t>做好</w:t>
            </w:r>
            <w:r>
              <w:rPr>
                <w:rFonts w:hint="default" w:ascii="Times New Roman" w:hAnsi="Times New Roman" w:eastAsia="宋体" w:cs="Times New Roman"/>
                <w:color w:val="auto"/>
                <w:spacing w:val="0"/>
                <w:sz w:val="24"/>
                <w:szCs w:val="24"/>
                <w:highlight w:val="none"/>
              </w:rPr>
              <w:t>记录保存完好，每月汇总一次；</w:t>
            </w:r>
          </w:p>
          <w:p w14:paraId="7D96642E">
            <w:pPr>
              <w:pStyle w:val="52"/>
              <w:keepNext w:val="0"/>
              <w:keepLines w:val="0"/>
              <w:pageBreakBefore w:val="0"/>
              <w:kinsoku/>
              <w:wordWrap w:val="0"/>
              <w:overflowPunct/>
              <w:topLinePunct w:val="0"/>
              <w:autoSpaceDE/>
              <w:autoSpaceDN/>
              <w:bidi w:val="0"/>
              <w:adjustRightInd/>
              <w:spacing w:line="520" w:lineRule="exact"/>
              <w:ind w:left="0" w:right="0" w:firstLine="480" w:firstLineChars="200"/>
              <w:jc w:val="both"/>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⑨危险废物贮存设施内的危险废物应分类登记存放、禁止混放。</w:t>
            </w:r>
          </w:p>
          <w:p w14:paraId="46B62B24">
            <w:pPr>
              <w:pStyle w:val="52"/>
              <w:keepNext w:val="0"/>
              <w:keepLines w:val="0"/>
              <w:pageBreakBefore w:val="0"/>
              <w:kinsoku/>
              <w:wordWrap w:val="0"/>
              <w:overflowPunct/>
              <w:topLinePunct w:val="0"/>
              <w:autoSpaceDE/>
              <w:autoSpaceDN/>
              <w:bidi w:val="0"/>
              <w:adjustRightInd/>
              <w:spacing w:line="520" w:lineRule="exact"/>
              <w:ind w:left="0" w:right="0" w:firstLine="480" w:firstLineChars="200"/>
              <w:jc w:val="both"/>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通过以上措施处置，项目所产生的固废可达到100%处置率，对区域环境影响不大。</w:t>
            </w:r>
          </w:p>
          <w:p w14:paraId="5264A79D">
            <w:pPr>
              <w:keepNext w:val="0"/>
              <w:keepLines w:val="0"/>
              <w:pageBreakBefore w:val="0"/>
              <w:widowControl w:val="0"/>
              <w:kinsoku/>
              <w:wordWrap w:val="0"/>
              <w:overflowPunct/>
              <w:topLinePunct w:val="0"/>
              <w:autoSpaceDE/>
              <w:autoSpaceDN/>
              <w:bidi w:val="0"/>
              <w:adjustRightInd/>
              <w:snapToGrid/>
              <w:spacing w:line="520" w:lineRule="exact"/>
              <w:jc w:val="both"/>
              <w:textAlignment w:val="auto"/>
              <w:rPr>
                <w:b/>
                <w:bCs/>
                <w:color w:val="auto"/>
                <w:sz w:val="24"/>
                <w:szCs w:val="32"/>
                <w:highlight w:val="none"/>
              </w:rPr>
            </w:pPr>
            <w:r>
              <w:rPr>
                <w:rFonts w:hint="eastAsia" w:ascii="Times New Roman" w:hAnsi="Times New Roman" w:cs="Times New Roman"/>
                <w:b/>
                <w:bCs/>
                <w:color w:val="auto"/>
                <w:spacing w:val="0"/>
                <w:sz w:val="24"/>
                <w:szCs w:val="24"/>
                <w:highlight w:val="none"/>
                <w:lang w:val="en-US" w:eastAsia="zh-CN"/>
              </w:rPr>
              <w:t xml:space="preserve">4.7 </w:t>
            </w:r>
            <w:r>
              <w:rPr>
                <w:rFonts w:hint="eastAsia"/>
                <w:b/>
                <w:bCs/>
                <w:color w:val="auto"/>
                <w:sz w:val="24"/>
                <w:szCs w:val="32"/>
                <w:highlight w:val="none"/>
                <w:lang w:val="en-US" w:eastAsia="zh-CN"/>
              </w:rPr>
              <w:t>危险废物管理要求</w:t>
            </w:r>
          </w:p>
          <w:p w14:paraId="05E0B557">
            <w:pPr>
              <w:keepNext w:val="0"/>
              <w:keepLines w:val="0"/>
              <w:pageBreakBefore w:val="0"/>
              <w:widowControl w:val="0"/>
              <w:tabs>
                <w:tab w:val="left" w:pos="195"/>
              </w:tabs>
              <w:kinsoku/>
              <w:wordWrap w:val="0"/>
              <w:overflowPunct/>
              <w:topLinePunct w:val="0"/>
              <w:autoSpaceDE/>
              <w:autoSpaceDN/>
              <w:bidi w:val="0"/>
              <w:adjustRightInd/>
              <w:snapToGrid/>
              <w:spacing w:line="520" w:lineRule="exact"/>
              <w:ind w:leftChars="0" w:firstLine="480" w:firstLineChars="200"/>
              <w:jc w:val="both"/>
              <w:textAlignment w:val="auto"/>
              <w:rPr>
                <w:rFonts w:hint="default"/>
                <w:color w:val="auto"/>
                <w:sz w:val="24"/>
                <w:szCs w:val="32"/>
                <w:highlight w:val="none"/>
                <w:lang w:val="en-US" w:eastAsia="zh-CN"/>
              </w:rPr>
            </w:pPr>
            <w:r>
              <w:rPr>
                <w:rFonts w:hint="eastAsia"/>
                <w:color w:val="auto"/>
                <w:sz w:val="24"/>
                <w:szCs w:val="32"/>
                <w:highlight w:val="none"/>
                <w:lang w:val="en-US" w:eastAsia="zh-CN"/>
              </w:rPr>
              <w:t>（</w:t>
            </w:r>
            <w:r>
              <w:rPr>
                <w:rFonts w:hint="eastAsia" w:ascii="Times New Roman" w:hAnsi="Times New Roman"/>
                <w:color w:val="auto"/>
                <w:sz w:val="24"/>
                <w:szCs w:val="32"/>
                <w:highlight w:val="none"/>
                <w:lang w:val="en-US" w:eastAsia="zh-CN"/>
              </w:rPr>
              <w:t>1</w:t>
            </w:r>
            <w:r>
              <w:rPr>
                <w:rFonts w:hint="eastAsia"/>
                <w:color w:val="auto"/>
                <w:sz w:val="24"/>
                <w:szCs w:val="32"/>
                <w:highlight w:val="none"/>
                <w:lang w:val="en-US" w:eastAsia="zh-CN"/>
              </w:rPr>
              <w:t>）危险废物的产生与收集</w:t>
            </w:r>
          </w:p>
          <w:p w14:paraId="788BC121">
            <w:pPr>
              <w:keepNext w:val="0"/>
              <w:keepLines w:val="0"/>
              <w:pageBreakBefore w:val="0"/>
              <w:widowControl w:val="0"/>
              <w:tabs>
                <w:tab w:val="left" w:pos="195"/>
              </w:tabs>
              <w:kinsoku/>
              <w:wordWrap w:val="0"/>
              <w:overflowPunct/>
              <w:topLinePunct w:val="0"/>
              <w:autoSpaceDE/>
              <w:autoSpaceDN/>
              <w:bidi w:val="0"/>
              <w:adjustRightInd/>
              <w:snapToGrid/>
              <w:spacing w:line="520" w:lineRule="exact"/>
              <w:ind w:leftChars="0" w:firstLine="480" w:firstLineChars="200"/>
              <w:jc w:val="both"/>
              <w:textAlignment w:val="auto"/>
              <w:rPr>
                <w:rFonts w:hint="eastAsia"/>
                <w:color w:val="auto"/>
                <w:sz w:val="24"/>
                <w:szCs w:val="32"/>
                <w:highlight w:val="none"/>
                <w:lang w:eastAsia="zh-CN"/>
              </w:rPr>
            </w:pPr>
            <w:r>
              <w:rPr>
                <w:rFonts w:hint="default"/>
                <w:color w:val="auto"/>
                <w:sz w:val="24"/>
                <w:szCs w:val="32"/>
                <w:highlight w:val="none"/>
                <w:lang w:val="en-US" w:eastAsia="zh-CN"/>
              </w:rPr>
              <w:t>危险废物在收集时，按《</w:t>
            </w:r>
            <w:r>
              <w:rPr>
                <w:rFonts w:hint="eastAsia"/>
                <w:color w:val="auto"/>
                <w:sz w:val="24"/>
                <w:szCs w:val="32"/>
                <w:highlight w:val="none"/>
                <w:lang w:val="en-US" w:eastAsia="zh-CN"/>
              </w:rPr>
              <w:t>危险废物收集贮存运输技术规范</w:t>
            </w:r>
            <w:r>
              <w:rPr>
                <w:rFonts w:hint="default"/>
                <w:color w:val="auto"/>
                <w:sz w:val="24"/>
                <w:szCs w:val="32"/>
                <w:highlight w:val="none"/>
                <w:lang w:val="en-US" w:eastAsia="zh-CN"/>
              </w:rPr>
              <w:t>》</w:t>
            </w:r>
            <w:r>
              <w:rPr>
                <w:rFonts w:hint="default"/>
                <w:color w:val="auto"/>
                <w:sz w:val="24"/>
                <w:szCs w:val="32"/>
                <w:highlight w:val="none"/>
                <w:lang w:val="en-US" w:eastAsia="en-US"/>
              </w:rPr>
              <w:t>（HJ</w:t>
            </w:r>
            <w:r>
              <w:rPr>
                <w:rFonts w:hint="default" w:ascii="Times New Roman" w:hAnsi="Times New Roman"/>
                <w:color w:val="auto"/>
                <w:sz w:val="24"/>
                <w:szCs w:val="32"/>
                <w:highlight w:val="none"/>
                <w:lang w:val="en-US" w:eastAsia="en-US"/>
              </w:rPr>
              <w:t>2025</w:t>
            </w:r>
            <w:r>
              <w:rPr>
                <w:rFonts w:hint="default"/>
                <w:color w:val="auto"/>
                <w:sz w:val="24"/>
                <w:szCs w:val="32"/>
                <w:highlight w:val="none"/>
                <w:lang w:val="en-US" w:eastAsia="en-US"/>
              </w:rPr>
              <w:t>-</w:t>
            </w:r>
            <w:r>
              <w:rPr>
                <w:rFonts w:hint="default" w:ascii="Times New Roman" w:hAnsi="Times New Roman"/>
                <w:color w:val="auto"/>
                <w:sz w:val="24"/>
                <w:szCs w:val="32"/>
                <w:highlight w:val="none"/>
                <w:lang w:val="en-US" w:eastAsia="en-US"/>
              </w:rPr>
              <w:t>2012</w:t>
            </w:r>
            <w:r>
              <w:rPr>
                <w:rFonts w:hint="default"/>
                <w:color w:val="auto"/>
                <w:sz w:val="24"/>
                <w:szCs w:val="32"/>
                <w:highlight w:val="none"/>
                <w:lang w:val="en-US" w:eastAsia="en-US"/>
              </w:rPr>
              <w:t>）</w:t>
            </w:r>
            <w:r>
              <w:rPr>
                <w:rFonts w:hint="default"/>
                <w:color w:val="auto"/>
                <w:sz w:val="24"/>
                <w:szCs w:val="32"/>
                <w:highlight w:val="none"/>
                <w:lang w:val="en-US" w:eastAsia="zh-CN"/>
              </w:rPr>
              <w:t>要求，根据危险废物的性质和形态，采用相应材质、容器进行安全包装，并在包装的明显位置附上危险废物标签。通过严格检查，严防在装载、搬迁或运输中出现渗漏、溢出、抛洒或挥发等不利情况。</w:t>
            </w:r>
            <w:r>
              <w:rPr>
                <w:rFonts w:hint="default"/>
                <w:color w:val="auto"/>
                <w:sz w:val="24"/>
                <w:szCs w:val="32"/>
                <w:highlight w:val="none"/>
              </w:rPr>
              <w:t>危险废物的收集过程应该以无害化的方式运行，收集过程采取以下防治措施，避免可能引起人身和环境危害事故的发生</w:t>
            </w:r>
            <w:r>
              <w:rPr>
                <w:rFonts w:hint="eastAsia"/>
                <w:color w:val="auto"/>
                <w:sz w:val="24"/>
                <w:szCs w:val="32"/>
                <w:highlight w:val="none"/>
                <w:lang w:eastAsia="zh-CN"/>
              </w:rPr>
              <w:t>：</w:t>
            </w:r>
          </w:p>
          <w:p w14:paraId="32E804FE">
            <w:pPr>
              <w:keepNext w:val="0"/>
              <w:keepLines w:val="0"/>
              <w:pageBreakBefore w:val="0"/>
              <w:widowControl w:val="0"/>
              <w:tabs>
                <w:tab w:val="left" w:pos="195"/>
              </w:tabs>
              <w:kinsoku/>
              <w:wordWrap w:val="0"/>
              <w:overflowPunct/>
              <w:topLinePunct w:val="0"/>
              <w:autoSpaceDE/>
              <w:autoSpaceDN/>
              <w:bidi w:val="0"/>
              <w:adjustRightInd/>
              <w:snapToGrid/>
              <w:spacing w:line="520" w:lineRule="exact"/>
              <w:ind w:leftChars="0" w:firstLine="480" w:firstLineChars="200"/>
              <w:jc w:val="both"/>
              <w:textAlignment w:val="auto"/>
              <w:rPr>
                <w:rFonts w:hint="default"/>
                <w:color w:val="auto"/>
                <w:sz w:val="24"/>
                <w:szCs w:val="32"/>
                <w:highlight w:val="none"/>
              </w:rPr>
            </w:pPr>
            <w:r>
              <w:rPr>
                <w:rFonts w:hint="eastAsia" w:ascii="Times New Roman" w:hAnsi="Times New Roman"/>
                <w:color w:val="auto"/>
                <w:sz w:val="24"/>
                <w:szCs w:val="32"/>
                <w:highlight w:val="none"/>
                <w:lang w:val="en-US" w:eastAsia="zh-CN"/>
              </w:rPr>
              <w:t>1</w:t>
            </w:r>
            <w:r>
              <w:rPr>
                <w:rFonts w:hint="eastAsia"/>
                <w:color w:val="auto"/>
                <w:sz w:val="24"/>
                <w:szCs w:val="32"/>
                <w:highlight w:val="none"/>
                <w:lang w:val="en-US" w:eastAsia="zh-CN"/>
              </w:rPr>
              <w:t>.</w:t>
            </w:r>
            <w:r>
              <w:rPr>
                <w:rFonts w:hint="default"/>
                <w:color w:val="auto"/>
                <w:sz w:val="24"/>
                <w:szCs w:val="32"/>
                <w:highlight w:val="none"/>
              </w:rPr>
              <w:t>危险废物收集和运输人员应配备必要的个人防护装备，如手套、防护镜、防护服、防毒面具或</w:t>
            </w:r>
            <w:r>
              <w:rPr>
                <w:rFonts w:hint="eastAsia"/>
                <w:color w:val="auto"/>
                <w:sz w:val="24"/>
                <w:szCs w:val="32"/>
                <w:highlight w:val="none"/>
                <w:lang w:val="en-US" w:eastAsia="zh-CN"/>
              </w:rPr>
              <w:t>口罩</w:t>
            </w:r>
            <w:r>
              <w:rPr>
                <w:rFonts w:hint="default"/>
                <w:color w:val="auto"/>
                <w:sz w:val="24"/>
                <w:szCs w:val="32"/>
                <w:highlight w:val="none"/>
              </w:rPr>
              <w:t>等，防止收集和运输过程对人体健康可能存在的潜在影响；</w:t>
            </w:r>
          </w:p>
          <w:p w14:paraId="5AB8B6B2">
            <w:pPr>
              <w:keepNext w:val="0"/>
              <w:keepLines w:val="0"/>
              <w:pageBreakBefore w:val="0"/>
              <w:widowControl w:val="0"/>
              <w:tabs>
                <w:tab w:val="left" w:pos="195"/>
              </w:tabs>
              <w:kinsoku/>
              <w:wordWrap w:val="0"/>
              <w:overflowPunct/>
              <w:topLinePunct w:val="0"/>
              <w:autoSpaceDE/>
              <w:autoSpaceDN/>
              <w:bidi w:val="0"/>
              <w:adjustRightInd/>
              <w:snapToGrid/>
              <w:spacing w:line="520" w:lineRule="exact"/>
              <w:ind w:leftChars="0" w:firstLine="480" w:firstLineChars="200"/>
              <w:jc w:val="both"/>
              <w:textAlignment w:val="auto"/>
              <w:rPr>
                <w:rFonts w:hint="default"/>
                <w:color w:val="auto"/>
                <w:sz w:val="24"/>
                <w:szCs w:val="32"/>
                <w:highlight w:val="none"/>
              </w:rPr>
            </w:pPr>
            <w:r>
              <w:rPr>
                <w:rFonts w:hint="eastAsia" w:ascii="Times New Roman" w:hAnsi="Times New Roman"/>
                <w:color w:val="auto"/>
                <w:sz w:val="24"/>
                <w:szCs w:val="32"/>
                <w:highlight w:val="none"/>
                <w:lang w:val="en-US" w:eastAsia="zh-CN"/>
              </w:rPr>
              <w:t>2</w:t>
            </w:r>
            <w:r>
              <w:rPr>
                <w:rFonts w:hint="eastAsia"/>
                <w:color w:val="auto"/>
                <w:sz w:val="24"/>
                <w:szCs w:val="32"/>
                <w:highlight w:val="none"/>
                <w:lang w:val="en-US" w:eastAsia="zh-CN"/>
              </w:rPr>
              <w:t>.</w:t>
            </w:r>
            <w:r>
              <w:rPr>
                <w:rFonts w:hint="default"/>
                <w:color w:val="auto"/>
                <w:sz w:val="24"/>
                <w:szCs w:val="32"/>
                <w:highlight w:val="none"/>
              </w:rPr>
              <w:t>危险废物运输前，应进行合理包装，防止运输过程出现泄漏；</w:t>
            </w:r>
          </w:p>
          <w:p w14:paraId="2A11F69F">
            <w:pPr>
              <w:keepNext w:val="0"/>
              <w:keepLines w:val="0"/>
              <w:pageBreakBefore w:val="0"/>
              <w:widowControl w:val="0"/>
              <w:tabs>
                <w:tab w:val="left" w:pos="195"/>
              </w:tabs>
              <w:kinsoku/>
              <w:wordWrap w:val="0"/>
              <w:overflowPunct/>
              <w:topLinePunct w:val="0"/>
              <w:autoSpaceDE/>
              <w:autoSpaceDN/>
              <w:bidi w:val="0"/>
              <w:adjustRightInd/>
              <w:snapToGrid/>
              <w:spacing w:line="520" w:lineRule="exact"/>
              <w:ind w:leftChars="0" w:firstLine="480" w:firstLineChars="200"/>
              <w:jc w:val="both"/>
              <w:textAlignment w:val="auto"/>
              <w:rPr>
                <w:rFonts w:hint="default"/>
                <w:color w:val="auto"/>
                <w:sz w:val="24"/>
                <w:szCs w:val="32"/>
                <w:highlight w:val="none"/>
              </w:rPr>
            </w:pPr>
            <w:r>
              <w:rPr>
                <w:rFonts w:hint="eastAsia" w:ascii="Times New Roman" w:hAnsi="Times New Roman"/>
                <w:color w:val="auto"/>
                <w:sz w:val="24"/>
                <w:szCs w:val="32"/>
                <w:highlight w:val="none"/>
                <w:lang w:val="en-US" w:eastAsia="zh-CN"/>
              </w:rPr>
              <w:t>3</w:t>
            </w:r>
            <w:r>
              <w:rPr>
                <w:rFonts w:hint="eastAsia"/>
                <w:color w:val="auto"/>
                <w:sz w:val="24"/>
                <w:szCs w:val="32"/>
                <w:highlight w:val="none"/>
                <w:lang w:val="en-US" w:eastAsia="zh-CN"/>
              </w:rPr>
              <w:t>.</w:t>
            </w:r>
            <w:r>
              <w:rPr>
                <w:rFonts w:hint="default"/>
                <w:color w:val="auto"/>
                <w:sz w:val="24"/>
                <w:szCs w:val="32"/>
                <w:highlight w:val="none"/>
              </w:rPr>
              <w:t>废矿物油有渗漏或泄漏的，其渗漏或泄漏液应储存在密闭的、与危废相容的容器中。</w:t>
            </w:r>
          </w:p>
          <w:p w14:paraId="0F100812">
            <w:pPr>
              <w:keepNext w:val="0"/>
              <w:keepLines w:val="0"/>
              <w:pageBreakBefore w:val="0"/>
              <w:widowControl w:val="0"/>
              <w:tabs>
                <w:tab w:val="left" w:pos="195"/>
              </w:tabs>
              <w:kinsoku/>
              <w:wordWrap w:val="0"/>
              <w:overflowPunct/>
              <w:topLinePunct w:val="0"/>
              <w:autoSpaceDE/>
              <w:autoSpaceDN/>
              <w:bidi w:val="0"/>
              <w:adjustRightInd/>
              <w:snapToGrid/>
              <w:spacing w:line="520" w:lineRule="exact"/>
              <w:ind w:leftChars="0" w:firstLine="480" w:firstLineChars="200"/>
              <w:jc w:val="both"/>
              <w:textAlignment w:val="auto"/>
              <w:rPr>
                <w:rFonts w:hint="default"/>
                <w:color w:val="auto"/>
                <w:sz w:val="24"/>
                <w:szCs w:val="32"/>
                <w:highlight w:val="none"/>
                <w:lang w:val="en-US" w:eastAsia="zh-CN"/>
              </w:rPr>
            </w:pPr>
            <w:r>
              <w:rPr>
                <w:rFonts w:hint="default"/>
                <w:color w:val="auto"/>
                <w:sz w:val="24"/>
                <w:szCs w:val="32"/>
                <w:highlight w:val="none"/>
              </w:rPr>
              <w:t>危废在堆存期间必须严格按照《危险废物贮存污染控制标准》（GB</w:t>
            </w:r>
            <w:r>
              <w:rPr>
                <w:rFonts w:hint="default" w:ascii="Times New Roman" w:hAnsi="Times New Roman"/>
                <w:color w:val="auto"/>
                <w:sz w:val="24"/>
                <w:szCs w:val="32"/>
                <w:highlight w:val="none"/>
              </w:rPr>
              <w:t>18597</w:t>
            </w:r>
            <w:r>
              <w:rPr>
                <w:rFonts w:hint="default"/>
                <w:color w:val="auto"/>
                <w:sz w:val="24"/>
                <w:szCs w:val="32"/>
                <w:highlight w:val="none"/>
              </w:rPr>
              <w:t>-</w:t>
            </w:r>
            <w:r>
              <w:rPr>
                <w:rFonts w:hint="eastAsia" w:ascii="Times New Roman" w:hAnsi="Times New Roman"/>
                <w:color w:val="auto"/>
                <w:sz w:val="24"/>
                <w:szCs w:val="32"/>
                <w:highlight w:val="none"/>
                <w:lang w:val="en-US" w:eastAsia="zh-CN"/>
              </w:rPr>
              <w:t>2023</w:t>
            </w:r>
            <w:r>
              <w:rPr>
                <w:rFonts w:hint="default"/>
                <w:color w:val="auto"/>
                <w:sz w:val="24"/>
                <w:szCs w:val="32"/>
                <w:highlight w:val="none"/>
              </w:rPr>
              <w:t>）有关规定执行，将危险废物通过专用容器分类收集，贴上危险废物的标签，于项目所设置的危险废物暂存间内独立存放。危险废物收集容器材质和衬里必须与危险废物相容，危险废物暂存库地面要求渗透系数应满足≤</w:t>
            </w:r>
            <w:r>
              <w:rPr>
                <w:rFonts w:hint="default" w:ascii="Times New Roman" w:hAnsi="Times New Roman"/>
                <w:color w:val="auto"/>
                <w:sz w:val="24"/>
                <w:szCs w:val="32"/>
                <w:highlight w:val="none"/>
              </w:rPr>
              <w:t>1</w:t>
            </w:r>
            <w:r>
              <w:rPr>
                <w:rFonts w:hint="default"/>
                <w:color w:val="auto"/>
                <w:sz w:val="24"/>
                <w:szCs w:val="32"/>
                <w:highlight w:val="none"/>
              </w:rPr>
              <w:t>×</w:t>
            </w:r>
            <w:r>
              <w:rPr>
                <w:rFonts w:hint="default" w:ascii="Times New Roman" w:hAnsi="Times New Roman"/>
                <w:color w:val="auto"/>
                <w:sz w:val="24"/>
                <w:szCs w:val="32"/>
                <w:highlight w:val="none"/>
              </w:rPr>
              <w:t>10</w:t>
            </w:r>
            <w:r>
              <w:rPr>
                <w:rFonts w:hint="default"/>
                <w:color w:val="auto"/>
                <w:sz w:val="24"/>
                <w:szCs w:val="32"/>
                <w:highlight w:val="none"/>
                <w:vertAlign w:val="superscript"/>
              </w:rPr>
              <w:t>-</w:t>
            </w:r>
            <w:r>
              <w:rPr>
                <w:rFonts w:hint="default" w:ascii="Times New Roman" w:hAnsi="Times New Roman"/>
                <w:color w:val="auto"/>
                <w:sz w:val="24"/>
                <w:szCs w:val="32"/>
                <w:highlight w:val="none"/>
                <w:vertAlign w:val="superscript"/>
              </w:rPr>
              <w:t>10</w:t>
            </w:r>
            <w:r>
              <w:rPr>
                <w:rFonts w:hint="default"/>
                <w:color w:val="auto"/>
                <w:sz w:val="24"/>
                <w:szCs w:val="32"/>
                <w:highlight w:val="none"/>
              </w:rPr>
              <w:t>cm/s。危废应填写《危险废弃物</w:t>
            </w:r>
            <w:r>
              <w:rPr>
                <w:rFonts w:hint="eastAsia"/>
                <w:color w:val="auto"/>
                <w:sz w:val="24"/>
                <w:szCs w:val="32"/>
                <w:highlight w:val="none"/>
                <w:lang w:val="en-US" w:eastAsia="zh-CN"/>
              </w:rPr>
              <w:t>贮存环节记录表</w:t>
            </w:r>
            <w:r>
              <w:rPr>
                <w:rFonts w:hint="default"/>
                <w:color w:val="auto"/>
                <w:sz w:val="24"/>
                <w:szCs w:val="32"/>
                <w:highlight w:val="none"/>
              </w:rPr>
              <w:t>》，严格按照《危险废物贮存污染控制标准》（GB</w:t>
            </w:r>
            <w:r>
              <w:rPr>
                <w:rFonts w:hint="default" w:ascii="Times New Roman" w:hAnsi="Times New Roman"/>
                <w:color w:val="auto"/>
                <w:sz w:val="24"/>
                <w:szCs w:val="32"/>
                <w:highlight w:val="none"/>
              </w:rPr>
              <w:t>18597</w:t>
            </w:r>
            <w:r>
              <w:rPr>
                <w:rFonts w:hint="default"/>
                <w:color w:val="auto"/>
                <w:sz w:val="24"/>
                <w:szCs w:val="32"/>
                <w:highlight w:val="none"/>
              </w:rPr>
              <w:t>-</w:t>
            </w:r>
            <w:r>
              <w:rPr>
                <w:rFonts w:hint="eastAsia" w:ascii="Times New Roman" w:hAnsi="Times New Roman"/>
                <w:color w:val="auto"/>
                <w:sz w:val="24"/>
                <w:szCs w:val="32"/>
                <w:highlight w:val="none"/>
                <w:lang w:val="en-US" w:eastAsia="zh-CN"/>
              </w:rPr>
              <w:t>2023</w:t>
            </w:r>
            <w:r>
              <w:rPr>
                <w:rFonts w:hint="default"/>
                <w:color w:val="auto"/>
                <w:sz w:val="24"/>
                <w:szCs w:val="32"/>
                <w:highlight w:val="none"/>
              </w:rPr>
              <w:t>）中要求执行。按照危险废物特性分类进行收集，按种类分别存放，且不同废物间有明显间隔。</w:t>
            </w:r>
          </w:p>
          <w:p w14:paraId="26B187BB">
            <w:pPr>
              <w:keepNext w:val="0"/>
              <w:keepLines w:val="0"/>
              <w:pageBreakBefore w:val="0"/>
              <w:widowControl w:val="0"/>
              <w:tabs>
                <w:tab w:val="left" w:pos="195"/>
              </w:tabs>
              <w:kinsoku/>
              <w:wordWrap w:val="0"/>
              <w:overflowPunct/>
              <w:topLinePunct w:val="0"/>
              <w:autoSpaceDE/>
              <w:autoSpaceDN/>
              <w:bidi w:val="0"/>
              <w:adjustRightInd/>
              <w:snapToGrid/>
              <w:spacing w:line="520" w:lineRule="exact"/>
              <w:ind w:leftChars="0" w:firstLine="480" w:firstLineChars="200"/>
              <w:jc w:val="both"/>
              <w:textAlignment w:val="auto"/>
              <w:rPr>
                <w:rFonts w:hint="default"/>
                <w:color w:val="auto"/>
                <w:sz w:val="24"/>
                <w:szCs w:val="32"/>
                <w:highlight w:val="none"/>
                <w:lang w:val="en-US" w:eastAsia="zh-CN"/>
              </w:rPr>
            </w:pPr>
            <w:r>
              <w:rPr>
                <w:rFonts w:hint="default"/>
                <w:color w:val="auto"/>
                <w:sz w:val="24"/>
                <w:szCs w:val="32"/>
                <w:highlight w:val="none"/>
                <w:lang w:val="en-US" w:eastAsia="zh-CN"/>
              </w:rPr>
              <w:t>（</w:t>
            </w:r>
            <w:r>
              <w:rPr>
                <w:rFonts w:hint="default" w:ascii="Times New Roman" w:hAnsi="Times New Roman"/>
                <w:color w:val="auto"/>
                <w:sz w:val="24"/>
                <w:szCs w:val="32"/>
                <w:highlight w:val="none"/>
                <w:lang w:val="en-US" w:eastAsia="zh-CN"/>
              </w:rPr>
              <w:t>2</w:t>
            </w:r>
            <w:r>
              <w:rPr>
                <w:rFonts w:hint="default"/>
                <w:color w:val="auto"/>
                <w:sz w:val="24"/>
                <w:szCs w:val="32"/>
                <w:highlight w:val="none"/>
                <w:lang w:val="en-US" w:eastAsia="zh-CN"/>
              </w:rPr>
              <w:t>）危险废物的贮存</w:t>
            </w:r>
          </w:p>
          <w:p w14:paraId="04AA1508">
            <w:pPr>
              <w:keepNext w:val="0"/>
              <w:keepLines w:val="0"/>
              <w:pageBreakBefore w:val="0"/>
              <w:widowControl w:val="0"/>
              <w:tabs>
                <w:tab w:val="left" w:pos="195"/>
              </w:tabs>
              <w:kinsoku/>
              <w:wordWrap w:val="0"/>
              <w:overflowPunct/>
              <w:topLinePunct w:val="0"/>
              <w:autoSpaceDE/>
              <w:autoSpaceDN/>
              <w:bidi w:val="0"/>
              <w:adjustRightInd/>
              <w:snapToGrid/>
              <w:spacing w:line="520" w:lineRule="exact"/>
              <w:ind w:leftChars="0" w:firstLine="480" w:firstLineChars="200"/>
              <w:jc w:val="both"/>
              <w:textAlignment w:val="auto"/>
              <w:rPr>
                <w:rFonts w:hint="default"/>
                <w:color w:val="auto"/>
                <w:sz w:val="24"/>
                <w:szCs w:val="32"/>
                <w:highlight w:val="none"/>
                <w:lang w:val="en-US" w:eastAsia="zh-CN"/>
              </w:rPr>
            </w:pPr>
            <w:r>
              <w:rPr>
                <w:rFonts w:hint="default"/>
                <w:color w:val="auto"/>
                <w:sz w:val="24"/>
                <w:szCs w:val="32"/>
                <w:highlight w:val="none"/>
                <w:lang w:val="en-US" w:eastAsia="zh-CN"/>
              </w:rPr>
              <w:t>①</w:t>
            </w:r>
            <w:r>
              <w:rPr>
                <w:rFonts w:hint="eastAsia"/>
                <w:color w:val="auto"/>
                <w:sz w:val="24"/>
                <w:szCs w:val="32"/>
                <w:highlight w:val="none"/>
                <w:lang w:val="en-US" w:eastAsia="zh-CN"/>
              </w:rPr>
              <w:t>本</w:t>
            </w:r>
            <w:r>
              <w:rPr>
                <w:rFonts w:hint="default"/>
                <w:color w:val="auto"/>
                <w:sz w:val="24"/>
                <w:szCs w:val="32"/>
                <w:highlight w:val="none"/>
                <w:lang w:val="en-US" w:eastAsia="zh-CN"/>
              </w:rPr>
              <w:t>项目危废暂存间严格按《危险废物贮存污染控制标准》（GBl</w:t>
            </w:r>
            <w:r>
              <w:rPr>
                <w:rFonts w:hint="default" w:ascii="Times New Roman" w:hAnsi="Times New Roman"/>
                <w:color w:val="auto"/>
                <w:sz w:val="24"/>
                <w:szCs w:val="32"/>
                <w:highlight w:val="none"/>
                <w:lang w:val="en-US" w:eastAsia="zh-CN"/>
              </w:rPr>
              <w:t>8597</w:t>
            </w:r>
            <w:r>
              <w:rPr>
                <w:rFonts w:hint="default"/>
                <w:color w:val="auto"/>
                <w:sz w:val="24"/>
                <w:szCs w:val="32"/>
                <w:highlight w:val="none"/>
                <w:lang w:val="en-US" w:eastAsia="zh-CN"/>
              </w:rPr>
              <w:t>-</w:t>
            </w:r>
            <w:r>
              <w:rPr>
                <w:rFonts w:hint="eastAsia" w:ascii="Times New Roman" w:hAnsi="Times New Roman"/>
                <w:color w:val="auto"/>
                <w:sz w:val="24"/>
                <w:szCs w:val="32"/>
                <w:highlight w:val="none"/>
                <w:lang w:val="en-US" w:eastAsia="zh-CN"/>
              </w:rPr>
              <w:t>2023）</w:t>
            </w:r>
            <w:r>
              <w:rPr>
                <w:rFonts w:hint="default"/>
                <w:color w:val="auto"/>
                <w:sz w:val="24"/>
                <w:szCs w:val="32"/>
                <w:highlight w:val="none"/>
                <w:lang w:val="en-US" w:eastAsia="zh-CN"/>
              </w:rPr>
              <w:t>、危险废物的其他相关规定进行设计建设，</w:t>
            </w:r>
            <w:r>
              <w:rPr>
                <w:rFonts w:hint="default"/>
                <w:color w:val="auto"/>
                <w:sz w:val="24"/>
                <w:szCs w:val="32"/>
                <w:highlight w:val="none"/>
              </w:rPr>
              <w:t>做到</w:t>
            </w:r>
            <w:r>
              <w:rPr>
                <w:rFonts w:hint="eastAsia"/>
                <w:color w:val="auto"/>
                <w:sz w:val="24"/>
                <w:szCs w:val="32"/>
                <w:highlight w:val="none"/>
                <w:lang w:eastAsia="zh-CN"/>
              </w:rPr>
              <w:t>“</w:t>
            </w:r>
            <w:r>
              <w:rPr>
                <w:rFonts w:hint="eastAsia"/>
                <w:color w:val="auto"/>
                <w:sz w:val="24"/>
                <w:szCs w:val="32"/>
                <w:highlight w:val="none"/>
                <w:lang w:val="en-US" w:eastAsia="zh-CN"/>
              </w:rPr>
              <w:t>五</w:t>
            </w:r>
            <w:r>
              <w:rPr>
                <w:rFonts w:hint="default"/>
                <w:color w:val="auto"/>
                <w:sz w:val="24"/>
                <w:szCs w:val="32"/>
                <w:highlight w:val="none"/>
              </w:rPr>
              <w:t>防</w:t>
            </w:r>
            <w:r>
              <w:rPr>
                <w:rFonts w:hint="eastAsia"/>
                <w:color w:val="auto"/>
                <w:sz w:val="24"/>
                <w:szCs w:val="32"/>
                <w:highlight w:val="none"/>
                <w:lang w:eastAsia="zh-CN"/>
              </w:rPr>
              <w:t>”</w:t>
            </w:r>
            <w:r>
              <w:rPr>
                <w:rFonts w:hint="default"/>
                <w:color w:val="auto"/>
                <w:sz w:val="24"/>
                <w:szCs w:val="32"/>
                <w:highlight w:val="none"/>
              </w:rPr>
              <w:t>（防风、防雨、防晒、防渗漏</w:t>
            </w:r>
            <w:r>
              <w:rPr>
                <w:rFonts w:hint="eastAsia"/>
                <w:color w:val="auto"/>
                <w:sz w:val="24"/>
                <w:szCs w:val="32"/>
                <w:highlight w:val="none"/>
                <w:lang w:eastAsia="zh-CN"/>
              </w:rPr>
              <w:t>、</w:t>
            </w:r>
            <w:r>
              <w:rPr>
                <w:rFonts w:hint="eastAsia"/>
                <w:color w:val="auto"/>
                <w:sz w:val="24"/>
                <w:szCs w:val="32"/>
                <w:highlight w:val="none"/>
                <w:lang w:val="en-US" w:eastAsia="zh-CN"/>
              </w:rPr>
              <w:t>防腐</w:t>
            </w:r>
            <w:r>
              <w:rPr>
                <w:rFonts w:hint="default"/>
                <w:color w:val="auto"/>
                <w:sz w:val="24"/>
                <w:szCs w:val="32"/>
                <w:highlight w:val="none"/>
              </w:rPr>
              <w:t>），明确防渗措施和渗漏收集措施</w:t>
            </w:r>
            <w:r>
              <w:rPr>
                <w:rFonts w:hint="default"/>
                <w:color w:val="auto"/>
                <w:sz w:val="24"/>
                <w:szCs w:val="32"/>
                <w:highlight w:val="none"/>
                <w:lang w:eastAsia="zh-CN"/>
              </w:rPr>
              <w:t>。</w:t>
            </w:r>
            <w:r>
              <w:rPr>
                <w:rFonts w:hint="default"/>
                <w:color w:val="auto"/>
                <w:sz w:val="24"/>
                <w:szCs w:val="32"/>
                <w:highlight w:val="none"/>
                <w:lang w:val="en-US" w:eastAsia="zh-CN"/>
              </w:rPr>
              <w:t>对地面防腐防渗，基础防渗层为至少</w:t>
            </w:r>
            <w:r>
              <w:rPr>
                <w:rFonts w:hint="default" w:ascii="Times New Roman" w:hAnsi="Times New Roman"/>
                <w:color w:val="auto"/>
                <w:sz w:val="24"/>
                <w:szCs w:val="32"/>
                <w:highlight w:val="none"/>
                <w:lang w:val="en-US" w:eastAsia="zh-CN"/>
              </w:rPr>
              <w:t>1</w:t>
            </w:r>
            <w:r>
              <w:rPr>
                <w:rFonts w:hint="default"/>
                <w:color w:val="auto"/>
                <w:sz w:val="24"/>
                <w:szCs w:val="32"/>
                <w:highlight w:val="none"/>
                <w:lang w:val="en-US" w:eastAsia="zh-CN"/>
              </w:rPr>
              <w:t>m厚</w:t>
            </w:r>
            <w:r>
              <w:rPr>
                <w:rFonts w:hint="eastAsia"/>
                <w:color w:val="auto"/>
                <w:sz w:val="24"/>
                <w:szCs w:val="32"/>
                <w:highlight w:val="none"/>
                <w:lang w:val="en-US" w:eastAsia="zh-CN"/>
              </w:rPr>
              <w:t>黏土</w:t>
            </w:r>
            <w:r>
              <w:rPr>
                <w:rFonts w:hint="default"/>
                <w:color w:val="auto"/>
                <w:sz w:val="24"/>
                <w:szCs w:val="32"/>
                <w:highlight w:val="none"/>
                <w:lang w:val="en-US" w:eastAsia="zh-CN"/>
              </w:rPr>
              <w:t>层（渗透系数≤</w:t>
            </w:r>
            <w:r>
              <w:rPr>
                <w:rFonts w:hint="default" w:ascii="Times New Roman" w:hAnsi="Times New Roman"/>
                <w:color w:val="auto"/>
                <w:sz w:val="24"/>
                <w:szCs w:val="32"/>
                <w:highlight w:val="none"/>
                <w:lang w:val="en-US" w:eastAsia="zh-CN"/>
              </w:rPr>
              <w:t>10</w:t>
            </w:r>
            <w:r>
              <w:rPr>
                <w:rFonts w:hint="default"/>
                <w:color w:val="auto"/>
                <w:sz w:val="24"/>
                <w:szCs w:val="32"/>
                <w:highlight w:val="none"/>
                <w:vertAlign w:val="superscript"/>
                <w:lang w:val="en-US" w:eastAsia="zh-CN"/>
              </w:rPr>
              <w:t>-</w:t>
            </w:r>
            <w:r>
              <w:rPr>
                <w:rFonts w:hint="default" w:ascii="Times New Roman" w:hAnsi="Times New Roman"/>
                <w:color w:val="auto"/>
                <w:sz w:val="24"/>
                <w:szCs w:val="32"/>
                <w:highlight w:val="none"/>
                <w:vertAlign w:val="superscript"/>
                <w:lang w:val="en-US" w:eastAsia="zh-CN"/>
              </w:rPr>
              <w:t>7</w:t>
            </w:r>
            <w:r>
              <w:rPr>
                <w:rFonts w:hint="default"/>
                <w:color w:val="auto"/>
                <w:sz w:val="24"/>
                <w:szCs w:val="32"/>
                <w:highlight w:val="none"/>
                <w:lang w:val="en-US" w:eastAsia="zh-CN"/>
              </w:rPr>
              <w:t>cm/s）或</w:t>
            </w:r>
            <w:r>
              <w:rPr>
                <w:rFonts w:hint="default" w:ascii="Times New Roman" w:hAnsi="Times New Roman"/>
                <w:color w:val="auto"/>
                <w:sz w:val="24"/>
                <w:szCs w:val="32"/>
                <w:highlight w:val="none"/>
                <w:lang w:val="en-US" w:eastAsia="zh-CN"/>
              </w:rPr>
              <w:t>2</w:t>
            </w:r>
            <w:r>
              <w:rPr>
                <w:rFonts w:hint="default"/>
                <w:color w:val="auto"/>
                <w:sz w:val="24"/>
                <w:szCs w:val="32"/>
                <w:highlight w:val="none"/>
                <w:lang w:val="en-US" w:eastAsia="zh-CN"/>
              </w:rPr>
              <w:t>mm厚高密度聚乙烯，或至少</w:t>
            </w:r>
            <w:r>
              <w:rPr>
                <w:rFonts w:hint="default" w:ascii="Times New Roman" w:hAnsi="Times New Roman"/>
                <w:color w:val="auto"/>
                <w:sz w:val="24"/>
                <w:szCs w:val="32"/>
                <w:highlight w:val="none"/>
                <w:lang w:val="en-US" w:eastAsia="zh-CN"/>
              </w:rPr>
              <w:t>2</w:t>
            </w:r>
            <w:r>
              <w:rPr>
                <w:rFonts w:hint="default"/>
                <w:color w:val="auto"/>
                <w:sz w:val="24"/>
                <w:szCs w:val="32"/>
                <w:highlight w:val="none"/>
                <w:lang w:val="en-US" w:eastAsia="zh-CN"/>
              </w:rPr>
              <w:t>mm厚的其他人工材料（渗透系数≤</w:t>
            </w:r>
            <w:r>
              <w:rPr>
                <w:rFonts w:hint="default" w:ascii="Times New Roman" w:hAnsi="Times New Roman"/>
                <w:color w:val="auto"/>
                <w:sz w:val="24"/>
                <w:szCs w:val="32"/>
                <w:highlight w:val="none"/>
                <w:lang w:val="en-US" w:eastAsia="zh-CN"/>
              </w:rPr>
              <w:t>10</w:t>
            </w:r>
            <w:r>
              <w:rPr>
                <w:rFonts w:hint="default"/>
                <w:color w:val="auto"/>
                <w:sz w:val="24"/>
                <w:szCs w:val="32"/>
                <w:highlight w:val="none"/>
                <w:vertAlign w:val="superscript"/>
                <w:lang w:val="en-US" w:eastAsia="zh-CN"/>
              </w:rPr>
              <w:t>-</w:t>
            </w:r>
            <w:r>
              <w:rPr>
                <w:rFonts w:hint="default" w:ascii="Times New Roman" w:hAnsi="Times New Roman"/>
                <w:color w:val="auto"/>
                <w:sz w:val="24"/>
                <w:szCs w:val="32"/>
                <w:highlight w:val="none"/>
                <w:vertAlign w:val="superscript"/>
                <w:lang w:val="en-US" w:eastAsia="zh-CN"/>
              </w:rPr>
              <w:t>10</w:t>
            </w:r>
            <w:r>
              <w:rPr>
                <w:rFonts w:hint="default"/>
                <w:color w:val="auto"/>
                <w:sz w:val="24"/>
                <w:szCs w:val="32"/>
                <w:highlight w:val="none"/>
                <w:lang w:val="en-US" w:eastAsia="zh-CN"/>
              </w:rPr>
              <w:t>cm/s）。设有围堰、应急事故池等可收集</w:t>
            </w:r>
            <w:r>
              <w:rPr>
                <w:rFonts w:hint="eastAsia"/>
                <w:color w:val="auto"/>
                <w:sz w:val="24"/>
                <w:szCs w:val="32"/>
                <w:highlight w:val="none"/>
                <w:lang w:val="en-US" w:eastAsia="zh-CN"/>
              </w:rPr>
              <w:t>泄漏</w:t>
            </w:r>
            <w:r>
              <w:rPr>
                <w:rFonts w:hint="default"/>
                <w:color w:val="auto"/>
                <w:sz w:val="24"/>
                <w:szCs w:val="32"/>
                <w:highlight w:val="none"/>
                <w:lang w:val="en-US" w:eastAsia="zh-CN"/>
              </w:rPr>
              <w:t>的液态危险废物。</w:t>
            </w:r>
          </w:p>
          <w:p w14:paraId="6F630BD1">
            <w:pPr>
              <w:keepNext w:val="0"/>
              <w:keepLines w:val="0"/>
              <w:pageBreakBefore w:val="0"/>
              <w:widowControl w:val="0"/>
              <w:tabs>
                <w:tab w:val="left" w:pos="195"/>
              </w:tabs>
              <w:kinsoku/>
              <w:wordWrap w:val="0"/>
              <w:overflowPunct/>
              <w:topLinePunct w:val="0"/>
              <w:autoSpaceDE/>
              <w:autoSpaceDN/>
              <w:bidi w:val="0"/>
              <w:adjustRightInd/>
              <w:snapToGrid/>
              <w:spacing w:line="520" w:lineRule="exact"/>
              <w:ind w:leftChars="0" w:firstLine="480" w:firstLineChars="200"/>
              <w:jc w:val="both"/>
              <w:textAlignment w:val="auto"/>
              <w:rPr>
                <w:rFonts w:hint="default"/>
                <w:color w:val="auto"/>
                <w:sz w:val="24"/>
                <w:szCs w:val="32"/>
                <w:highlight w:val="none"/>
              </w:rPr>
            </w:pPr>
            <w:r>
              <w:rPr>
                <w:rFonts w:hint="default"/>
                <w:color w:val="auto"/>
                <w:sz w:val="24"/>
                <w:szCs w:val="32"/>
                <w:highlight w:val="none"/>
              </w:rPr>
              <w:t>②危险废物单独分类收集、存放管理</w:t>
            </w:r>
            <w:r>
              <w:rPr>
                <w:rFonts w:hint="eastAsia"/>
                <w:color w:val="auto"/>
                <w:sz w:val="24"/>
                <w:szCs w:val="32"/>
                <w:highlight w:val="none"/>
                <w:lang w:eastAsia="zh-CN"/>
              </w:rPr>
              <w:t>。</w:t>
            </w:r>
            <w:r>
              <w:rPr>
                <w:rFonts w:hint="eastAsia"/>
                <w:color w:val="auto"/>
                <w:sz w:val="24"/>
                <w:szCs w:val="32"/>
                <w:highlight w:val="none"/>
                <w:lang w:val="en-US" w:eastAsia="zh-CN"/>
              </w:rPr>
              <w:t>废矿物油用专用标准铁桶贮存；</w:t>
            </w:r>
            <w:r>
              <w:rPr>
                <w:rFonts w:hint="default"/>
                <w:color w:val="auto"/>
                <w:sz w:val="24"/>
                <w:szCs w:val="32"/>
                <w:highlight w:val="none"/>
                <w:lang w:val="en-US" w:eastAsia="zh-CN"/>
              </w:rPr>
              <w:t>对危险废物的容器或包装物以及收集、贮存、运输危险废物的设施、场所，必须设置危险废物醒目的警示标志。</w:t>
            </w:r>
            <w:r>
              <w:rPr>
                <w:rFonts w:hint="default"/>
                <w:color w:val="auto"/>
                <w:sz w:val="24"/>
                <w:szCs w:val="32"/>
                <w:highlight w:val="none"/>
              </w:rPr>
              <w:t>危险废物盛装容器上粘贴清晰易辨的标签，储罐上应粘贴</w:t>
            </w:r>
            <w:r>
              <w:rPr>
                <w:rFonts w:hint="eastAsia"/>
                <w:color w:val="auto"/>
                <w:sz w:val="24"/>
                <w:szCs w:val="32"/>
                <w:highlight w:val="none"/>
                <w:lang w:val="en-US" w:eastAsia="zh-CN"/>
              </w:rPr>
              <w:t>危险废物标识</w:t>
            </w:r>
            <w:r>
              <w:rPr>
                <w:rFonts w:hint="default"/>
                <w:color w:val="auto"/>
                <w:sz w:val="24"/>
                <w:szCs w:val="32"/>
                <w:highlight w:val="none"/>
              </w:rPr>
              <w:t>标签，并注明危险废物的来源、数量等；</w:t>
            </w:r>
          </w:p>
          <w:p w14:paraId="3E9DEF87">
            <w:pPr>
              <w:keepNext w:val="0"/>
              <w:keepLines w:val="0"/>
              <w:pageBreakBefore w:val="0"/>
              <w:tabs>
                <w:tab w:val="left" w:pos="195"/>
              </w:tabs>
              <w:kinsoku/>
              <w:wordWrap/>
              <w:overflowPunct/>
              <w:topLinePunct w:val="0"/>
              <w:autoSpaceDE/>
              <w:autoSpaceDN/>
              <w:bidi w:val="0"/>
              <w:adjustRightInd/>
              <w:snapToGrid/>
              <w:spacing w:line="520" w:lineRule="exact"/>
              <w:ind w:leftChars="0" w:firstLine="480" w:firstLineChars="200"/>
              <w:jc w:val="both"/>
              <w:textAlignment w:val="auto"/>
              <w:rPr>
                <w:rFonts w:hint="default"/>
                <w:color w:val="auto"/>
                <w:sz w:val="24"/>
                <w:szCs w:val="32"/>
                <w:highlight w:val="none"/>
              </w:rPr>
            </w:pPr>
            <w:r>
              <w:rPr>
                <w:rFonts w:hint="default"/>
                <w:color w:val="auto"/>
                <w:sz w:val="24"/>
                <w:szCs w:val="32"/>
                <w:highlight w:val="none"/>
              </w:rPr>
              <w:t>③对危险废物的出入流动做好记录；</w:t>
            </w:r>
          </w:p>
          <w:p w14:paraId="26BB2CE7">
            <w:pPr>
              <w:keepNext w:val="0"/>
              <w:keepLines w:val="0"/>
              <w:pageBreakBefore w:val="0"/>
              <w:tabs>
                <w:tab w:val="left" w:pos="195"/>
              </w:tabs>
              <w:kinsoku/>
              <w:wordWrap/>
              <w:overflowPunct/>
              <w:topLinePunct w:val="0"/>
              <w:autoSpaceDE/>
              <w:autoSpaceDN/>
              <w:bidi w:val="0"/>
              <w:adjustRightInd/>
              <w:snapToGrid/>
              <w:spacing w:line="520" w:lineRule="exact"/>
              <w:ind w:leftChars="0" w:firstLine="480" w:firstLineChars="200"/>
              <w:jc w:val="both"/>
              <w:textAlignment w:val="auto"/>
              <w:rPr>
                <w:rFonts w:hint="default"/>
                <w:color w:val="auto"/>
                <w:sz w:val="24"/>
                <w:szCs w:val="32"/>
                <w:highlight w:val="none"/>
              </w:rPr>
            </w:pPr>
            <w:r>
              <w:rPr>
                <w:rFonts w:hint="default"/>
                <w:color w:val="auto"/>
                <w:sz w:val="24"/>
                <w:szCs w:val="32"/>
                <w:highlight w:val="none"/>
              </w:rPr>
              <w:t>④不同类危险废物容器之间留有间隔和搬运通道；</w:t>
            </w:r>
          </w:p>
          <w:p w14:paraId="0BDB1945">
            <w:pPr>
              <w:keepNext w:val="0"/>
              <w:keepLines w:val="0"/>
              <w:pageBreakBefore w:val="0"/>
              <w:tabs>
                <w:tab w:val="left" w:pos="195"/>
              </w:tabs>
              <w:kinsoku/>
              <w:wordWrap/>
              <w:overflowPunct/>
              <w:topLinePunct w:val="0"/>
              <w:autoSpaceDE/>
              <w:autoSpaceDN/>
              <w:bidi w:val="0"/>
              <w:adjustRightInd/>
              <w:snapToGrid/>
              <w:spacing w:line="520" w:lineRule="exact"/>
              <w:ind w:leftChars="0" w:firstLine="480" w:firstLineChars="200"/>
              <w:jc w:val="both"/>
              <w:textAlignment w:val="auto"/>
              <w:rPr>
                <w:rFonts w:hint="default"/>
                <w:color w:val="auto"/>
                <w:sz w:val="24"/>
                <w:szCs w:val="32"/>
                <w:highlight w:val="none"/>
              </w:rPr>
            </w:pPr>
            <w:r>
              <w:rPr>
                <w:rFonts w:hint="default"/>
                <w:color w:val="auto"/>
                <w:sz w:val="24"/>
                <w:szCs w:val="32"/>
                <w:highlight w:val="none"/>
              </w:rPr>
              <w:t>⑤配备消防设备和报警装置。</w:t>
            </w:r>
          </w:p>
          <w:p w14:paraId="3B0A8056">
            <w:pPr>
              <w:keepNext w:val="0"/>
              <w:keepLines w:val="0"/>
              <w:pageBreakBefore w:val="0"/>
              <w:tabs>
                <w:tab w:val="left" w:pos="195"/>
              </w:tabs>
              <w:kinsoku/>
              <w:wordWrap/>
              <w:overflowPunct/>
              <w:topLinePunct w:val="0"/>
              <w:autoSpaceDE/>
              <w:autoSpaceDN/>
              <w:bidi w:val="0"/>
              <w:adjustRightInd/>
              <w:snapToGrid/>
              <w:spacing w:line="520" w:lineRule="exact"/>
              <w:ind w:leftChars="0" w:firstLine="480" w:firstLineChars="200"/>
              <w:jc w:val="both"/>
              <w:textAlignment w:val="auto"/>
              <w:rPr>
                <w:rFonts w:hint="default"/>
                <w:color w:val="auto"/>
                <w:sz w:val="24"/>
                <w:szCs w:val="32"/>
                <w:highlight w:val="none"/>
                <w:lang w:val="en-US" w:eastAsia="zh-CN"/>
              </w:rPr>
            </w:pPr>
            <w:r>
              <w:rPr>
                <w:rFonts w:hint="eastAsia"/>
                <w:color w:val="auto"/>
                <w:sz w:val="24"/>
                <w:szCs w:val="32"/>
                <w:highlight w:val="none"/>
                <w:lang w:val="en-US" w:eastAsia="zh-CN"/>
              </w:rPr>
              <w:t>（</w:t>
            </w:r>
            <w:r>
              <w:rPr>
                <w:rFonts w:hint="eastAsia" w:ascii="Times New Roman" w:hAnsi="Times New Roman"/>
                <w:color w:val="auto"/>
                <w:sz w:val="24"/>
                <w:szCs w:val="32"/>
                <w:highlight w:val="none"/>
                <w:lang w:val="en-US" w:eastAsia="zh-CN"/>
              </w:rPr>
              <w:t>3</w:t>
            </w:r>
            <w:r>
              <w:rPr>
                <w:rFonts w:hint="eastAsia"/>
                <w:color w:val="auto"/>
                <w:sz w:val="24"/>
                <w:szCs w:val="32"/>
                <w:highlight w:val="none"/>
                <w:lang w:val="en-US" w:eastAsia="zh-CN"/>
              </w:rPr>
              <w:t>）危险废物的转移及运输</w:t>
            </w:r>
          </w:p>
          <w:p w14:paraId="1D6452F5">
            <w:pPr>
              <w:keepNext w:val="0"/>
              <w:keepLines w:val="0"/>
              <w:pageBreakBefore w:val="0"/>
              <w:tabs>
                <w:tab w:val="left" w:pos="195"/>
              </w:tabs>
              <w:kinsoku/>
              <w:wordWrap/>
              <w:overflowPunct/>
              <w:topLinePunct w:val="0"/>
              <w:autoSpaceDE/>
              <w:autoSpaceDN/>
              <w:bidi w:val="0"/>
              <w:adjustRightInd/>
              <w:snapToGrid/>
              <w:spacing w:line="520" w:lineRule="exact"/>
              <w:ind w:leftChars="0" w:firstLine="480" w:firstLineChars="200"/>
              <w:jc w:val="both"/>
              <w:textAlignment w:val="auto"/>
              <w:rPr>
                <w:rFonts w:hint="default"/>
                <w:color w:val="auto"/>
                <w:sz w:val="24"/>
                <w:szCs w:val="32"/>
                <w:highlight w:val="none"/>
              </w:rPr>
            </w:pPr>
            <w:r>
              <w:rPr>
                <w:rFonts w:hint="default"/>
                <w:color w:val="auto"/>
                <w:sz w:val="24"/>
                <w:szCs w:val="32"/>
                <w:highlight w:val="none"/>
                <w:lang w:val="en-US" w:eastAsia="zh-CN"/>
              </w:rPr>
              <w:t>厂内转移均在</w:t>
            </w:r>
            <w:r>
              <w:rPr>
                <w:rFonts w:hint="eastAsia"/>
                <w:color w:val="auto"/>
                <w:sz w:val="24"/>
                <w:szCs w:val="32"/>
                <w:highlight w:val="none"/>
                <w:lang w:val="en-US" w:eastAsia="zh-CN"/>
              </w:rPr>
              <w:t>危废</w:t>
            </w:r>
            <w:r>
              <w:rPr>
                <w:rFonts w:hint="default"/>
                <w:color w:val="auto"/>
                <w:sz w:val="24"/>
                <w:szCs w:val="32"/>
                <w:highlight w:val="none"/>
                <w:lang w:val="en-US" w:eastAsia="zh-CN"/>
              </w:rPr>
              <w:t>暂存间内部进行，且暂存间地面防腐防渗，设有围堰、应急事故池等可收集</w:t>
            </w:r>
            <w:r>
              <w:rPr>
                <w:rFonts w:hint="eastAsia"/>
                <w:color w:val="auto"/>
                <w:sz w:val="24"/>
                <w:szCs w:val="32"/>
                <w:highlight w:val="none"/>
                <w:lang w:val="en-US" w:eastAsia="zh-CN"/>
              </w:rPr>
              <w:t>泄漏</w:t>
            </w:r>
            <w:r>
              <w:rPr>
                <w:rFonts w:hint="default"/>
                <w:color w:val="auto"/>
                <w:sz w:val="24"/>
                <w:szCs w:val="32"/>
                <w:highlight w:val="none"/>
                <w:lang w:val="en-US" w:eastAsia="zh-CN"/>
              </w:rPr>
              <w:t>的液态危险废物，场内转移运输过程对环境影响不大</w:t>
            </w:r>
            <w:r>
              <w:rPr>
                <w:rFonts w:hint="eastAsia"/>
                <w:color w:val="auto"/>
                <w:sz w:val="24"/>
                <w:szCs w:val="32"/>
                <w:highlight w:val="none"/>
                <w:lang w:val="en-US" w:eastAsia="zh-CN"/>
              </w:rPr>
              <w:t>。</w:t>
            </w:r>
            <w:r>
              <w:rPr>
                <w:rFonts w:hint="default"/>
                <w:color w:val="auto"/>
                <w:sz w:val="24"/>
                <w:szCs w:val="32"/>
                <w:highlight w:val="none"/>
                <w:lang w:val="en-US" w:eastAsia="zh-CN"/>
              </w:rPr>
              <w:t>危险废物自暂存间外运</w:t>
            </w:r>
            <w:r>
              <w:rPr>
                <w:rFonts w:hint="eastAsia"/>
                <w:color w:val="auto"/>
                <w:sz w:val="24"/>
                <w:szCs w:val="32"/>
                <w:highlight w:val="none"/>
                <w:lang w:val="en-US" w:eastAsia="zh-CN"/>
              </w:rPr>
              <w:t>至</w:t>
            </w:r>
            <w:r>
              <w:rPr>
                <w:rFonts w:hint="default"/>
                <w:color w:val="auto"/>
                <w:sz w:val="24"/>
                <w:szCs w:val="32"/>
                <w:highlight w:val="none"/>
                <w:lang w:val="en-US" w:eastAsia="zh-CN"/>
              </w:rPr>
              <w:t>有危废处置资质</w:t>
            </w:r>
            <w:r>
              <w:rPr>
                <w:rFonts w:hint="eastAsia"/>
                <w:color w:val="auto"/>
                <w:sz w:val="24"/>
                <w:szCs w:val="32"/>
                <w:highlight w:val="none"/>
                <w:lang w:val="en-US" w:eastAsia="zh-CN"/>
              </w:rPr>
              <w:t>的</w:t>
            </w:r>
            <w:r>
              <w:rPr>
                <w:rFonts w:hint="default"/>
                <w:color w:val="auto"/>
                <w:sz w:val="24"/>
                <w:szCs w:val="32"/>
                <w:highlight w:val="none"/>
                <w:lang w:val="en-US" w:eastAsia="zh-CN"/>
              </w:rPr>
              <w:t>单位</w:t>
            </w:r>
            <w:r>
              <w:rPr>
                <w:rFonts w:hint="eastAsia"/>
                <w:color w:val="auto"/>
                <w:sz w:val="24"/>
                <w:szCs w:val="32"/>
                <w:highlight w:val="none"/>
                <w:lang w:val="en-US" w:eastAsia="zh-CN"/>
              </w:rPr>
              <w:t>进行</w:t>
            </w:r>
            <w:r>
              <w:rPr>
                <w:rFonts w:hint="default"/>
                <w:color w:val="auto"/>
                <w:sz w:val="24"/>
                <w:szCs w:val="32"/>
                <w:highlight w:val="none"/>
                <w:lang w:val="en-US" w:eastAsia="zh-CN"/>
              </w:rPr>
              <w:t>处置，</w:t>
            </w:r>
            <w:r>
              <w:rPr>
                <w:rFonts w:hint="eastAsia"/>
                <w:color w:val="auto"/>
                <w:sz w:val="24"/>
                <w:szCs w:val="32"/>
                <w:highlight w:val="none"/>
                <w:lang w:val="en-US" w:eastAsia="zh-CN"/>
              </w:rPr>
              <w:t>整个运输过程由具备危险废物运输资质的运输单位承担</w:t>
            </w:r>
            <w:r>
              <w:rPr>
                <w:rFonts w:hint="default"/>
                <w:color w:val="auto"/>
                <w:sz w:val="24"/>
                <w:szCs w:val="32"/>
                <w:highlight w:val="none"/>
                <w:lang w:val="en-US" w:eastAsia="zh-CN"/>
              </w:rPr>
              <w:t>，</w:t>
            </w:r>
            <w:r>
              <w:rPr>
                <w:rFonts w:hint="eastAsia"/>
                <w:color w:val="auto"/>
                <w:sz w:val="24"/>
                <w:szCs w:val="32"/>
                <w:highlight w:val="none"/>
                <w:lang w:val="en-US" w:eastAsia="zh-CN"/>
              </w:rPr>
              <w:t>危废转</w:t>
            </w:r>
            <w:r>
              <w:rPr>
                <w:rFonts w:hint="default"/>
                <w:color w:val="auto"/>
                <w:sz w:val="24"/>
                <w:szCs w:val="32"/>
                <w:highlight w:val="none"/>
                <w:lang w:val="en-US" w:eastAsia="zh-CN"/>
              </w:rPr>
              <w:t>运过程对环境影响不大。危险废物转移严格按照</w:t>
            </w:r>
            <w:r>
              <w:rPr>
                <w:rFonts w:hint="default"/>
                <w:color w:val="auto"/>
                <w:sz w:val="24"/>
                <w:szCs w:val="32"/>
                <w:highlight w:val="none"/>
              </w:rPr>
              <w:t>《危险废物收集贮存运输技术规范》（HJ</w:t>
            </w:r>
            <w:r>
              <w:rPr>
                <w:rFonts w:hint="default" w:ascii="Times New Roman" w:hAnsi="Times New Roman"/>
                <w:color w:val="auto"/>
                <w:sz w:val="24"/>
                <w:szCs w:val="32"/>
                <w:highlight w:val="none"/>
              </w:rPr>
              <w:t>2025</w:t>
            </w:r>
            <w:r>
              <w:rPr>
                <w:rFonts w:hint="eastAsia"/>
                <w:color w:val="auto"/>
                <w:sz w:val="24"/>
                <w:szCs w:val="32"/>
                <w:highlight w:val="none"/>
                <w:lang w:val="en-US" w:eastAsia="zh-CN"/>
              </w:rPr>
              <w:t>-</w:t>
            </w:r>
            <w:r>
              <w:rPr>
                <w:rFonts w:hint="eastAsia" w:ascii="Times New Roman" w:hAnsi="Times New Roman"/>
                <w:color w:val="auto"/>
                <w:sz w:val="24"/>
                <w:szCs w:val="32"/>
                <w:highlight w:val="none"/>
                <w:lang w:val="en-US" w:eastAsia="zh-CN"/>
              </w:rPr>
              <w:t>2012</w:t>
            </w:r>
            <w:r>
              <w:rPr>
                <w:rFonts w:hint="default"/>
                <w:color w:val="auto"/>
                <w:sz w:val="24"/>
                <w:szCs w:val="32"/>
                <w:highlight w:val="none"/>
              </w:rPr>
              <w:t>）及</w:t>
            </w:r>
            <w:r>
              <w:rPr>
                <w:rFonts w:hint="default"/>
                <w:color w:val="auto"/>
                <w:sz w:val="24"/>
                <w:szCs w:val="32"/>
                <w:highlight w:val="none"/>
                <w:lang w:val="en-US" w:eastAsia="zh-CN"/>
              </w:rPr>
              <w:t>《</w:t>
            </w:r>
            <w:r>
              <w:rPr>
                <w:rFonts w:hint="eastAsia"/>
                <w:color w:val="auto"/>
                <w:sz w:val="24"/>
                <w:szCs w:val="32"/>
                <w:highlight w:val="none"/>
                <w:lang w:val="en-US" w:eastAsia="zh-CN"/>
              </w:rPr>
              <w:t>危险废物转移管理办法</w:t>
            </w:r>
            <w:r>
              <w:rPr>
                <w:rFonts w:hint="default"/>
                <w:color w:val="auto"/>
                <w:sz w:val="24"/>
                <w:szCs w:val="32"/>
                <w:highlight w:val="none"/>
                <w:lang w:val="en-US" w:eastAsia="zh-CN"/>
              </w:rPr>
              <w:t>》（</w:t>
            </w:r>
            <w:r>
              <w:rPr>
                <w:rFonts w:hint="eastAsia"/>
                <w:color w:val="auto"/>
                <w:sz w:val="24"/>
                <w:szCs w:val="32"/>
                <w:highlight w:val="none"/>
                <w:lang w:val="en-US" w:eastAsia="zh-CN"/>
              </w:rPr>
              <w:t>部令 第</w:t>
            </w:r>
            <w:r>
              <w:rPr>
                <w:rFonts w:hint="eastAsia" w:ascii="Times New Roman" w:hAnsi="Times New Roman"/>
                <w:color w:val="auto"/>
                <w:sz w:val="24"/>
                <w:szCs w:val="32"/>
                <w:highlight w:val="none"/>
                <w:lang w:val="en-US" w:eastAsia="zh-CN"/>
              </w:rPr>
              <w:t>23</w:t>
            </w:r>
            <w:r>
              <w:rPr>
                <w:rFonts w:hint="eastAsia"/>
                <w:color w:val="auto"/>
                <w:sz w:val="24"/>
                <w:szCs w:val="32"/>
                <w:highlight w:val="none"/>
                <w:lang w:val="en-US" w:eastAsia="zh-CN"/>
              </w:rPr>
              <w:t>号</w:t>
            </w:r>
            <w:r>
              <w:rPr>
                <w:rFonts w:hint="default"/>
                <w:color w:val="auto"/>
                <w:sz w:val="24"/>
                <w:szCs w:val="32"/>
                <w:highlight w:val="none"/>
                <w:lang w:val="en-US" w:eastAsia="zh-CN"/>
              </w:rPr>
              <w:t>）执行。</w:t>
            </w:r>
            <w:r>
              <w:rPr>
                <w:rFonts w:hint="default"/>
                <w:color w:val="auto"/>
                <w:sz w:val="24"/>
                <w:szCs w:val="32"/>
                <w:highlight w:val="none"/>
              </w:rPr>
              <w:t>危险废物厂区内部转运应综合考虑厂区情况避开办公区，采用专用的工具，内部转运结束后应对转运路线进行检查和清理确保无危险废物遗失在转运路线并进行记录。危险废物公路运输应按照《道路危险货物运输管理规定》（交通部令</w:t>
            </w:r>
            <w:r>
              <w:rPr>
                <w:rFonts w:hint="eastAsia"/>
                <w:color w:val="auto"/>
                <w:sz w:val="24"/>
                <w:szCs w:val="32"/>
                <w:highlight w:val="none"/>
              </w:rPr>
              <w:t>〔</w:t>
            </w:r>
            <w:r>
              <w:rPr>
                <w:rFonts w:hint="default" w:ascii="Times New Roman" w:hAnsi="Times New Roman"/>
                <w:color w:val="auto"/>
                <w:sz w:val="24"/>
                <w:szCs w:val="32"/>
                <w:highlight w:val="none"/>
              </w:rPr>
              <w:t>20</w:t>
            </w:r>
            <w:r>
              <w:rPr>
                <w:rFonts w:hint="eastAsia" w:ascii="Times New Roman" w:hAnsi="Times New Roman"/>
                <w:color w:val="auto"/>
                <w:sz w:val="24"/>
                <w:szCs w:val="32"/>
                <w:highlight w:val="none"/>
                <w:lang w:val="en-US" w:eastAsia="zh-CN"/>
              </w:rPr>
              <w:t>16</w:t>
            </w:r>
            <w:r>
              <w:rPr>
                <w:rFonts w:hint="default"/>
                <w:color w:val="auto"/>
                <w:sz w:val="24"/>
                <w:szCs w:val="32"/>
                <w:highlight w:val="none"/>
              </w:rPr>
              <w:t>年</w:t>
            </w:r>
            <w:r>
              <w:rPr>
                <w:rFonts w:hint="eastAsia"/>
                <w:color w:val="auto"/>
                <w:sz w:val="24"/>
                <w:szCs w:val="32"/>
                <w:highlight w:val="none"/>
              </w:rPr>
              <w:t>〕</w:t>
            </w:r>
            <w:r>
              <w:rPr>
                <w:rFonts w:hint="default"/>
                <w:color w:val="auto"/>
                <w:sz w:val="24"/>
                <w:szCs w:val="32"/>
                <w:highlight w:val="none"/>
              </w:rPr>
              <w:t>第</w:t>
            </w:r>
            <w:r>
              <w:rPr>
                <w:rFonts w:hint="eastAsia" w:ascii="Times New Roman" w:hAnsi="Times New Roman"/>
                <w:color w:val="auto"/>
                <w:sz w:val="24"/>
                <w:szCs w:val="32"/>
                <w:highlight w:val="none"/>
                <w:lang w:val="en-US" w:eastAsia="zh-CN"/>
              </w:rPr>
              <w:t>36</w:t>
            </w:r>
            <w:r>
              <w:rPr>
                <w:rFonts w:hint="default"/>
                <w:color w:val="auto"/>
                <w:sz w:val="24"/>
                <w:szCs w:val="32"/>
                <w:highlight w:val="none"/>
              </w:rPr>
              <w:t>号）执行。</w:t>
            </w:r>
          </w:p>
          <w:p w14:paraId="072E5F84">
            <w:pPr>
              <w:keepNext w:val="0"/>
              <w:keepLines w:val="0"/>
              <w:pageBreakBefore w:val="0"/>
              <w:tabs>
                <w:tab w:val="left" w:pos="195"/>
              </w:tabs>
              <w:kinsoku/>
              <w:wordWrap/>
              <w:overflowPunct/>
              <w:topLinePunct w:val="0"/>
              <w:autoSpaceDE/>
              <w:autoSpaceDN/>
              <w:bidi w:val="0"/>
              <w:adjustRightInd/>
              <w:snapToGrid/>
              <w:spacing w:line="520" w:lineRule="exact"/>
              <w:ind w:leftChars="0" w:firstLine="480" w:firstLineChars="200"/>
              <w:jc w:val="both"/>
              <w:textAlignment w:val="auto"/>
              <w:rPr>
                <w:rFonts w:hint="default"/>
                <w:color w:val="auto"/>
                <w:sz w:val="24"/>
                <w:szCs w:val="32"/>
                <w:highlight w:val="none"/>
              </w:rPr>
            </w:pPr>
            <w:r>
              <w:rPr>
                <w:rFonts w:hint="default"/>
                <w:color w:val="auto"/>
                <w:sz w:val="24"/>
                <w:szCs w:val="32"/>
                <w:highlight w:val="none"/>
              </w:rPr>
              <w:t>对于危险废物的运输要求如下：</w:t>
            </w:r>
          </w:p>
          <w:p w14:paraId="133741FB">
            <w:pPr>
              <w:keepNext w:val="0"/>
              <w:keepLines w:val="0"/>
              <w:pageBreakBefore w:val="0"/>
              <w:tabs>
                <w:tab w:val="left" w:pos="195"/>
              </w:tabs>
              <w:kinsoku/>
              <w:wordWrap/>
              <w:overflowPunct/>
              <w:topLinePunct w:val="0"/>
              <w:autoSpaceDE/>
              <w:autoSpaceDN/>
              <w:bidi w:val="0"/>
              <w:adjustRightInd/>
              <w:snapToGrid/>
              <w:spacing w:line="520" w:lineRule="exact"/>
              <w:ind w:leftChars="0" w:firstLine="480" w:firstLineChars="200"/>
              <w:jc w:val="both"/>
              <w:textAlignment w:val="auto"/>
              <w:rPr>
                <w:rFonts w:hint="default"/>
                <w:color w:val="auto"/>
                <w:sz w:val="24"/>
                <w:szCs w:val="32"/>
                <w:highlight w:val="none"/>
              </w:rPr>
            </w:pPr>
            <w:r>
              <w:rPr>
                <w:rFonts w:hint="default"/>
                <w:color w:val="auto"/>
                <w:sz w:val="24"/>
                <w:szCs w:val="32"/>
                <w:highlight w:val="none"/>
              </w:rPr>
              <w:t>①运输危险废物的运输车辆应按</w:t>
            </w:r>
            <w:r>
              <w:rPr>
                <w:rFonts w:hint="eastAsia"/>
                <w:color w:val="auto"/>
                <w:sz w:val="24"/>
                <w:szCs w:val="32"/>
                <w:highlight w:val="none"/>
                <w:lang w:val="en-US" w:eastAsia="zh-CN"/>
              </w:rPr>
              <w:t>《</w:t>
            </w:r>
            <w:r>
              <w:rPr>
                <w:rFonts w:hint="eastAsia"/>
                <w:color w:val="auto"/>
                <w:sz w:val="24"/>
                <w:szCs w:val="32"/>
                <w:highlight w:val="none"/>
              </w:rPr>
              <w:t>道路运输危险货物车辆标志</w:t>
            </w:r>
            <w:r>
              <w:rPr>
                <w:rFonts w:hint="eastAsia"/>
                <w:color w:val="auto"/>
                <w:sz w:val="24"/>
                <w:szCs w:val="32"/>
                <w:highlight w:val="none"/>
                <w:lang w:eastAsia="zh-CN"/>
              </w:rPr>
              <w:t>》（</w:t>
            </w:r>
            <w:r>
              <w:rPr>
                <w:rFonts w:hint="default"/>
                <w:color w:val="auto"/>
                <w:sz w:val="24"/>
                <w:szCs w:val="32"/>
                <w:highlight w:val="none"/>
              </w:rPr>
              <w:t>GB</w:t>
            </w:r>
            <w:r>
              <w:rPr>
                <w:rFonts w:hint="default" w:ascii="Times New Roman" w:hAnsi="Times New Roman"/>
                <w:color w:val="auto"/>
                <w:sz w:val="24"/>
                <w:szCs w:val="32"/>
                <w:highlight w:val="none"/>
              </w:rPr>
              <w:t>13392</w:t>
            </w:r>
            <w:r>
              <w:rPr>
                <w:rFonts w:hint="eastAsia"/>
                <w:color w:val="auto"/>
                <w:sz w:val="24"/>
                <w:szCs w:val="32"/>
                <w:highlight w:val="none"/>
                <w:lang w:val="en-US" w:eastAsia="zh-CN"/>
              </w:rPr>
              <w:t>-</w:t>
            </w:r>
            <w:r>
              <w:rPr>
                <w:rFonts w:hint="eastAsia" w:ascii="Times New Roman" w:hAnsi="Times New Roman"/>
                <w:color w:val="auto"/>
                <w:sz w:val="24"/>
                <w:szCs w:val="32"/>
                <w:highlight w:val="none"/>
                <w:lang w:val="en-US" w:eastAsia="zh-CN"/>
              </w:rPr>
              <w:t>2005</w:t>
            </w:r>
            <w:r>
              <w:rPr>
                <w:rFonts w:hint="eastAsia"/>
                <w:color w:val="auto"/>
                <w:sz w:val="24"/>
                <w:szCs w:val="32"/>
                <w:highlight w:val="none"/>
                <w:lang w:val="en-US" w:eastAsia="zh-CN"/>
              </w:rPr>
              <w:t>）</w:t>
            </w:r>
            <w:r>
              <w:rPr>
                <w:rFonts w:hint="default"/>
                <w:color w:val="auto"/>
                <w:sz w:val="24"/>
                <w:szCs w:val="32"/>
                <w:highlight w:val="none"/>
              </w:rPr>
              <w:t>的规定悬挂相应标志。</w:t>
            </w:r>
          </w:p>
          <w:p w14:paraId="722E310B">
            <w:pPr>
              <w:keepNext w:val="0"/>
              <w:keepLines w:val="0"/>
              <w:pageBreakBefore w:val="0"/>
              <w:tabs>
                <w:tab w:val="left" w:pos="195"/>
              </w:tabs>
              <w:kinsoku/>
              <w:wordWrap/>
              <w:overflowPunct/>
              <w:topLinePunct w:val="0"/>
              <w:autoSpaceDE/>
              <w:autoSpaceDN/>
              <w:bidi w:val="0"/>
              <w:adjustRightInd/>
              <w:snapToGrid/>
              <w:spacing w:line="520" w:lineRule="exact"/>
              <w:ind w:leftChars="0" w:firstLine="480" w:firstLineChars="200"/>
              <w:jc w:val="both"/>
              <w:textAlignment w:val="auto"/>
              <w:rPr>
                <w:rFonts w:hint="default"/>
                <w:color w:val="auto"/>
                <w:sz w:val="24"/>
                <w:szCs w:val="32"/>
                <w:highlight w:val="none"/>
              </w:rPr>
            </w:pPr>
            <w:r>
              <w:rPr>
                <w:rFonts w:hint="default"/>
                <w:color w:val="auto"/>
                <w:sz w:val="24"/>
                <w:szCs w:val="32"/>
                <w:highlight w:val="none"/>
              </w:rPr>
              <w:t>②</w:t>
            </w:r>
            <w:r>
              <w:rPr>
                <w:rFonts w:hint="default"/>
                <w:color w:val="auto"/>
                <w:sz w:val="24"/>
                <w:szCs w:val="32"/>
                <w:highlight w:val="none"/>
                <w:lang w:val="en-US" w:eastAsia="zh-CN"/>
              </w:rPr>
              <w:t>专用车辆应当配备符合有关国家标准以及与所载运的危险货物相适应的应急处理器材和安全防护设备。</w:t>
            </w:r>
          </w:p>
          <w:p w14:paraId="5D35C5A0">
            <w:pPr>
              <w:keepNext w:val="0"/>
              <w:keepLines w:val="0"/>
              <w:pageBreakBefore w:val="0"/>
              <w:tabs>
                <w:tab w:val="left" w:pos="195"/>
              </w:tabs>
              <w:kinsoku/>
              <w:wordWrap/>
              <w:overflowPunct/>
              <w:topLinePunct w:val="0"/>
              <w:autoSpaceDE/>
              <w:autoSpaceDN/>
              <w:bidi w:val="0"/>
              <w:adjustRightInd/>
              <w:snapToGrid/>
              <w:spacing w:line="520" w:lineRule="exact"/>
              <w:ind w:leftChars="0" w:firstLine="480" w:firstLineChars="200"/>
              <w:jc w:val="both"/>
              <w:textAlignment w:val="auto"/>
              <w:rPr>
                <w:rFonts w:hint="default"/>
                <w:color w:val="auto"/>
                <w:sz w:val="24"/>
                <w:szCs w:val="32"/>
                <w:highlight w:val="none"/>
              </w:rPr>
            </w:pPr>
            <w:r>
              <w:rPr>
                <w:rFonts w:hint="default"/>
                <w:color w:val="auto"/>
                <w:sz w:val="24"/>
                <w:szCs w:val="32"/>
                <w:highlight w:val="none"/>
              </w:rPr>
              <w:t>③运输车辆在公路上行驶应持有通行证。其上应证明废物的来源、性质、运往地点，必要时须有单位人员负责押运工作。</w:t>
            </w:r>
          </w:p>
          <w:p w14:paraId="287CC9C8">
            <w:pPr>
              <w:keepNext w:val="0"/>
              <w:keepLines w:val="0"/>
              <w:pageBreakBefore w:val="0"/>
              <w:tabs>
                <w:tab w:val="left" w:pos="195"/>
              </w:tabs>
              <w:kinsoku/>
              <w:wordWrap/>
              <w:overflowPunct/>
              <w:topLinePunct w:val="0"/>
              <w:autoSpaceDE/>
              <w:autoSpaceDN/>
              <w:bidi w:val="0"/>
              <w:adjustRightInd/>
              <w:snapToGrid/>
              <w:spacing w:line="520" w:lineRule="exact"/>
              <w:ind w:leftChars="0" w:firstLine="480" w:firstLineChars="200"/>
              <w:jc w:val="both"/>
              <w:textAlignment w:val="auto"/>
              <w:rPr>
                <w:rFonts w:hint="default"/>
                <w:color w:val="auto"/>
                <w:sz w:val="24"/>
                <w:szCs w:val="32"/>
                <w:highlight w:val="none"/>
              </w:rPr>
            </w:pPr>
            <w:r>
              <w:rPr>
                <w:rFonts w:hint="default"/>
                <w:color w:val="auto"/>
                <w:sz w:val="24"/>
                <w:szCs w:val="32"/>
                <w:highlight w:val="none"/>
              </w:rPr>
              <w:t>④运输公司应制定详细的运输方案及路线，并制定事故应急预案，配备事故应急及个人防护设备，以保证在收集、运输过程中发生事故时能有效地减少以至防止对环境的污染。</w:t>
            </w:r>
          </w:p>
          <w:p w14:paraId="583FEAD4">
            <w:pPr>
              <w:keepNext w:val="0"/>
              <w:keepLines w:val="0"/>
              <w:pageBreakBefore w:val="0"/>
              <w:tabs>
                <w:tab w:val="left" w:pos="195"/>
              </w:tabs>
              <w:kinsoku/>
              <w:wordWrap/>
              <w:overflowPunct/>
              <w:topLinePunct w:val="0"/>
              <w:autoSpaceDE/>
              <w:autoSpaceDN/>
              <w:bidi w:val="0"/>
              <w:adjustRightInd/>
              <w:snapToGrid/>
              <w:spacing w:line="520" w:lineRule="exact"/>
              <w:ind w:leftChars="0" w:firstLine="480" w:firstLineChars="200"/>
              <w:jc w:val="both"/>
              <w:textAlignment w:val="auto"/>
              <w:rPr>
                <w:rFonts w:hint="default"/>
                <w:color w:val="auto"/>
                <w:sz w:val="24"/>
                <w:szCs w:val="32"/>
                <w:highlight w:val="none"/>
              </w:rPr>
            </w:pPr>
            <w:r>
              <w:rPr>
                <w:rFonts w:hint="default"/>
                <w:color w:val="auto"/>
                <w:sz w:val="24"/>
                <w:szCs w:val="32"/>
                <w:highlight w:val="none"/>
              </w:rPr>
              <w:t>⑤运输时应采取有效的包装措施，以防止有害成分的泄漏污染。</w:t>
            </w:r>
          </w:p>
          <w:p w14:paraId="2B42F481">
            <w:pPr>
              <w:keepNext w:val="0"/>
              <w:keepLines w:val="0"/>
              <w:pageBreakBefore w:val="0"/>
              <w:tabs>
                <w:tab w:val="left" w:pos="195"/>
              </w:tabs>
              <w:kinsoku/>
              <w:wordWrap/>
              <w:overflowPunct/>
              <w:topLinePunct w:val="0"/>
              <w:autoSpaceDE/>
              <w:autoSpaceDN/>
              <w:bidi w:val="0"/>
              <w:adjustRightInd/>
              <w:snapToGrid/>
              <w:spacing w:line="520" w:lineRule="exact"/>
              <w:ind w:leftChars="0" w:firstLine="480" w:firstLineChars="200"/>
              <w:jc w:val="both"/>
              <w:textAlignment w:val="auto"/>
              <w:rPr>
                <w:rFonts w:hint="default"/>
                <w:color w:val="auto"/>
                <w:sz w:val="24"/>
                <w:szCs w:val="32"/>
                <w:highlight w:val="none"/>
              </w:rPr>
            </w:pPr>
            <w:r>
              <w:rPr>
                <w:rFonts w:hint="default"/>
                <w:color w:val="auto"/>
                <w:sz w:val="24"/>
                <w:szCs w:val="32"/>
                <w:highlight w:val="none"/>
              </w:rPr>
              <w:t>⑥运输车辆驾驶员和押运人员需持有</w:t>
            </w:r>
            <w:r>
              <w:rPr>
                <w:rFonts w:hint="eastAsia"/>
                <w:color w:val="auto"/>
                <w:sz w:val="24"/>
                <w:szCs w:val="32"/>
                <w:highlight w:val="none"/>
                <w:lang w:eastAsia="zh-CN"/>
              </w:rPr>
              <w:t>“</w:t>
            </w:r>
            <w:r>
              <w:rPr>
                <w:rFonts w:hint="default"/>
                <w:color w:val="auto"/>
                <w:sz w:val="24"/>
                <w:szCs w:val="32"/>
                <w:highlight w:val="none"/>
              </w:rPr>
              <w:t>道路危险货物运输资格证</w:t>
            </w:r>
            <w:r>
              <w:rPr>
                <w:rFonts w:hint="eastAsia"/>
                <w:color w:val="auto"/>
                <w:sz w:val="24"/>
                <w:szCs w:val="32"/>
                <w:highlight w:val="none"/>
                <w:lang w:eastAsia="zh-CN"/>
              </w:rPr>
              <w:t>”，</w:t>
            </w:r>
            <w:r>
              <w:rPr>
                <w:rFonts w:hint="default"/>
                <w:color w:val="auto"/>
                <w:sz w:val="24"/>
                <w:szCs w:val="32"/>
                <w:highlight w:val="none"/>
              </w:rPr>
              <w:t>必须经过危险废物和应急救援方面的培训，包括防火、防泄漏以及应急联络等。</w:t>
            </w:r>
          </w:p>
          <w:p w14:paraId="7EAFFD1B">
            <w:pPr>
              <w:keepNext w:val="0"/>
              <w:keepLines w:val="0"/>
              <w:pageBreakBefore w:val="0"/>
              <w:tabs>
                <w:tab w:val="left" w:pos="195"/>
              </w:tabs>
              <w:kinsoku/>
              <w:wordWrap/>
              <w:overflowPunct/>
              <w:topLinePunct w:val="0"/>
              <w:autoSpaceDE/>
              <w:autoSpaceDN/>
              <w:bidi w:val="0"/>
              <w:adjustRightInd/>
              <w:snapToGrid/>
              <w:spacing w:line="520" w:lineRule="exact"/>
              <w:ind w:leftChars="0" w:firstLine="480" w:firstLineChars="200"/>
              <w:jc w:val="both"/>
              <w:textAlignment w:val="auto"/>
              <w:rPr>
                <w:rFonts w:hint="default"/>
                <w:color w:val="auto"/>
                <w:sz w:val="24"/>
                <w:szCs w:val="32"/>
                <w:highlight w:val="none"/>
                <w:lang w:val="en-US" w:eastAsia="zh-CN"/>
              </w:rPr>
            </w:pPr>
            <w:r>
              <w:rPr>
                <w:rFonts w:hint="default"/>
                <w:color w:val="auto"/>
                <w:sz w:val="24"/>
                <w:szCs w:val="32"/>
                <w:highlight w:val="none"/>
                <w:lang w:val="en-US" w:eastAsia="zh-CN"/>
              </w:rPr>
              <w:t>⑦危险废物禁止混入非危险废物中贮存，禁止与乘客在同一运输工具上载运。</w:t>
            </w:r>
          </w:p>
          <w:p w14:paraId="3AE499F9">
            <w:pPr>
              <w:keepNext w:val="0"/>
              <w:keepLines w:val="0"/>
              <w:pageBreakBefore w:val="0"/>
              <w:tabs>
                <w:tab w:val="left" w:pos="195"/>
              </w:tabs>
              <w:kinsoku/>
              <w:wordWrap/>
              <w:overflowPunct/>
              <w:topLinePunct w:val="0"/>
              <w:autoSpaceDE/>
              <w:autoSpaceDN/>
              <w:bidi w:val="0"/>
              <w:adjustRightInd/>
              <w:snapToGrid/>
              <w:spacing w:line="520" w:lineRule="exact"/>
              <w:ind w:leftChars="0" w:firstLine="480" w:firstLineChars="200"/>
              <w:jc w:val="both"/>
              <w:textAlignment w:val="auto"/>
              <w:rPr>
                <w:rFonts w:hint="default"/>
                <w:color w:val="auto"/>
                <w:sz w:val="24"/>
                <w:szCs w:val="32"/>
                <w:highlight w:val="none"/>
                <w:lang w:val="en-US" w:eastAsia="zh-CN"/>
              </w:rPr>
            </w:pPr>
            <w:r>
              <w:rPr>
                <w:rFonts w:hint="default"/>
                <w:color w:val="auto"/>
                <w:sz w:val="24"/>
                <w:szCs w:val="32"/>
                <w:highlight w:val="none"/>
              </w:rPr>
              <w:t>⑧运输路线尽量避开饮用水源保护区及其他特殊敏感区</w:t>
            </w:r>
            <w:r>
              <w:rPr>
                <w:rFonts w:hint="default"/>
                <w:color w:val="auto"/>
                <w:sz w:val="24"/>
                <w:szCs w:val="32"/>
                <w:highlight w:val="none"/>
                <w:lang w:eastAsia="zh-CN"/>
              </w:rPr>
              <w:t>。</w:t>
            </w:r>
          </w:p>
          <w:p w14:paraId="7ACACB1F">
            <w:pPr>
              <w:keepNext w:val="0"/>
              <w:keepLines w:val="0"/>
              <w:pageBreakBefore w:val="0"/>
              <w:tabs>
                <w:tab w:val="left" w:pos="195"/>
              </w:tabs>
              <w:kinsoku/>
              <w:wordWrap/>
              <w:overflowPunct/>
              <w:topLinePunct w:val="0"/>
              <w:autoSpaceDE/>
              <w:autoSpaceDN/>
              <w:bidi w:val="0"/>
              <w:adjustRightInd/>
              <w:snapToGrid/>
              <w:spacing w:line="520" w:lineRule="exact"/>
              <w:ind w:leftChars="0" w:firstLine="480" w:firstLineChars="200"/>
              <w:jc w:val="both"/>
              <w:textAlignment w:val="auto"/>
              <w:rPr>
                <w:rFonts w:hint="default"/>
                <w:color w:val="auto"/>
                <w:sz w:val="24"/>
                <w:szCs w:val="32"/>
                <w:highlight w:val="none"/>
              </w:rPr>
            </w:pPr>
            <w:r>
              <w:rPr>
                <w:rFonts w:hint="default"/>
                <w:color w:val="auto"/>
                <w:sz w:val="24"/>
                <w:szCs w:val="32"/>
                <w:highlight w:val="none"/>
                <w:lang w:eastAsia="zh-CN"/>
              </w:rPr>
              <w:t>（</w:t>
            </w:r>
            <w:r>
              <w:rPr>
                <w:rFonts w:hint="default" w:ascii="Times New Roman" w:hAnsi="Times New Roman"/>
                <w:color w:val="auto"/>
                <w:sz w:val="24"/>
                <w:szCs w:val="32"/>
                <w:highlight w:val="none"/>
                <w:lang w:val="en-US" w:eastAsia="zh-CN"/>
              </w:rPr>
              <w:t>4</w:t>
            </w:r>
            <w:r>
              <w:rPr>
                <w:rFonts w:hint="default"/>
                <w:color w:val="auto"/>
                <w:sz w:val="24"/>
                <w:szCs w:val="32"/>
                <w:highlight w:val="none"/>
                <w:lang w:val="en-US" w:eastAsia="zh-CN"/>
              </w:rPr>
              <w:t>）</w:t>
            </w:r>
            <w:r>
              <w:rPr>
                <w:rFonts w:hint="default"/>
                <w:color w:val="auto"/>
                <w:sz w:val="24"/>
                <w:szCs w:val="32"/>
                <w:highlight w:val="none"/>
              </w:rPr>
              <w:t>联单制度</w:t>
            </w:r>
          </w:p>
          <w:p w14:paraId="799114FD">
            <w:pPr>
              <w:keepNext w:val="0"/>
              <w:keepLines w:val="0"/>
              <w:pageBreakBefore w:val="0"/>
              <w:tabs>
                <w:tab w:val="left" w:pos="195"/>
              </w:tabs>
              <w:kinsoku/>
              <w:wordWrap/>
              <w:overflowPunct/>
              <w:topLinePunct w:val="0"/>
              <w:autoSpaceDE/>
              <w:autoSpaceDN/>
              <w:bidi w:val="0"/>
              <w:adjustRightInd/>
              <w:snapToGrid/>
              <w:spacing w:line="520" w:lineRule="exact"/>
              <w:ind w:leftChars="0" w:firstLine="480" w:firstLineChars="200"/>
              <w:jc w:val="both"/>
              <w:textAlignment w:val="auto"/>
              <w:rPr>
                <w:rFonts w:hint="default"/>
                <w:color w:val="auto"/>
                <w:sz w:val="24"/>
                <w:szCs w:val="24"/>
                <w:highlight w:val="none"/>
              </w:rPr>
            </w:pPr>
            <w:r>
              <w:rPr>
                <w:rFonts w:hint="default"/>
                <w:color w:val="auto"/>
                <w:sz w:val="24"/>
                <w:szCs w:val="24"/>
                <w:highlight w:val="none"/>
                <w:lang w:val="en-US" w:eastAsia="zh-CN"/>
              </w:rPr>
              <w:t>建设单位必须建立危险废物</w:t>
            </w:r>
            <w:r>
              <w:rPr>
                <w:rFonts w:hint="eastAsia"/>
                <w:color w:val="auto"/>
                <w:sz w:val="24"/>
                <w:szCs w:val="24"/>
                <w:highlight w:val="none"/>
                <w:lang w:val="en-US" w:eastAsia="zh-CN"/>
              </w:rPr>
              <w:t>转移联单</w:t>
            </w:r>
            <w:r>
              <w:rPr>
                <w:rFonts w:hint="default"/>
                <w:color w:val="auto"/>
                <w:sz w:val="24"/>
                <w:szCs w:val="24"/>
                <w:highlight w:val="none"/>
                <w:lang w:val="en-US" w:eastAsia="zh-CN"/>
              </w:rPr>
              <w:t>制度，</w:t>
            </w:r>
            <w:r>
              <w:rPr>
                <w:rFonts w:hint="default"/>
                <w:color w:val="auto"/>
                <w:sz w:val="24"/>
                <w:szCs w:val="24"/>
                <w:highlight w:val="none"/>
              </w:rPr>
              <w:t>收集贮存的危险废物应严格按照《</w:t>
            </w:r>
            <w:r>
              <w:rPr>
                <w:rFonts w:hint="eastAsia"/>
                <w:color w:val="auto"/>
                <w:sz w:val="24"/>
                <w:szCs w:val="24"/>
                <w:highlight w:val="none"/>
                <w:lang w:eastAsia="zh-CN"/>
              </w:rPr>
              <w:t>危险废物转移管理办法</w:t>
            </w:r>
            <w:r>
              <w:rPr>
                <w:rFonts w:hint="default"/>
                <w:color w:val="auto"/>
                <w:sz w:val="24"/>
                <w:szCs w:val="24"/>
                <w:highlight w:val="none"/>
              </w:rPr>
              <w:t>》中的有关要求管理，危险废物转移程序如下：</w:t>
            </w:r>
          </w:p>
          <w:p w14:paraId="6A0EB3BB">
            <w:pPr>
              <w:keepNext w:val="0"/>
              <w:keepLines w:val="0"/>
              <w:pageBreakBefore w:val="0"/>
              <w:tabs>
                <w:tab w:val="left" w:pos="195"/>
              </w:tabs>
              <w:kinsoku/>
              <w:wordWrap/>
              <w:overflowPunct/>
              <w:topLinePunct w:val="0"/>
              <w:autoSpaceDE/>
              <w:autoSpaceDN/>
              <w:bidi w:val="0"/>
              <w:adjustRightInd/>
              <w:snapToGrid/>
              <w:spacing w:line="520" w:lineRule="exact"/>
              <w:ind w:leftChars="0" w:firstLine="480" w:firstLineChars="200"/>
              <w:jc w:val="both"/>
              <w:textAlignment w:val="auto"/>
              <w:rPr>
                <w:rFonts w:hint="eastAsia" w:eastAsia="宋体"/>
                <w:color w:val="auto"/>
                <w:sz w:val="24"/>
                <w:szCs w:val="24"/>
                <w:highlight w:val="none"/>
                <w:lang w:eastAsia="zh-CN"/>
              </w:rPr>
            </w:pPr>
            <w:r>
              <w:rPr>
                <w:rFonts w:hint="default"/>
                <w:color w:val="auto"/>
                <w:sz w:val="24"/>
                <w:szCs w:val="24"/>
                <w:highlight w:val="none"/>
              </w:rPr>
              <w:t>①危险废物</w:t>
            </w:r>
            <w:r>
              <w:rPr>
                <w:rFonts w:hint="eastAsia"/>
                <w:color w:val="auto"/>
                <w:sz w:val="24"/>
                <w:szCs w:val="24"/>
                <w:highlight w:val="none"/>
                <w:lang w:eastAsia="zh-CN"/>
              </w:rPr>
              <w:t>转移联单</w:t>
            </w:r>
            <w:r>
              <w:rPr>
                <w:rFonts w:hint="default"/>
                <w:color w:val="auto"/>
                <w:sz w:val="24"/>
                <w:szCs w:val="24"/>
                <w:highlight w:val="none"/>
              </w:rPr>
              <w:t>应当根据危险废物管理计划中填报的危险废物转移等备案信息填写、运行</w:t>
            </w:r>
            <w:r>
              <w:rPr>
                <w:rFonts w:hint="eastAsia"/>
                <w:color w:val="auto"/>
                <w:sz w:val="24"/>
                <w:szCs w:val="24"/>
                <w:highlight w:val="none"/>
                <w:lang w:eastAsia="zh-CN"/>
              </w:rPr>
              <w:t>。</w:t>
            </w:r>
          </w:p>
          <w:p w14:paraId="1DF10BDA">
            <w:pPr>
              <w:keepNext w:val="0"/>
              <w:keepLines w:val="0"/>
              <w:pageBreakBefore w:val="0"/>
              <w:tabs>
                <w:tab w:val="left" w:pos="195"/>
              </w:tabs>
              <w:kinsoku/>
              <w:wordWrap/>
              <w:overflowPunct/>
              <w:topLinePunct w:val="0"/>
              <w:autoSpaceDE/>
              <w:autoSpaceDN/>
              <w:bidi w:val="0"/>
              <w:adjustRightInd/>
              <w:snapToGrid/>
              <w:spacing w:line="520" w:lineRule="exact"/>
              <w:ind w:leftChars="0" w:firstLine="480" w:firstLineChars="200"/>
              <w:jc w:val="both"/>
              <w:textAlignment w:val="auto"/>
              <w:rPr>
                <w:rFonts w:hint="default"/>
                <w:color w:val="auto"/>
                <w:sz w:val="24"/>
                <w:szCs w:val="24"/>
                <w:highlight w:val="none"/>
              </w:rPr>
            </w:pPr>
            <w:r>
              <w:rPr>
                <w:rFonts w:hint="default"/>
                <w:color w:val="auto"/>
                <w:sz w:val="24"/>
                <w:szCs w:val="24"/>
                <w:highlight w:val="none"/>
              </w:rPr>
              <w:t>②采用联运方式转移危险废物的，前一承运人和后一承运人应当明确运输交接的时间和地点。后一承运人应当核实危险废物</w:t>
            </w:r>
            <w:r>
              <w:rPr>
                <w:rFonts w:hint="eastAsia"/>
                <w:color w:val="auto"/>
                <w:sz w:val="24"/>
                <w:szCs w:val="24"/>
                <w:highlight w:val="none"/>
                <w:lang w:eastAsia="zh-CN"/>
              </w:rPr>
              <w:t>转移联单</w:t>
            </w:r>
            <w:r>
              <w:rPr>
                <w:rFonts w:hint="default"/>
                <w:color w:val="auto"/>
                <w:sz w:val="24"/>
                <w:szCs w:val="24"/>
                <w:highlight w:val="none"/>
              </w:rPr>
              <w:t>确定的移出人信息、前一承运人信息及危险废物相关信息。</w:t>
            </w:r>
          </w:p>
          <w:p w14:paraId="2864C519">
            <w:pPr>
              <w:keepNext w:val="0"/>
              <w:keepLines w:val="0"/>
              <w:pageBreakBefore w:val="0"/>
              <w:tabs>
                <w:tab w:val="left" w:pos="195"/>
              </w:tabs>
              <w:kinsoku/>
              <w:wordWrap/>
              <w:overflowPunct/>
              <w:topLinePunct w:val="0"/>
              <w:autoSpaceDE/>
              <w:autoSpaceDN/>
              <w:bidi w:val="0"/>
              <w:adjustRightInd/>
              <w:snapToGrid/>
              <w:spacing w:line="520" w:lineRule="exact"/>
              <w:ind w:leftChars="0" w:firstLine="480" w:firstLineChars="200"/>
              <w:jc w:val="both"/>
              <w:textAlignment w:val="auto"/>
              <w:rPr>
                <w:rFonts w:hint="default"/>
                <w:color w:val="auto"/>
                <w:sz w:val="24"/>
                <w:szCs w:val="24"/>
                <w:highlight w:val="none"/>
              </w:rPr>
            </w:pPr>
            <w:r>
              <w:rPr>
                <w:rFonts w:hint="default"/>
                <w:color w:val="auto"/>
                <w:sz w:val="24"/>
                <w:szCs w:val="24"/>
                <w:highlight w:val="none"/>
              </w:rPr>
              <w:t>③移出人每转移一车（船或者其他运输工具）次同类危险废物，应当填写、运行一份危险废物</w:t>
            </w:r>
            <w:r>
              <w:rPr>
                <w:rFonts w:hint="eastAsia"/>
                <w:color w:val="auto"/>
                <w:sz w:val="24"/>
                <w:szCs w:val="24"/>
                <w:highlight w:val="none"/>
                <w:lang w:eastAsia="zh-CN"/>
              </w:rPr>
              <w:t>电子转移联单</w:t>
            </w:r>
            <w:r>
              <w:rPr>
                <w:rFonts w:hint="default"/>
                <w:color w:val="auto"/>
                <w:sz w:val="24"/>
                <w:szCs w:val="24"/>
                <w:highlight w:val="none"/>
              </w:rPr>
              <w:t>；每车（船或者其他运输工具</w:t>
            </w:r>
            <w:r>
              <w:rPr>
                <w:rFonts w:hint="eastAsia"/>
                <w:color w:val="auto"/>
                <w:sz w:val="24"/>
                <w:szCs w:val="24"/>
                <w:highlight w:val="none"/>
                <w:lang w:eastAsia="zh-CN"/>
              </w:rPr>
              <w:t>）</w:t>
            </w:r>
            <w:r>
              <w:rPr>
                <w:rFonts w:hint="default"/>
                <w:color w:val="auto"/>
                <w:sz w:val="24"/>
                <w:szCs w:val="24"/>
                <w:highlight w:val="none"/>
              </w:rPr>
              <w:t>次转移多类危险废物的，可以填写、运行一份危险废物</w:t>
            </w:r>
            <w:r>
              <w:rPr>
                <w:rFonts w:hint="eastAsia"/>
                <w:color w:val="auto"/>
                <w:sz w:val="24"/>
                <w:szCs w:val="24"/>
                <w:highlight w:val="none"/>
                <w:lang w:eastAsia="zh-CN"/>
              </w:rPr>
              <w:t>电子转移联单</w:t>
            </w:r>
            <w:r>
              <w:rPr>
                <w:rFonts w:hint="default"/>
                <w:color w:val="auto"/>
                <w:sz w:val="24"/>
                <w:szCs w:val="24"/>
                <w:highlight w:val="none"/>
              </w:rPr>
              <w:t>，也可以每一类危险废物填写、运行一份危险废物</w:t>
            </w:r>
            <w:r>
              <w:rPr>
                <w:rFonts w:hint="eastAsia"/>
                <w:color w:val="auto"/>
                <w:sz w:val="24"/>
                <w:szCs w:val="24"/>
                <w:highlight w:val="none"/>
                <w:lang w:eastAsia="zh-CN"/>
              </w:rPr>
              <w:t>电子转移联单</w:t>
            </w:r>
            <w:r>
              <w:rPr>
                <w:rFonts w:hint="default"/>
                <w:color w:val="auto"/>
                <w:sz w:val="24"/>
                <w:szCs w:val="24"/>
                <w:highlight w:val="none"/>
              </w:rPr>
              <w:t>。</w:t>
            </w:r>
          </w:p>
          <w:p w14:paraId="635E33D5">
            <w:pPr>
              <w:keepNext w:val="0"/>
              <w:keepLines w:val="0"/>
              <w:pageBreakBefore w:val="0"/>
              <w:tabs>
                <w:tab w:val="left" w:pos="195"/>
              </w:tabs>
              <w:kinsoku/>
              <w:wordWrap/>
              <w:overflowPunct/>
              <w:topLinePunct w:val="0"/>
              <w:autoSpaceDE/>
              <w:autoSpaceDN/>
              <w:bidi w:val="0"/>
              <w:adjustRightInd/>
              <w:snapToGrid/>
              <w:spacing w:line="520" w:lineRule="exact"/>
              <w:ind w:leftChars="0" w:firstLine="480" w:firstLineChars="200"/>
              <w:jc w:val="both"/>
              <w:textAlignment w:val="auto"/>
              <w:rPr>
                <w:rFonts w:hint="default"/>
                <w:color w:val="auto"/>
                <w:sz w:val="24"/>
                <w:szCs w:val="24"/>
                <w:highlight w:val="none"/>
              </w:rPr>
            </w:pPr>
            <w:r>
              <w:rPr>
                <w:rFonts w:hint="default"/>
                <w:color w:val="auto"/>
                <w:sz w:val="24"/>
                <w:szCs w:val="24"/>
                <w:highlight w:val="none"/>
              </w:rPr>
              <w:t>④采用联运方式转移危险废物的，前一承运人和后一承运人应当明确运输交接的时间和地点。后一承运人应当核实危险废物</w:t>
            </w:r>
            <w:r>
              <w:rPr>
                <w:rFonts w:hint="eastAsia"/>
                <w:color w:val="auto"/>
                <w:sz w:val="24"/>
                <w:szCs w:val="24"/>
                <w:highlight w:val="none"/>
                <w:lang w:eastAsia="zh-CN"/>
              </w:rPr>
              <w:t>电子转移联单</w:t>
            </w:r>
            <w:r>
              <w:rPr>
                <w:rFonts w:hint="default"/>
                <w:color w:val="auto"/>
                <w:sz w:val="24"/>
                <w:szCs w:val="24"/>
                <w:highlight w:val="none"/>
              </w:rPr>
              <w:t>确定的移出人信息、前一承运人信息及危险废物相关信息。</w:t>
            </w:r>
          </w:p>
          <w:p w14:paraId="0FF05B13">
            <w:pPr>
              <w:keepNext w:val="0"/>
              <w:keepLines w:val="0"/>
              <w:pageBreakBefore w:val="0"/>
              <w:tabs>
                <w:tab w:val="left" w:pos="195"/>
              </w:tabs>
              <w:kinsoku/>
              <w:wordWrap/>
              <w:overflowPunct/>
              <w:topLinePunct w:val="0"/>
              <w:autoSpaceDE/>
              <w:autoSpaceDN/>
              <w:bidi w:val="0"/>
              <w:adjustRightInd/>
              <w:snapToGrid/>
              <w:spacing w:line="520" w:lineRule="exact"/>
              <w:ind w:leftChars="0" w:firstLine="480" w:firstLineChars="200"/>
              <w:jc w:val="both"/>
              <w:textAlignment w:val="auto"/>
              <w:rPr>
                <w:rFonts w:hint="default"/>
                <w:color w:val="auto"/>
                <w:sz w:val="24"/>
                <w:szCs w:val="24"/>
                <w:highlight w:val="none"/>
                <w:lang w:val="en-US"/>
              </w:rPr>
            </w:pPr>
            <w:r>
              <w:rPr>
                <w:rFonts w:hint="default"/>
                <w:color w:val="auto"/>
                <w:sz w:val="24"/>
                <w:szCs w:val="24"/>
                <w:highlight w:val="none"/>
              </w:rPr>
              <w:t>转移危险废物的，须按照国家有关规定</w:t>
            </w:r>
            <w:r>
              <w:rPr>
                <w:rFonts w:hint="eastAsia"/>
                <w:color w:val="auto"/>
                <w:sz w:val="24"/>
                <w:szCs w:val="24"/>
                <w:highlight w:val="none"/>
                <w:lang w:val="en-US" w:eastAsia="zh-CN"/>
              </w:rPr>
              <w:t>通过国家危险废物信息管理</w:t>
            </w:r>
            <w:r>
              <w:rPr>
                <w:rFonts w:hint="default"/>
                <w:color w:val="auto"/>
                <w:sz w:val="24"/>
                <w:szCs w:val="24"/>
                <w:highlight w:val="none"/>
              </w:rPr>
              <w:t>填写危险废物</w:t>
            </w:r>
            <w:r>
              <w:rPr>
                <w:rFonts w:hint="eastAsia"/>
                <w:color w:val="auto"/>
                <w:sz w:val="24"/>
                <w:szCs w:val="24"/>
                <w:highlight w:val="none"/>
                <w:lang w:val="en-US" w:eastAsia="zh-CN"/>
              </w:rPr>
              <w:t>电子</w:t>
            </w:r>
            <w:r>
              <w:rPr>
                <w:rFonts w:hint="eastAsia"/>
                <w:color w:val="auto"/>
                <w:sz w:val="24"/>
                <w:szCs w:val="24"/>
                <w:highlight w:val="none"/>
                <w:lang w:eastAsia="zh-CN"/>
              </w:rPr>
              <w:t>转移联单</w:t>
            </w:r>
            <w:r>
              <w:rPr>
                <w:rFonts w:hint="default"/>
                <w:color w:val="auto"/>
                <w:sz w:val="24"/>
                <w:szCs w:val="24"/>
                <w:highlight w:val="none"/>
              </w:rPr>
              <w:t>，并向危险废物移出地设区的市级以上地方人民政府环境保护行政主管部门提出申请。移出地设区的市级以上地方人民政府环境保护行政主管部门应当经接受地设区的市级以上地方人民政府环境保护行政主管部门同意后，方可批准转移该危险废物。未经批准，不得转移。转移危险废物途</w:t>
            </w:r>
            <w:r>
              <w:rPr>
                <w:rFonts w:hint="eastAsia"/>
                <w:color w:val="auto"/>
                <w:sz w:val="24"/>
                <w:szCs w:val="24"/>
                <w:highlight w:val="none"/>
                <w:lang w:val="en-US" w:eastAsia="zh-CN"/>
              </w:rPr>
              <w:t>经</w:t>
            </w:r>
            <w:r>
              <w:rPr>
                <w:rFonts w:hint="default"/>
                <w:color w:val="auto"/>
                <w:sz w:val="24"/>
                <w:szCs w:val="24"/>
                <w:highlight w:val="none"/>
              </w:rPr>
              <w:t>移出地、接受地以外行政区域的，危险废物移出地设区的市级以上地方人民政府环境保护行政主管部门应当及时通知沿途经过的设区的市级以上地方人民政府环境保护行政主管部门。</w:t>
            </w:r>
          </w:p>
          <w:p w14:paraId="40DD5559">
            <w:pPr>
              <w:keepNext w:val="0"/>
              <w:keepLines w:val="0"/>
              <w:pageBreakBefore w:val="0"/>
              <w:widowControl/>
              <w:suppressLineNumbers w:val="0"/>
              <w:kinsoku/>
              <w:wordWrap/>
              <w:overflowPunct/>
              <w:topLinePunct w:val="0"/>
              <w:autoSpaceDE/>
              <w:autoSpaceDN/>
              <w:bidi w:val="0"/>
              <w:adjustRightInd/>
              <w:snapToGrid/>
              <w:spacing w:line="520" w:lineRule="exact"/>
              <w:ind w:leftChars="0" w:firstLine="480" w:firstLineChars="200"/>
              <w:jc w:val="both"/>
              <w:textAlignment w:val="auto"/>
              <w:rPr>
                <w:rFonts w:hint="default"/>
                <w:color w:val="auto"/>
                <w:sz w:val="24"/>
                <w:szCs w:val="32"/>
                <w:highlight w:val="none"/>
              </w:rPr>
            </w:pPr>
            <w:r>
              <w:rPr>
                <w:rFonts w:hint="default"/>
                <w:color w:val="auto"/>
                <w:sz w:val="24"/>
                <w:szCs w:val="32"/>
                <w:highlight w:val="none"/>
                <w:lang w:val="en-US" w:eastAsia="zh-CN"/>
              </w:rPr>
              <w:t>（</w:t>
            </w:r>
            <w:r>
              <w:rPr>
                <w:rFonts w:hint="default" w:ascii="Times New Roman" w:hAnsi="Times New Roman"/>
                <w:color w:val="auto"/>
                <w:sz w:val="24"/>
                <w:szCs w:val="32"/>
                <w:highlight w:val="none"/>
                <w:lang w:val="en-US" w:eastAsia="zh-CN"/>
              </w:rPr>
              <w:t>5</w:t>
            </w:r>
            <w:r>
              <w:rPr>
                <w:rFonts w:hint="default"/>
                <w:color w:val="auto"/>
                <w:sz w:val="24"/>
                <w:szCs w:val="32"/>
                <w:highlight w:val="none"/>
                <w:lang w:val="en-US" w:eastAsia="zh-CN"/>
              </w:rPr>
              <w:t>）委托处置</w:t>
            </w:r>
          </w:p>
          <w:p w14:paraId="4EE0DB69">
            <w:pPr>
              <w:keepNext w:val="0"/>
              <w:keepLines w:val="0"/>
              <w:pageBreakBefore w:val="0"/>
              <w:widowControl/>
              <w:suppressLineNumbers w:val="0"/>
              <w:kinsoku/>
              <w:wordWrap/>
              <w:overflowPunct/>
              <w:topLinePunct w:val="0"/>
              <w:autoSpaceDE/>
              <w:autoSpaceDN/>
              <w:bidi w:val="0"/>
              <w:adjustRightInd/>
              <w:snapToGrid/>
              <w:spacing w:line="520" w:lineRule="exact"/>
              <w:ind w:leftChars="0" w:firstLine="480" w:firstLineChars="200"/>
              <w:jc w:val="both"/>
              <w:textAlignment w:val="auto"/>
              <w:rPr>
                <w:rFonts w:hint="default"/>
                <w:color w:val="auto"/>
                <w:sz w:val="24"/>
                <w:szCs w:val="32"/>
                <w:highlight w:val="none"/>
              </w:rPr>
            </w:pPr>
            <w:r>
              <w:rPr>
                <w:rFonts w:hint="eastAsia"/>
                <w:color w:val="auto"/>
                <w:sz w:val="24"/>
                <w:szCs w:val="32"/>
                <w:highlight w:val="none"/>
                <w:lang w:val="en-US" w:eastAsia="zh-CN"/>
              </w:rPr>
              <w:t>危废</w:t>
            </w:r>
            <w:r>
              <w:rPr>
                <w:rFonts w:hint="default"/>
                <w:color w:val="auto"/>
                <w:sz w:val="24"/>
                <w:szCs w:val="32"/>
                <w:highlight w:val="none"/>
                <w:lang w:val="en-US" w:eastAsia="zh-CN"/>
              </w:rPr>
              <w:t>暂存间贮存的危险废物由有危废处置资质</w:t>
            </w:r>
            <w:r>
              <w:rPr>
                <w:rFonts w:hint="eastAsia"/>
                <w:color w:val="auto"/>
                <w:sz w:val="24"/>
                <w:szCs w:val="32"/>
                <w:highlight w:val="none"/>
                <w:lang w:val="en-US" w:eastAsia="zh-CN"/>
              </w:rPr>
              <w:t>的</w:t>
            </w:r>
            <w:r>
              <w:rPr>
                <w:rFonts w:hint="default"/>
                <w:color w:val="auto"/>
                <w:sz w:val="24"/>
                <w:szCs w:val="32"/>
                <w:highlight w:val="none"/>
                <w:lang w:val="en-US" w:eastAsia="zh-CN"/>
              </w:rPr>
              <w:t>单位</w:t>
            </w:r>
            <w:r>
              <w:rPr>
                <w:rFonts w:hint="eastAsia"/>
                <w:color w:val="auto"/>
                <w:sz w:val="24"/>
                <w:szCs w:val="32"/>
                <w:highlight w:val="none"/>
                <w:lang w:val="en-US" w:eastAsia="zh-CN"/>
              </w:rPr>
              <w:t>进行</w:t>
            </w:r>
            <w:r>
              <w:rPr>
                <w:rFonts w:hint="default"/>
                <w:color w:val="auto"/>
                <w:sz w:val="24"/>
                <w:szCs w:val="32"/>
                <w:highlight w:val="none"/>
                <w:lang w:val="en-US" w:eastAsia="zh-CN"/>
              </w:rPr>
              <w:t>处置，危废处置单位使用专用车辆至厂内收集、转移危险废物，建设单位不自行外运、转移</w:t>
            </w:r>
            <w:r>
              <w:rPr>
                <w:rFonts w:hint="eastAsia"/>
                <w:color w:val="auto"/>
                <w:sz w:val="24"/>
                <w:szCs w:val="32"/>
                <w:highlight w:val="none"/>
                <w:lang w:val="en-US" w:eastAsia="zh-CN"/>
              </w:rPr>
              <w:t>。</w:t>
            </w:r>
            <w:r>
              <w:rPr>
                <w:rFonts w:hint="default"/>
                <w:color w:val="auto"/>
                <w:sz w:val="24"/>
                <w:szCs w:val="32"/>
                <w:highlight w:val="none"/>
                <w:lang w:val="en-US" w:eastAsia="zh-CN"/>
              </w:rPr>
              <w:t>危险废物委托</w:t>
            </w:r>
            <w:r>
              <w:rPr>
                <w:rFonts w:hint="eastAsia"/>
                <w:color w:val="auto"/>
                <w:sz w:val="24"/>
                <w:szCs w:val="32"/>
                <w:highlight w:val="none"/>
                <w:lang w:val="en-US" w:eastAsia="zh-CN"/>
              </w:rPr>
              <w:t>处置</w:t>
            </w:r>
            <w:r>
              <w:rPr>
                <w:rFonts w:hint="default"/>
                <w:color w:val="auto"/>
                <w:sz w:val="24"/>
                <w:szCs w:val="32"/>
                <w:highlight w:val="none"/>
                <w:lang w:val="en-US" w:eastAsia="zh-CN"/>
              </w:rPr>
              <w:t>后</w:t>
            </w:r>
            <w:r>
              <w:rPr>
                <w:rFonts w:hint="eastAsia"/>
                <w:color w:val="auto"/>
                <w:sz w:val="24"/>
                <w:szCs w:val="32"/>
                <w:highlight w:val="none"/>
                <w:lang w:val="en-US" w:eastAsia="zh-CN"/>
              </w:rPr>
              <w:t>，</w:t>
            </w:r>
            <w:r>
              <w:rPr>
                <w:rFonts w:hint="default"/>
                <w:color w:val="auto"/>
                <w:sz w:val="24"/>
                <w:szCs w:val="32"/>
                <w:highlight w:val="none"/>
                <w:lang w:val="en-US" w:eastAsia="zh-CN"/>
              </w:rPr>
              <w:t>对环境影响不大。</w:t>
            </w:r>
          </w:p>
          <w:p w14:paraId="1986B057">
            <w:pPr>
              <w:keepNext w:val="0"/>
              <w:keepLines w:val="0"/>
              <w:pageBreakBefore w:val="0"/>
              <w:widowControl/>
              <w:suppressLineNumbers w:val="0"/>
              <w:kinsoku/>
              <w:wordWrap/>
              <w:overflowPunct/>
              <w:topLinePunct w:val="0"/>
              <w:autoSpaceDE/>
              <w:autoSpaceDN/>
              <w:bidi w:val="0"/>
              <w:adjustRightInd/>
              <w:snapToGrid/>
              <w:spacing w:line="520" w:lineRule="exact"/>
              <w:ind w:leftChars="0" w:firstLine="480" w:firstLineChars="200"/>
              <w:jc w:val="both"/>
              <w:textAlignment w:val="auto"/>
              <w:rPr>
                <w:rFonts w:hint="default"/>
                <w:color w:val="auto"/>
                <w:sz w:val="24"/>
                <w:szCs w:val="32"/>
                <w:highlight w:val="none"/>
              </w:rPr>
            </w:pPr>
            <w:r>
              <w:rPr>
                <w:rFonts w:hint="default"/>
                <w:color w:val="auto"/>
                <w:sz w:val="24"/>
                <w:szCs w:val="32"/>
                <w:highlight w:val="none"/>
                <w:lang w:val="en-US" w:eastAsia="zh-CN"/>
              </w:rPr>
              <w:t>（</w:t>
            </w:r>
            <w:r>
              <w:rPr>
                <w:rFonts w:hint="default" w:ascii="Times New Roman" w:hAnsi="Times New Roman"/>
                <w:color w:val="auto"/>
                <w:sz w:val="24"/>
                <w:szCs w:val="32"/>
                <w:highlight w:val="none"/>
                <w:lang w:val="en-US" w:eastAsia="zh-CN"/>
              </w:rPr>
              <w:t>6</w:t>
            </w:r>
            <w:r>
              <w:rPr>
                <w:rFonts w:hint="default"/>
                <w:color w:val="auto"/>
                <w:sz w:val="24"/>
                <w:szCs w:val="32"/>
                <w:highlight w:val="none"/>
                <w:lang w:val="en-US" w:eastAsia="zh-CN"/>
              </w:rPr>
              <w:t>）管理措施</w:t>
            </w:r>
          </w:p>
          <w:p w14:paraId="050C820C">
            <w:pPr>
              <w:keepNext w:val="0"/>
              <w:keepLines w:val="0"/>
              <w:pageBreakBefore w:val="0"/>
              <w:widowControl/>
              <w:suppressLineNumbers w:val="0"/>
              <w:kinsoku/>
              <w:wordWrap/>
              <w:overflowPunct/>
              <w:topLinePunct w:val="0"/>
              <w:autoSpaceDE/>
              <w:autoSpaceDN/>
              <w:bidi w:val="0"/>
              <w:adjustRightInd/>
              <w:snapToGrid/>
              <w:spacing w:line="520" w:lineRule="exact"/>
              <w:ind w:leftChars="0" w:firstLine="480" w:firstLineChars="200"/>
              <w:jc w:val="both"/>
              <w:textAlignment w:val="auto"/>
              <w:rPr>
                <w:rFonts w:hint="default"/>
                <w:color w:val="auto"/>
                <w:sz w:val="24"/>
                <w:szCs w:val="32"/>
                <w:highlight w:val="none"/>
                <w:lang w:val="en-US" w:eastAsia="zh-CN"/>
              </w:rPr>
            </w:pPr>
            <w:r>
              <w:rPr>
                <w:rFonts w:hint="default"/>
                <w:color w:val="auto"/>
                <w:sz w:val="24"/>
                <w:szCs w:val="32"/>
                <w:highlight w:val="none"/>
                <w:lang w:val="en-US" w:eastAsia="zh-CN"/>
              </w:rPr>
              <w:t>企业应结合自身实际，建立危险废物管理台账，规范危险废物情况的记录，记录上须注明危险废物的种类、来源、数量、性质、产生环节、利用处置和包装容器的类别、入库日期、存放库位、废物出库日期及接收单位名称，确保厂内所有危险废物流向清楚规范。</w:t>
            </w:r>
          </w:p>
          <w:p w14:paraId="0F7DBE12">
            <w:pPr>
              <w:keepNext w:val="0"/>
              <w:keepLines w:val="0"/>
              <w:pageBreakBefore w:val="0"/>
              <w:widowControl/>
              <w:suppressLineNumbers w:val="0"/>
              <w:kinsoku/>
              <w:wordWrap/>
              <w:overflowPunct/>
              <w:topLinePunct w:val="0"/>
              <w:autoSpaceDE/>
              <w:autoSpaceDN/>
              <w:bidi w:val="0"/>
              <w:adjustRightInd/>
              <w:snapToGrid/>
              <w:spacing w:line="520" w:lineRule="exact"/>
              <w:ind w:leftChars="0" w:firstLine="480" w:firstLineChars="200"/>
              <w:jc w:val="both"/>
              <w:textAlignment w:val="auto"/>
              <w:rPr>
                <w:rFonts w:hint="default"/>
                <w:color w:val="auto"/>
                <w:sz w:val="24"/>
                <w:szCs w:val="32"/>
                <w:highlight w:val="none"/>
                <w:lang w:val="en-US" w:eastAsia="zh-CN"/>
              </w:rPr>
            </w:pPr>
            <w:r>
              <w:rPr>
                <w:rFonts w:hint="default"/>
                <w:color w:val="auto"/>
                <w:sz w:val="24"/>
                <w:szCs w:val="32"/>
                <w:highlight w:val="none"/>
                <w:lang w:val="en-US" w:eastAsia="zh-CN"/>
              </w:rPr>
              <w:t>按规定申报危险废物产生、贮存、转移、利用处置等信息，制定和落实危险废物年度管理计划，执行危险废物申报登记制度，并在</w:t>
            </w:r>
            <w:r>
              <w:rPr>
                <w:rFonts w:hint="eastAsia"/>
                <w:color w:val="auto"/>
                <w:sz w:val="24"/>
                <w:szCs w:val="32"/>
                <w:highlight w:val="none"/>
                <w:lang w:val="en-US" w:eastAsia="zh-CN"/>
              </w:rPr>
              <w:t>“固废管理系统”</w:t>
            </w:r>
            <w:r>
              <w:rPr>
                <w:rFonts w:hint="default"/>
                <w:color w:val="auto"/>
                <w:sz w:val="24"/>
                <w:szCs w:val="32"/>
                <w:highlight w:val="none"/>
                <w:lang w:val="en-US" w:eastAsia="zh-CN"/>
              </w:rPr>
              <w:t>中备案。及时向当地环保部门申报危险废物种类、产生量、流向、处置等资料，办理临时申报登记手续。严格执行危险废物交换转移审批制度。所有危险废物交换转移向环保部门提出申请，经环保部门预审后报上级环保部门批准。危险废物交换转移前到当地环保部门网上申请联单。绝不擅自交换、向无危险废物经营许可证单位转移。必须定期对所暂存的危险废物包装容器及暂存设施进行检查，发现破损，应及时采取措施清理更换。</w:t>
            </w:r>
          </w:p>
          <w:p w14:paraId="59507AA3">
            <w:pPr>
              <w:pStyle w:val="7"/>
              <w:keepNext w:val="0"/>
              <w:keepLines w:val="0"/>
              <w:pageBreakBefore w:val="0"/>
              <w:kinsoku/>
              <w:wordWrap/>
              <w:overflowPunct/>
              <w:topLinePunct w:val="0"/>
              <w:autoSpaceDE/>
              <w:autoSpaceDN/>
              <w:bidi w:val="0"/>
              <w:adjustRightInd/>
              <w:spacing w:before="0" w:after="0" w:line="520" w:lineRule="exact"/>
              <w:ind w:right="0" w:firstLine="480" w:firstLineChars="200"/>
              <w:jc w:val="both"/>
              <w:textAlignment w:val="auto"/>
              <w:rPr>
                <w:color w:val="auto"/>
                <w:sz w:val="24"/>
                <w:szCs w:val="24"/>
                <w:highlight w:val="none"/>
              </w:rPr>
            </w:pPr>
            <w:r>
              <w:rPr>
                <w:rFonts w:hint="eastAsia"/>
                <w:color w:val="auto"/>
                <w:sz w:val="24"/>
                <w:szCs w:val="24"/>
                <w:highlight w:val="none"/>
                <w:lang w:eastAsia="zh-CN"/>
              </w:rPr>
              <w:t>（</w:t>
            </w:r>
            <w:r>
              <w:rPr>
                <w:rFonts w:hint="eastAsia"/>
                <w:color w:val="auto"/>
                <w:sz w:val="24"/>
                <w:szCs w:val="24"/>
                <w:highlight w:val="none"/>
                <w:lang w:val="en-US" w:eastAsia="zh-CN"/>
              </w:rPr>
              <w:t>7</w:t>
            </w:r>
            <w:r>
              <w:rPr>
                <w:rFonts w:hint="eastAsia"/>
                <w:color w:val="auto"/>
                <w:sz w:val="24"/>
                <w:szCs w:val="24"/>
                <w:highlight w:val="none"/>
                <w:lang w:eastAsia="zh-CN"/>
              </w:rPr>
              <w:t>）</w:t>
            </w:r>
            <w:r>
              <w:rPr>
                <w:color w:val="auto"/>
                <w:sz w:val="24"/>
                <w:szCs w:val="24"/>
                <w:highlight w:val="none"/>
              </w:rPr>
              <w:t>标识标牌管理</w:t>
            </w:r>
          </w:p>
          <w:p w14:paraId="4AE7A5FB">
            <w:pPr>
              <w:pStyle w:val="7"/>
              <w:keepNext w:val="0"/>
              <w:keepLines w:val="0"/>
              <w:pageBreakBefore w:val="0"/>
              <w:kinsoku/>
              <w:wordWrap/>
              <w:overflowPunct/>
              <w:topLinePunct w:val="0"/>
              <w:autoSpaceDE/>
              <w:autoSpaceDN/>
              <w:bidi w:val="0"/>
              <w:adjustRightInd/>
              <w:spacing w:before="0" w:after="0" w:line="520" w:lineRule="exact"/>
              <w:ind w:right="0" w:firstLine="480" w:firstLineChars="200"/>
              <w:jc w:val="both"/>
              <w:textAlignment w:val="auto"/>
              <w:rPr>
                <w:color w:val="auto"/>
                <w:sz w:val="24"/>
                <w:szCs w:val="24"/>
                <w:highlight w:val="none"/>
              </w:rPr>
            </w:pPr>
            <w:r>
              <w:rPr>
                <w:color w:val="auto"/>
                <w:sz w:val="24"/>
                <w:szCs w:val="24"/>
                <w:highlight w:val="none"/>
              </w:rPr>
              <w:t>本项目危废间应根据《环境保护图形标志固体废物贮存（处置）场》（GB</w:t>
            </w:r>
            <w:r>
              <w:rPr>
                <w:rFonts w:ascii="Times New Roman" w:hAnsi="Times New Roman"/>
                <w:color w:val="auto"/>
                <w:sz w:val="24"/>
                <w:szCs w:val="24"/>
                <w:highlight w:val="none"/>
              </w:rPr>
              <w:t>15562</w:t>
            </w:r>
            <w:r>
              <w:rPr>
                <w:color w:val="auto"/>
                <w:sz w:val="24"/>
                <w:szCs w:val="24"/>
                <w:highlight w:val="none"/>
              </w:rPr>
              <w:t>.</w:t>
            </w:r>
            <w:r>
              <w:rPr>
                <w:rFonts w:ascii="Times New Roman" w:hAnsi="Times New Roman"/>
                <w:color w:val="auto"/>
                <w:sz w:val="24"/>
                <w:szCs w:val="24"/>
                <w:highlight w:val="none"/>
              </w:rPr>
              <w:t>2</w:t>
            </w:r>
            <w:r>
              <w:rPr>
                <w:color w:val="auto"/>
                <w:sz w:val="24"/>
                <w:szCs w:val="24"/>
                <w:highlight w:val="none"/>
              </w:rPr>
              <w:t>-</w:t>
            </w:r>
            <w:r>
              <w:rPr>
                <w:rFonts w:ascii="Times New Roman" w:hAnsi="Times New Roman"/>
                <w:color w:val="auto"/>
                <w:sz w:val="24"/>
                <w:szCs w:val="24"/>
                <w:highlight w:val="none"/>
              </w:rPr>
              <w:t>1995</w:t>
            </w:r>
            <w:r>
              <w:rPr>
                <w:color w:val="auto"/>
                <w:sz w:val="24"/>
                <w:szCs w:val="24"/>
                <w:highlight w:val="none"/>
              </w:rPr>
              <w:t>）中有关规定，设置</w:t>
            </w:r>
            <w:r>
              <w:rPr>
                <w:rFonts w:hint="eastAsia"/>
                <w:color w:val="auto"/>
                <w:sz w:val="24"/>
                <w:szCs w:val="24"/>
                <w:highlight w:val="none"/>
                <w:lang w:eastAsia="zh-CN"/>
              </w:rPr>
              <w:t>国家环保总局</w:t>
            </w:r>
            <w:r>
              <w:rPr>
                <w:color w:val="auto"/>
                <w:sz w:val="24"/>
                <w:szCs w:val="24"/>
                <w:highlight w:val="none"/>
              </w:rPr>
              <w:t>统一制作的环境保护图形标志牌。危废间图形标志见下表：</w:t>
            </w:r>
          </w:p>
          <w:p w14:paraId="6DB9873D">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b/>
                <w:bCs/>
                <w:color w:val="auto"/>
                <w:highlight w:val="none"/>
              </w:rPr>
            </w:pPr>
            <w:r>
              <w:rPr>
                <w:b/>
                <w:bCs/>
                <w:color w:val="auto"/>
                <w:highlight w:val="none"/>
              </w:rPr>
              <w:t>表</w:t>
            </w:r>
            <w:r>
              <w:rPr>
                <w:rFonts w:hint="eastAsia" w:ascii="Times New Roman" w:hAnsi="Times New Roman"/>
                <w:b/>
                <w:bCs/>
                <w:color w:val="auto"/>
                <w:highlight w:val="none"/>
                <w:lang w:val="en-US" w:eastAsia="zh-CN"/>
              </w:rPr>
              <w:t>4</w:t>
            </w:r>
            <w:r>
              <w:rPr>
                <w:rFonts w:hint="eastAsia"/>
                <w:b/>
                <w:bCs/>
                <w:color w:val="auto"/>
                <w:highlight w:val="none"/>
                <w:lang w:val="en-US" w:eastAsia="zh-CN"/>
              </w:rPr>
              <w:t>-14</w:t>
            </w:r>
            <w:r>
              <w:rPr>
                <w:b/>
                <w:bCs/>
                <w:color w:val="auto"/>
                <w:highlight w:val="none"/>
              </w:rPr>
              <w:t xml:space="preserve">    危废间的图形标志</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Layout w:type="fixed"/>
              <w:tblCellMar>
                <w:top w:w="0" w:type="dxa"/>
                <w:left w:w="108" w:type="dxa"/>
                <w:bottom w:w="0" w:type="dxa"/>
                <w:right w:w="108" w:type="dxa"/>
              </w:tblCellMar>
            </w:tblPr>
            <w:tblGrid>
              <w:gridCol w:w="1886"/>
              <w:gridCol w:w="1869"/>
              <w:gridCol w:w="1636"/>
              <w:gridCol w:w="2776"/>
            </w:tblGrid>
            <w:tr w14:paraId="0693F134">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CellMar>
                  <w:top w:w="0" w:type="dxa"/>
                  <w:left w:w="108" w:type="dxa"/>
                  <w:bottom w:w="0" w:type="dxa"/>
                  <w:right w:w="108" w:type="dxa"/>
                </w:tblCellMar>
              </w:tblPrEx>
              <w:trPr>
                <w:trHeight w:val="340" w:hRule="atLeast"/>
                <w:jc w:val="center"/>
              </w:trPr>
              <w:tc>
                <w:tcPr>
                  <w:tcW w:w="1154" w:type="pct"/>
                  <w:tcBorders>
                    <w:tl2br w:val="nil"/>
                    <w:tr2bl w:val="nil"/>
                  </w:tcBorders>
                  <w:noWrap w:val="0"/>
                  <w:vAlign w:val="center"/>
                </w:tcPr>
                <w:p w14:paraId="20E91A36">
                  <w:pPr>
                    <w:pStyle w:val="34"/>
                    <w:spacing w:line="240" w:lineRule="auto"/>
                    <w:rPr>
                      <w:rFonts w:hint="eastAsia"/>
                      <w:color w:val="auto"/>
                      <w:highlight w:val="none"/>
                    </w:rPr>
                  </w:pPr>
                  <w:r>
                    <w:rPr>
                      <w:rFonts w:hint="eastAsia"/>
                      <w:color w:val="auto"/>
                      <w:highlight w:val="none"/>
                    </w:rPr>
                    <w:t>提示图形符号</w:t>
                  </w:r>
                </w:p>
              </w:tc>
              <w:tc>
                <w:tcPr>
                  <w:tcW w:w="1144" w:type="pct"/>
                  <w:tcBorders>
                    <w:tl2br w:val="nil"/>
                    <w:tr2bl w:val="nil"/>
                  </w:tcBorders>
                  <w:noWrap w:val="0"/>
                  <w:vAlign w:val="center"/>
                </w:tcPr>
                <w:p w14:paraId="2D540147">
                  <w:pPr>
                    <w:pStyle w:val="34"/>
                    <w:spacing w:line="240" w:lineRule="auto"/>
                    <w:rPr>
                      <w:rFonts w:hint="eastAsia"/>
                      <w:color w:val="auto"/>
                      <w:highlight w:val="none"/>
                    </w:rPr>
                  </w:pPr>
                  <w:r>
                    <w:rPr>
                      <w:rFonts w:hint="eastAsia"/>
                      <w:color w:val="auto"/>
                      <w:highlight w:val="none"/>
                    </w:rPr>
                    <w:t>警告图形符号</w:t>
                  </w:r>
                </w:p>
              </w:tc>
              <w:tc>
                <w:tcPr>
                  <w:tcW w:w="1001" w:type="pct"/>
                  <w:tcBorders>
                    <w:tl2br w:val="nil"/>
                    <w:tr2bl w:val="nil"/>
                  </w:tcBorders>
                  <w:noWrap w:val="0"/>
                  <w:vAlign w:val="center"/>
                </w:tcPr>
                <w:p w14:paraId="69BFC5AB">
                  <w:pPr>
                    <w:pStyle w:val="34"/>
                    <w:spacing w:line="240" w:lineRule="auto"/>
                    <w:rPr>
                      <w:rFonts w:hint="eastAsia"/>
                      <w:color w:val="auto"/>
                      <w:highlight w:val="none"/>
                    </w:rPr>
                  </w:pPr>
                  <w:r>
                    <w:rPr>
                      <w:rFonts w:hint="eastAsia"/>
                      <w:color w:val="auto"/>
                      <w:highlight w:val="none"/>
                    </w:rPr>
                    <w:t>名称</w:t>
                  </w:r>
                </w:p>
              </w:tc>
              <w:tc>
                <w:tcPr>
                  <w:tcW w:w="1698" w:type="pct"/>
                  <w:tcBorders>
                    <w:tl2br w:val="nil"/>
                    <w:tr2bl w:val="nil"/>
                  </w:tcBorders>
                  <w:noWrap w:val="0"/>
                  <w:vAlign w:val="center"/>
                </w:tcPr>
                <w:p w14:paraId="3C810F46">
                  <w:pPr>
                    <w:pStyle w:val="34"/>
                    <w:spacing w:line="240" w:lineRule="auto"/>
                    <w:rPr>
                      <w:rFonts w:hint="eastAsia"/>
                      <w:color w:val="auto"/>
                      <w:highlight w:val="none"/>
                    </w:rPr>
                  </w:pPr>
                  <w:r>
                    <w:rPr>
                      <w:rFonts w:hint="eastAsia"/>
                      <w:color w:val="auto"/>
                      <w:highlight w:val="none"/>
                    </w:rPr>
                    <w:t>功能</w:t>
                  </w:r>
                </w:p>
              </w:tc>
            </w:tr>
            <w:tr w14:paraId="79413526">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CellMar>
                  <w:top w:w="0" w:type="dxa"/>
                  <w:left w:w="108" w:type="dxa"/>
                  <w:bottom w:w="0" w:type="dxa"/>
                  <w:right w:w="108" w:type="dxa"/>
                </w:tblCellMar>
              </w:tblPrEx>
              <w:trPr>
                <w:trHeight w:val="340" w:hRule="atLeast"/>
                <w:jc w:val="center"/>
              </w:trPr>
              <w:tc>
                <w:tcPr>
                  <w:tcW w:w="1154" w:type="pct"/>
                  <w:tcBorders>
                    <w:tl2br w:val="nil"/>
                    <w:tr2bl w:val="nil"/>
                  </w:tcBorders>
                  <w:noWrap w:val="0"/>
                  <w:vAlign w:val="center"/>
                </w:tcPr>
                <w:p w14:paraId="052FE3DA">
                  <w:pPr>
                    <w:pStyle w:val="34"/>
                    <w:spacing w:line="240" w:lineRule="auto"/>
                    <w:rPr>
                      <w:rFonts w:hint="eastAsia"/>
                      <w:color w:val="auto"/>
                      <w:highlight w:val="none"/>
                    </w:rPr>
                  </w:pPr>
                  <w:r>
                    <w:rPr>
                      <w:rFonts w:hint="default" w:ascii="Times New Roman" w:hAnsi="Times New Roman" w:eastAsia="宋体" w:cs="Times New Roman"/>
                      <w:color w:val="auto"/>
                      <w:szCs w:val="21"/>
                      <w:lang w:val="en-US" w:eastAsia="zh-CN"/>
                    </w:rPr>
                    <w:drawing>
                      <wp:inline distT="0" distB="0" distL="114300" distR="114300">
                        <wp:extent cx="1055370" cy="972185"/>
                        <wp:effectExtent l="0" t="0" r="11430" b="18415"/>
                        <wp:docPr id="21" name="图片 21" descr="微信截图_2023032911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截图_20230329111333"/>
                                <pic:cNvPicPr>
                                  <a:picLocks noChangeAspect="1"/>
                                </pic:cNvPicPr>
                              </pic:nvPicPr>
                              <pic:blipFill>
                                <a:blip r:embed="rId17"/>
                                <a:stretch>
                                  <a:fillRect/>
                                </a:stretch>
                              </pic:blipFill>
                              <pic:spPr>
                                <a:xfrm>
                                  <a:off x="0" y="0"/>
                                  <a:ext cx="1055370" cy="972185"/>
                                </a:xfrm>
                                <a:prstGeom prst="rect">
                                  <a:avLst/>
                                </a:prstGeom>
                                <a:noFill/>
                                <a:ln>
                                  <a:noFill/>
                                </a:ln>
                              </pic:spPr>
                            </pic:pic>
                          </a:graphicData>
                        </a:graphic>
                      </wp:inline>
                    </w:drawing>
                  </w:r>
                </w:p>
              </w:tc>
              <w:tc>
                <w:tcPr>
                  <w:tcW w:w="1144" w:type="pct"/>
                  <w:tcBorders>
                    <w:tl2br w:val="nil"/>
                    <w:tr2bl w:val="nil"/>
                  </w:tcBorders>
                  <w:noWrap w:val="0"/>
                  <w:vAlign w:val="center"/>
                </w:tcPr>
                <w:p w14:paraId="3768302A">
                  <w:pPr>
                    <w:pStyle w:val="34"/>
                    <w:spacing w:line="240" w:lineRule="auto"/>
                    <w:rPr>
                      <w:rFonts w:hint="eastAsia"/>
                      <w:color w:val="auto"/>
                      <w:highlight w:val="none"/>
                    </w:rPr>
                  </w:pPr>
                  <w:r>
                    <w:rPr>
                      <w:rFonts w:hint="default" w:ascii="Times New Roman" w:hAnsi="Times New Roman" w:eastAsia="宋体" w:cs="Times New Roman"/>
                      <w:color w:val="auto"/>
                      <w:szCs w:val="21"/>
                    </w:rPr>
                    <w:drawing>
                      <wp:inline distT="0" distB="0" distL="114300" distR="114300">
                        <wp:extent cx="1003935" cy="972185"/>
                        <wp:effectExtent l="0" t="0" r="5715" b="18415"/>
                        <wp:docPr id="19" name="图片 20" descr="C:\Users\26055\Desktop\危险废物贮存设施.png危险废物贮存设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0" descr="C:\Users\26055\Desktop\危险废物贮存设施.png危险废物贮存设施"/>
                                <pic:cNvPicPr>
                                  <a:picLocks noChangeAspect="1"/>
                                </pic:cNvPicPr>
                              </pic:nvPicPr>
                              <pic:blipFill>
                                <a:blip r:embed="rId18"/>
                                <a:stretch>
                                  <a:fillRect/>
                                </a:stretch>
                              </pic:blipFill>
                              <pic:spPr>
                                <a:xfrm>
                                  <a:off x="0" y="0"/>
                                  <a:ext cx="1003935" cy="972185"/>
                                </a:xfrm>
                                <a:prstGeom prst="rect">
                                  <a:avLst/>
                                </a:prstGeom>
                                <a:noFill/>
                                <a:ln>
                                  <a:noFill/>
                                </a:ln>
                              </pic:spPr>
                            </pic:pic>
                          </a:graphicData>
                        </a:graphic>
                      </wp:inline>
                    </w:drawing>
                  </w:r>
                </w:p>
              </w:tc>
              <w:tc>
                <w:tcPr>
                  <w:tcW w:w="1001" w:type="pct"/>
                  <w:tcBorders>
                    <w:tl2br w:val="nil"/>
                    <w:tr2bl w:val="nil"/>
                  </w:tcBorders>
                  <w:noWrap w:val="0"/>
                  <w:vAlign w:val="center"/>
                </w:tcPr>
                <w:p w14:paraId="2336A1E1">
                  <w:pPr>
                    <w:pStyle w:val="34"/>
                    <w:spacing w:line="240" w:lineRule="auto"/>
                    <w:rPr>
                      <w:rFonts w:hint="eastAsia"/>
                      <w:color w:val="auto"/>
                      <w:highlight w:val="none"/>
                    </w:rPr>
                  </w:pPr>
                  <w:r>
                    <w:rPr>
                      <w:rFonts w:hint="eastAsia"/>
                      <w:color w:val="auto"/>
                      <w:highlight w:val="none"/>
                    </w:rPr>
                    <w:t>危险废物</w:t>
                  </w:r>
                </w:p>
              </w:tc>
              <w:tc>
                <w:tcPr>
                  <w:tcW w:w="1698" w:type="pct"/>
                  <w:tcBorders>
                    <w:tl2br w:val="nil"/>
                    <w:tr2bl w:val="nil"/>
                  </w:tcBorders>
                  <w:noWrap w:val="0"/>
                  <w:vAlign w:val="center"/>
                </w:tcPr>
                <w:p w14:paraId="27A42D17">
                  <w:pPr>
                    <w:pStyle w:val="34"/>
                    <w:spacing w:line="240" w:lineRule="auto"/>
                    <w:rPr>
                      <w:rFonts w:hint="eastAsia"/>
                      <w:color w:val="auto"/>
                      <w:highlight w:val="none"/>
                    </w:rPr>
                  </w:pPr>
                  <w:r>
                    <w:rPr>
                      <w:rFonts w:hint="eastAsia"/>
                      <w:color w:val="auto"/>
                      <w:highlight w:val="none"/>
                    </w:rPr>
                    <w:t>表示危险废物贮存、处置场</w:t>
                  </w:r>
                </w:p>
              </w:tc>
            </w:tr>
          </w:tbl>
          <w:p w14:paraId="148CCE3E">
            <w:pPr>
              <w:keepNext w:val="0"/>
              <w:keepLines w:val="0"/>
              <w:pageBreakBefore w:val="0"/>
              <w:widowControl/>
              <w:suppressLineNumbers w:val="0"/>
              <w:kinsoku/>
              <w:wordWrap/>
              <w:overflowPunct/>
              <w:topLinePunct w:val="0"/>
              <w:autoSpaceDE/>
              <w:autoSpaceDN/>
              <w:bidi w:val="0"/>
              <w:adjustRightInd/>
              <w:snapToGrid/>
              <w:spacing w:line="520" w:lineRule="exact"/>
              <w:ind w:leftChars="0" w:firstLine="480" w:firstLineChars="200"/>
              <w:jc w:val="both"/>
              <w:textAlignment w:val="auto"/>
              <w:rPr>
                <w:rFonts w:hint="default"/>
                <w:color w:val="auto"/>
                <w:sz w:val="24"/>
                <w:szCs w:val="32"/>
                <w:highlight w:val="none"/>
                <w:lang w:val="en-US" w:eastAsia="zh-CN"/>
              </w:rPr>
            </w:pPr>
            <w:r>
              <w:rPr>
                <w:rFonts w:hint="default"/>
                <w:color w:val="auto"/>
                <w:sz w:val="24"/>
                <w:szCs w:val="32"/>
                <w:highlight w:val="none"/>
                <w:lang w:val="en-US" w:eastAsia="zh-CN"/>
              </w:rPr>
              <w:t>综上，</w:t>
            </w:r>
            <w:r>
              <w:rPr>
                <w:rFonts w:hint="eastAsia"/>
                <w:color w:val="auto"/>
                <w:sz w:val="24"/>
                <w:szCs w:val="32"/>
                <w:highlight w:val="none"/>
                <w:lang w:val="en-US" w:eastAsia="zh-CN"/>
              </w:rPr>
              <w:t>本项目</w:t>
            </w:r>
            <w:r>
              <w:rPr>
                <w:rFonts w:hint="default"/>
                <w:color w:val="auto"/>
                <w:sz w:val="24"/>
                <w:szCs w:val="32"/>
                <w:highlight w:val="none"/>
                <w:lang w:val="en-US" w:eastAsia="zh-CN"/>
              </w:rPr>
              <w:t>按照《危险废物贮存污染控制标准》（GB</w:t>
            </w:r>
            <w:r>
              <w:rPr>
                <w:rFonts w:hint="default" w:ascii="Times New Roman" w:hAnsi="Times New Roman"/>
                <w:color w:val="auto"/>
                <w:sz w:val="24"/>
                <w:szCs w:val="32"/>
                <w:highlight w:val="none"/>
                <w:lang w:val="en-US" w:eastAsia="zh-CN"/>
              </w:rPr>
              <w:t>18597</w:t>
            </w:r>
            <w:r>
              <w:rPr>
                <w:rFonts w:hint="default"/>
                <w:color w:val="auto"/>
                <w:sz w:val="24"/>
                <w:szCs w:val="32"/>
                <w:highlight w:val="none"/>
                <w:lang w:val="en-US" w:eastAsia="zh-CN"/>
              </w:rPr>
              <w:t>-</w:t>
            </w:r>
            <w:r>
              <w:rPr>
                <w:rFonts w:hint="eastAsia" w:ascii="Times New Roman" w:hAnsi="Times New Roman"/>
                <w:color w:val="auto"/>
                <w:sz w:val="24"/>
                <w:szCs w:val="32"/>
                <w:highlight w:val="none"/>
                <w:lang w:val="en-US" w:eastAsia="zh-CN"/>
              </w:rPr>
              <w:t>2023）</w:t>
            </w:r>
            <w:r>
              <w:rPr>
                <w:rFonts w:hint="default"/>
                <w:color w:val="auto"/>
                <w:sz w:val="24"/>
                <w:szCs w:val="32"/>
                <w:highlight w:val="none"/>
                <w:lang w:val="en-US" w:eastAsia="zh-CN"/>
              </w:rPr>
              <w:t>相关要求进行</w:t>
            </w:r>
            <w:r>
              <w:rPr>
                <w:rFonts w:hint="eastAsia"/>
                <w:color w:val="auto"/>
                <w:sz w:val="24"/>
                <w:szCs w:val="32"/>
                <w:highlight w:val="none"/>
                <w:lang w:val="en-US" w:eastAsia="zh-CN"/>
              </w:rPr>
              <w:t>建设</w:t>
            </w:r>
            <w:r>
              <w:rPr>
                <w:rFonts w:hint="default"/>
                <w:color w:val="auto"/>
                <w:sz w:val="24"/>
                <w:szCs w:val="32"/>
                <w:highlight w:val="none"/>
                <w:lang w:val="en-US" w:eastAsia="zh-CN"/>
              </w:rPr>
              <w:t>，危险废物委托有危废处置资质的单位处理，不混入生活垃圾或随意丢弃，项目运营期产生的危险废物妥善处理后对周边环境影响较小。</w:t>
            </w:r>
          </w:p>
          <w:p w14:paraId="5BA77DAC">
            <w:pPr>
              <w:keepNext w:val="0"/>
              <w:keepLines w:val="0"/>
              <w:pageBreakBefore w:val="0"/>
              <w:kinsoku/>
              <w:wordWrap/>
              <w:autoSpaceDE w:val="0"/>
              <w:autoSpaceDN w:val="0"/>
              <w:bidi w:val="0"/>
              <w:spacing w:line="520" w:lineRule="exact"/>
              <w:ind w:firstLine="480" w:firstLineChars="200"/>
              <w:jc w:val="both"/>
              <w:textAlignment w:val="auto"/>
              <w:rPr>
                <w:color w:val="auto"/>
                <w:sz w:val="24"/>
              </w:rPr>
            </w:pPr>
            <w:r>
              <w:rPr>
                <w:color w:val="auto"/>
                <w:sz w:val="24"/>
              </w:rPr>
              <w:t>本项目对厂区可能</w:t>
            </w:r>
            <w:r>
              <w:rPr>
                <w:rFonts w:hint="eastAsia"/>
                <w:color w:val="auto"/>
                <w:sz w:val="24"/>
                <w:lang w:eastAsia="zh-CN"/>
              </w:rPr>
              <w:t>泄漏</w:t>
            </w:r>
            <w:r>
              <w:rPr>
                <w:color w:val="auto"/>
                <w:sz w:val="24"/>
              </w:rPr>
              <w:t>污染物的地面进行防渗处理，可有效</w:t>
            </w:r>
            <w:r>
              <w:rPr>
                <w:rFonts w:hint="eastAsia"/>
                <w:color w:val="auto"/>
                <w:sz w:val="24"/>
                <w:lang w:eastAsia="zh-CN"/>
              </w:rPr>
              <w:t>防止</w:t>
            </w:r>
            <w:r>
              <w:rPr>
                <w:color w:val="auto"/>
                <w:sz w:val="24"/>
              </w:rPr>
              <w:t>污染物渗入地下及土壤，并及时将渗漏、泄漏的污染物收集并进行集中处理。依据地下水导则中相关分区防控措施，结合项目的性质、包气带岩性结构、污染控制难易程度及地下水环境风险，按照重点防渗区、简单防渗区和一般污染防渗区进行分区防渗，防渗层结构依据不同防渗区要求单独使用一种材料或者多种材料结合使用。根据本项目特点，环评要求项目采取的防渗措施包括：</w:t>
            </w:r>
          </w:p>
          <w:p w14:paraId="4AC37FB0">
            <w:pPr>
              <w:keepNext w:val="0"/>
              <w:keepLines w:val="0"/>
              <w:pageBreakBefore w:val="0"/>
              <w:kinsoku/>
              <w:wordWrap/>
              <w:bidi w:val="0"/>
              <w:spacing w:line="520" w:lineRule="exact"/>
              <w:ind w:firstLine="480" w:firstLineChars="200"/>
              <w:jc w:val="both"/>
              <w:textAlignment w:val="auto"/>
              <w:rPr>
                <w:rFonts w:hint="default" w:eastAsia="宋体"/>
                <w:color w:val="auto"/>
                <w:sz w:val="24"/>
                <w:highlight w:val="none"/>
                <w:lang w:val="en-US" w:eastAsia="zh-CN"/>
              </w:rPr>
            </w:pPr>
            <w:r>
              <w:rPr>
                <w:color w:val="auto"/>
                <w:sz w:val="24"/>
                <w:highlight w:val="none"/>
              </w:rPr>
              <w:t>简单防渗区：</w:t>
            </w:r>
            <w:r>
              <w:rPr>
                <w:rFonts w:hint="eastAsia"/>
                <w:color w:val="auto"/>
                <w:sz w:val="24"/>
                <w:highlight w:val="none"/>
                <w:lang w:val="en-US" w:eastAsia="zh-CN"/>
              </w:rPr>
              <w:t>生活区进行简单硬化防渗。</w:t>
            </w:r>
          </w:p>
          <w:p w14:paraId="5EA51A5E">
            <w:pPr>
              <w:keepNext w:val="0"/>
              <w:keepLines w:val="0"/>
              <w:pageBreakBefore w:val="0"/>
              <w:kinsoku/>
              <w:wordWrap/>
              <w:bidi w:val="0"/>
              <w:spacing w:line="520" w:lineRule="exact"/>
              <w:ind w:firstLine="480" w:firstLineChars="200"/>
              <w:jc w:val="both"/>
              <w:textAlignment w:val="auto"/>
              <w:rPr>
                <w:rFonts w:hint="default" w:ascii="Times New Roman" w:hAnsi="Times New Roman" w:cs="Times New Roman"/>
                <w:color w:val="auto"/>
                <w:sz w:val="24"/>
                <w:highlight w:val="none"/>
                <w:vertAlign w:val="baseline"/>
                <w:lang w:val="en-US" w:eastAsia="zh-CN"/>
              </w:rPr>
            </w:pPr>
            <w:r>
              <w:rPr>
                <w:rFonts w:hint="default" w:ascii="Times New Roman" w:hAnsi="Times New Roman" w:cs="Times New Roman"/>
                <w:color w:val="auto"/>
                <w:sz w:val="24"/>
                <w:highlight w:val="none"/>
                <w:lang w:val="en-US" w:eastAsia="zh-CN"/>
              </w:rPr>
              <w:t>一般防渗区：生产车间采用水泥硬化防渗，要求防渗性能达到渗透系数＜10</w:t>
            </w:r>
            <w:r>
              <w:rPr>
                <w:rFonts w:hint="default" w:ascii="Times New Roman" w:hAnsi="Times New Roman" w:cs="Times New Roman"/>
                <w:color w:val="auto"/>
                <w:sz w:val="24"/>
                <w:highlight w:val="none"/>
                <w:vertAlign w:val="superscript"/>
                <w:lang w:val="en-US" w:eastAsia="zh-CN"/>
              </w:rPr>
              <w:t>-7</w:t>
            </w:r>
            <w:r>
              <w:rPr>
                <w:rFonts w:hint="default" w:ascii="Times New Roman" w:hAnsi="Times New Roman" w:cs="Times New Roman"/>
                <w:color w:val="auto"/>
                <w:sz w:val="24"/>
                <w:highlight w:val="none"/>
                <w:vertAlign w:val="baseline"/>
                <w:lang w:val="en-US" w:eastAsia="zh-CN"/>
              </w:rPr>
              <w:t>cm/s的防渗性能。</w:t>
            </w:r>
          </w:p>
          <w:p w14:paraId="2CD29FDD">
            <w:pPr>
              <w:keepNext w:val="0"/>
              <w:keepLines w:val="0"/>
              <w:pageBreakBefore w:val="0"/>
              <w:kinsoku/>
              <w:wordWrap/>
              <w:bidi w:val="0"/>
              <w:spacing w:line="520" w:lineRule="exact"/>
              <w:ind w:firstLine="480" w:firstLineChars="200"/>
              <w:jc w:val="both"/>
              <w:textAlignment w:val="auto"/>
              <w:rPr>
                <w:rFonts w:hint="default" w:ascii="Times New Roman" w:hAnsi="Times New Roman" w:cs="Times New Roman"/>
                <w:color w:val="auto"/>
                <w:sz w:val="24"/>
                <w:highlight w:val="none"/>
                <w:vertAlign w:val="baseline"/>
                <w:lang w:val="en-US"/>
              </w:rPr>
            </w:pPr>
            <w:r>
              <w:rPr>
                <w:rFonts w:hint="default" w:ascii="Times New Roman" w:hAnsi="Times New Roman" w:cs="Times New Roman"/>
                <w:color w:val="auto"/>
                <w:sz w:val="24"/>
                <w:highlight w:val="none"/>
                <w:vertAlign w:val="baseline"/>
                <w:lang w:val="en-US" w:eastAsia="zh-CN"/>
              </w:rPr>
              <w:t>重点防渗区：危废暂存间区域地面全部硬化，底部和四壁均先采用三合土打底，再铺设20cm水泥，表面均匀涂刷2层防渗胶层，确保防渗系数达到1×10</w:t>
            </w:r>
            <w:r>
              <w:rPr>
                <w:rFonts w:hint="default" w:ascii="Times New Roman" w:hAnsi="Times New Roman" w:cs="Times New Roman"/>
                <w:color w:val="auto"/>
                <w:sz w:val="24"/>
                <w:highlight w:val="none"/>
                <w:vertAlign w:val="superscript"/>
                <w:lang w:val="en-US" w:eastAsia="zh-CN"/>
              </w:rPr>
              <w:t>-10</w:t>
            </w:r>
            <w:r>
              <w:rPr>
                <w:rFonts w:hint="default" w:ascii="Times New Roman" w:hAnsi="Times New Roman" w:cs="Times New Roman"/>
                <w:color w:val="auto"/>
                <w:sz w:val="24"/>
                <w:highlight w:val="none"/>
                <w:vertAlign w:val="baseline"/>
                <w:lang w:val="en-US" w:eastAsia="zh-CN"/>
              </w:rPr>
              <w:t>cm/s以下。项目危废暂存间严格按照《危险废物贮存污染控制标准》（GB18597-2023）中有关规定进行建设和防渗处置。生活污水收集池防渗层至少为1m厚黏土层（渗透系数≤10</w:t>
            </w:r>
            <w:r>
              <w:rPr>
                <w:rFonts w:hint="default" w:ascii="Times New Roman" w:hAnsi="Times New Roman" w:cs="Times New Roman"/>
                <w:color w:val="auto"/>
                <w:sz w:val="24"/>
                <w:highlight w:val="none"/>
                <w:vertAlign w:val="superscript"/>
                <w:lang w:val="en-US" w:eastAsia="zh-CN"/>
              </w:rPr>
              <w:t>-7</w:t>
            </w:r>
            <w:r>
              <w:rPr>
                <w:rFonts w:hint="default" w:ascii="Times New Roman" w:hAnsi="Times New Roman" w:cs="Times New Roman"/>
                <w:color w:val="auto"/>
                <w:sz w:val="24"/>
                <w:highlight w:val="none"/>
                <w:vertAlign w:val="baseline"/>
                <w:lang w:val="en-US" w:eastAsia="zh-CN"/>
              </w:rPr>
              <w:t>cm/s），或2mm厚高密度聚乙烯，或至少2mm厚的其他人工材料，渗透系数≤10</w:t>
            </w:r>
            <w:r>
              <w:rPr>
                <w:rFonts w:hint="default" w:ascii="Times New Roman" w:hAnsi="Times New Roman" w:cs="Times New Roman"/>
                <w:color w:val="auto"/>
                <w:sz w:val="24"/>
                <w:highlight w:val="none"/>
                <w:vertAlign w:val="superscript"/>
                <w:lang w:val="en-US" w:eastAsia="zh-CN"/>
              </w:rPr>
              <w:t>-10</w:t>
            </w:r>
            <w:r>
              <w:rPr>
                <w:rFonts w:hint="default" w:ascii="Times New Roman" w:hAnsi="Times New Roman" w:cs="Times New Roman"/>
                <w:color w:val="auto"/>
                <w:sz w:val="24"/>
                <w:highlight w:val="none"/>
                <w:vertAlign w:val="baseline"/>
                <w:lang w:val="en-US" w:eastAsia="zh-CN"/>
              </w:rPr>
              <w:t>cm/s。</w:t>
            </w:r>
          </w:p>
          <w:p w14:paraId="421D16A7">
            <w:pPr>
              <w:keepNext w:val="0"/>
              <w:keepLines w:val="0"/>
              <w:pageBreakBefore w:val="0"/>
              <w:kinsoku/>
              <w:wordWrap/>
              <w:bidi w:val="0"/>
              <w:spacing w:line="520" w:lineRule="exact"/>
              <w:ind w:firstLine="480" w:firstLineChars="200"/>
              <w:jc w:val="both"/>
              <w:textAlignment w:val="auto"/>
              <w:rPr>
                <w:color w:val="auto"/>
                <w:sz w:val="24"/>
                <w:highlight w:val="none"/>
              </w:rPr>
            </w:pPr>
            <w:r>
              <w:rPr>
                <w:color w:val="auto"/>
                <w:sz w:val="24"/>
                <w:highlight w:val="none"/>
              </w:rPr>
              <w:t>在认真采取以上措施的基础上，一旦发生溢出与渗漏事故，渗漏物质将由于防渗层的保护作用，积聚在地面上，不会对地下水及土壤造成影响。</w:t>
            </w:r>
          </w:p>
          <w:p w14:paraId="68C5A367">
            <w:pPr>
              <w:keepNext w:val="0"/>
              <w:keepLines w:val="0"/>
              <w:pageBreakBefore w:val="0"/>
              <w:numPr>
                <w:ilvl w:val="0"/>
                <w:numId w:val="13"/>
              </w:numPr>
              <w:kinsoku/>
              <w:wordWrap/>
              <w:overflowPunct w:val="0"/>
              <w:bidi w:val="0"/>
              <w:spacing w:line="520" w:lineRule="exact"/>
              <w:ind w:left="0" w:leftChars="0" w:firstLine="0" w:firstLineChars="0"/>
              <w:jc w:val="both"/>
              <w:textAlignment w:val="auto"/>
              <w:rPr>
                <w:b/>
                <w:bCs/>
                <w:color w:val="auto"/>
                <w:sz w:val="24"/>
              </w:rPr>
            </w:pPr>
            <w:r>
              <w:rPr>
                <w:b/>
                <w:bCs/>
                <w:color w:val="auto"/>
                <w:sz w:val="24"/>
              </w:rPr>
              <w:t>环境风险分析</w:t>
            </w:r>
          </w:p>
          <w:p w14:paraId="5766AB39">
            <w:pPr>
              <w:keepNext w:val="0"/>
              <w:keepLines w:val="0"/>
              <w:pageBreakBefore w:val="0"/>
              <w:kinsoku/>
              <w:wordWrap/>
              <w:bidi w:val="0"/>
              <w:spacing w:line="520" w:lineRule="exact"/>
              <w:ind w:firstLine="480" w:firstLineChars="200"/>
              <w:jc w:val="both"/>
              <w:textAlignment w:val="auto"/>
              <w:rPr>
                <w:rFonts w:hint="default" w:ascii="Times New Roman" w:hAnsi="Times New Roman" w:eastAsia="宋体" w:cs="Times New Roman"/>
                <w:color w:val="auto"/>
                <w:sz w:val="24"/>
                <w:szCs w:val="24"/>
                <w:lang w:val="en-US"/>
              </w:rPr>
            </w:pPr>
            <w:r>
              <w:rPr>
                <w:rFonts w:hint="eastAsia" w:ascii="宋体" w:hAnsi="宋体" w:eastAsia="宋体" w:cs="宋体"/>
                <w:color w:val="auto"/>
                <w:sz w:val="24"/>
                <w:szCs w:val="24"/>
                <w:lang w:val="en-US"/>
              </w:rPr>
              <w:t>环境风险评价的目的是分析和预测建设项目存在的潜在危险、有害因素，建设项目建设和运行期间可能发生的突发性事件或事故（一般不包括人为破坏及自然灾害），引起有毒有害和易燃易爆等物质泄漏，所造成的人身安全与环</w:t>
            </w:r>
            <w:r>
              <w:rPr>
                <w:rFonts w:hint="default" w:ascii="Times New Roman" w:hAnsi="Times New Roman" w:eastAsia="宋体" w:cs="Times New Roman"/>
                <w:color w:val="auto"/>
                <w:sz w:val="24"/>
                <w:szCs w:val="24"/>
                <w:lang w:val="en-US"/>
              </w:rPr>
              <w:t>境影响和损害程度，提出合理可行的防范、应急与减缓措施，使建设项目风险</w:t>
            </w:r>
            <w:r>
              <w:rPr>
                <w:rFonts w:hint="eastAsia" w:cs="Times New Roman"/>
                <w:color w:val="auto"/>
                <w:sz w:val="24"/>
                <w:szCs w:val="24"/>
                <w:lang w:val="en-US" w:eastAsia="zh-CN"/>
              </w:rPr>
              <w:t>事故</w:t>
            </w:r>
            <w:r>
              <w:rPr>
                <w:rFonts w:hint="default" w:ascii="Times New Roman" w:hAnsi="Times New Roman" w:eastAsia="宋体" w:cs="Times New Roman"/>
                <w:color w:val="auto"/>
                <w:sz w:val="24"/>
                <w:szCs w:val="24"/>
                <w:lang w:val="en-US"/>
              </w:rPr>
              <w:t>率、损失和环境影响能够达到可接受水平。</w:t>
            </w:r>
          </w:p>
          <w:p w14:paraId="59CDAE51">
            <w:pPr>
              <w:keepNext w:val="0"/>
              <w:keepLines w:val="0"/>
              <w:pageBreakBefore w:val="0"/>
              <w:widowControl/>
              <w:suppressLineNumbers w:val="0"/>
              <w:kinsoku/>
              <w:wordWrap/>
              <w:bidi w:val="0"/>
              <w:spacing w:line="520" w:lineRule="exact"/>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kern w:val="0"/>
                <w:sz w:val="24"/>
                <w:szCs w:val="24"/>
                <w:lang w:val="en-US" w:eastAsia="zh-CN" w:bidi="ar"/>
              </w:rPr>
              <w:t>6.1</w:t>
            </w:r>
            <w:r>
              <w:rPr>
                <w:rFonts w:hint="eastAsia" w:cs="Times New Roman"/>
                <w:b/>
                <w:bCs/>
                <w:color w:val="auto"/>
                <w:kern w:val="0"/>
                <w:sz w:val="24"/>
                <w:szCs w:val="24"/>
                <w:lang w:val="en-US" w:eastAsia="zh-CN" w:bidi="ar"/>
              </w:rPr>
              <w:t xml:space="preserve"> </w:t>
            </w:r>
            <w:r>
              <w:rPr>
                <w:rFonts w:hint="default" w:ascii="Times New Roman" w:hAnsi="Times New Roman" w:eastAsia="宋体" w:cs="Times New Roman"/>
                <w:b/>
                <w:bCs/>
                <w:color w:val="auto"/>
                <w:kern w:val="0"/>
                <w:sz w:val="24"/>
                <w:szCs w:val="24"/>
                <w:lang w:val="en-US" w:eastAsia="zh-CN" w:bidi="ar"/>
              </w:rPr>
              <w:t xml:space="preserve">风险调查、风险潜势初判及评价等级 </w:t>
            </w:r>
          </w:p>
          <w:p w14:paraId="4CE5EDC8">
            <w:pPr>
              <w:keepNext w:val="0"/>
              <w:keepLines w:val="0"/>
              <w:pageBreakBefore w:val="0"/>
              <w:widowControl/>
              <w:kinsoku/>
              <w:wordWrap/>
              <w:topLinePunct/>
              <w:bidi w:val="0"/>
              <w:adjustRightInd w:val="0"/>
              <w:snapToGrid w:val="0"/>
              <w:spacing w:line="520" w:lineRule="exact"/>
              <w:ind w:firstLine="480" w:firstLineChars="200"/>
              <w:jc w:val="both"/>
              <w:textAlignment w:val="auto"/>
              <w:rPr>
                <w:rFonts w:ascii="Times New Roman"/>
                <w:color w:val="auto"/>
                <w:sz w:val="24"/>
                <w:szCs w:val="24"/>
              </w:rPr>
            </w:pPr>
            <w:r>
              <w:rPr>
                <w:rFonts w:hint="default" w:ascii="Times New Roman" w:hAnsi="Times New Roman" w:eastAsia="宋体" w:cs="Times New Roman"/>
                <w:color w:val="auto"/>
                <w:kern w:val="0"/>
                <w:sz w:val="24"/>
                <w:szCs w:val="24"/>
                <w:lang w:val="en-US" w:eastAsia="zh-CN" w:bidi="ar"/>
              </w:rPr>
              <w:t>根据《建设项目环境风险评价技术导则》（HJ169-2018）中附录 B 中的危险物质</w:t>
            </w:r>
            <w:r>
              <w:rPr>
                <w:rFonts w:ascii="Times New Roman"/>
                <w:color w:val="auto"/>
                <w:sz w:val="24"/>
                <w:szCs w:val="24"/>
                <w:lang w:bidi="ar"/>
              </w:rPr>
              <w:t>。</w:t>
            </w:r>
          </w:p>
          <w:p w14:paraId="2DB5784B">
            <w:pPr>
              <w:keepNext w:val="0"/>
              <w:keepLines w:val="0"/>
              <w:pageBreakBefore w:val="0"/>
              <w:widowControl/>
              <w:kinsoku/>
              <w:wordWrap/>
              <w:topLinePunct/>
              <w:bidi w:val="0"/>
              <w:adjustRightInd w:val="0"/>
              <w:snapToGrid w:val="0"/>
              <w:spacing w:line="520" w:lineRule="exact"/>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根据识别，本项目的主要风险源为</w:t>
            </w:r>
            <w:r>
              <w:rPr>
                <w:rFonts w:hint="eastAsia" w:cs="Times New Roman"/>
                <w:color w:val="auto"/>
                <w:kern w:val="0"/>
                <w:sz w:val="24"/>
                <w:szCs w:val="24"/>
                <w:lang w:val="en-US" w:eastAsia="zh-CN" w:bidi="ar"/>
              </w:rPr>
              <w:t>设备保养产生的废润滑油</w:t>
            </w:r>
            <w:r>
              <w:rPr>
                <w:rFonts w:hint="default" w:ascii="Times New Roman" w:hAnsi="Times New Roman" w:eastAsia="宋体" w:cs="Times New Roman"/>
                <w:color w:val="auto"/>
                <w:kern w:val="0"/>
                <w:sz w:val="24"/>
                <w:szCs w:val="24"/>
                <w:lang w:val="en-US" w:eastAsia="zh-CN" w:bidi="ar"/>
              </w:rPr>
              <w:t>。根据风险调查需要分析计算的危险物质，其临界量可按表B.2中推荐值选取，其主要风险因素为生产过程中产生的泄漏等。</w:t>
            </w:r>
          </w:p>
          <w:p w14:paraId="64FECCC9">
            <w:pPr>
              <w:keepNext w:val="0"/>
              <w:keepLines w:val="0"/>
              <w:pageBreakBefore w:val="0"/>
              <w:widowControl/>
              <w:kinsoku/>
              <w:wordWrap/>
              <w:topLinePunct/>
              <w:bidi w:val="0"/>
              <w:adjustRightInd w:val="0"/>
              <w:snapToGrid w:val="0"/>
              <w:spacing w:line="520" w:lineRule="exact"/>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重大危险源的识别依据《危险化学品重大危险源辨识》（GB18218-2018）有关危险物质的定义和储存的临界量来判断。</w:t>
            </w:r>
          </w:p>
          <w:p w14:paraId="239226BB">
            <w:pPr>
              <w:keepNext w:val="0"/>
              <w:keepLines w:val="0"/>
              <w:pageBreakBefore w:val="0"/>
              <w:widowControl/>
              <w:kinsoku/>
              <w:wordWrap/>
              <w:topLinePunct/>
              <w:bidi w:val="0"/>
              <w:adjustRightInd w:val="0"/>
              <w:snapToGrid w:val="0"/>
              <w:spacing w:line="520" w:lineRule="exact"/>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（1）生产单元、储存单元内存在的危险化学品为单一品种，该危险化学品的数量</w:t>
            </w:r>
            <w:r>
              <w:rPr>
                <w:rFonts w:hint="eastAsia" w:cs="Times New Roman"/>
                <w:color w:val="auto"/>
                <w:kern w:val="0"/>
                <w:sz w:val="24"/>
                <w:szCs w:val="24"/>
                <w:lang w:val="en-US" w:eastAsia="zh-CN" w:bidi="ar"/>
              </w:rPr>
              <w:t>即</w:t>
            </w:r>
            <w:r>
              <w:rPr>
                <w:rFonts w:hint="default" w:ascii="Times New Roman" w:hAnsi="Times New Roman" w:eastAsia="宋体" w:cs="Times New Roman"/>
                <w:color w:val="auto"/>
                <w:kern w:val="0"/>
                <w:sz w:val="24"/>
                <w:szCs w:val="24"/>
                <w:lang w:val="en-US" w:eastAsia="zh-CN" w:bidi="ar"/>
              </w:rPr>
              <w:t>为单元内危险化学品的总量，若等于或超过相应的临界量，则定为重大危险源。</w:t>
            </w:r>
          </w:p>
          <w:p w14:paraId="32D0F7EA">
            <w:pPr>
              <w:keepNext w:val="0"/>
              <w:keepLines w:val="0"/>
              <w:pageBreakBefore w:val="0"/>
              <w:widowControl/>
              <w:kinsoku/>
              <w:wordWrap/>
              <w:topLinePunct/>
              <w:bidi w:val="0"/>
              <w:adjustRightInd w:val="0"/>
              <w:snapToGrid w:val="0"/>
              <w:spacing w:line="520" w:lineRule="exact"/>
              <w:ind w:firstLine="480" w:firstLineChars="200"/>
              <w:jc w:val="both"/>
              <w:textAlignment w:val="auto"/>
              <w:rPr>
                <w:color w:val="auto"/>
                <w:sz w:val="24"/>
              </w:rPr>
            </w:pPr>
            <w:r>
              <w:rPr>
                <w:rFonts w:hint="default" w:ascii="Times New Roman" w:hAnsi="Times New Roman" w:eastAsia="宋体" w:cs="Times New Roman"/>
                <w:color w:val="auto"/>
                <w:kern w:val="0"/>
                <w:sz w:val="24"/>
                <w:szCs w:val="24"/>
                <w:lang w:val="en-US" w:eastAsia="zh-CN" w:bidi="ar"/>
              </w:rPr>
              <w:t>（2）生产单元、储存单元内存在的危险化学品为多品种时，则按式（1）计算，若满足式（1），则定为重大危险源；</w:t>
            </w:r>
          </w:p>
          <w:p w14:paraId="7E953E10">
            <w:pPr>
              <w:keepNext/>
              <w:keepLines/>
              <w:pageBreakBefore w:val="0"/>
              <w:widowControl/>
              <w:kinsoku/>
              <w:wordWrap/>
              <w:bidi w:val="0"/>
              <w:spacing w:line="520" w:lineRule="exact"/>
              <w:textAlignment w:val="auto"/>
              <w:outlineLvl w:val="2"/>
              <w:rPr>
                <w:b/>
                <w:bCs/>
                <w:color w:val="auto"/>
                <w:kern w:val="0"/>
                <w:sz w:val="24"/>
                <w:szCs w:val="22"/>
              </w:rPr>
            </w:pPr>
            <w:r>
              <w:rPr>
                <w:b/>
                <w:bCs/>
                <w:color w:val="auto"/>
                <w:kern w:val="0"/>
                <w:position w:val="-10"/>
                <w:sz w:val="28"/>
                <w:szCs w:val="28"/>
              </w:rPr>
              <w:pict>
                <v:shape id="Object 2" o:spid="_x0000_s1026" o:spt="75" type="#_x0000_t75" style="position:absolute;left:0pt;margin-left:96.1pt;margin-top:3.9pt;height:18.4pt;width:213.95pt;mso-wrap-distance-bottom:0pt;mso-wrap-distance-left:9pt;mso-wrap-distance-right:9pt;mso-wrap-distance-top:0pt;z-index:-251657216;mso-width-relative:page;mso-height-relative:page;" o:ole="t" filled="f" o:preferrelative="t" stroked="f" coordsize="21600,21600">
                  <v:path/>
                  <v:fill on="f" focussize="0,0"/>
                  <v:stroke on="f"/>
                  <v:imagedata r:id="rId20" o:title=""/>
                  <o:lock v:ext="edit" aspectratio="t"/>
                  <w10:wrap type="square"/>
                </v:shape>
                <o:OLEObject Type="Embed" ProgID="" ShapeID="Object 2" DrawAspect="Content" ObjectID="_1468075728" r:id="rId19">
                  <o:LockedField>false</o:LockedField>
                </o:OLEObject>
              </w:pict>
            </w:r>
            <w:r>
              <w:rPr>
                <w:b/>
                <w:bCs/>
                <w:color w:val="auto"/>
                <w:kern w:val="0"/>
                <w:sz w:val="30"/>
                <w:szCs w:val="30"/>
              </w:rPr>
              <w:t xml:space="preserve"> </w:t>
            </w:r>
          </w:p>
          <w:p w14:paraId="5F1839F7">
            <w:pPr>
              <w:pageBreakBefore w:val="0"/>
              <w:kinsoku/>
              <w:wordWrap/>
              <w:overflowPunct w:val="0"/>
              <w:bidi w:val="0"/>
              <w:spacing w:line="520" w:lineRule="exact"/>
              <w:textAlignment w:val="auto"/>
              <w:rPr>
                <w:color w:val="auto"/>
                <w:kern w:val="0"/>
                <w:sz w:val="24"/>
                <w:szCs w:val="22"/>
              </w:rPr>
            </w:pPr>
            <w:r>
              <w:rPr>
                <w:color w:val="auto"/>
                <w:kern w:val="0"/>
                <w:sz w:val="24"/>
                <w:szCs w:val="22"/>
              </w:rPr>
              <w:t xml:space="preserve"> </w:t>
            </w:r>
          </w:p>
          <w:p w14:paraId="71C4E215">
            <w:pPr>
              <w:keepNext w:val="0"/>
              <w:keepLines w:val="0"/>
              <w:pageBreakBefore w:val="0"/>
              <w:widowControl w:val="0"/>
              <w:kinsoku/>
              <w:wordWrap/>
              <w:overflowPunct w:val="0"/>
              <w:topLinePunct w:val="0"/>
              <w:autoSpaceDE/>
              <w:autoSpaceDN/>
              <w:bidi w:val="0"/>
              <w:adjustRightInd/>
              <w:snapToGrid/>
              <w:spacing w:line="520" w:lineRule="exact"/>
              <w:ind w:firstLine="960" w:firstLineChars="400"/>
              <w:textAlignment w:val="auto"/>
              <w:rPr>
                <w:color w:val="auto"/>
                <w:kern w:val="0"/>
                <w:sz w:val="24"/>
                <w:szCs w:val="22"/>
              </w:rPr>
            </w:pPr>
            <w:r>
              <w:rPr>
                <w:color w:val="auto"/>
                <w:kern w:val="0"/>
                <w:sz w:val="24"/>
                <w:szCs w:val="22"/>
              </w:rPr>
              <w:t xml:space="preserve">式中：S——辨识指标；  </w:t>
            </w:r>
          </w:p>
          <w:p w14:paraId="5FD0DBC3">
            <w:pPr>
              <w:keepNext w:val="0"/>
              <w:keepLines w:val="0"/>
              <w:pageBreakBefore w:val="0"/>
              <w:widowControl w:val="0"/>
              <w:kinsoku/>
              <w:wordWrap/>
              <w:overflowPunct w:val="0"/>
              <w:topLinePunct w:val="0"/>
              <w:autoSpaceDE/>
              <w:autoSpaceDN/>
              <w:bidi w:val="0"/>
              <w:adjustRightInd/>
              <w:snapToGrid/>
              <w:spacing w:line="520" w:lineRule="exact"/>
              <w:ind w:firstLine="480" w:firstLineChars="200"/>
              <w:textAlignment w:val="auto"/>
              <w:rPr>
                <w:color w:val="auto"/>
                <w:kern w:val="0"/>
                <w:sz w:val="24"/>
                <w:szCs w:val="22"/>
              </w:rPr>
            </w:pPr>
            <w:r>
              <w:rPr>
                <w:color w:val="auto"/>
                <w:kern w:val="0"/>
                <w:sz w:val="24"/>
                <w:szCs w:val="22"/>
              </w:rPr>
              <w:t xml:space="preserve">          q</w:t>
            </w:r>
            <w:r>
              <w:rPr>
                <w:color w:val="auto"/>
                <w:kern w:val="0"/>
                <w:sz w:val="24"/>
                <w:szCs w:val="22"/>
                <w:vertAlign w:val="subscript"/>
              </w:rPr>
              <w:t>1</w:t>
            </w:r>
            <w:r>
              <w:rPr>
                <w:color w:val="auto"/>
                <w:kern w:val="0"/>
                <w:sz w:val="24"/>
                <w:szCs w:val="22"/>
              </w:rPr>
              <w:t>、q</w:t>
            </w:r>
            <w:r>
              <w:rPr>
                <w:color w:val="auto"/>
                <w:kern w:val="0"/>
                <w:sz w:val="24"/>
                <w:szCs w:val="22"/>
                <w:vertAlign w:val="subscript"/>
              </w:rPr>
              <w:t>2</w:t>
            </w:r>
            <w:r>
              <w:rPr>
                <w:color w:val="auto"/>
                <w:kern w:val="0"/>
                <w:sz w:val="24"/>
                <w:szCs w:val="22"/>
              </w:rPr>
              <w:t>、q</w:t>
            </w:r>
            <w:r>
              <w:rPr>
                <w:color w:val="auto"/>
                <w:kern w:val="0"/>
                <w:sz w:val="24"/>
                <w:szCs w:val="22"/>
                <w:vertAlign w:val="subscript"/>
              </w:rPr>
              <w:t>n</w:t>
            </w:r>
            <w:r>
              <w:rPr>
                <w:color w:val="auto"/>
                <w:kern w:val="0"/>
                <w:sz w:val="24"/>
                <w:szCs w:val="22"/>
              </w:rPr>
              <w:t>——每种危险化学品实际存在量，t。</w:t>
            </w:r>
          </w:p>
          <w:p w14:paraId="09420D6A">
            <w:pPr>
              <w:keepNext w:val="0"/>
              <w:keepLines w:val="0"/>
              <w:pageBreakBefore w:val="0"/>
              <w:widowControl w:val="0"/>
              <w:kinsoku/>
              <w:wordWrap/>
              <w:overflowPunct w:val="0"/>
              <w:topLinePunct w:val="0"/>
              <w:autoSpaceDE/>
              <w:autoSpaceDN/>
              <w:bidi w:val="0"/>
              <w:adjustRightInd/>
              <w:snapToGrid/>
              <w:spacing w:line="520" w:lineRule="exact"/>
              <w:ind w:firstLine="480" w:firstLineChars="200"/>
              <w:textAlignment w:val="auto"/>
              <w:rPr>
                <w:color w:val="auto"/>
                <w:kern w:val="0"/>
                <w:sz w:val="24"/>
                <w:szCs w:val="22"/>
              </w:rPr>
            </w:pPr>
            <w:r>
              <w:rPr>
                <w:color w:val="auto"/>
                <w:kern w:val="0"/>
                <w:sz w:val="24"/>
                <w:szCs w:val="22"/>
              </w:rPr>
              <w:t xml:space="preserve">          Q</w:t>
            </w:r>
            <w:r>
              <w:rPr>
                <w:color w:val="auto"/>
                <w:kern w:val="0"/>
                <w:sz w:val="24"/>
                <w:szCs w:val="22"/>
                <w:vertAlign w:val="subscript"/>
              </w:rPr>
              <w:t>1</w:t>
            </w:r>
            <w:r>
              <w:rPr>
                <w:color w:val="auto"/>
                <w:kern w:val="0"/>
                <w:sz w:val="24"/>
                <w:szCs w:val="22"/>
              </w:rPr>
              <w:t>、Q</w:t>
            </w:r>
            <w:r>
              <w:rPr>
                <w:color w:val="auto"/>
                <w:kern w:val="0"/>
                <w:sz w:val="24"/>
                <w:szCs w:val="22"/>
                <w:vertAlign w:val="subscript"/>
              </w:rPr>
              <w:t>2</w:t>
            </w:r>
            <w:r>
              <w:rPr>
                <w:color w:val="auto"/>
                <w:kern w:val="0"/>
                <w:sz w:val="24"/>
                <w:szCs w:val="22"/>
              </w:rPr>
              <w:t>、Q</w:t>
            </w:r>
            <w:r>
              <w:rPr>
                <w:color w:val="auto"/>
                <w:kern w:val="0"/>
                <w:sz w:val="24"/>
                <w:szCs w:val="22"/>
                <w:vertAlign w:val="subscript"/>
              </w:rPr>
              <w:t>3</w:t>
            </w:r>
            <w:r>
              <w:rPr>
                <w:color w:val="auto"/>
                <w:kern w:val="0"/>
                <w:sz w:val="24"/>
                <w:szCs w:val="22"/>
              </w:rPr>
              <w:t>——与每种危险化学品相对应的临界量，t。</w:t>
            </w:r>
          </w:p>
          <w:p w14:paraId="2204917A">
            <w:pPr>
              <w:keepNext w:val="0"/>
              <w:keepLines w:val="0"/>
              <w:pageBreakBefore w:val="0"/>
              <w:widowControl w:val="0"/>
              <w:kinsoku/>
              <w:wordWrap/>
              <w:overflowPunct w:val="0"/>
              <w:topLinePunct w:val="0"/>
              <w:autoSpaceDE/>
              <w:autoSpaceDN/>
              <w:bidi w:val="0"/>
              <w:adjustRightInd/>
              <w:snapToGrid/>
              <w:spacing w:line="520" w:lineRule="exact"/>
              <w:ind w:firstLine="480" w:firstLineChars="200"/>
              <w:textAlignment w:val="auto"/>
              <w:rPr>
                <w:color w:val="auto"/>
                <w:kern w:val="0"/>
                <w:sz w:val="24"/>
                <w:szCs w:val="22"/>
              </w:rPr>
            </w:pPr>
            <w:r>
              <w:rPr>
                <w:color w:val="auto"/>
                <w:kern w:val="0"/>
                <w:sz w:val="24"/>
                <w:szCs w:val="22"/>
              </w:rPr>
              <w:t>根据以上分析，辨识本单位危险化学品重大危险源见表4-1</w:t>
            </w:r>
            <w:r>
              <w:rPr>
                <w:rFonts w:hint="eastAsia"/>
                <w:color w:val="auto"/>
                <w:kern w:val="0"/>
                <w:sz w:val="24"/>
                <w:szCs w:val="22"/>
                <w:lang w:val="en-US" w:eastAsia="zh-CN"/>
              </w:rPr>
              <w:t>5</w:t>
            </w:r>
            <w:r>
              <w:rPr>
                <w:color w:val="auto"/>
                <w:kern w:val="0"/>
                <w:sz w:val="24"/>
                <w:szCs w:val="22"/>
              </w:rPr>
              <w:t>。</w:t>
            </w:r>
          </w:p>
          <w:p w14:paraId="655EE939">
            <w:pPr>
              <w:keepNext w:val="0"/>
              <w:keepLines w:val="0"/>
              <w:pageBreakBefore w:val="0"/>
              <w:widowControl w:val="0"/>
              <w:kinsoku/>
              <w:wordWrap/>
              <w:overflowPunct/>
              <w:topLinePunct w:val="0"/>
              <w:autoSpaceDE w:val="0"/>
              <w:autoSpaceDN/>
              <w:bidi w:val="0"/>
              <w:adjustRightInd/>
              <w:snapToGrid/>
              <w:spacing w:line="520" w:lineRule="exact"/>
              <w:jc w:val="center"/>
              <w:textAlignment w:val="auto"/>
              <w:rPr>
                <w:b/>
                <w:color w:val="auto"/>
                <w:szCs w:val="21"/>
              </w:rPr>
            </w:pPr>
            <w:r>
              <w:rPr>
                <w:b/>
                <w:color w:val="auto"/>
                <w:szCs w:val="21"/>
                <w:lang w:bidi="ar"/>
              </w:rPr>
              <w:t>表4-1</w:t>
            </w:r>
            <w:r>
              <w:rPr>
                <w:rFonts w:hint="eastAsia"/>
                <w:b/>
                <w:color w:val="auto"/>
                <w:szCs w:val="21"/>
                <w:lang w:val="en-US" w:eastAsia="zh-CN" w:bidi="ar"/>
              </w:rPr>
              <w:t>5</w:t>
            </w:r>
            <w:r>
              <w:rPr>
                <w:b/>
                <w:color w:val="auto"/>
                <w:szCs w:val="21"/>
                <w:lang w:bidi="ar"/>
              </w:rPr>
              <w:t xml:space="preserve">   </w:t>
            </w:r>
            <w:r>
              <w:rPr>
                <w:rFonts w:hint="eastAsia"/>
                <w:b/>
                <w:color w:val="auto"/>
                <w:szCs w:val="21"/>
                <w:lang w:val="en-US" w:eastAsia="zh-CN" w:bidi="ar"/>
              </w:rPr>
              <w:t xml:space="preserve"> </w:t>
            </w:r>
            <w:r>
              <w:rPr>
                <w:b/>
                <w:color w:val="auto"/>
                <w:szCs w:val="21"/>
                <w:lang w:bidi="ar"/>
              </w:rPr>
              <w:t>危险物质临界量及实际存量</w:t>
            </w:r>
          </w:p>
          <w:tbl>
            <w:tblPr>
              <w:tblStyle w:val="27"/>
              <w:tblW w:w="8349"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 w:type="dxa"/>
                <w:bottom w:w="0" w:type="dxa"/>
                <w:right w:w="10" w:type="dxa"/>
              </w:tblCellMar>
            </w:tblPr>
            <w:tblGrid>
              <w:gridCol w:w="693"/>
              <w:gridCol w:w="2135"/>
              <w:gridCol w:w="1032"/>
              <w:gridCol w:w="1597"/>
              <w:gridCol w:w="1121"/>
              <w:gridCol w:w="1771"/>
            </w:tblGrid>
            <w:tr w14:paraId="4FF19C0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 w:type="dxa"/>
                  <w:bottom w:w="0" w:type="dxa"/>
                  <w:right w:w="10" w:type="dxa"/>
                </w:tblCellMar>
              </w:tblPrEx>
              <w:trPr>
                <w:trHeight w:val="334" w:hRule="atLeast"/>
                <w:jc w:val="center"/>
              </w:trPr>
              <w:tc>
                <w:tcPr>
                  <w:tcW w:w="693" w:type="dxa"/>
                  <w:vMerge w:val="restart"/>
                  <w:tcBorders>
                    <w:tl2br w:val="nil"/>
                    <w:tr2bl w:val="nil"/>
                  </w:tcBorders>
                  <w:noWrap w:val="0"/>
                  <w:tcMar>
                    <w:left w:w="108" w:type="dxa"/>
                    <w:right w:w="108" w:type="dxa"/>
                  </w:tcMar>
                  <w:vAlign w:val="center"/>
                </w:tcPr>
                <w:p w14:paraId="13486CB7">
                  <w:pPr>
                    <w:jc w:val="center"/>
                    <w:rPr>
                      <w:color w:val="auto"/>
                      <w:szCs w:val="21"/>
                    </w:rPr>
                  </w:pPr>
                  <w:r>
                    <w:rPr>
                      <w:color w:val="auto"/>
                      <w:szCs w:val="21"/>
                    </w:rPr>
                    <w:t>序号</w:t>
                  </w:r>
                </w:p>
              </w:tc>
              <w:tc>
                <w:tcPr>
                  <w:tcW w:w="3167" w:type="dxa"/>
                  <w:gridSpan w:val="2"/>
                  <w:tcBorders>
                    <w:tl2br w:val="nil"/>
                    <w:tr2bl w:val="nil"/>
                  </w:tcBorders>
                  <w:noWrap w:val="0"/>
                  <w:tcMar>
                    <w:left w:w="108" w:type="dxa"/>
                    <w:right w:w="108" w:type="dxa"/>
                  </w:tcMar>
                  <w:vAlign w:val="center"/>
                </w:tcPr>
                <w:p w14:paraId="591B7F95">
                  <w:pPr>
                    <w:jc w:val="center"/>
                    <w:rPr>
                      <w:color w:val="auto"/>
                      <w:szCs w:val="21"/>
                    </w:rPr>
                  </w:pPr>
                  <w:r>
                    <w:rPr>
                      <w:color w:val="auto"/>
                      <w:szCs w:val="21"/>
                    </w:rPr>
                    <w:t>危险物质</w:t>
                  </w:r>
                </w:p>
              </w:tc>
              <w:tc>
                <w:tcPr>
                  <w:tcW w:w="1597" w:type="dxa"/>
                  <w:vMerge w:val="restart"/>
                  <w:tcBorders>
                    <w:tl2br w:val="nil"/>
                    <w:tr2bl w:val="nil"/>
                  </w:tcBorders>
                  <w:noWrap w:val="0"/>
                  <w:tcMar>
                    <w:left w:w="108" w:type="dxa"/>
                    <w:right w:w="108" w:type="dxa"/>
                  </w:tcMar>
                  <w:vAlign w:val="center"/>
                </w:tcPr>
                <w:p w14:paraId="4E7C4D35">
                  <w:pPr>
                    <w:jc w:val="center"/>
                    <w:rPr>
                      <w:color w:val="auto"/>
                      <w:szCs w:val="21"/>
                    </w:rPr>
                  </w:pPr>
                  <w:r>
                    <w:rPr>
                      <w:color w:val="auto"/>
                      <w:szCs w:val="21"/>
                    </w:rPr>
                    <w:t>储存/使用量</w:t>
                  </w:r>
                </w:p>
              </w:tc>
              <w:tc>
                <w:tcPr>
                  <w:tcW w:w="1121" w:type="dxa"/>
                  <w:vMerge w:val="restart"/>
                  <w:tcBorders>
                    <w:tl2br w:val="nil"/>
                    <w:tr2bl w:val="nil"/>
                  </w:tcBorders>
                  <w:noWrap w:val="0"/>
                  <w:tcMar>
                    <w:left w:w="108" w:type="dxa"/>
                    <w:right w:w="108" w:type="dxa"/>
                  </w:tcMar>
                  <w:vAlign w:val="center"/>
                </w:tcPr>
                <w:p w14:paraId="204176D3">
                  <w:pPr>
                    <w:jc w:val="center"/>
                    <w:rPr>
                      <w:color w:val="auto"/>
                      <w:szCs w:val="21"/>
                    </w:rPr>
                  </w:pPr>
                  <w:r>
                    <w:rPr>
                      <w:color w:val="auto"/>
                      <w:szCs w:val="21"/>
                    </w:rPr>
                    <w:t>临界量</w:t>
                  </w:r>
                </w:p>
              </w:tc>
              <w:tc>
                <w:tcPr>
                  <w:tcW w:w="1771" w:type="dxa"/>
                  <w:vMerge w:val="restart"/>
                  <w:tcBorders>
                    <w:tl2br w:val="nil"/>
                    <w:tr2bl w:val="nil"/>
                  </w:tcBorders>
                  <w:noWrap w:val="0"/>
                  <w:tcMar>
                    <w:left w:w="108" w:type="dxa"/>
                    <w:right w:w="108" w:type="dxa"/>
                  </w:tcMar>
                  <w:vAlign w:val="center"/>
                </w:tcPr>
                <w:p w14:paraId="42AFB93F">
                  <w:pPr>
                    <w:jc w:val="center"/>
                    <w:rPr>
                      <w:color w:val="auto"/>
                      <w:szCs w:val="21"/>
                    </w:rPr>
                  </w:pPr>
                  <w:r>
                    <w:rPr>
                      <w:color w:val="auto"/>
                      <w:szCs w:val="21"/>
                    </w:rPr>
                    <w:t xml:space="preserve">该种危险物 </w:t>
                  </w:r>
                </w:p>
                <w:p w14:paraId="3FD71BED">
                  <w:pPr>
                    <w:jc w:val="center"/>
                    <w:rPr>
                      <w:color w:val="auto"/>
                      <w:szCs w:val="21"/>
                    </w:rPr>
                  </w:pPr>
                  <w:r>
                    <w:rPr>
                      <w:color w:val="auto"/>
                      <w:szCs w:val="21"/>
                    </w:rPr>
                    <w:t>质Q值</w:t>
                  </w:r>
                </w:p>
              </w:tc>
            </w:tr>
            <w:tr w14:paraId="178820C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 w:type="dxa"/>
                  <w:bottom w:w="0" w:type="dxa"/>
                  <w:right w:w="10" w:type="dxa"/>
                </w:tblCellMar>
              </w:tblPrEx>
              <w:trPr>
                <w:trHeight w:val="312" w:hRule="atLeast"/>
                <w:jc w:val="center"/>
              </w:trPr>
              <w:tc>
                <w:tcPr>
                  <w:tcW w:w="693" w:type="dxa"/>
                  <w:vMerge w:val="continue"/>
                  <w:tcBorders>
                    <w:tl2br w:val="nil"/>
                    <w:tr2bl w:val="nil"/>
                  </w:tcBorders>
                  <w:noWrap w:val="0"/>
                  <w:tcMar>
                    <w:left w:w="108" w:type="dxa"/>
                    <w:right w:w="108" w:type="dxa"/>
                  </w:tcMar>
                  <w:vAlign w:val="center"/>
                </w:tcPr>
                <w:p w14:paraId="2D591827">
                  <w:pPr>
                    <w:jc w:val="center"/>
                    <w:rPr>
                      <w:color w:val="auto"/>
                      <w:szCs w:val="21"/>
                    </w:rPr>
                  </w:pPr>
                </w:p>
              </w:tc>
              <w:tc>
                <w:tcPr>
                  <w:tcW w:w="2135" w:type="dxa"/>
                  <w:tcBorders>
                    <w:tl2br w:val="nil"/>
                    <w:tr2bl w:val="nil"/>
                  </w:tcBorders>
                  <w:noWrap w:val="0"/>
                  <w:tcMar>
                    <w:left w:w="108" w:type="dxa"/>
                    <w:right w:w="108" w:type="dxa"/>
                  </w:tcMar>
                  <w:vAlign w:val="center"/>
                </w:tcPr>
                <w:p w14:paraId="69871391">
                  <w:pPr>
                    <w:jc w:val="center"/>
                    <w:rPr>
                      <w:color w:val="auto"/>
                      <w:szCs w:val="21"/>
                    </w:rPr>
                  </w:pPr>
                  <w:r>
                    <w:rPr>
                      <w:color w:val="auto"/>
                      <w:szCs w:val="21"/>
                    </w:rPr>
                    <w:t>物质名称</w:t>
                  </w:r>
                </w:p>
              </w:tc>
              <w:tc>
                <w:tcPr>
                  <w:tcW w:w="1032" w:type="dxa"/>
                  <w:tcBorders>
                    <w:tl2br w:val="nil"/>
                    <w:tr2bl w:val="nil"/>
                  </w:tcBorders>
                  <w:noWrap w:val="0"/>
                  <w:tcMar>
                    <w:left w:w="108" w:type="dxa"/>
                    <w:right w:w="108" w:type="dxa"/>
                  </w:tcMar>
                  <w:vAlign w:val="center"/>
                </w:tcPr>
                <w:p w14:paraId="50E14A34">
                  <w:pPr>
                    <w:jc w:val="center"/>
                    <w:rPr>
                      <w:color w:val="auto"/>
                      <w:szCs w:val="21"/>
                    </w:rPr>
                  </w:pPr>
                  <w:r>
                    <w:rPr>
                      <w:color w:val="auto"/>
                      <w:sz w:val="20"/>
                      <w:szCs w:val="20"/>
                      <w:lang w:bidi="en-US"/>
                    </w:rPr>
                    <w:t>CAS</w:t>
                  </w:r>
                  <w:r>
                    <w:rPr>
                      <w:color w:val="auto"/>
                      <w:sz w:val="20"/>
                      <w:szCs w:val="20"/>
                    </w:rPr>
                    <w:t>号</w:t>
                  </w:r>
                </w:p>
              </w:tc>
              <w:tc>
                <w:tcPr>
                  <w:tcW w:w="1597" w:type="dxa"/>
                  <w:vMerge w:val="continue"/>
                  <w:tcBorders>
                    <w:tl2br w:val="nil"/>
                    <w:tr2bl w:val="nil"/>
                  </w:tcBorders>
                  <w:noWrap w:val="0"/>
                  <w:tcMar>
                    <w:left w:w="108" w:type="dxa"/>
                    <w:right w:w="108" w:type="dxa"/>
                  </w:tcMar>
                  <w:vAlign w:val="center"/>
                </w:tcPr>
                <w:p w14:paraId="07164C53">
                  <w:pPr>
                    <w:jc w:val="center"/>
                    <w:rPr>
                      <w:color w:val="auto"/>
                      <w:szCs w:val="21"/>
                    </w:rPr>
                  </w:pPr>
                </w:p>
              </w:tc>
              <w:tc>
                <w:tcPr>
                  <w:tcW w:w="1121" w:type="dxa"/>
                  <w:vMerge w:val="continue"/>
                  <w:tcBorders>
                    <w:tl2br w:val="nil"/>
                    <w:tr2bl w:val="nil"/>
                  </w:tcBorders>
                  <w:noWrap w:val="0"/>
                  <w:tcMar>
                    <w:left w:w="108" w:type="dxa"/>
                    <w:right w:w="108" w:type="dxa"/>
                  </w:tcMar>
                  <w:vAlign w:val="center"/>
                </w:tcPr>
                <w:p w14:paraId="0A1C0BC8">
                  <w:pPr>
                    <w:jc w:val="center"/>
                    <w:rPr>
                      <w:color w:val="auto"/>
                      <w:szCs w:val="21"/>
                    </w:rPr>
                  </w:pPr>
                </w:p>
              </w:tc>
              <w:tc>
                <w:tcPr>
                  <w:tcW w:w="1771" w:type="dxa"/>
                  <w:vMerge w:val="continue"/>
                  <w:tcBorders>
                    <w:tl2br w:val="nil"/>
                    <w:tr2bl w:val="nil"/>
                  </w:tcBorders>
                  <w:noWrap w:val="0"/>
                  <w:tcMar>
                    <w:left w:w="108" w:type="dxa"/>
                    <w:right w:w="108" w:type="dxa"/>
                  </w:tcMar>
                  <w:vAlign w:val="center"/>
                </w:tcPr>
                <w:p w14:paraId="4D1A515D">
                  <w:pPr>
                    <w:jc w:val="center"/>
                    <w:rPr>
                      <w:color w:val="auto"/>
                      <w:szCs w:val="21"/>
                    </w:rPr>
                  </w:pPr>
                </w:p>
              </w:tc>
            </w:tr>
            <w:tr w14:paraId="53D39B4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 w:type="dxa"/>
                  <w:bottom w:w="0" w:type="dxa"/>
                  <w:right w:w="10" w:type="dxa"/>
                </w:tblCellMar>
              </w:tblPrEx>
              <w:trPr>
                <w:trHeight w:val="359" w:hRule="atLeast"/>
                <w:jc w:val="center"/>
              </w:trPr>
              <w:tc>
                <w:tcPr>
                  <w:tcW w:w="693" w:type="dxa"/>
                  <w:tcBorders>
                    <w:tl2br w:val="nil"/>
                    <w:tr2bl w:val="nil"/>
                  </w:tcBorders>
                  <w:noWrap w:val="0"/>
                  <w:tcMar>
                    <w:left w:w="108" w:type="dxa"/>
                    <w:right w:w="108" w:type="dxa"/>
                  </w:tcMar>
                  <w:vAlign w:val="center"/>
                </w:tcPr>
                <w:p w14:paraId="10CBC133">
                  <w:pPr>
                    <w:jc w:val="center"/>
                    <w:rPr>
                      <w:color w:val="auto"/>
                      <w:szCs w:val="21"/>
                    </w:rPr>
                  </w:pPr>
                  <w:r>
                    <w:rPr>
                      <w:color w:val="auto"/>
                      <w:szCs w:val="21"/>
                    </w:rPr>
                    <w:t>1</w:t>
                  </w:r>
                </w:p>
              </w:tc>
              <w:tc>
                <w:tcPr>
                  <w:tcW w:w="2135" w:type="dxa"/>
                  <w:tcBorders>
                    <w:tl2br w:val="nil"/>
                    <w:tr2bl w:val="nil"/>
                  </w:tcBorders>
                  <w:noWrap w:val="0"/>
                  <w:tcMar>
                    <w:left w:w="108" w:type="dxa"/>
                    <w:right w:w="108" w:type="dxa"/>
                  </w:tcMar>
                  <w:vAlign w:val="center"/>
                </w:tcPr>
                <w:p w14:paraId="56DB41DC">
                  <w:pPr>
                    <w:jc w:val="center"/>
                    <w:rPr>
                      <w:rFonts w:hint="default" w:eastAsia="宋体"/>
                      <w:color w:val="auto"/>
                      <w:szCs w:val="21"/>
                      <w:lang w:val="en-US" w:eastAsia="zh-CN"/>
                    </w:rPr>
                  </w:pPr>
                  <w:r>
                    <w:rPr>
                      <w:rFonts w:hint="eastAsia"/>
                      <w:color w:val="auto"/>
                      <w:szCs w:val="21"/>
                      <w:lang w:val="en-US" w:eastAsia="zh-CN"/>
                    </w:rPr>
                    <w:t>废润滑油</w:t>
                  </w:r>
                </w:p>
              </w:tc>
              <w:tc>
                <w:tcPr>
                  <w:tcW w:w="1032" w:type="dxa"/>
                  <w:tcBorders>
                    <w:tl2br w:val="nil"/>
                    <w:tr2bl w:val="nil"/>
                  </w:tcBorders>
                  <w:noWrap w:val="0"/>
                  <w:tcMar>
                    <w:left w:w="108" w:type="dxa"/>
                    <w:right w:w="108" w:type="dxa"/>
                  </w:tcMar>
                  <w:vAlign w:val="center"/>
                </w:tcPr>
                <w:p w14:paraId="012CFEF4">
                  <w:pPr>
                    <w:jc w:val="center"/>
                    <w:rPr>
                      <w:color w:val="auto"/>
                      <w:szCs w:val="21"/>
                    </w:rPr>
                  </w:pPr>
                  <w:r>
                    <w:rPr>
                      <w:color w:val="auto"/>
                      <w:sz w:val="20"/>
                      <w:szCs w:val="20"/>
                      <w:lang w:bidi="en-US"/>
                    </w:rPr>
                    <w:t>/</w:t>
                  </w:r>
                </w:p>
              </w:tc>
              <w:tc>
                <w:tcPr>
                  <w:tcW w:w="1597" w:type="dxa"/>
                  <w:tcBorders>
                    <w:tl2br w:val="nil"/>
                    <w:tr2bl w:val="nil"/>
                  </w:tcBorders>
                  <w:noWrap w:val="0"/>
                  <w:tcMar>
                    <w:left w:w="108" w:type="dxa"/>
                    <w:right w:w="108" w:type="dxa"/>
                  </w:tcMar>
                  <w:vAlign w:val="center"/>
                </w:tcPr>
                <w:p w14:paraId="50E33EFF">
                  <w:pPr>
                    <w:jc w:val="center"/>
                    <w:rPr>
                      <w:rFonts w:hint="default" w:eastAsia="宋体"/>
                      <w:color w:val="auto"/>
                      <w:szCs w:val="21"/>
                      <w:lang w:val="en-US" w:eastAsia="zh-CN"/>
                    </w:rPr>
                  </w:pPr>
                  <w:r>
                    <w:rPr>
                      <w:rFonts w:hint="eastAsia"/>
                      <w:color w:val="auto"/>
                      <w:szCs w:val="21"/>
                      <w:lang w:val="en-US" w:eastAsia="zh-CN"/>
                    </w:rPr>
                    <w:t>0.05</w:t>
                  </w:r>
                </w:p>
              </w:tc>
              <w:tc>
                <w:tcPr>
                  <w:tcW w:w="1121" w:type="dxa"/>
                  <w:tcBorders>
                    <w:tl2br w:val="nil"/>
                    <w:tr2bl w:val="nil"/>
                  </w:tcBorders>
                  <w:noWrap w:val="0"/>
                  <w:tcMar>
                    <w:left w:w="108" w:type="dxa"/>
                    <w:right w:w="108" w:type="dxa"/>
                  </w:tcMar>
                  <w:vAlign w:val="center"/>
                </w:tcPr>
                <w:p w14:paraId="457CEF35">
                  <w:pPr>
                    <w:jc w:val="center"/>
                    <w:rPr>
                      <w:color w:val="auto"/>
                      <w:szCs w:val="21"/>
                    </w:rPr>
                  </w:pPr>
                  <w:r>
                    <w:rPr>
                      <w:color w:val="auto"/>
                      <w:szCs w:val="21"/>
                    </w:rPr>
                    <w:t>2500t</w:t>
                  </w:r>
                </w:p>
              </w:tc>
              <w:tc>
                <w:tcPr>
                  <w:tcW w:w="1771" w:type="dxa"/>
                  <w:tcBorders>
                    <w:tl2br w:val="nil"/>
                    <w:tr2bl w:val="nil"/>
                  </w:tcBorders>
                  <w:noWrap w:val="0"/>
                  <w:tcMar>
                    <w:left w:w="108" w:type="dxa"/>
                    <w:right w:w="108" w:type="dxa"/>
                  </w:tcMar>
                  <w:vAlign w:val="center"/>
                </w:tcPr>
                <w:p w14:paraId="691172F2">
                  <w:pPr>
                    <w:jc w:val="center"/>
                    <w:rPr>
                      <w:rFonts w:hint="default" w:eastAsia="宋体"/>
                      <w:color w:val="auto"/>
                      <w:szCs w:val="21"/>
                      <w:lang w:val="en-US" w:eastAsia="zh-CN"/>
                    </w:rPr>
                  </w:pPr>
                  <w:r>
                    <w:rPr>
                      <w:rFonts w:hint="eastAsia"/>
                      <w:color w:val="auto"/>
                      <w:szCs w:val="21"/>
                      <w:lang w:val="en-US" w:eastAsia="zh-CN"/>
                    </w:rPr>
                    <w:t>0.00002</w:t>
                  </w:r>
                </w:p>
              </w:tc>
            </w:tr>
          </w:tbl>
          <w:p w14:paraId="6170AEFA">
            <w:pPr>
              <w:keepNext w:val="0"/>
              <w:keepLines w:val="0"/>
              <w:pageBreakBefore w:val="0"/>
              <w:widowControl w:val="0"/>
              <w:kinsoku/>
              <w:wordWrap/>
              <w:overflowPunct/>
              <w:topLinePunct w:val="0"/>
              <w:autoSpaceDE w:val="0"/>
              <w:autoSpaceDN/>
              <w:bidi w:val="0"/>
              <w:adjustRightInd/>
              <w:snapToGrid/>
              <w:spacing w:line="520" w:lineRule="exact"/>
              <w:ind w:firstLine="464" w:firstLineChars="200"/>
              <w:jc w:val="both"/>
              <w:textAlignment w:val="auto"/>
              <w:rPr>
                <w:color w:val="auto"/>
              </w:rPr>
            </w:pPr>
            <w:r>
              <w:rPr>
                <w:color w:val="auto"/>
                <w:spacing w:val="-4"/>
                <w:sz w:val="24"/>
                <w:szCs w:val="24"/>
                <w:lang w:bidi="ar"/>
              </w:rPr>
              <w:t>依据《建设项目环境风险评价技术导则》（HJ/T169-2018），建设项目环境风险评价工作级别按表4-1</w:t>
            </w:r>
            <w:r>
              <w:rPr>
                <w:rFonts w:hint="eastAsia"/>
                <w:color w:val="auto"/>
                <w:spacing w:val="-4"/>
                <w:sz w:val="24"/>
                <w:szCs w:val="24"/>
                <w:lang w:val="en-US" w:eastAsia="zh-CN" w:bidi="ar"/>
              </w:rPr>
              <w:t>6</w:t>
            </w:r>
            <w:r>
              <w:rPr>
                <w:color w:val="auto"/>
                <w:spacing w:val="-4"/>
                <w:sz w:val="24"/>
                <w:szCs w:val="24"/>
                <w:lang w:bidi="ar"/>
              </w:rPr>
              <w:t>进行划分。</w:t>
            </w:r>
          </w:p>
          <w:p w14:paraId="1C1629BB">
            <w:pPr>
              <w:keepNext w:val="0"/>
              <w:keepLines w:val="0"/>
              <w:pageBreakBefore w:val="0"/>
              <w:widowControl w:val="0"/>
              <w:tabs>
                <w:tab w:val="left" w:pos="438"/>
              </w:tabs>
              <w:kinsoku/>
              <w:wordWrap/>
              <w:overflowPunct/>
              <w:topLinePunct w:val="0"/>
              <w:autoSpaceDE/>
              <w:autoSpaceDN/>
              <w:bidi w:val="0"/>
              <w:adjustRightInd/>
              <w:snapToGrid/>
              <w:spacing w:line="520" w:lineRule="exact"/>
              <w:jc w:val="center"/>
              <w:textAlignment w:val="auto"/>
              <w:rPr>
                <w:b/>
                <w:color w:val="auto"/>
                <w:szCs w:val="21"/>
              </w:rPr>
            </w:pPr>
            <w:r>
              <w:rPr>
                <w:b/>
                <w:color w:val="auto"/>
                <w:szCs w:val="21"/>
              </w:rPr>
              <w:t>表4-1</w:t>
            </w:r>
            <w:r>
              <w:rPr>
                <w:rFonts w:hint="eastAsia"/>
                <w:b/>
                <w:color w:val="auto"/>
                <w:szCs w:val="21"/>
                <w:lang w:val="en-US" w:eastAsia="zh-CN"/>
              </w:rPr>
              <w:t xml:space="preserve">6  </w:t>
            </w:r>
            <w:r>
              <w:rPr>
                <w:b/>
                <w:color w:val="auto"/>
                <w:szCs w:val="21"/>
              </w:rPr>
              <w:t xml:space="preserve">  评价工作级别</w:t>
            </w:r>
          </w:p>
          <w:tbl>
            <w:tblPr>
              <w:tblStyle w:val="27"/>
              <w:tblW w:w="8314" w:type="dxa"/>
              <w:jc w:val="center"/>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1211"/>
              <w:gridCol w:w="1693"/>
              <w:gridCol w:w="1980"/>
              <w:gridCol w:w="1769"/>
            </w:tblGrid>
            <w:tr w14:paraId="61EA047D">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999" w:type="pct"/>
                  <w:tcBorders>
                    <w:top w:val="single" w:color="auto" w:sz="12" w:space="0"/>
                    <w:left w:val="nil"/>
                  </w:tcBorders>
                  <w:noWrap w:val="0"/>
                  <w:vAlign w:val="center"/>
                </w:tcPr>
                <w:p w14:paraId="6BB9D4C3">
                  <w:pPr>
                    <w:jc w:val="center"/>
                    <w:textAlignment w:val="baseline"/>
                    <w:rPr>
                      <w:color w:val="auto"/>
                      <w:szCs w:val="21"/>
                    </w:rPr>
                  </w:pPr>
                  <w:r>
                    <w:rPr>
                      <w:color w:val="auto"/>
                      <w:szCs w:val="21"/>
                    </w:rPr>
                    <w:t>环境风险潜势</w:t>
                  </w:r>
                </w:p>
              </w:tc>
              <w:tc>
                <w:tcPr>
                  <w:tcW w:w="728" w:type="pct"/>
                  <w:tcBorders>
                    <w:top w:val="single" w:color="auto" w:sz="12" w:space="0"/>
                  </w:tcBorders>
                  <w:noWrap w:val="0"/>
                  <w:vAlign w:val="center"/>
                </w:tcPr>
                <w:p w14:paraId="2B1A148C">
                  <w:pPr>
                    <w:jc w:val="center"/>
                    <w:textAlignment w:val="baseline"/>
                    <w:rPr>
                      <w:color w:val="auto"/>
                      <w:szCs w:val="21"/>
                    </w:rPr>
                  </w:pPr>
                  <w:r>
                    <w:rPr>
                      <w:color w:val="auto"/>
                      <w:szCs w:val="21"/>
                    </w:rPr>
                    <w:t>Ⅳ、 Ⅳ</w:t>
                  </w:r>
                  <w:r>
                    <w:rPr>
                      <w:color w:val="auto"/>
                      <w:szCs w:val="21"/>
                      <w:vertAlign w:val="superscript"/>
                    </w:rPr>
                    <w:t>+</w:t>
                  </w:r>
                  <w:r>
                    <w:rPr>
                      <w:color w:val="auto"/>
                      <w:szCs w:val="21"/>
                    </w:rPr>
                    <w:t xml:space="preserve"> </w:t>
                  </w:r>
                </w:p>
              </w:tc>
              <w:tc>
                <w:tcPr>
                  <w:tcW w:w="1018" w:type="pct"/>
                  <w:tcBorders>
                    <w:top w:val="single" w:color="auto" w:sz="12" w:space="0"/>
                  </w:tcBorders>
                  <w:noWrap w:val="0"/>
                  <w:vAlign w:val="center"/>
                </w:tcPr>
                <w:p w14:paraId="7FF28B61">
                  <w:pPr>
                    <w:jc w:val="center"/>
                    <w:textAlignment w:val="baseline"/>
                    <w:rPr>
                      <w:color w:val="auto"/>
                      <w:szCs w:val="21"/>
                    </w:rPr>
                  </w:pPr>
                  <w:r>
                    <w:rPr>
                      <w:color w:val="auto"/>
                      <w:szCs w:val="21"/>
                    </w:rPr>
                    <w:t xml:space="preserve">Ⅲ  </w:t>
                  </w:r>
                </w:p>
              </w:tc>
              <w:tc>
                <w:tcPr>
                  <w:tcW w:w="1191" w:type="pct"/>
                  <w:tcBorders>
                    <w:top w:val="single" w:color="auto" w:sz="12" w:space="0"/>
                  </w:tcBorders>
                  <w:noWrap w:val="0"/>
                  <w:vAlign w:val="center"/>
                </w:tcPr>
                <w:p w14:paraId="6CD0118F">
                  <w:pPr>
                    <w:jc w:val="center"/>
                    <w:textAlignment w:val="baseline"/>
                    <w:rPr>
                      <w:color w:val="auto"/>
                      <w:szCs w:val="21"/>
                    </w:rPr>
                  </w:pPr>
                  <w:r>
                    <w:rPr>
                      <w:color w:val="auto"/>
                      <w:szCs w:val="21"/>
                    </w:rPr>
                    <w:t>Ⅱ</w:t>
                  </w:r>
                </w:p>
              </w:tc>
              <w:tc>
                <w:tcPr>
                  <w:tcW w:w="1062" w:type="pct"/>
                  <w:tcBorders>
                    <w:top w:val="single" w:color="auto" w:sz="12" w:space="0"/>
                    <w:right w:val="nil"/>
                  </w:tcBorders>
                  <w:noWrap w:val="0"/>
                  <w:vAlign w:val="center"/>
                </w:tcPr>
                <w:p w14:paraId="0FE90BC8">
                  <w:pPr>
                    <w:jc w:val="center"/>
                    <w:textAlignment w:val="baseline"/>
                    <w:rPr>
                      <w:color w:val="auto"/>
                      <w:szCs w:val="21"/>
                    </w:rPr>
                  </w:pPr>
                  <w:r>
                    <w:rPr>
                      <w:color w:val="auto"/>
                      <w:szCs w:val="21"/>
                    </w:rPr>
                    <w:t>Ⅰ</w:t>
                  </w:r>
                </w:p>
              </w:tc>
            </w:tr>
            <w:tr w14:paraId="2A4D8C23">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999" w:type="pct"/>
                  <w:tcBorders>
                    <w:left w:val="nil"/>
                  </w:tcBorders>
                  <w:noWrap w:val="0"/>
                  <w:vAlign w:val="center"/>
                </w:tcPr>
                <w:p w14:paraId="78BC6D2B">
                  <w:pPr>
                    <w:jc w:val="center"/>
                    <w:textAlignment w:val="baseline"/>
                    <w:rPr>
                      <w:color w:val="auto"/>
                      <w:szCs w:val="21"/>
                    </w:rPr>
                  </w:pPr>
                  <w:r>
                    <w:rPr>
                      <w:color w:val="auto"/>
                      <w:szCs w:val="21"/>
                    </w:rPr>
                    <w:t>评价工作等级</w:t>
                  </w:r>
                </w:p>
              </w:tc>
              <w:tc>
                <w:tcPr>
                  <w:tcW w:w="728" w:type="pct"/>
                  <w:noWrap w:val="0"/>
                  <w:vAlign w:val="center"/>
                </w:tcPr>
                <w:p w14:paraId="2C758318">
                  <w:pPr>
                    <w:jc w:val="center"/>
                    <w:textAlignment w:val="baseline"/>
                    <w:rPr>
                      <w:color w:val="auto"/>
                      <w:szCs w:val="21"/>
                    </w:rPr>
                  </w:pPr>
                  <w:r>
                    <w:rPr>
                      <w:color w:val="auto"/>
                      <w:szCs w:val="21"/>
                    </w:rPr>
                    <w:t>一</w:t>
                  </w:r>
                </w:p>
              </w:tc>
              <w:tc>
                <w:tcPr>
                  <w:tcW w:w="1018" w:type="pct"/>
                  <w:noWrap w:val="0"/>
                  <w:vAlign w:val="center"/>
                </w:tcPr>
                <w:p w14:paraId="69207646">
                  <w:pPr>
                    <w:jc w:val="center"/>
                    <w:textAlignment w:val="baseline"/>
                    <w:rPr>
                      <w:color w:val="auto"/>
                      <w:szCs w:val="21"/>
                    </w:rPr>
                  </w:pPr>
                  <w:r>
                    <w:rPr>
                      <w:color w:val="auto"/>
                      <w:szCs w:val="21"/>
                    </w:rPr>
                    <w:t>二</w:t>
                  </w:r>
                </w:p>
              </w:tc>
              <w:tc>
                <w:tcPr>
                  <w:tcW w:w="1191" w:type="pct"/>
                  <w:noWrap w:val="0"/>
                  <w:vAlign w:val="center"/>
                </w:tcPr>
                <w:p w14:paraId="7FDCB5A3">
                  <w:pPr>
                    <w:jc w:val="center"/>
                    <w:textAlignment w:val="baseline"/>
                    <w:rPr>
                      <w:color w:val="auto"/>
                      <w:szCs w:val="21"/>
                    </w:rPr>
                  </w:pPr>
                  <w:r>
                    <w:rPr>
                      <w:color w:val="auto"/>
                      <w:szCs w:val="21"/>
                    </w:rPr>
                    <w:t>三</w:t>
                  </w:r>
                </w:p>
              </w:tc>
              <w:tc>
                <w:tcPr>
                  <w:tcW w:w="1062" w:type="pct"/>
                  <w:tcBorders>
                    <w:right w:val="nil"/>
                  </w:tcBorders>
                  <w:noWrap w:val="0"/>
                  <w:vAlign w:val="center"/>
                </w:tcPr>
                <w:p w14:paraId="0BE1E217">
                  <w:pPr>
                    <w:jc w:val="center"/>
                    <w:textAlignment w:val="baseline"/>
                    <w:rPr>
                      <w:color w:val="auto"/>
                      <w:szCs w:val="21"/>
                    </w:rPr>
                  </w:pPr>
                  <w:r>
                    <w:rPr>
                      <w:color w:val="auto"/>
                      <w:szCs w:val="21"/>
                    </w:rPr>
                    <w:t>简单分析</w:t>
                  </w:r>
                  <w:r>
                    <w:rPr>
                      <w:color w:val="auto"/>
                      <w:szCs w:val="21"/>
                      <w:vertAlign w:val="superscript"/>
                    </w:rPr>
                    <w:t>a</w:t>
                  </w:r>
                </w:p>
              </w:tc>
            </w:tr>
            <w:tr w14:paraId="238767FB">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5000" w:type="pct"/>
                  <w:gridSpan w:val="5"/>
                  <w:tcBorders>
                    <w:left w:val="nil"/>
                    <w:bottom w:val="single" w:color="auto" w:sz="12" w:space="0"/>
                    <w:right w:val="nil"/>
                  </w:tcBorders>
                  <w:noWrap w:val="0"/>
                  <w:vAlign w:val="center"/>
                </w:tcPr>
                <w:p w14:paraId="78AC72CF">
                  <w:pPr>
                    <w:jc w:val="left"/>
                    <w:textAlignment w:val="baseline"/>
                    <w:rPr>
                      <w:color w:val="auto"/>
                      <w:szCs w:val="21"/>
                    </w:rPr>
                  </w:pPr>
                  <w:r>
                    <w:rPr>
                      <w:color w:val="auto"/>
                      <w:szCs w:val="21"/>
                      <w:vertAlign w:val="superscript"/>
                    </w:rPr>
                    <w:t>a</w:t>
                  </w:r>
                  <w:r>
                    <w:rPr>
                      <w:color w:val="auto"/>
                      <w:szCs w:val="21"/>
                    </w:rPr>
                    <w:t>是相对于详细评价工作内容而言，在描述危险物质、环境影响途径、环境危害后果、风险防范措施等方面给出定性说明</w:t>
                  </w:r>
                </w:p>
              </w:tc>
            </w:tr>
          </w:tbl>
          <w:p w14:paraId="76337429">
            <w:pPr>
              <w:keepNext w:val="0"/>
              <w:keepLines w:val="0"/>
              <w:pageBreakBefore w:val="0"/>
              <w:widowControl w:val="0"/>
              <w:kinsoku/>
              <w:wordWrap/>
              <w:overflowPunct/>
              <w:topLinePunct w:val="0"/>
              <w:autoSpaceDE w:val="0"/>
              <w:autoSpaceDN/>
              <w:bidi w:val="0"/>
              <w:adjustRightInd/>
              <w:snapToGrid/>
              <w:spacing w:line="520" w:lineRule="exact"/>
              <w:ind w:firstLine="464" w:firstLineChars="200"/>
              <w:jc w:val="both"/>
              <w:textAlignment w:val="auto"/>
              <w:rPr>
                <w:rFonts w:hint="default" w:ascii="Times New Roman" w:hAnsi="Times New Roman" w:eastAsia="宋体" w:cs="Times New Roman"/>
                <w:color w:val="auto"/>
                <w:spacing w:val="-4"/>
                <w:sz w:val="24"/>
                <w:lang w:bidi="ar"/>
              </w:rPr>
            </w:pPr>
            <w:r>
              <w:rPr>
                <w:rFonts w:hint="default" w:ascii="Times New Roman" w:hAnsi="Times New Roman" w:eastAsia="宋体" w:cs="Times New Roman"/>
                <w:color w:val="auto"/>
                <w:spacing w:val="-4"/>
                <w:sz w:val="24"/>
                <w:lang w:bidi="ar"/>
              </w:rPr>
              <w:t>根据导则附录C中计算物质的Q值为0.000</w:t>
            </w:r>
            <w:r>
              <w:rPr>
                <w:rFonts w:hint="eastAsia" w:cs="Times New Roman"/>
                <w:color w:val="auto"/>
                <w:spacing w:val="-4"/>
                <w:sz w:val="24"/>
                <w:lang w:val="en-US" w:eastAsia="zh-CN" w:bidi="ar"/>
              </w:rPr>
              <w:t>2</w:t>
            </w:r>
            <w:r>
              <w:rPr>
                <w:rFonts w:hint="default" w:ascii="Times New Roman" w:hAnsi="Times New Roman" w:eastAsia="宋体" w:cs="Times New Roman"/>
                <w:color w:val="auto"/>
                <w:spacing w:val="-4"/>
                <w:sz w:val="24"/>
                <w:lang w:bidi="ar"/>
              </w:rPr>
              <w:t>＜1，同时，附录C中规定“当Q＜1时，该项目环境风险潜势为Ⅰ”。</w:t>
            </w:r>
          </w:p>
          <w:p w14:paraId="74FB1192">
            <w:pPr>
              <w:keepNext w:val="0"/>
              <w:keepLines w:val="0"/>
              <w:pageBreakBefore w:val="0"/>
              <w:widowControl w:val="0"/>
              <w:kinsoku/>
              <w:wordWrap/>
              <w:overflowPunct/>
              <w:topLinePunct w:val="0"/>
              <w:autoSpaceDE w:val="0"/>
              <w:autoSpaceDN/>
              <w:bidi w:val="0"/>
              <w:adjustRightInd/>
              <w:snapToGrid/>
              <w:spacing w:line="520" w:lineRule="exact"/>
              <w:ind w:firstLine="464" w:firstLineChars="200"/>
              <w:jc w:val="both"/>
              <w:textAlignment w:val="auto"/>
              <w:rPr>
                <w:rFonts w:hint="default" w:ascii="Times New Roman" w:hAnsi="Times New Roman" w:eastAsia="宋体" w:cs="Times New Roman"/>
                <w:color w:val="auto"/>
                <w:spacing w:val="-4"/>
                <w:sz w:val="24"/>
                <w:lang w:bidi="ar"/>
              </w:rPr>
            </w:pPr>
            <w:r>
              <w:rPr>
                <w:rFonts w:hint="default" w:ascii="Times New Roman" w:hAnsi="Times New Roman" w:eastAsia="宋体" w:cs="Times New Roman"/>
                <w:color w:val="auto"/>
                <w:spacing w:val="-4"/>
                <w:sz w:val="24"/>
                <w:lang w:bidi="ar"/>
              </w:rPr>
              <w:t>根据表4-1</w:t>
            </w:r>
            <w:r>
              <w:rPr>
                <w:rFonts w:hint="eastAsia" w:cs="Times New Roman"/>
                <w:color w:val="auto"/>
                <w:spacing w:val="-4"/>
                <w:sz w:val="24"/>
                <w:lang w:val="en-US" w:eastAsia="zh-CN" w:bidi="ar"/>
              </w:rPr>
              <w:t>6</w:t>
            </w:r>
            <w:r>
              <w:rPr>
                <w:rFonts w:hint="default" w:ascii="Times New Roman" w:hAnsi="Times New Roman" w:eastAsia="宋体" w:cs="Times New Roman"/>
                <w:color w:val="auto"/>
                <w:spacing w:val="-4"/>
                <w:sz w:val="24"/>
                <w:lang w:bidi="ar"/>
              </w:rPr>
              <w:t>规定，本次评价只对环境风险进行简单分析。</w:t>
            </w:r>
          </w:p>
          <w:p w14:paraId="67C482B0">
            <w:pPr>
              <w:keepNext w:val="0"/>
              <w:keepLines w:val="0"/>
              <w:pageBreakBefore w:val="0"/>
              <w:widowControl w:val="0"/>
              <w:kinsoku/>
              <w:wordWrap/>
              <w:overflowPunct/>
              <w:topLinePunct w:val="0"/>
              <w:autoSpaceDE/>
              <w:autoSpaceDN/>
              <w:bidi w:val="0"/>
              <w:adjustRightInd/>
              <w:snapToGrid/>
              <w:spacing w:line="520" w:lineRule="exact"/>
              <w:textAlignment w:val="auto"/>
              <w:rPr>
                <w:b/>
                <w:bCs/>
                <w:color w:val="auto"/>
                <w:sz w:val="24"/>
              </w:rPr>
            </w:pPr>
            <w:r>
              <w:rPr>
                <w:rFonts w:hint="eastAsia"/>
                <w:b/>
                <w:bCs/>
                <w:color w:val="auto"/>
                <w:sz w:val="24"/>
                <w:lang w:val="en-US" w:eastAsia="zh-CN"/>
              </w:rPr>
              <w:t>6.2</w:t>
            </w:r>
            <w:r>
              <w:rPr>
                <w:b/>
                <w:bCs/>
                <w:color w:val="auto"/>
                <w:sz w:val="24"/>
              </w:rPr>
              <w:t>环境风险识别</w:t>
            </w:r>
          </w:p>
          <w:p w14:paraId="557BF12F">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eastAsia="宋体"/>
                <w:color w:val="auto"/>
                <w:sz w:val="24"/>
                <w:lang w:val="en-US" w:eastAsia="zh-CN"/>
              </w:rPr>
            </w:pPr>
            <w:r>
              <w:rPr>
                <w:color w:val="auto"/>
                <w:sz w:val="24"/>
              </w:rPr>
              <w:t>依据《建设项目环境风险评价技术导则》（HJ169-2018），结合本项目实际情况，</w:t>
            </w:r>
            <w:r>
              <w:rPr>
                <w:rFonts w:hint="eastAsia"/>
                <w:color w:val="auto"/>
                <w:sz w:val="24"/>
                <w:lang w:val="en-US" w:eastAsia="zh-CN"/>
              </w:rPr>
              <w:t>本次评价认为项目火灾负荷大。废润滑油使用过程中发生泄漏，易发生火灾</w:t>
            </w:r>
            <w:r>
              <w:rPr>
                <w:rFonts w:hint="eastAsia"/>
                <w:color w:val="auto"/>
                <w:sz w:val="24"/>
                <w:lang w:eastAsia="zh-CN"/>
              </w:rPr>
              <w:t>。</w:t>
            </w:r>
          </w:p>
          <w:p w14:paraId="691B46CA">
            <w:pPr>
              <w:keepNext w:val="0"/>
              <w:keepLines w:val="0"/>
              <w:pageBreakBefore w:val="0"/>
              <w:widowControl w:val="0"/>
              <w:kinsoku/>
              <w:wordWrap/>
              <w:overflowPunct/>
              <w:topLinePunct w:val="0"/>
              <w:autoSpaceDE/>
              <w:autoSpaceDN/>
              <w:bidi w:val="0"/>
              <w:adjustRightInd/>
              <w:snapToGrid/>
              <w:spacing w:line="520" w:lineRule="exact"/>
              <w:textAlignment w:val="auto"/>
              <w:rPr>
                <w:b/>
                <w:bCs/>
                <w:color w:val="auto"/>
                <w:sz w:val="24"/>
              </w:rPr>
            </w:pPr>
            <w:r>
              <w:rPr>
                <w:rFonts w:hint="eastAsia"/>
                <w:b/>
                <w:bCs/>
                <w:color w:val="auto"/>
                <w:sz w:val="24"/>
                <w:lang w:val="en-US" w:eastAsia="zh-CN"/>
              </w:rPr>
              <w:t>6.3</w:t>
            </w:r>
            <w:r>
              <w:rPr>
                <w:b/>
                <w:bCs/>
                <w:color w:val="auto"/>
                <w:sz w:val="24"/>
              </w:rPr>
              <w:t>环境风险分析</w:t>
            </w:r>
          </w:p>
          <w:p w14:paraId="30A35EE8">
            <w:pPr>
              <w:keepNext w:val="0"/>
              <w:keepLines w:val="0"/>
              <w:pageBreakBefore w:val="0"/>
              <w:widowControl w:val="0"/>
              <w:kinsoku/>
              <w:wordWrap/>
              <w:overflowPunct/>
              <w:topLinePunct w:val="0"/>
              <w:autoSpaceDE/>
              <w:autoSpaceDN/>
              <w:bidi w:val="0"/>
              <w:adjustRightInd/>
              <w:snapToGrid/>
              <w:spacing w:line="520" w:lineRule="exact"/>
              <w:ind w:firstLine="422" w:firstLineChars="200"/>
              <w:jc w:val="center"/>
              <w:textAlignment w:val="auto"/>
              <w:rPr>
                <w:b/>
                <w:bCs/>
                <w:color w:val="auto"/>
                <w:szCs w:val="21"/>
              </w:rPr>
            </w:pPr>
            <w:r>
              <w:rPr>
                <w:b/>
                <w:bCs/>
                <w:color w:val="auto"/>
                <w:szCs w:val="21"/>
              </w:rPr>
              <w:t>表4-</w:t>
            </w:r>
            <w:r>
              <w:rPr>
                <w:rFonts w:hint="eastAsia"/>
                <w:b/>
                <w:bCs/>
                <w:color w:val="auto"/>
                <w:szCs w:val="21"/>
                <w:lang w:val="en-US" w:eastAsia="zh-CN"/>
              </w:rPr>
              <w:t>17</w:t>
            </w:r>
            <w:r>
              <w:rPr>
                <w:b/>
                <w:bCs/>
                <w:color w:val="auto"/>
                <w:szCs w:val="21"/>
              </w:rPr>
              <w:t xml:space="preserve"> </w:t>
            </w:r>
            <w:r>
              <w:rPr>
                <w:rFonts w:hint="eastAsia"/>
                <w:b/>
                <w:bCs/>
                <w:color w:val="auto"/>
                <w:szCs w:val="21"/>
                <w:lang w:val="en-US" w:eastAsia="zh-CN"/>
              </w:rPr>
              <w:t xml:space="preserve">   </w:t>
            </w:r>
            <w:r>
              <w:rPr>
                <w:b/>
                <w:bCs/>
                <w:color w:val="auto"/>
                <w:szCs w:val="21"/>
              </w:rPr>
              <w:t>本项目环境风险一览表</w:t>
            </w:r>
          </w:p>
          <w:tbl>
            <w:tblPr>
              <w:tblStyle w:val="27"/>
              <w:tblW w:w="4999"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458"/>
              <w:gridCol w:w="948"/>
              <w:gridCol w:w="1493"/>
              <w:gridCol w:w="1756"/>
              <w:gridCol w:w="3509"/>
            </w:tblGrid>
            <w:tr w14:paraId="2F96061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62" w:hRule="atLeast"/>
                <w:jc w:val="center"/>
              </w:trPr>
              <w:tc>
                <w:tcPr>
                  <w:tcW w:w="281" w:type="pct"/>
                  <w:tcBorders>
                    <w:tl2br w:val="nil"/>
                    <w:tr2bl w:val="nil"/>
                  </w:tcBorders>
                  <w:vAlign w:val="center"/>
                </w:tcPr>
                <w:p w14:paraId="052CBFCB">
                  <w:pPr>
                    <w:jc w:val="center"/>
                    <w:rPr>
                      <w:color w:val="auto"/>
                      <w:szCs w:val="21"/>
                    </w:rPr>
                  </w:pPr>
                  <w:r>
                    <w:rPr>
                      <w:color w:val="auto"/>
                      <w:szCs w:val="21"/>
                    </w:rPr>
                    <w:t>序号</w:t>
                  </w:r>
                </w:p>
              </w:tc>
              <w:tc>
                <w:tcPr>
                  <w:tcW w:w="580" w:type="pct"/>
                  <w:tcBorders>
                    <w:tl2br w:val="nil"/>
                    <w:tr2bl w:val="nil"/>
                  </w:tcBorders>
                  <w:vAlign w:val="center"/>
                </w:tcPr>
                <w:p w14:paraId="2BFE8E59">
                  <w:pPr>
                    <w:jc w:val="center"/>
                    <w:rPr>
                      <w:color w:val="auto"/>
                      <w:szCs w:val="21"/>
                    </w:rPr>
                  </w:pPr>
                  <w:r>
                    <w:rPr>
                      <w:color w:val="auto"/>
                      <w:szCs w:val="21"/>
                    </w:rPr>
                    <w:t>风险源</w:t>
                  </w:r>
                </w:p>
              </w:tc>
              <w:tc>
                <w:tcPr>
                  <w:tcW w:w="914" w:type="pct"/>
                  <w:tcBorders>
                    <w:tl2br w:val="nil"/>
                    <w:tr2bl w:val="nil"/>
                  </w:tcBorders>
                  <w:vAlign w:val="center"/>
                </w:tcPr>
                <w:p w14:paraId="6FDE324E">
                  <w:pPr>
                    <w:jc w:val="center"/>
                    <w:rPr>
                      <w:color w:val="auto"/>
                      <w:szCs w:val="21"/>
                    </w:rPr>
                  </w:pPr>
                  <w:r>
                    <w:rPr>
                      <w:color w:val="auto"/>
                      <w:szCs w:val="21"/>
                    </w:rPr>
                    <w:t>风险类型</w:t>
                  </w:r>
                </w:p>
              </w:tc>
              <w:tc>
                <w:tcPr>
                  <w:tcW w:w="1075" w:type="pct"/>
                  <w:tcBorders>
                    <w:tl2br w:val="nil"/>
                    <w:tr2bl w:val="nil"/>
                  </w:tcBorders>
                  <w:vAlign w:val="center"/>
                </w:tcPr>
                <w:p w14:paraId="0B94180C">
                  <w:pPr>
                    <w:jc w:val="center"/>
                    <w:rPr>
                      <w:color w:val="auto"/>
                      <w:szCs w:val="21"/>
                    </w:rPr>
                  </w:pPr>
                  <w:r>
                    <w:rPr>
                      <w:color w:val="auto"/>
                      <w:szCs w:val="21"/>
                    </w:rPr>
                    <w:t>主要污染途径</w:t>
                  </w:r>
                </w:p>
              </w:tc>
              <w:tc>
                <w:tcPr>
                  <w:tcW w:w="2147" w:type="pct"/>
                  <w:tcBorders>
                    <w:tl2br w:val="nil"/>
                    <w:tr2bl w:val="nil"/>
                  </w:tcBorders>
                  <w:vAlign w:val="center"/>
                </w:tcPr>
                <w:p w14:paraId="0E580947">
                  <w:pPr>
                    <w:jc w:val="center"/>
                    <w:rPr>
                      <w:color w:val="auto"/>
                      <w:szCs w:val="21"/>
                    </w:rPr>
                  </w:pPr>
                  <w:r>
                    <w:rPr>
                      <w:color w:val="auto"/>
                      <w:szCs w:val="21"/>
                    </w:rPr>
                    <w:t>可能造成的危害后果</w:t>
                  </w:r>
                </w:p>
              </w:tc>
            </w:tr>
            <w:tr w14:paraId="215FCE4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635" w:hRule="atLeast"/>
                <w:jc w:val="center"/>
              </w:trPr>
              <w:tc>
                <w:tcPr>
                  <w:tcW w:w="281" w:type="pct"/>
                  <w:tcBorders>
                    <w:tl2br w:val="nil"/>
                    <w:tr2bl w:val="nil"/>
                  </w:tcBorders>
                  <w:vAlign w:val="center"/>
                </w:tcPr>
                <w:p w14:paraId="041B349F">
                  <w:pPr>
                    <w:jc w:val="center"/>
                    <w:rPr>
                      <w:color w:val="auto"/>
                      <w:szCs w:val="21"/>
                    </w:rPr>
                  </w:pPr>
                  <w:r>
                    <w:rPr>
                      <w:color w:val="auto"/>
                      <w:szCs w:val="21"/>
                    </w:rPr>
                    <w:t>1</w:t>
                  </w:r>
                </w:p>
              </w:tc>
              <w:tc>
                <w:tcPr>
                  <w:tcW w:w="580" w:type="pct"/>
                  <w:vMerge w:val="restart"/>
                  <w:tcBorders>
                    <w:tl2br w:val="nil"/>
                    <w:tr2bl w:val="nil"/>
                  </w:tcBorders>
                  <w:vAlign w:val="center"/>
                </w:tcPr>
                <w:p w14:paraId="5CE81044">
                  <w:pPr>
                    <w:jc w:val="center"/>
                    <w:rPr>
                      <w:rFonts w:hint="eastAsia" w:eastAsia="宋体"/>
                      <w:color w:val="auto"/>
                      <w:szCs w:val="21"/>
                      <w:lang w:eastAsia="zh-CN"/>
                    </w:rPr>
                  </w:pPr>
                  <w:r>
                    <w:rPr>
                      <w:rFonts w:hint="eastAsia"/>
                      <w:color w:val="auto"/>
                      <w:szCs w:val="21"/>
                      <w:lang w:eastAsia="zh-CN"/>
                    </w:rPr>
                    <w:t>废润滑油</w:t>
                  </w:r>
                </w:p>
              </w:tc>
              <w:tc>
                <w:tcPr>
                  <w:tcW w:w="914" w:type="pct"/>
                  <w:tcBorders>
                    <w:tl2br w:val="nil"/>
                    <w:tr2bl w:val="nil"/>
                  </w:tcBorders>
                  <w:vAlign w:val="center"/>
                </w:tcPr>
                <w:p w14:paraId="6B338984">
                  <w:pPr>
                    <w:jc w:val="center"/>
                    <w:rPr>
                      <w:color w:val="auto"/>
                      <w:szCs w:val="21"/>
                    </w:rPr>
                  </w:pPr>
                  <w:r>
                    <w:rPr>
                      <w:rFonts w:hint="eastAsia"/>
                      <w:color w:val="auto"/>
                      <w:szCs w:val="21"/>
                      <w:lang w:eastAsia="zh-CN"/>
                    </w:rPr>
                    <w:t>废润滑油</w:t>
                  </w:r>
                  <w:r>
                    <w:rPr>
                      <w:color w:val="auto"/>
                      <w:szCs w:val="21"/>
                    </w:rPr>
                    <w:t>发生火灾、爆炸引发伴生/次生污染物排放</w:t>
                  </w:r>
                </w:p>
              </w:tc>
              <w:tc>
                <w:tcPr>
                  <w:tcW w:w="1075" w:type="pct"/>
                  <w:tcBorders>
                    <w:tl2br w:val="nil"/>
                    <w:tr2bl w:val="nil"/>
                  </w:tcBorders>
                  <w:vAlign w:val="center"/>
                </w:tcPr>
                <w:p w14:paraId="763E7178">
                  <w:pPr>
                    <w:jc w:val="center"/>
                    <w:rPr>
                      <w:color w:val="auto"/>
                      <w:szCs w:val="21"/>
                    </w:rPr>
                  </w:pPr>
                  <w:r>
                    <w:rPr>
                      <w:rFonts w:hint="eastAsia"/>
                      <w:color w:val="auto"/>
                      <w:szCs w:val="21"/>
                      <w:lang w:eastAsia="zh-CN"/>
                    </w:rPr>
                    <w:t>废润滑油</w:t>
                  </w:r>
                  <w:r>
                    <w:rPr>
                      <w:color w:val="auto"/>
                      <w:szCs w:val="21"/>
                    </w:rPr>
                    <w:t>泄漏→发生火灾爆炸→燃烧形成的伴生/次生污染物随风速和风向扩散到大气环境；</w:t>
                  </w:r>
                </w:p>
              </w:tc>
              <w:tc>
                <w:tcPr>
                  <w:tcW w:w="2147" w:type="pct"/>
                  <w:tcBorders>
                    <w:tl2br w:val="nil"/>
                    <w:tr2bl w:val="nil"/>
                  </w:tcBorders>
                  <w:vAlign w:val="center"/>
                </w:tcPr>
                <w:p w14:paraId="685F5807">
                  <w:pPr>
                    <w:jc w:val="center"/>
                    <w:rPr>
                      <w:color w:val="auto"/>
                      <w:szCs w:val="21"/>
                    </w:rPr>
                  </w:pPr>
                  <w:r>
                    <w:rPr>
                      <w:color w:val="auto"/>
                      <w:szCs w:val="21"/>
                    </w:rPr>
                    <w:t>发生火灾、爆炸事件时会产生大量的NOx、CO 等可能引发伴生/次生污染的物质，造成厂区周边大气环境明显污染及人员伤亡；</w:t>
                  </w:r>
                </w:p>
              </w:tc>
            </w:tr>
            <w:tr w14:paraId="7DFB8F5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372" w:hRule="atLeast"/>
                <w:jc w:val="center"/>
              </w:trPr>
              <w:tc>
                <w:tcPr>
                  <w:tcW w:w="281" w:type="pct"/>
                  <w:tcBorders>
                    <w:tl2br w:val="nil"/>
                    <w:tr2bl w:val="nil"/>
                  </w:tcBorders>
                  <w:vAlign w:val="center"/>
                </w:tcPr>
                <w:p w14:paraId="165AA5BF">
                  <w:pPr>
                    <w:jc w:val="center"/>
                    <w:rPr>
                      <w:color w:val="auto"/>
                      <w:szCs w:val="21"/>
                    </w:rPr>
                  </w:pPr>
                  <w:r>
                    <w:rPr>
                      <w:color w:val="auto"/>
                      <w:szCs w:val="21"/>
                    </w:rPr>
                    <w:t>2</w:t>
                  </w:r>
                </w:p>
              </w:tc>
              <w:tc>
                <w:tcPr>
                  <w:tcW w:w="580" w:type="pct"/>
                  <w:vMerge w:val="continue"/>
                  <w:tcBorders>
                    <w:tl2br w:val="nil"/>
                    <w:tr2bl w:val="nil"/>
                  </w:tcBorders>
                  <w:vAlign w:val="center"/>
                </w:tcPr>
                <w:p w14:paraId="2F652CCD">
                  <w:pPr>
                    <w:jc w:val="center"/>
                    <w:rPr>
                      <w:color w:val="auto"/>
                      <w:szCs w:val="21"/>
                    </w:rPr>
                  </w:pPr>
                </w:p>
              </w:tc>
              <w:tc>
                <w:tcPr>
                  <w:tcW w:w="914" w:type="pct"/>
                  <w:tcBorders>
                    <w:tl2br w:val="nil"/>
                    <w:tr2bl w:val="nil"/>
                  </w:tcBorders>
                  <w:vAlign w:val="center"/>
                </w:tcPr>
                <w:p w14:paraId="2779F0CA">
                  <w:pPr>
                    <w:jc w:val="center"/>
                    <w:rPr>
                      <w:rFonts w:hint="eastAsia" w:eastAsia="宋体"/>
                      <w:color w:val="auto"/>
                      <w:szCs w:val="21"/>
                      <w:lang w:eastAsia="zh-CN"/>
                    </w:rPr>
                  </w:pPr>
                  <w:r>
                    <w:rPr>
                      <w:rFonts w:hint="eastAsia"/>
                      <w:color w:val="auto"/>
                      <w:szCs w:val="21"/>
                      <w:lang w:eastAsia="zh-CN"/>
                    </w:rPr>
                    <w:t>废润滑油</w:t>
                  </w:r>
                </w:p>
              </w:tc>
              <w:tc>
                <w:tcPr>
                  <w:tcW w:w="1075" w:type="pct"/>
                  <w:tcBorders>
                    <w:tl2br w:val="nil"/>
                    <w:tr2bl w:val="nil"/>
                  </w:tcBorders>
                  <w:vAlign w:val="center"/>
                </w:tcPr>
                <w:p w14:paraId="4D804494">
                  <w:pPr>
                    <w:jc w:val="center"/>
                    <w:rPr>
                      <w:color w:val="auto"/>
                      <w:szCs w:val="21"/>
                    </w:rPr>
                  </w:pPr>
                  <w:r>
                    <w:rPr>
                      <w:rFonts w:hint="eastAsia"/>
                      <w:color w:val="auto"/>
                      <w:szCs w:val="21"/>
                      <w:lang w:eastAsia="zh-CN"/>
                    </w:rPr>
                    <w:t>废润滑油</w:t>
                  </w:r>
                  <w:r>
                    <w:rPr>
                      <w:color w:val="auto"/>
                      <w:szCs w:val="21"/>
                    </w:rPr>
                    <w:t>/消防水→随地表径流进入地表水体→通过破损的地面等下渗经包气带进入</w:t>
                  </w:r>
                  <w:r>
                    <w:rPr>
                      <w:rFonts w:hint="eastAsia"/>
                      <w:color w:val="auto"/>
                      <w:szCs w:val="21"/>
                      <w:lang w:eastAsia="zh-CN"/>
                    </w:rPr>
                    <w:t>浅层</w:t>
                  </w:r>
                  <w:r>
                    <w:rPr>
                      <w:color w:val="auto"/>
                      <w:szCs w:val="21"/>
                    </w:rPr>
                    <w:t>地下水造成污染</w:t>
                  </w:r>
                </w:p>
              </w:tc>
              <w:tc>
                <w:tcPr>
                  <w:tcW w:w="2147" w:type="pct"/>
                  <w:tcBorders>
                    <w:tl2br w:val="nil"/>
                    <w:tr2bl w:val="nil"/>
                  </w:tcBorders>
                  <w:vAlign w:val="center"/>
                </w:tcPr>
                <w:p w14:paraId="34A65850">
                  <w:pPr>
                    <w:jc w:val="center"/>
                    <w:rPr>
                      <w:color w:val="auto"/>
                      <w:szCs w:val="21"/>
                    </w:rPr>
                  </w:pPr>
                  <w:r>
                    <w:rPr>
                      <w:color w:val="auto"/>
                      <w:szCs w:val="21"/>
                    </w:rPr>
                    <w:t>①一般情况下，</w:t>
                  </w:r>
                  <w:r>
                    <w:rPr>
                      <w:rFonts w:hint="eastAsia"/>
                      <w:color w:val="auto"/>
                      <w:szCs w:val="21"/>
                      <w:lang w:eastAsia="zh-CN"/>
                    </w:rPr>
                    <w:t>废润滑油</w:t>
                  </w:r>
                  <w:r>
                    <w:rPr>
                      <w:color w:val="auto"/>
                      <w:szCs w:val="21"/>
                    </w:rPr>
                    <w:t>泄漏产生的泄漏液和火灾产生的消防废水可能</w:t>
                  </w:r>
                  <w:r>
                    <w:rPr>
                      <w:rFonts w:hint="eastAsia"/>
                      <w:color w:val="auto"/>
                      <w:szCs w:val="21"/>
                      <w:lang w:eastAsia="zh-CN"/>
                    </w:rPr>
                    <w:t>流入</w:t>
                  </w:r>
                  <w:r>
                    <w:rPr>
                      <w:color w:val="auto"/>
                      <w:szCs w:val="21"/>
                    </w:rPr>
                    <w:t>地表水环境中对地表水体造成污染，进而通过破损的地面等下渗经包气带进入潜层地下水造成污染；②暴雨等异常天气下，泄漏液、消防废水和被污染的雨水等导致产生更多的污染水可能</w:t>
                  </w:r>
                  <w:r>
                    <w:rPr>
                      <w:rFonts w:hint="eastAsia"/>
                      <w:color w:val="auto"/>
                      <w:szCs w:val="21"/>
                      <w:lang w:eastAsia="zh-CN"/>
                    </w:rPr>
                    <w:t>流入</w:t>
                  </w:r>
                  <w:r>
                    <w:rPr>
                      <w:color w:val="auto"/>
                      <w:szCs w:val="21"/>
                    </w:rPr>
                    <w:t>地表水环境对地表水体造成污染，进而通过破损的地面等下渗经包气带进入潜层地下水造成污染。</w:t>
                  </w:r>
                </w:p>
              </w:tc>
            </w:tr>
          </w:tbl>
          <w:p w14:paraId="20C14DA2">
            <w:pPr>
              <w:keepNext w:val="0"/>
              <w:keepLines w:val="0"/>
              <w:pageBreakBefore w:val="0"/>
              <w:widowControl w:val="0"/>
              <w:kinsoku/>
              <w:wordWrap/>
              <w:overflowPunct/>
              <w:topLinePunct w:val="0"/>
              <w:autoSpaceDE/>
              <w:autoSpaceDN/>
              <w:bidi w:val="0"/>
              <w:adjustRightInd/>
              <w:snapToGrid/>
              <w:spacing w:line="520" w:lineRule="exact"/>
              <w:jc w:val="both"/>
              <w:textAlignment w:val="auto"/>
              <w:rPr>
                <w:b/>
                <w:bCs/>
                <w:color w:val="auto"/>
                <w:sz w:val="24"/>
              </w:rPr>
            </w:pPr>
            <w:r>
              <w:rPr>
                <w:rFonts w:hint="eastAsia"/>
                <w:b/>
                <w:bCs/>
                <w:color w:val="auto"/>
                <w:sz w:val="24"/>
                <w:lang w:val="en-US" w:eastAsia="zh-CN"/>
              </w:rPr>
              <w:t xml:space="preserve">6.4 </w:t>
            </w:r>
            <w:r>
              <w:rPr>
                <w:b/>
                <w:bCs/>
                <w:color w:val="auto"/>
                <w:sz w:val="24"/>
              </w:rPr>
              <w:t>环境风险防范措施及应急要求</w:t>
            </w:r>
          </w:p>
          <w:p w14:paraId="3698C46D">
            <w:pPr>
              <w:keepNext w:val="0"/>
              <w:keepLines w:val="0"/>
              <w:pageBreakBefore w:val="0"/>
              <w:widowControl/>
              <w:tabs>
                <w:tab w:val="left" w:pos="334"/>
              </w:tabs>
              <w:kinsoku/>
              <w:wordWrap/>
              <w:overflowPunct/>
              <w:topLinePunct w:val="0"/>
              <w:autoSpaceDE/>
              <w:autoSpaceDN/>
              <w:bidi w:val="0"/>
              <w:adjustRightInd/>
              <w:snapToGrid/>
              <w:spacing w:line="520" w:lineRule="exact"/>
              <w:jc w:val="both"/>
              <w:textAlignment w:val="auto"/>
              <w:rPr>
                <w:b/>
                <w:bCs/>
                <w:color w:val="auto"/>
              </w:rPr>
            </w:pPr>
            <w:r>
              <w:rPr>
                <w:rFonts w:hint="eastAsia"/>
                <w:b/>
                <w:bCs/>
                <w:color w:val="auto"/>
                <w:kern w:val="0"/>
                <w:sz w:val="24"/>
                <w:lang w:val="en-US" w:eastAsia="zh-CN" w:bidi="ar"/>
              </w:rPr>
              <w:t>6.4</w:t>
            </w:r>
            <w:r>
              <w:rPr>
                <w:b/>
                <w:bCs/>
                <w:color w:val="auto"/>
                <w:kern w:val="0"/>
                <w:sz w:val="24"/>
                <w:lang w:bidi="ar"/>
              </w:rPr>
              <w:t>.1 环境风险事故防范措施</w:t>
            </w:r>
          </w:p>
          <w:p w14:paraId="51DA101B">
            <w:pPr>
              <w:keepNext w:val="0"/>
              <w:keepLines w:val="0"/>
              <w:pageBreakBefore w:val="0"/>
              <w:kinsoku/>
              <w:wordWrap/>
              <w:overflowPunct/>
              <w:topLinePunct w:val="0"/>
              <w:autoSpaceDE/>
              <w:autoSpaceDN/>
              <w:bidi w:val="0"/>
              <w:adjustRightInd/>
              <w:snapToGrid/>
              <w:spacing w:line="520" w:lineRule="exact"/>
              <w:ind w:firstLine="480" w:firstLineChars="200"/>
              <w:jc w:val="both"/>
              <w:textAlignment w:val="auto"/>
              <w:rPr>
                <w:color w:val="auto"/>
                <w:sz w:val="24"/>
              </w:rPr>
            </w:pPr>
            <w:r>
              <w:rPr>
                <w:color w:val="auto"/>
                <w:sz w:val="24"/>
              </w:rPr>
              <w:t>本项目风险物质为</w:t>
            </w:r>
            <w:r>
              <w:rPr>
                <w:rFonts w:hint="eastAsia"/>
                <w:color w:val="auto"/>
                <w:sz w:val="24"/>
                <w:lang w:eastAsia="zh-CN"/>
              </w:rPr>
              <w:t>废润滑油</w:t>
            </w:r>
            <w:r>
              <w:rPr>
                <w:color w:val="auto"/>
                <w:sz w:val="24"/>
              </w:rPr>
              <w:t>泄漏和火灾，根据实际情况，评价提出以下风险防范措施。</w:t>
            </w:r>
          </w:p>
          <w:p w14:paraId="4051EFBE">
            <w:pPr>
              <w:keepNext w:val="0"/>
              <w:keepLines w:val="0"/>
              <w:pageBreakBefore w:val="0"/>
              <w:kinsoku/>
              <w:wordWrap/>
              <w:overflowPunct/>
              <w:topLinePunct w:val="0"/>
              <w:autoSpaceDE/>
              <w:autoSpaceDN/>
              <w:bidi w:val="0"/>
              <w:adjustRightInd w:val="0"/>
              <w:snapToGrid/>
              <w:spacing w:line="520" w:lineRule="exact"/>
              <w:ind w:leftChars="0" w:firstLine="480" w:firstLineChars="200"/>
              <w:jc w:val="both"/>
              <w:textAlignment w:val="auto"/>
              <w:rPr>
                <w:color w:val="auto"/>
                <w:sz w:val="24"/>
              </w:rPr>
            </w:pPr>
            <w:r>
              <w:rPr>
                <w:color w:val="auto"/>
                <w:sz w:val="24"/>
              </w:rPr>
              <w:t>（</w:t>
            </w:r>
            <w:r>
              <w:rPr>
                <w:rFonts w:hint="eastAsia"/>
                <w:color w:val="auto"/>
                <w:sz w:val="24"/>
                <w:lang w:val="en-US" w:eastAsia="zh-CN"/>
              </w:rPr>
              <w:t>1</w:t>
            </w:r>
            <w:r>
              <w:rPr>
                <w:color w:val="auto"/>
                <w:sz w:val="24"/>
              </w:rPr>
              <w:t>）火灾防范措施</w:t>
            </w:r>
          </w:p>
          <w:p w14:paraId="1EB38FDD">
            <w:pPr>
              <w:keepNext w:val="0"/>
              <w:keepLines w:val="0"/>
              <w:pageBreakBefore w:val="0"/>
              <w:kinsoku/>
              <w:wordWrap/>
              <w:overflowPunct/>
              <w:topLinePunct w:val="0"/>
              <w:autoSpaceDE/>
              <w:autoSpaceDN/>
              <w:bidi w:val="0"/>
              <w:adjustRightInd w:val="0"/>
              <w:snapToGrid/>
              <w:spacing w:line="520" w:lineRule="exact"/>
              <w:ind w:leftChars="0" w:firstLine="480" w:firstLineChars="200"/>
              <w:jc w:val="both"/>
              <w:textAlignment w:val="auto"/>
              <w:rPr>
                <w:color w:val="auto"/>
                <w:sz w:val="24"/>
              </w:rPr>
            </w:pPr>
            <w:r>
              <w:rPr>
                <w:color w:val="auto"/>
                <w:sz w:val="24"/>
              </w:rPr>
              <w:t>本项目在运营期使用的机械设备都是利用电能，如果管理维护不当发生线路老化、短路等现象，可导致</w:t>
            </w:r>
            <w:r>
              <w:rPr>
                <w:rFonts w:hint="eastAsia"/>
                <w:color w:val="auto"/>
                <w:sz w:val="24"/>
                <w:lang w:val="en-US" w:eastAsia="zh-CN"/>
              </w:rPr>
              <w:t>火灾</w:t>
            </w:r>
            <w:r>
              <w:rPr>
                <w:color w:val="auto"/>
                <w:sz w:val="24"/>
              </w:rPr>
              <w:t>。因此本项目在运营期间，应加强对生产运营设备的维护管理，保证通风设备以及除尘设施的正常运行，定期进行检修，同时加强员工的管理以及风险防范意识，通过设置短路保护电路等措施，及时发现设备及线路中存在的问题，消除隐患，并配备相应的消防器材和应急设备。</w:t>
            </w:r>
          </w:p>
          <w:p w14:paraId="583DD89D">
            <w:pPr>
              <w:keepNext w:val="0"/>
              <w:keepLines w:val="0"/>
              <w:pageBreakBefore w:val="0"/>
              <w:kinsoku/>
              <w:wordWrap/>
              <w:overflowPunct/>
              <w:topLinePunct w:val="0"/>
              <w:autoSpaceDE/>
              <w:autoSpaceDN/>
              <w:bidi w:val="0"/>
              <w:adjustRightInd w:val="0"/>
              <w:snapToGrid/>
              <w:spacing w:line="520" w:lineRule="exact"/>
              <w:ind w:leftChars="0" w:firstLine="480" w:firstLineChars="200"/>
              <w:jc w:val="both"/>
              <w:textAlignment w:val="auto"/>
              <w:rPr>
                <w:color w:val="auto"/>
                <w:sz w:val="24"/>
              </w:rPr>
            </w:pPr>
            <w:r>
              <w:rPr>
                <w:color w:val="auto"/>
                <w:sz w:val="24"/>
              </w:rPr>
              <w:t>（</w:t>
            </w:r>
            <w:r>
              <w:rPr>
                <w:rFonts w:hint="eastAsia"/>
                <w:color w:val="auto"/>
                <w:sz w:val="24"/>
                <w:lang w:val="en-US" w:eastAsia="zh-CN"/>
              </w:rPr>
              <w:t>2</w:t>
            </w:r>
            <w:r>
              <w:rPr>
                <w:color w:val="auto"/>
                <w:sz w:val="24"/>
              </w:rPr>
              <w:t>）污染物事故性排放防范措施</w:t>
            </w:r>
          </w:p>
          <w:p w14:paraId="3C97D5B9">
            <w:pPr>
              <w:keepNext w:val="0"/>
              <w:keepLines w:val="0"/>
              <w:pageBreakBefore w:val="0"/>
              <w:widowControl/>
              <w:kinsoku/>
              <w:wordWrap/>
              <w:overflowPunct/>
              <w:topLinePunct w:val="0"/>
              <w:autoSpaceDE/>
              <w:autoSpaceDN/>
              <w:bidi w:val="0"/>
              <w:adjustRightInd w:val="0"/>
              <w:snapToGrid/>
              <w:spacing w:line="520" w:lineRule="exact"/>
              <w:ind w:leftChars="0" w:firstLine="480" w:firstLineChars="200"/>
              <w:jc w:val="both"/>
              <w:textAlignment w:val="auto"/>
              <w:rPr>
                <w:color w:val="auto"/>
                <w:sz w:val="24"/>
              </w:rPr>
            </w:pPr>
            <w:r>
              <w:rPr>
                <w:color w:val="auto"/>
                <w:sz w:val="24"/>
              </w:rPr>
              <w:t>加强生产区域的管理，加强环保设施的运营维护与保养，提高员工的风险防范意识，定期组织员工进行演练，提高员工的实际操作技能。</w:t>
            </w:r>
          </w:p>
          <w:p w14:paraId="5272CE4E">
            <w:pPr>
              <w:keepNext w:val="0"/>
              <w:keepLines w:val="0"/>
              <w:pageBreakBefore w:val="0"/>
              <w:kinsoku/>
              <w:wordWrap/>
              <w:overflowPunct/>
              <w:topLinePunct w:val="0"/>
              <w:autoSpaceDE/>
              <w:autoSpaceDN/>
              <w:bidi w:val="0"/>
              <w:adjustRightInd w:val="0"/>
              <w:snapToGrid/>
              <w:spacing w:line="520" w:lineRule="exact"/>
              <w:ind w:leftChars="0" w:firstLine="480" w:firstLineChars="200"/>
              <w:jc w:val="both"/>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（3）煤炭自燃事故防范措施</w:t>
            </w:r>
          </w:p>
          <w:p w14:paraId="2D913EF4">
            <w:pPr>
              <w:keepNext w:val="0"/>
              <w:keepLines w:val="0"/>
              <w:pageBreakBefore w:val="0"/>
              <w:widowControl/>
              <w:numPr>
                <w:ilvl w:val="0"/>
                <w:numId w:val="0"/>
              </w:numPr>
              <w:kinsoku/>
              <w:wordWrap/>
              <w:overflowPunct/>
              <w:topLinePunct w:val="0"/>
              <w:autoSpaceDE/>
              <w:autoSpaceDN/>
              <w:bidi w:val="0"/>
              <w:adjustRightInd/>
              <w:snapToGrid/>
              <w:spacing w:line="520" w:lineRule="exact"/>
              <w:ind w:firstLine="480" w:firstLineChars="200"/>
              <w:jc w:val="both"/>
              <w:textAlignment w:val="auto"/>
              <w:rPr>
                <w:rFonts w:hint="eastAsia"/>
                <w:color w:val="auto"/>
                <w:sz w:val="24"/>
                <w:lang w:val="en-US" w:eastAsia="zh-CN"/>
              </w:rPr>
            </w:pPr>
            <w:r>
              <w:rPr>
                <w:rFonts w:hint="eastAsia"/>
                <w:color w:val="auto"/>
                <w:sz w:val="24"/>
                <w:lang w:val="en-US" w:eastAsia="zh-CN"/>
              </w:rPr>
              <w:t>1）储存管理：煤棚加强通风，并保持煤炭堆放整齐稳定，避免堆放过密，以免空气流通不畅，增加自燃风险。同时定期清理煤堆周围杂物，防止火源的产生</w:t>
            </w:r>
          </w:p>
          <w:p w14:paraId="2B04142D">
            <w:pPr>
              <w:keepNext w:val="0"/>
              <w:keepLines w:val="0"/>
              <w:pageBreakBefore w:val="0"/>
              <w:widowControl/>
              <w:numPr>
                <w:ilvl w:val="0"/>
                <w:numId w:val="0"/>
              </w:numPr>
              <w:kinsoku/>
              <w:wordWrap/>
              <w:overflowPunct/>
              <w:topLinePunct w:val="0"/>
              <w:autoSpaceDE/>
              <w:autoSpaceDN/>
              <w:bidi w:val="0"/>
              <w:adjustRightInd/>
              <w:snapToGrid/>
              <w:spacing w:line="520" w:lineRule="exact"/>
              <w:ind w:firstLine="480" w:firstLineChars="200"/>
              <w:jc w:val="both"/>
              <w:textAlignment w:val="auto"/>
              <w:rPr>
                <w:rFonts w:hint="eastAsia"/>
                <w:color w:val="auto"/>
                <w:sz w:val="24"/>
                <w:lang w:val="en-US" w:eastAsia="zh-CN"/>
              </w:rPr>
            </w:pPr>
            <w:r>
              <w:rPr>
                <w:rFonts w:hint="eastAsia"/>
                <w:color w:val="auto"/>
                <w:sz w:val="24"/>
                <w:lang w:val="en-US" w:eastAsia="zh-CN"/>
              </w:rPr>
              <w:t>2）温度监控：定期对煤堆进行温度检测，特别是堆体内部的温度。一旦发现温度异常上升，应及时采取措施检查原因，并及时降温。</w:t>
            </w:r>
          </w:p>
          <w:p w14:paraId="015A9559">
            <w:pPr>
              <w:keepNext w:val="0"/>
              <w:keepLines w:val="0"/>
              <w:pageBreakBefore w:val="0"/>
              <w:widowControl/>
              <w:numPr>
                <w:ilvl w:val="0"/>
                <w:numId w:val="0"/>
              </w:numPr>
              <w:kinsoku/>
              <w:wordWrap/>
              <w:overflowPunct/>
              <w:topLinePunct w:val="0"/>
              <w:autoSpaceDE/>
              <w:autoSpaceDN/>
              <w:bidi w:val="0"/>
              <w:adjustRightInd/>
              <w:snapToGrid/>
              <w:spacing w:line="520" w:lineRule="exact"/>
              <w:ind w:firstLine="480" w:firstLineChars="200"/>
              <w:jc w:val="both"/>
              <w:textAlignment w:val="auto"/>
              <w:rPr>
                <w:rFonts w:hint="eastAsia"/>
                <w:color w:val="auto"/>
                <w:sz w:val="24"/>
                <w:lang w:val="en-US" w:eastAsia="zh-CN"/>
              </w:rPr>
            </w:pPr>
            <w:r>
              <w:rPr>
                <w:rFonts w:hint="eastAsia"/>
                <w:color w:val="auto"/>
                <w:sz w:val="24"/>
                <w:lang w:val="en-US" w:eastAsia="zh-CN"/>
              </w:rPr>
              <w:t>3）灭火设备：车间内设置灭火器材和灭火装置，并确保其处于良好状态。灭火装置应包括灭火器、消防栓等，以便在发生火灾时能够快速灭火。</w:t>
            </w:r>
          </w:p>
          <w:p w14:paraId="60D119FA">
            <w:pPr>
              <w:keepNext w:val="0"/>
              <w:keepLines w:val="0"/>
              <w:pageBreakBefore w:val="0"/>
              <w:widowControl/>
              <w:numPr>
                <w:ilvl w:val="0"/>
                <w:numId w:val="0"/>
              </w:numPr>
              <w:kinsoku/>
              <w:wordWrap/>
              <w:overflowPunct/>
              <w:topLinePunct w:val="0"/>
              <w:autoSpaceDE/>
              <w:autoSpaceDN/>
              <w:bidi w:val="0"/>
              <w:adjustRightInd/>
              <w:snapToGrid/>
              <w:spacing w:line="520" w:lineRule="exact"/>
              <w:ind w:firstLine="480" w:firstLineChars="200"/>
              <w:jc w:val="both"/>
              <w:textAlignment w:val="auto"/>
              <w:rPr>
                <w:rFonts w:hint="eastAsia"/>
                <w:color w:val="auto"/>
                <w:sz w:val="24"/>
                <w:lang w:val="en-US" w:eastAsia="zh-CN"/>
              </w:rPr>
            </w:pPr>
            <w:r>
              <w:rPr>
                <w:rFonts w:hint="eastAsia"/>
                <w:color w:val="auto"/>
                <w:sz w:val="24"/>
                <w:lang w:val="en-US" w:eastAsia="zh-CN"/>
              </w:rPr>
              <w:t>4）定期巡查：定期对煤堆进行巡查，特别关注堆体的温度、湿度等情况，以及是否有可燃物质堆放在附近。一旦发现有可疑情况，应立即采取相应措施，避免火灾发生。</w:t>
            </w:r>
          </w:p>
          <w:p w14:paraId="18733953">
            <w:pPr>
              <w:keepNext w:val="0"/>
              <w:keepLines w:val="0"/>
              <w:pageBreakBefore w:val="0"/>
              <w:widowControl/>
              <w:numPr>
                <w:ilvl w:val="0"/>
                <w:numId w:val="0"/>
              </w:numPr>
              <w:kinsoku/>
              <w:wordWrap/>
              <w:overflowPunct/>
              <w:topLinePunct w:val="0"/>
              <w:autoSpaceDE/>
              <w:autoSpaceDN/>
              <w:bidi w:val="0"/>
              <w:adjustRightInd/>
              <w:snapToGrid/>
              <w:spacing w:line="520" w:lineRule="exact"/>
              <w:ind w:firstLine="480" w:firstLineChars="200"/>
              <w:jc w:val="both"/>
              <w:textAlignment w:val="auto"/>
              <w:rPr>
                <w:rFonts w:hint="eastAsia"/>
                <w:color w:val="auto"/>
                <w:sz w:val="24"/>
                <w:lang w:val="en-US" w:eastAsia="zh-CN"/>
              </w:rPr>
            </w:pPr>
            <w:r>
              <w:rPr>
                <w:rFonts w:hint="eastAsia"/>
                <w:color w:val="auto"/>
                <w:sz w:val="24"/>
                <w:lang w:val="en-US" w:eastAsia="zh-CN"/>
              </w:rPr>
              <w:t>5）遵守操作规程：工作人员在操作储存煤炭过程中，应严格遵守操作规程，禁止吸烟、明火操作等不安全行为，确保操作过程中的安全。</w:t>
            </w:r>
          </w:p>
          <w:p w14:paraId="17E1B9DB">
            <w:pPr>
              <w:keepNext w:val="0"/>
              <w:keepLines w:val="0"/>
              <w:pageBreakBefore w:val="0"/>
              <w:widowControl/>
              <w:numPr>
                <w:ilvl w:val="0"/>
                <w:numId w:val="0"/>
              </w:numPr>
              <w:kinsoku/>
              <w:wordWrap/>
              <w:overflowPunct/>
              <w:topLinePunct w:val="0"/>
              <w:autoSpaceDE/>
              <w:autoSpaceDN/>
              <w:bidi w:val="0"/>
              <w:adjustRightInd/>
              <w:snapToGrid/>
              <w:spacing w:line="520" w:lineRule="exact"/>
              <w:ind w:firstLine="480" w:firstLineChars="200"/>
              <w:jc w:val="both"/>
              <w:textAlignment w:val="auto"/>
              <w:rPr>
                <w:rFonts w:hint="default"/>
                <w:color w:val="auto"/>
                <w:sz w:val="24"/>
                <w:lang w:val="en-US" w:eastAsia="zh-CN"/>
              </w:rPr>
            </w:pPr>
            <w:r>
              <w:rPr>
                <w:rFonts w:hint="eastAsia"/>
                <w:color w:val="auto"/>
                <w:sz w:val="24"/>
                <w:lang w:val="en-US" w:eastAsia="zh-CN"/>
              </w:rPr>
              <w:t>6）员工培训：对员工进行安全培训，提高员工的安全意识和应对紧急情况的能力，使他们能够正确处理可能出现的自燃风险。</w:t>
            </w:r>
          </w:p>
          <w:p w14:paraId="5560E7A2">
            <w:pPr>
              <w:keepNext w:val="0"/>
              <w:keepLines w:val="0"/>
              <w:pageBreakBefore w:val="0"/>
              <w:widowControl/>
              <w:numPr>
                <w:ilvl w:val="0"/>
                <w:numId w:val="0"/>
              </w:numPr>
              <w:kinsoku/>
              <w:wordWrap/>
              <w:overflowPunct/>
              <w:topLinePunct w:val="0"/>
              <w:autoSpaceDE/>
              <w:autoSpaceDN/>
              <w:bidi w:val="0"/>
              <w:adjustRightInd w:val="0"/>
              <w:snapToGrid/>
              <w:spacing w:line="520" w:lineRule="exact"/>
              <w:ind w:leftChars="0" w:firstLine="480" w:firstLineChars="200"/>
              <w:jc w:val="both"/>
              <w:textAlignment w:val="auto"/>
              <w:rPr>
                <w:rFonts w:hint="eastAsia"/>
                <w:color w:val="auto"/>
                <w:sz w:val="24"/>
                <w:lang w:val="en-US" w:eastAsia="zh-CN"/>
              </w:rPr>
            </w:pPr>
            <w:r>
              <w:rPr>
                <w:rFonts w:hint="eastAsia"/>
                <w:color w:val="auto"/>
                <w:sz w:val="24"/>
                <w:lang w:val="en-US" w:eastAsia="zh-CN"/>
              </w:rPr>
              <w:t>（4）生产管理中的风险防范措施</w:t>
            </w:r>
          </w:p>
          <w:p w14:paraId="4B6F83D8">
            <w:pPr>
              <w:keepNext w:val="0"/>
              <w:keepLines w:val="0"/>
              <w:pageBreakBefore w:val="0"/>
              <w:widowControl/>
              <w:kinsoku/>
              <w:wordWrap/>
              <w:overflowPunct/>
              <w:topLinePunct w:val="0"/>
              <w:autoSpaceDE/>
              <w:autoSpaceDN/>
              <w:bidi w:val="0"/>
              <w:adjustRightInd/>
              <w:snapToGrid w:val="0"/>
              <w:spacing w:line="520" w:lineRule="exact"/>
              <w:ind w:firstLine="480" w:firstLineChars="200"/>
              <w:jc w:val="left"/>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1）生产装置的供电、供水、供风等公共设施应能满足正常生产和事故状态下的要求并符合有关防火、防爆法规、标准的规定。</w:t>
            </w:r>
          </w:p>
          <w:p w14:paraId="255292AF">
            <w:pPr>
              <w:keepNext w:val="0"/>
              <w:keepLines w:val="0"/>
              <w:pageBreakBefore w:val="0"/>
              <w:widowControl/>
              <w:kinsoku/>
              <w:wordWrap/>
              <w:overflowPunct/>
              <w:topLinePunct w:val="0"/>
              <w:autoSpaceDE/>
              <w:autoSpaceDN/>
              <w:bidi w:val="0"/>
              <w:adjustRightInd/>
              <w:snapToGrid w:val="0"/>
              <w:spacing w:line="520" w:lineRule="exact"/>
              <w:ind w:firstLine="480" w:firstLineChars="200"/>
              <w:jc w:val="left"/>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2）生产区域和原料、成品堆存区配备各种消防器材；生产设备和原料输送设备装配防火抑爆装置。</w:t>
            </w:r>
          </w:p>
          <w:p w14:paraId="43E0EB57">
            <w:pPr>
              <w:keepNext w:val="0"/>
              <w:keepLines w:val="0"/>
              <w:pageBreakBefore w:val="0"/>
              <w:widowControl/>
              <w:kinsoku/>
              <w:wordWrap/>
              <w:overflowPunct/>
              <w:topLinePunct w:val="0"/>
              <w:autoSpaceDE/>
              <w:autoSpaceDN/>
              <w:bidi w:val="0"/>
              <w:adjustRightInd/>
              <w:snapToGrid w:val="0"/>
              <w:spacing w:line="520" w:lineRule="exact"/>
              <w:ind w:firstLine="480" w:firstLineChars="200"/>
              <w:jc w:val="left"/>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3）对生产工艺过程中易发生火灾爆炸危险的原材料、中间物料及成品，应列出其主要的化学性能及物理化学性能，让所有员工了解其危险性并掌握防护措施。</w:t>
            </w:r>
          </w:p>
          <w:p w14:paraId="070A1CA3">
            <w:pPr>
              <w:keepNext w:val="0"/>
              <w:keepLines w:val="0"/>
              <w:pageBreakBefore w:val="0"/>
              <w:widowControl/>
              <w:kinsoku/>
              <w:wordWrap/>
              <w:overflowPunct/>
              <w:topLinePunct w:val="0"/>
              <w:autoSpaceDE/>
              <w:autoSpaceDN/>
              <w:bidi w:val="0"/>
              <w:adjustRightInd/>
              <w:snapToGrid w:val="0"/>
              <w:spacing w:line="520" w:lineRule="exact"/>
              <w:ind w:firstLine="480" w:firstLineChars="200"/>
              <w:jc w:val="left"/>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4）生产区内禁止明火，禁止穿戴铁钉的鞋子进入生产区。</w:t>
            </w:r>
          </w:p>
          <w:p w14:paraId="20512CE0">
            <w:pPr>
              <w:keepNext w:val="0"/>
              <w:keepLines w:val="0"/>
              <w:pageBreakBefore w:val="0"/>
              <w:widowControl/>
              <w:kinsoku/>
              <w:wordWrap/>
              <w:overflowPunct/>
              <w:topLinePunct w:val="0"/>
              <w:autoSpaceDE/>
              <w:autoSpaceDN/>
              <w:bidi w:val="0"/>
              <w:adjustRightInd/>
              <w:snapToGrid w:val="0"/>
              <w:spacing w:line="520" w:lineRule="exact"/>
              <w:ind w:firstLine="480" w:firstLineChars="200"/>
              <w:jc w:val="left"/>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5）让所有员工熟悉化学物质的使用量（加料量）以及工艺过程控制条件（加料速度、反应温度、化学失控起始温度及反应热等）、标准操作程序。</w:t>
            </w:r>
          </w:p>
          <w:p w14:paraId="0E98577A">
            <w:pPr>
              <w:keepNext w:val="0"/>
              <w:keepLines w:val="0"/>
              <w:pageBreakBefore w:val="0"/>
              <w:widowControl/>
              <w:kinsoku/>
              <w:wordWrap/>
              <w:overflowPunct/>
              <w:topLinePunct w:val="0"/>
              <w:autoSpaceDE/>
              <w:autoSpaceDN/>
              <w:bidi w:val="0"/>
              <w:adjustRightInd/>
              <w:snapToGrid w:val="0"/>
              <w:spacing w:line="520" w:lineRule="exact"/>
              <w:ind w:firstLine="480" w:firstLineChars="200"/>
              <w:jc w:val="left"/>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6）加强风险管理，制定严格操作规程和环境管理的规章制度，实行上岗前培训，进行安全管理和安全训练。</w:t>
            </w:r>
          </w:p>
          <w:p w14:paraId="02DFB773">
            <w:pPr>
              <w:keepNext w:val="0"/>
              <w:keepLines w:val="0"/>
              <w:pageBreakBefore w:val="0"/>
              <w:widowControl/>
              <w:kinsoku/>
              <w:wordWrap/>
              <w:overflowPunct/>
              <w:topLinePunct w:val="0"/>
              <w:autoSpaceDE/>
              <w:autoSpaceDN/>
              <w:bidi w:val="0"/>
              <w:adjustRightInd/>
              <w:snapToGrid w:val="0"/>
              <w:spacing w:line="520" w:lineRule="exact"/>
              <w:ind w:firstLine="480" w:firstLineChars="200"/>
              <w:jc w:val="left"/>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7）危险化学品必须储存在专门仓储、储存方式、方法与数量必须符合国家标准，并由专人管理。</w:t>
            </w:r>
          </w:p>
          <w:p w14:paraId="4E65A3C1">
            <w:pPr>
              <w:keepNext w:val="0"/>
              <w:keepLines w:val="0"/>
              <w:pageBreakBefore w:val="0"/>
              <w:widowControl/>
              <w:kinsoku/>
              <w:wordWrap/>
              <w:overflowPunct/>
              <w:topLinePunct w:val="0"/>
              <w:autoSpaceDE/>
              <w:autoSpaceDN/>
              <w:bidi w:val="0"/>
              <w:adjustRightInd/>
              <w:snapToGrid w:val="0"/>
              <w:spacing w:line="520" w:lineRule="exact"/>
              <w:ind w:firstLine="480" w:firstLineChars="200"/>
              <w:jc w:val="left"/>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8）生产过程中废气处理设施发生故障时，应立即停止生产，及时检修设备，排除故障处理后达标后重新生产。</w:t>
            </w:r>
          </w:p>
          <w:p w14:paraId="4554440E">
            <w:pPr>
              <w:keepNext w:val="0"/>
              <w:keepLines w:val="0"/>
              <w:pageBreakBefore w:val="0"/>
              <w:widowControl/>
              <w:kinsoku/>
              <w:wordWrap/>
              <w:overflowPunct/>
              <w:topLinePunct w:val="0"/>
              <w:autoSpaceDE/>
              <w:autoSpaceDN/>
              <w:bidi w:val="0"/>
              <w:adjustRightInd/>
              <w:snapToGrid w:val="0"/>
              <w:spacing w:line="520" w:lineRule="exact"/>
              <w:ind w:firstLine="480" w:firstLineChars="200"/>
              <w:jc w:val="left"/>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9）严格设备选型，确保设备净化效率，引风机应有足够的</w:t>
            </w:r>
            <w:r>
              <w:rPr>
                <w:rFonts w:hint="eastAsia" w:ascii="Times New Roman" w:hAnsi="Times New Roman" w:cs="Times New Roman"/>
                <w:color w:val="auto"/>
                <w:sz w:val="24"/>
                <w:highlight w:val="none"/>
                <w:lang w:eastAsia="zh-CN"/>
              </w:rPr>
              <w:t>距离</w:t>
            </w:r>
            <w:r>
              <w:rPr>
                <w:rFonts w:hint="default" w:ascii="Times New Roman" w:hAnsi="Times New Roman" w:cs="Times New Roman"/>
                <w:color w:val="auto"/>
                <w:sz w:val="24"/>
                <w:highlight w:val="none"/>
              </w:rPr>
              <w:t>，确保系统在微负压状态下运行，尽量减少无组织排放。</w:t>
            </w:r>
          </w:p>
          <w:p w14:paraId="37D77BB9">
            <w:pPr>
              <w:keepNext w:val="0"/>
              <w:keepLines w:val="0"/>
              <w:pageBreakBefore w:val="0"/>
              <w:widowControl/>
              <w:kinsoku/>
              <w:wordWrap/>
              <w:overflowPunct/>
              <w:topLinePunct w:val="0"/>
              <w:autoSpaceDE/>
              <w:autoSpaceDN/>
              <w:bidi w:val="0"/>
              <w:adjustRightInd/>
              <w:snapToGrid/>
              <w:spacing w:line="520" w:lineRule="exact"/>
              <w:jc w:val="both"/>
              <w:textAlignment w:val="auto"/>
              <w:rPr>
                <w:b/>
                <w:bCs/>
                <w:color w:val="auto"/>
              </w:rPr>
            </w:pPr>
            <w:r>
              <w:rPr>
                <w:rFonts w:hint="eastAsia"/>
                <w:b/>
                <w:bCs/>
                <w:color w:val="auto"/>
                <w:kern w:val="0"/>
                <w:sz w:val="24"/>
                <w:lang w:val="en-US" w:eastAsia="zh-CN" w:bidi="ar"/>
              </w:rPr>
              <w:t>6.4</w:t>
            </w:r>
            <w:r>
              <w:rPr>
                <w:b/>
                <w:bCs/>
                <w:color w:val="auto"/>
                <w:kern w:val="0"/>
                <w:sz w:val="24"/>
                <w:lang w:bidi="ar"/>
              </w:rPr>
              <w:t>.2 环境风险管理</w:t>
            </w:r>
          </w:p>
          <w:p w14:paraId="2603A943">
            <w:pPr>
              <w:keepNext w:val="0"/>
              <w:keepLines w:val="0"/>
              <w:pageBreakBefore w:val="0"/>
              <w:kinsoku/>
              <w:wordWrap/>
              <w:overflowPunct/>
              <w:topLinePunct w:val="0"/>
              <w:autoSpaceDE/>
              <w:autoSpaceDN/>
              <w:bidi w:val="0"/>
              <w:adjustRightInd/>
              <w:snapToGrid/>
              <w:spacing w:line="520" w:lineRule="exact"/>
              <w:ind w:firstLine="480" w:firstLineChars="200"/>
              <w:jc w:val="both"/>
              <w:textAlignment w:val="auto"/>
              <w:rPr>
                <w:color w:val="auto"/>
                <w:sz w:val="24"/>
              </w:rPr>
            </w:pPr>
            <w:r>
              <w:rPr>
                <w:color w:val="auto"/>
                <w:sz w:val="24"/>
              </w:rPr>
              <w:t>为避免风险事故，尤其是避免风险事故发生后对环境造成严重的污染，建设单位应树立并强化环境风险意识，增加对环境风险的防范措施，并使这些措施在实际工作中得到落实。为进一步减少事故的发生，减缓该项目运营过程中对环境的潜在威胁，建设单位应采取综合防范措施，并从技术、工艺、管理等方面对以下几方面予以重视：</w:t>
            </w:r>
          </w:p>
          <w:p w14:paraId="7C0A13DC">
            <w:pPr>
              <w:keepNext w:val="0"/>
              <w:keepLines w:val="0"/>
              <w:pageBreakBefore w:val="0"/>
              <w:kinsoku/>
              <w:wordWrap/>
              <w:overflowPunct/>
              <w:topLinePunct w:val="0"/>
              <w:autoSpaceDE/>
              <w:autoSpaceDN/>
              <w:bidi w:val="0"/>
              <w:adjustRightInd/>
              <w:snapToGrid/>
              <w:spacing w:line="520" w:lineRule="exact"/>
              <w:ind w:firstLine="480" w:firstLineChars="200"/>
              <w:jc w:val="both"/>
              <w:textAlignment w:val="auto"/>
              <w:rPr>
                <w:color w:val="auto"/>
                <w:sz w:val="24"/>
              </w:rPr>
            </w:pPr>
            <w:r>
              <w:rPr>
                <w:color w:val="auto"/>
                <w:sz w:val="24"/>
              </w:rPr>
              <w:t>（1）树立环境风险意识</w:t>
            </w:r>
          </w:p>
          <w:p w14:paraId="6A1D63F3">
            <w:pPr>
              <w:keepNext w:val="0"/>
              <w:keepLines w:val="0"/>
              <w:pageBreakBefore w:val="0"/>
              <w:kinsoku/>
              <w:wordWrap/>
              <w:overflowPunct/>
              <w:topLinePunct w:val="0"/>
              <w:autoSpaceDE/>
              <w:autoSpaceDN/>
              <w:bidi w:val="0"/>
              <w:adjustRightInd/>
              <w:snapToGrid/>
              <w:spacing w:line="520" w:lineRule="exact"/>
              <w:ind w:firstLine="480" w:firstLineChars="200"/>
              <w:jc w:val="both"/>
              <w:textAlignment w:val="auto"/>
              <w:rPr>
                <w:color w:val="auto"/>
                <w:sz w:val="24"/>
              </w:rPr>
            </w:pPr>
            <w:r>
              <w:rPr>
                <w:color w:val="auto"/>
                <w:sz w:val="24"/>
              </w:rPr>
              <w:t>该项目客观上存在着一定的不安全因素，对周围环境存在着潜在的威胁。发生环境安全事故后，对周围环境有难以弥补的损害，所以在贯彻“安全第一，预防为主”的方针同时，应树立环境风险意识，强化环境风险责任，体现出环境保护的内容。</w:t>
            </w:r>
          </w:p>
          <w:p w14:paraId="1D7FB498">
            <w:pPr>
              <w:keepNext w:val="0"/>
              <w:keepLines w:val="0"/>
              <w:pageBreakBefore w:val="0"/>
              <w:kinsoku/>
              <w:wordWrap/>
              <w:overflowPunct/>
              <w:topLinePunct w:val="0"/>
              <w:autoSpaceDE/>
              <w:autoSpaceDN/>
              <w:bidi w:val="0"/>
              <w:adjustRightInd/>
              <w:snapToGrid/>
              <w:spacing w:line="520" w:lineRule="exact"/>
              <w:ind w:firstLine="480" w:firstLineChars="200"/>
              <w:jc w:val="both"/>
              <w:textAlignment w:val="auto"/>
              <w:rPr>
                <w:color w:val="auto"/>
                <w:sz w:val="24"/>
              </w:rPr>
            </w:pPr>
            <w:r>
              <w:rPr>
                <w:color w:val="auto"/>
                <w:sz w:val="24"/>
              </w:rPr>
              <w:t>（2）实行全面环境安全管理制度</w:t>
            </w:r>
          </w:p>
          <w:p w14:paraId="531502DB">
            <w:pPr>
              <w:keepNext w:val="0"/>
              <w:keepLines w:val="0"/>
              <w:pageBreakBefore w:val="0"/>
              <w:kinsoku/>
              <w:wordWrap/>
              <w:overflowPunct/>
              <w:topLinePunct w:val="0"/>
              <w:autoSpaceDE/>
              <w:autoSpaceDN/>
              <w:bidi w:val="0"/>
              <w:adjustRightInd/>
              <w:snapToGrid/>
              <w:spacing w:line="520" w:lineRule="exact"/>
              <w:ind w:firstLine="480" w:firstLineChars="200"/>
              <w:jc w:val="both"/>
              <w:textAlignment w:val="auto"/>
              <w:rPr>
                <w:color w:val="auto"/>
                <w:sz w:val="24"/>
              </w:rPr>
            </w:pPr>
            <w:r>
              <w:rPr>
                <w:color w:val="auto"/>
                <w:sz w:val="24"/>
              </w:rPr>
              <w:t>项目在生产过程中有可能发生各种事故，事故发生后均会对环境造成不同程度的污染，因此应该针对该项目开展全面、全员、全过程的系数安全管理，把环境安全工作的重点放在消除系统的潜在危险上，并从整体和全局上促进该项目各个环节的环境安全运作，并建立监察、管理、检测、信息系统和科学决策体系，实行环境安全目标管理。</w:t>
            </w:r>
          </w:p>
          <w:p w14:paraId="311A60CA">
            <w:pPr>
              <w:keepNext w:val="0"/>
              <w:keepLines w:val="0"/>
              <w:pageBreakBefore w:val="0"/>
              <w:kinsoku/>
              <w:wordWrap/>
              <w:overflowPunct/>
              <w:topLinePunct w:val="0"/>
              <w:autoSpaceDE/>
              <w:autoSpaceDN/>
              <w:bidi w:val="0"/>
              <w:adjustRightInd/>
              <w:snapToGrid/>
              <w:spacing w:line="520" w:lineRule="exact"/>
              <w:ind w:firstLine="480" w:firstLineChars="200"/>
              <w:jc w:val="both"/>
              <w:textAlignment w:val="auto"/>
              <w:rPr>
                <w:color w:val="auto"/>
                <w:sz w:val="24"/>
              </w:rPr>
            </w:pPr>
            <w:r>
              <w:rPr>
                <w:color w:val="auto"/>
                <w:sz w:val="24"/>
              </w:rPr>
              <w:t>（3）加强资料的日常记录与管理</w:t>
            </w:r>
          </w:p>
          <w:p w14:paraId="1DEC66EC">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color w:val="auto"/>
                <w:sz w:val="24"/>
              </w:rPr>
            </w:pPr>
            <w:r>
              <w:rPr>
                <w:color w:val="auto"/>
                <w:sz w:val="24"/>
              </w:rPr>
              <w:t>加强对生产过程中的各项操作参数等资料的日常记录及管理，及时发现问题并采取减缓危害的措施。</w:t>
            </w:r>
          </w:p>
          <w:p w14:paraId="17975489">
            <w:pPr>
              <w:keepNext w:val="0"/>
              <w:keepLines w:val="0"/>
              <w:pageBreakBefore w:val="0"/>
              <w:kinsoku/>
              <w:wordWrap/>
              <w:overflowPunct/>
              <w:topLinePunct w:val="0"/>
              <w:autoSpaceDE/>
              <w:autoSpaceDN/>
              <w:bidi w:val="0"/>
              <w:adjustRightInd/>
              <w:snapToGrid/>
              <w:spacing w:line="520" w:lineRule="exact"/>
              <w:ind w:firstLine="480" w:firstLineChars="200"/>
              <w:jc w:val="both"/>
              <w:textAlignment w:val="auto"/>
              <w:rPr>
                <w:color w:val="auto"/>
                <w:sz w:val="24"/>
              </w:rPr>
            </w:pPr>
            <w:r>
              <w:rPr>
                <w:color w:val="auto"/>
                <w:sz w:val="24"/>
              </w:rPr>
              <w:t>（4）应对措施</w:t>
            </w:r>
          </w:p>
          <w:p w14:paraId="1EE4711E">
            <w:pPr>
              <w:keepNext w:val="0"/>
              <w:keepLines w:val="0"/>
              <w:pageBreakBefore w:val="0"/>
              <w:kinsoku/>
              <w:wordWrap/>
              <w:overflowPunct/>
              <w:topLinePunct w:val="0"/>
              <w:autoSpaceDE/>
              <w:autoSpaceDN/>
              <w:bidi w:val="0"/>
              <w:adjustRightInd/>
              <w:snapToGrid/>
              <w:spacing w:line="520" w:lineRule="exact"/>
              <w:ind w:firstLine="480" w:firstLineChars="200"/>
              <w:jc w:val="both"/>
              <w:textAlignment w:val="auto"/>
              <w:rPr>
                <w:color w:val="auto"/>
                <w:sz w:val="24"/>
              </w:rPr>
            </w:pPr>
            <w:r>
              <w:rPr>
                <w:color w:val="auto"/>
                <w:sz w:val="24"/>
              </w:rPr>
              <w:t>事故发生的可能性总是存在的，为减少事故发生后造成的损失，尤其是减少对环境造成严重的污染，建设单位除一方面要落实已制定的各种安全管理制度以及上述所列各项风险减缓措施，另一方面，建设单位还应对发生各类风险事故后</w:t>
            </w:r>
          </w:p>
          <w:p w14:paraId="67B13BA4">
            <w:pPr>
              <w:keepNext w:val="0"/>
              <w:keepLines w:val="0"/>
              <w:pageBreakBefore w:val="0"/>
              <w:kinsoku/>
              <w:wordWrap/>
              <w:overflowPunct/>
              <w:topLinePunct w:val="0"/>
              <w:autoSpaceDE/>
              <w:autoSpaceDN/>
              <w:bidi w:val="0"/>
              <w:adjustRightInd/>
              <w:snapToGrid/>
              <w:spacing w:line="520" w:lineRule="exact"/>
              <w:ind w:firstLine="480" w:firstLineChars="200"/>
              <w:jc w:val="both"/>
              <w:textAlignment w:val="auto"/>
              <w:rPr>
                <w:color w:val="auto"/>
                <w:sz w:val="24"/>
              </w:rPr>
            </w:pPr>
            <w:r>
              <w:rPr>
                <w:color w:val="auto"/>
                <w:sz w:val="24"/>
              </w:rPr>
              <w:t>采取必要的事故应急措施，建议建设单位对以下几方面予以着重考虑：</w:t>
            </w:r>
          </w:p>
          <w:p w14:paraId="7DDB18B8">
            <w:pPr>
              <w:keepNext w:val="0"/>
              <w:keepLines w:val="0"/>
              <w:pageBreakBefore w:val="0"/>
              <w:kinsoku/>
              <w:wordWrap/>
              <w:overflowPunct/>
              <w:topLinePunct w:val="0"/>
              <w:autoSpaceDE/>
              <w:autoSpaceDN/>
              <w:bidi w:val="0"/>
              <w:adjustRightInd/>
              <w:snapToGrid/>
              <w:spacing w:line="520" w:lineRule="exact"/>
              <w:ind w:firstLine="480" w:firstLineChars="200"/>
              <w:jc w:val="both"/>
              <w:textAlignment w:val="auto"/>
              <w:rPr>
                <w:color w:val="auto"/>
                <w:sz w:val="24"/>
              </w:rPr>
            </w:pPr>
            <w:r>
              <w:rPr>
                <w:color w:val="auto"/>
                <w:sz w:val="24"/>
              </w:rPr>
              <w:t>①发生事故后，应进行事故后果评价，并将有关情况通报给上级环保主管部门。</w:t>
            </w:r>
          </w:p>
          <w:p w14:paraId="433CA7F2">
            <w:pPr>
              <w:keepNext w:val="0"/>
              <w:keepLines w:val="0"/>
              <w:pageBreakBefore w:val="0"/>
              <w:kinsoku/>
              <w:wordWrap/>
              <w:overflowPunct/>
              <w:topLinePunct w:val="0"/>
              <w:autoSpaceDE/>
              <w:autoSpaceDN/>
              <w:bidi w:val="0"/>
              <w:adjustRightInd/>
              <w:snapToGrid/>
              <w:spacing w:line="520" w:lineRule="exact"/>
              <w:ind w:firstLine="480" w:firstLineChars="200"/>
              <w:jc w:val="both"/>
              <w:textAlignment w:val="auto"/>
              <w:rPr>
                <w:color w:val="auto"/>
                <w:sz w:val="24"/>
              </w:rPr>
            </w:pPr>
            <w:r>
              <w:rPr>
                <w:color w:val="auto"/>
                <w:sz w:val="24"/>
              </w:rPr>
              <w:t>②定期举行应急培训活动，对该项目相关人员进行事故应急培训，提高事故发生后的应急处理能力；对新上岗的工作人员、实习人员、进行岗前安全、环保培训，重点部门的人员定期轮训；在对项目相关系统人员进行知识培训后，还对其进行了责任分配制度，确保不出现意外。</w:t>
            </w:r>
          </w:p>
          <w:p w14:paraId="2AB322AB">
            <w:pPr>
              <w:keepNext w:val="0"/>
              <w:keepLines w:val="0"/>
              <w:pageBreakBefore w:val="0"/>
              <w:kinsoku/>
              <w:wordWrap/>
              <w:overflowPunct/>
              <w:topLinePunct w:val="0"/>
              <w:autoSpaceDE/>
              <w:autoSpaceDN/>
              <w:bidi w:val="0"/>
              <w:adjustRightInd/>
              <w:snapToGrid/>
              <w:spacing w:line="520" w:lineRule="exact"/>
              <w:jc w:val="both"/>
              <w:textAlignment w:val="auto"/>
              <w:rPr>
                <w:b/>
                <w:bCs/>
                <w:color w:val="auto"/>
                <w:sz w:val="24"/>
              </w:rPr>
            </w:pPr>
            <w:r>
              <w:rPr>
                <w:rFonts w:hint="eastAsia"/>
                <w:b/>
                <w:bCs/>
                <w:color w:val="auto"/>
                <w:sz w:val="24"/>
                <w:lang w:val="en-US" w:eastAsia="zh-CN"/>
              </w:rPr>
              <w:t>6.4</w:t>
            </w:r>
            <w:r>
              <w:rPr>
                <w:b/>
                <w:bCs/>
                <w:color w:val="auto"/>
                <w:sz w:val="24"/>
              </w:rPr>
              <w:t>.3 应急预案</w:t>
            </w:r>
          </w:p>
          <w:p w14:paraId="4F90083C">
            <w:pPr>
              <w:keepNext w:val="0"/>
              <w:keepLines w:val="0"/>
              <w:pageBreakBefore w:val="0"/>
              <w:kinsoku/>
              <w:wordWrap/>
              <w:overflowPunct/>
              <w:topLinePunct w:val="0"/>
              <w:autoSpaceDE/>
              <w:autoSpaceDN/>
              <w:bidi w:val="0"/>
              <w:adjustRightInd/>
              <w:snapToGrid/>
              <w:spacing w:line="520" w:lineRule="exact"/>
              <w:ind w:firstLine="480" w:firstLineChars="200"/>
              <w:jc w:val="both"/>
              <w:textAlignment w:val="auto"/>
              <w:rPr>
                <w:color w:val="auto"/>
                <w:sz w:val="24"/>
              </w:rPr>
            </w:pPr>
            <w:r>
              <w:rPr>
                <w:color w:val="auto"/>
                <w:sz w:val="24"/>
              </w:rPr>
              <w:t>事故应急预案是在发生事故后，按照预先制订的方案</w:t>
            </w:r>
            <w:r>
              <w:rPr>
                <w:rFonts w:hint="eastAsia"/>
                <w:color w:val="auto"/>
                <w:sz w:val="24"/>
                <w:lang w:eastAsia="zh-CN"/>
              </w:rPr>
              <w:t>采取</w:t>
            </w:r>
            <w:r>
              <w:rPr>
                <w:color w:val="auto"/>
                <w:sz w:val="24"/>
              </w:rPr>
              <w:t>一系列的措施，将事故的损失降低到</w:t>
            </w:r>
            <w:r>
              <w:rPr>
                <w:rFonts w:hint="eastAsia"/>
                <w:color w:val="auto"/>
                <w:sz w:val="24"/>
                <w:lang w:eastAsia="zh-CN"/>
              </w:rPr>
              <w:t>最低程度</w:t>
            </w:r>
            <w:r>
              <w:rPr>
                <w:color w:val="auto"/>
                <w:sz w:val="24"/>
              </w:rPr>
              <w:t>。本工程应急预案重点如下：</w:t>
            </w:r>
          </w:p>
          <w:p w14:paraId="3C86DA23">
            <w:pPr>
              <w:keepNext w:val="0"/>
              <w:keepLines w:val="0"/>
              <w:pageBreakBefore w:val="0"/>
              <w:kinsoku/>
              <w:wordWrap/>
              <w:overflowPunct/>
              <w:topLinePunct w:val="0"/>
              <w:autoSpaceDE/>
              <w:autoSpaceDN/>
              <w:bidi w:val="0"/>
              <w:adjustRightInd/>
              <w:snapToGrid/>
              <w:spacing w:line="520" w:lineRule="exact"/>
              <w:ind w:firstLine="480" w:firstLineChars="200"/>
              <w:jc w:val="both"/>
              <w:textAlignment w:val="auto"/>
              <w:rPr>
                <w:color w:val="auto"/>
                <w:sz w:val="24"/>
              </w:rPr>
            </w:pPr>
            <w:r>
              <w:rPr>
                <w:color w:val="auto"/>
                <w:sz w:val="24"/>
              </w:rPr>
              <w:t>A</w:t>
            </w:r>
            <w:r>
              <w:rPr>
                <w:rFonts w:hint="eastAsia"/>
                <w:color w:val="auto"/>
                <w:sz w:val="24"/>
                <w:lang w:eastAsia="zh-CN"/>
              </w:rPr>
              <w:t>.</w:t>
            </w:r>
            <w:r>
              <w:rPr>
                <w:color w:val="auto"/>
                <w:sz w:val="24"/>
              </w:rPr>
              <w:t>必须制定应急计划、方案和程序</w:t>
            </w:r>
          </w:p>
          <w:p w14:paraId="345CA916">
            <w:pPr>
              <w:keepNext w:val="0"/>
              <w:keepLines w:val="0"/>
              <w:pageBreakBefore w:val="0"/>
              <w:kinsoku/>
              <w:wordWrap/>
              <w:overflowPunct/>
              <w:topLinePunct w:val="0"/>
              <w:autoSpaceDE/>
              <w:autoSpaceDN/>
              <w:bidi w:val="0"/>
              <w:adjustRightInd/>
              <w:snapToGrid/>
              <w:spacing w:line="520" w:lineRule="exact"/>
              <w:ind w:firstLine="480" w:firstLineChars="200"/>
              <w:jc w:val="both"/>
              <w:textAlignment w:val="auto"/>
              <w:rPr>
                <w:color w:val="auto"/>
                <w:sz w:val="24"/>
              </w:rPr>
            </w:pPr>
            <w:r>
              <w:rPr>
                <w:color w:val="auto"/>
                <w:sz w:val="24"/>
              </w:rPr>
              <w:t>为了使突发事故发生后能</w:t>
            </w:r>
            <w:r>
              <w:rPr>
                <w:rFonts w:hint="eastAsia"/>
                <w:color w:val="auto"/>
                <w:sz w:val="24"/>
                <w:lang w:eastAsia="zh-CN"/>
              </w:rPr>
              <w:t>有条不紊地</w:t>
            </w:r>
            <w:r>
              <w:rPr>
                <w:color w:val="auto"/>
                <w:sz w:val="24"/>
              </w:rPr>
              <w:t>处理事故，在工程投产之前就应制定好事故应急计划和方案，以备在发生事故后有备无患。</w:t>
            </w:r>
          </w:p>
          <w:p w14:paraId="432D6E1E">
            <w:pPr>
              <w:keepNext w:val="0"/>
              <w:keepLines w:val="0"/>
              <w:pageBreakBefore w:val="0"/>
              <w:kinsoku/>
              <w:wordWrap/>
              <w:overflowPunct/>
              <w:topLinePunct w:val="0"/>
              <w:autoSpaceDE/>
              <w:autoSpaceDN/>
              <w:bidi w:val="0"/>
              <w:adjustRightInd/>
              <w:snapToGrid/>
              <w:spacing w:line="520" w:lineRule="exact"/>
              <w:ind w:firstLine="480" w:firstLineChars="200"/>
              <w:jc w:val="both"/>
              <w:textAlignment w:val="auto"/>
              <w:rPr>
                <w:color w:val="auto"/>
                <w:sz w:val="24"/>
              </w:rPr>
            </w:pPr>
            <w:r>
              <w:rPr>
                <w:color w:val="auto"/>
                <w:sz w:val="24"/>
              </w:rPr>
              <w:t>B</w:t>
            </w:r>
            <w:r>
              <w:rPr>
                <w:rFonts w:hint="eastAsia"/>
                <w:color w:val="auto"/>
                <w:sz w:val="24"/>
                <w:lang w:eastAsia="zh-CN"/>
              </w:rPr>
              <w:t>.</w:t>
            </w:r>
            <w:r>
              <w:rPr>
                <w:color w:val="auto"/>
                <w:sz w:val="24"/>
              </w:rPr>
              <w:t>成立重大事故</w:t>
            </w:r>
            <w:r>
              <w:rPr>
                <w:rFonts w:hint="eastAsia"/>
                <w:color w:val="auto"/>
                <w:sz w:val="24"/>
                <w:lang w:eastAsia="zh-CN"/>
              </w:rPr>
              <w:t>应急救援</w:t>
            </w:r>
            <w:r>
              <w:rPr>
                <w:color w:val="auto"/>
                <w:sz w:val="24"/>
              </w:rPr>
              <w:t>小组</w:t>
            </w:r>
          </w:p>
          <w:p w14:paraId="4A26F8BE">
            <w:pPr>
              <w:keepNext w:val="0"/>
              <w:keepLines w:val="0"/>
              <w:pageBreakBefore w:val="0"/>
              <w:kinsoku/>
              <w:wordWrap/>
              <w:overflowPunct/>
              <w:topLinePunct w:val="0"/>
              <w:autoSpaceDE/>
              <w:autoSpaceDN/>
              <w:bidi w:val="0"/>
              <w:adjustRightInd/>
              <w:snapToGrid/>
              <w:spacing w:line="520" w:lineRule="exact"/>
              <w:ind w:firstLine="480" w:firstLineChars="200"/>
              <w:jc w:val="both"/>
              <w:textAlignment w:val="auto"/>
              <w:rPr>
                <w:color w:val="auto"/>
                <w:sz w:val="24"/>
              </w:rPr>
            </w:pPr>
            <w:r>
              <w:rPr>
                <w:color w:val="auto"/>
                <w:sz w:val="24"/>
              </w:rPr>
              <w:t>成立由厂长、分管厂长及生产、安全、环保、保卫等部门组成的重大事故应急救援小组，一旦发生事故，救援小组便及时</w:t>
            </w:r>
            <w:r>
              <w:rPr>
                <w:rFonts w:hint="eastAsia"/>
                <w:color w:val="auto"/>
                <w:sz w:val="24"/>
                <w:lang w:val="en-US" w:eastAsia="zh-CN"/>
              </w:rPr>
              <w:t>履</w:t>
            </w:r>
            <w:r>
              <w:rPr>
                <w:color w:val="auto"/>
                <w:sz w:val="24"/>
              </w:rPr>
              <w:t>行其相应的职责，处理事故。</w:t>
            </w:r>
          </w:p>
          <w:p w14:paraId="537A3F8E">
            <w:pPr>
              <w:keepNext w:val="0"/>
              <w:keepLines w:val="0"/>
              <w:pageBreakBefore w:val="0"/>
              <w:kinsoku/>
              <w:wordWrap/>
              <w:overflowPunct/>
              <w:topLinePunct w:val="0"/>
              <w:autoSpaceDE/>
              <w:autoSpaceDN/>
              <w:bidi w:val="0"/>
              <w:adjustRightInd/>
              <w:snapToGrid/>
              <w:spacing w:line="520" w:lineRule="exact"/>
              <w:ind w:firstLine="480" w:firstLineChars="200"/>
              <w:jc w:val="both"/>
              <w:textAlignment w:val="auto"/>
              <w:rPr>
                <w:color w:val="auto"/>
                <w:sz w:val="24"/>
              </w:rPr>
            </w:pPr>
            <w:r>
              <w:rPr>
                <w:color w:val="auto"/>
                <w:sz w:val="24"/>
              </w:rPr>
              <w:t>C</w:t>
            </w:r>
            <w:r>
              <w:rPr>
                <w:rFonts w:hint="eastAsia"/>
                <w:color w:val="auto"/>
                <w:sz w:val="24"/>
                <w:lang w:eastAsia="zh-CN"/>
              </w:rPr>
              <w:t>.</w:t>
            </w:r>
            <w:r>
              <w:rPr>
                <w:color w:val="auto"/>
                <w:sz w:val="24"/>
              </w:rPr>
              <w:t>事故发生后应采取紧急隔离和疏散措施</w:t>
            </w:r>
          </w:p>
          <w:p w14:paraId="3394177C">
            <w:pPr>
              <w:keepNext w:val="0"/>
              <w:keepLines w:val="0"/>
              <w:pageBreakBefore w:val="0"/>
              <w:kinsoku/>
              <w:wordWrap/>
              <w:overflowPunct/>
              <w:topLinePunct w:val="0"/>
              <w:autoSpaceDE/>
              <w:autoSpaceDN/>
              <w:bidi w:val="0"/>
              <w:adjustRightInd/>
              <w:snapToGrid/>
              <w:spacing w:line="520" w:lineRule="exact"/>
              <w:ind w:firstLine="480" w:firstLineChars="200"/>
              <w:jc w:val="both"/>
              <w:textAlignment w:val="auto"/>
              <w:rPr>
                <w:color w:val="auto"/>
                <w:sz w:val="24"/>
              </w:rPr>
            </w:pPr>
            <w:r>
              <w:rPr>
                <w:color w:val="auto"/>
                <w:sz w:val="24"/>
              </w:rPr>
              <w:t>一旦发生突发事故，应及时发出警报，并在救援小组的领导下，紧急隔离危险物品，切断电源，疏散人群，抢救受害人员。</w:t>
            </w:r>
          </w:p>
          <w:p w14:paraId="6166CA98">
            <w:pPr>
              <w:keepNext w:val="0"/>
              <w:keepLines w:val="0"/>
              <w:pageBreakBefore w:val="0"/>
              <w:kinsoku/>
              <w:wordWrap/>
              <w:overflowPunct/>
              <w:topLinePunct w:val="0"/>
              <w:autoSpaceDE/>
              <w:autoSpaceDN/>
              <w:bidi w:val="0"/>
              <w:adjustRightInd/>
              <w:snapToGrid/>
              <w:spacing w:line="520" w:lineRule="exact"/>
              <w:jc w:val="both"/>
              <w:textAlignment w:val="auto"/>
              <w:rPr>
                <w:b/>
                <w:bCs/>
                <w:color w:val="auto"/>
                <w:sz w:val="24"/>
              </w:rPr>
            </w:pPr>
            <w:r>
              <w:rPr>
                <w:rFonts w:hint="eastAsia"/>
                <w:b/>
                <w:bCs/>
                <w:color w:val="auto"/>
                <w:sz w:val="24"/>
                <w:lang w:val="en-US" w:eastAsia="zh-CN"/>
              </w:rPr>
              <w:t>6.5</w:t>
            </w:r>
            <w:r>
              <w:rPr>
                <w:b/>
                <w:bCs/>
                <w:color w:val="auto"/>
                <w:sz w:val="24"/>
              </w:rPr>
              <w:t xml:space="preserve"> 分析结论</w:t>
            </w:r>
          </w:p>
          <w:p w14:paraId="18DBFD83">
            <w:pPr>
              <w:keepNext w:val="0"/>
              <w:keepLines w:val="0"/>
              <w:pageBreakBefore w:val="0"/>
              <w:kinsoku/>
              <w:wordWrap/>
              <w:overflowPunct/>
              <w:topLinePunct w:val="0"/>
              <w:autoSpaceDE/>
              <w:autoSpaceDN/>
              <w:bidi w:val="0"/>
              <w:adjustRightInd/>
              <w:snapToGrid/>
              <w:spacing w:line="520" w:lineRule="exact"/>
              <w:ind w:firstLine="480" w:firstLineChars="200"/>
              <w:jc w:val="both"/>
              <w:textAlignment w:val="auto"/>
              <w:rPr>
                <w:color w:val="auto"/>
                <w:sz w:val="24"/>
              </w:rPr>
            </w:pPr>
            <w:r>
              <w:rPr>
                <w:color w:val="auto"/>
                <w:sz w:val="24"/>
              </w:rPr>
              <w:t>建设单位须进一步加强风险管理，严格风险管理机制，落实本评价提出的环境风险防范措施和应急措施，并应经常或定期开展应急救援培训和演练，一旦发生事故，能够及时启动应急预案，将风险事故的影响降到较低水平。在此基础上，本项目环境风险可接受。</w:t>
            </w:r>
          </w:p>
          <w:p w14:paraId="69D89520">
            <w:pPr>
              <w:keepNext w:val="0"/>
              <w:keepLines w:val="0"/>
              <w:pageBreakBefore w:val="0"/>
              <w:widowControl w:val="0"/>
              <w:tabs>
                <w:tab w:val="left" w:pos="438"/>
              </w:tabs>
              <w:kinsoku/>
              <w:wordWrap/>
              <w:overflowPunct/>
              <w:topLinePunct w:val="0"/>
              <w:autoSpaceDE/>
              <w:autoSpaceDN/>
              <w:bidi w:val="0"/>
              <w:adjustRightInd/>
              <w:snapToGrid/>
              <w:spacing w:line="520" w:lineRule="exact"/>
              <w:jc w:val="center"/>
              <w:textAlignment w:val="auto"/>
              <w:rPr>
                <w:color w:val="auto"/>
                <w:sz w:val="24"/>
              </w:rPr>
            </w:pPr>
            <w:r>
              <w:rPr>
                <w:b/>
                <w:color w:val="auto"/>
                <w:szCs w:val="21"/>
              </w:rPr>
              <w:t>表4-</w:t>
            </w:r>
            <w:r>
              <w:rPr>
                <w:rFonts w:hint="eastAsia"/>
                <w:b/>
                <w:color w:val="auto"/>
                <w:szCs w:val="21"/>
                <w:lang w:val="en-US" w:eastAsia="zh-CN"/>
              </w:rPr>
              <w:t>18</w:t>
            </w:r>
            <w:r>
              <w:rPr>
                <w:b/>
                <w:color w:val="auto"/>
                <w:szCs w:val="21"/>
              </w:rPr>
              <w:t xml:space="preserve">    建设项目环境风险简单分析内容表</w:t>
            </w:r>
          </w:p>
          <w:tbl>
            <w:tblPr>
              <w:tblStyle w:val="28"/>
              <w:tblW w:w="8151"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12"/>
              <w:gridCol w:w="1101"/>
              <w:gridCol w:w="2374"/>
              <w:gridCol w:w="876"/>
              <w:gridCol w:w="2288"/>
            </w:tblGrid>
            <w:tr w14:paraId="3F759B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8" w:type="pct"/>
                  <w:tcBorders>
                    <w:tl2br w:val="nil"/>
                    <w:tr2bl w:val="nil"/>
                  </w:tcBorders>
                  <w:vAlign w:val="center"/>
                </w:tcPr>
                <w:p w14:paraId="58EF9A64">
                  <w:pPr>
                    <w:jc w:val="center"/>
                    <w:rPr>
                      <w:color w:val="auto"/>
                      <w:szCs w:val="21"/>
                    </w:rPr>
                  </w:pPr>
                  <w:r>
                    <w:rPr>
                      <w:color w:val="auto"/>
                      <w:szCs w:val="21"/>
                    </w:rPr>
                    <w:t>建设项目名称</w:t>
                  </w:r>
                </w:p>
              </w:tc>
              <w:tc>
                <w:tcPr>
                  <w:tcW w:w="4071" w:type="pct"/>
                  <w:gridSpan w:val="4"/>
                  <w:tcBorders>
                    <w:tl2br w:val="nil"/>
                    <w:tr2bl w:val="nil"/>
                  </w:tcBorders>
                  <w:vAlign w:val="center"/>
                </w:tcPr>
                <w:p w14:paraId="082C9B4B">
                  <w:pPr>
                    <w:jc w:val="center"/>
                    <w:rPr>
                      <w:rFonts w:hint="default"/>
                      <w:color w:val="auto"/>
                      <w:szCs w:val="21"/>
                      <w:lang w:val="en-US"/>
                    </w:rPr>
                  </w:pPr>
                  <w:r>
                    <w:rPr>
                      <w:rFonts w:hint="default"/>
                      <w:color w:val="auto"/>
                      <w:szCs w:val="21"/>
                      <w:lang w:val="en-US" w:eastAsia="zh-CN"/>
                    </w:rPr>
                    <w:t>成都聿杰商贸有限公司阜康煤炭洗选分公司120万吨/年煤炭高效洗选封闭式洗煤车间建设及配套设备更新项目</w:t>
                  </w:r>
                </w:p>
              </w:tc>
            </w:tr>
            <w:tr w14:paraId="5AC96A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8" w:type="pct"/>
                  <w:tcBorders>
                    <w:tl2br w:val="nil"/>
                    <w:tr2bl w:val="nil"/>
                  </w:tcBorders>
                  <w:vAlign w:val="center"/>
                </w:tcPr>
                <w:p w14:paraId="0B6FCCF4">
                  <w:pPr>
                    <w:jc w:val="center"/>
                    <w:rPr>
                      <w:color w:val="auto"/>
                      <w:szCs w:val="21"/>
                    </w:rPr>
                  </w:pPr>
                  <w:r>
                    <w:rPr>
                      <w:color w:val="auto"/>
                      <w:szCs w:val="21"/>
                    </w:rPr>
                    <w:t>建设地点</w:t>
                  </w:r>
                </w:p>
              </w:tc>
              <w:tc>
                <w:tcPr>
                  <w:tcW w:w="4071" w:type="pct"/>
                  <w:gridSpan w:val="4"/>
                  <w:tcBorders>
                    <w:tl2br w:val="nil"/>
                    <w:tr2bl w:val="nil"/>
                  </w:tcBorders>
                  <w:vAlign w:val="center"/>
                </w:tcPr>
                <w:p w14:paraId="2A34E051">
                  <w:pPr>
                    <w:jc w:val="center"/>
                    <w:rPr>
                      <w:rFonts w:hint="default" w:eastAsia="宋体"/>
                      <w:color w:val="auto"/>
                      <w:szCs w:val="21"/>
                      <w:lang w:val="en-US" w:eastAsia="zh-CN"/>
                    </w:rPr>
                  </w:pPr>
                  <w:r>
                    <w:rPr>
                      <w:rFonts w:hint="eastAsia"/>
                      <w:color w:val="auto"/>
                      <w:szCs w:val="21"/>
                      <w:lang w:val="en-US" w:eastAsia="zh-CN"/>
                    </w:rPr>
                    <w:t>阜康市甘河子镇西侧</w:t>
                  </w:r>
                </w:p>
              </w:tc>
            </w:tr>
            <w:tr w14:paraId="460C28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928" w:type="pct"/>
                  <w:tcBorders>
                    <w:tl2br w:val="nil"/>
                    <w:tr2bl w:val="nil"/>
                  </w:tcBorders>
                  <w:vAlign w:val="center"/>
                </w:tcPr>
                <w:p w14:paraId="31B58E9F">
                  <w:pPr>
                    <w:jc w:val="center"/>
                    <w:rPr>
                      <w:color w:val="auto"/>
                      <w:szCs w:val="21"/>
                    </w:rPr>
                  </w:pPr>
                  <w:r>
                    <w:rPr>
                      <w:color w:val="auto"/>
                      <w:szCs w:val="21"/>
                    </w:rPr>
                    <w:t>地理坐标</w:t>
                  </w:r>
                </w:p>
              </w:tc>
              <w:tc>
                <w:tcPr>
                  <w:tcW w:w="675" w:type="pct"/>
                  <w:tcBorders>
                    <w:tl2br w:val="nil"/>
                    <w:tr2bl w:val="nil"/>
                  </w:tcBorders>
                  <w:vAlign w:val="center"/>
                </w:tcPr>
                <w:p w14:paraId="5397860F">
                  <w:pPr>
                    <w:jc w:val="center"/>
                    <w:rPr>
                      <w:color w:val="auto"/>
                      <w:szCs w:val="21"/>
                    </w:rPr>
                  </w:pPr>
                  <w:r>
                    <w:rPr>
                      <w:color w:val="auto"/>
                      <w:szCs w:val="21"/>
                    </w:rPr>
                    <w:t>经度</w:t>
                  </w:r>
                </w:p>
              </w:tc>
              <w:tc>
                <w:tcPr>
                  <w:tcW w:w="1456" w:type="pct"/>
                  <w:tcBorders>
                    <w:tl2br w:val="nil"/>
                    <w:tr2bl w:val="nil"/>
                  </w:tcBorders>
                  <w:vAlign w:val="center"/>
                </w:tcPr>
                <w:p w14:paraId="3A9867A4">
                  <w:pPr>
                    <w:jc w:val="center"/>
                    <w:rPr>
                      <w:color w:val="auto"/>
                      <w:szCs w:val="21"/>
                    </w:rPr>
                  </w:pPr>
                  <w:r>
                    <w:rPr>
                      <w:color w:val="auto"/>
                      <w:szCs w:val="21"/>
                    </w:rPr>
                    <w:t>8</w:t>
                  </w:r>
                  <w:r>
                    <w:rPr>
                      <w:rFonts w:hint="eastAsia"/>
                      <w:color w:val="auto"/>
                      <w:szCs w:val="21"/>
                      <w:lang w:val="en-US" w:eastAsia="zh-CN"/>
                    </w:rPr>
                    <w:t>8</w:t>
                  </w:r>
                  <w:r>
                    <w:rPr>
                      <w:color w:val="auto"/>
                      <w:szCs w:val="21"/>
                    </w:rPr>
                    <w:t>度</w:t>
                  </w:r>
                  <w:r>
                    <w:rPr>
                      <w:rFonts w:hint="eastAsia"/>
                      <w:color w:val="auto"/>
                      <w:szCs w:val="21"/>
                      <w:lang w:val="en-US" w:eastAsia="zh-CN"/>
                    </w:rPr>
                    <w:t>20</w:t>
                  </w:r>
                  <w:r>
                    <w:rPr>
                      <w:color w:val="auto"/>
                      <w:szCs w:val="21"/>
                    </w:rPr>
                    <w:t>分</w:t>
                  </w:r>
                  <w:r>
                    <w:rPr>
                      <w:rFonts w:hint="eastAsia"/>
                      <w:color w:val="auto"/>
                      <w:szCs w:val="21"/>
                      <w:lang w:val="en-US" w:eastAsia="zh-CN"/>
                    </w:rPr>
                    <w:t>04.561</w:t>
                  </w:r>
                  <w:r>
                    <w:rPr>
                      <w:color w:val="auto"/>
                      <w:szCs w:val="21"/>
                    </w:rPr>
                    <w:t>秒</w:t>
                  </w:r>
                </w:p>
              </w:tc>
              <w:tc>
                <w:tcPr>
                  <w:tcW w:w="537" w:type="pct"/>
                  <w:tcBorders>
                    <w:tl2br w:val="nil"/>
                    <w:tr2bl w:val="nil"/>
                  </w:tcBorders>
                  <w:vAlign w:val="center"/>
                </w:tcPr>
                <w:p w14:paraId="484C2B9B">
                  <w:pPr>
                    <w:jc w:val="center"/>
                    <w:rPr>
                      <w:color w:val="auto"/>
                      <w:szCs w:val="21"/>
                    </w:rPr>
                  </w:pPr>
                  <w:r>
                    <w:rPr>
                      <w:color w:val="auto"/>
                      <w:szCs w:val="21"/>
                    </w:rPr>
                    <w:t>纬度</w:t>
                  </w:r>
                </w:p>
              </w:tc>
              <w:tc>
                <w:tcPr>
                  <w:tcW w:w="1401" w:type="pct"/>
                  <w:tcBorders>
                    <w:tl2br w:val="nil"/>
                    <w:tr2bl w:val="nil"/>
                  </w:tcBorders>
                  <w:vAlign w:val="center"/>
                </w:tcPr>
                <w:p w14:paraId="30D9C024">
                  <w:pPr>
                    <w:jc w:val="center"/>
                    <w:rPr>
                      <w:color w:val="auto"/>
                      <w:szCs w:val="21"/>
                    </w:rPr>
                  </w:pPr>
                  <w:r>
                    <w:rPr>
                      <w:color w:val="auto"/>
                      <w:szCs w:val="21"/>
                    </w:rPr>
                    <w:t>4</w:t>
                  </w:r>
                  <w:r>
                    <w:rPr>
                      <w:rFonts w:hint="eastAsia"/>
                      <w:color w:val="auto"/>
                      <w:szCs w:val="21"/>
                      <w:lang w:val="en-US" w:eastAsia="zh-CN"/>
                    </w:rPr>
                    <w:t>4</w:t>
                  </w:r>
                  <w:r>
                    <w:rPr>
                      <w:color w:val="auto"/>
                      <w:szCs w:val="21"/>
                    </w:rPr>
                    <w:t>度</w:t>
                  </w:r>
                  <w:r>
                    <w:rPr>
                      <w:rFonts w:hint="eastAsia"/>
                      <w:color w:val="auto"/>
                      <w:szCs w:val="21"/>
                      <w:lang w:val="en-US" w:eastAsia="zh-CN"/>
                    </w:rPr>
                    <w:t>06</w:t>
                  </w:r>
                  <w:r>
                    <w:rPr>
                      <w:color w:val="auto"/>
                      <w:szCs w:val="21"/>
                    </w:rPr>
                    <w:t>分</w:t>
                  </w:r>
                  <w:r>
                    <w:rPr>
                      <w:rFonts w:hint="eastAsia"/>
                      <w:color w:val="auto"/>
                      <w:szCs w:val="21"/>
                      <w:lang w:val="en-US" w:eastAsia="zh-CN"/>
                    </w:rPr>
                    <w:t>20.970</w:t>
                  </w:r>
                  <w:r>
                    <w:rPr>
                      <w:color w:val="auto"/>
                      <w:szCs w:val="21"/>
                    </w:rPr>
                    <w:t>秒</w:t>
                  </w:r>
                </w:p>
              </w:tc>
            </w:tr>
            <w:tr w14:paraId="5DD82E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8" w:type="pct"/>
                  <w:tcBorders>
                    <w:tl2br w:val="nil"/>
                    <w:tr2bl w:val="nil"/>
                  </w:tcBorders>
                  <w:vAlign w:val="center"/>
                </w:tcPr>
                <w:p w14:paraId="159E584B">
                  <w:pPr>
                    <w:jc w:val="center"/>
                    <w:rPr>
                      <w:color w:val="auto"/>
                      <w:szCs w:val="21"/>
                    </w:rPr>
                  </w:pPr>
                  <w:r>
                    <w:rPr>
                      <w:color w:val="auto"/>
                      <w:szCs w:val="21"/>
                    </w:rPr>
                    <w:t>主要危险物质及分布</w:t>
                  </w:r>
                </w:p>
              </w:tc>
              <w:tc>
                <w:tcPr>
                  <w:tcW w:w="4071" w:type="pct"/>
                  <w:gridSpan w:val="4"/>
                  <w:tcBorders>
                    <w:tl2br w:val="nil"/>
                    <w:tr2bl w:val="nil"/>
                  </w:tcBorders>
                  <w:vAlign w:val="center"/>
                </w:tcPr>
                <w:p w14:paraId="249D4B6B">
                  <w:pPr>
                    <w:jc w:val="center"/>
                    <w:rPr>
                      <w:rFonts w:hint="eastAsia" w:eastAsia="宋体"/>
                      <w:color w:val="auto"/>
                      <w:szCs w:val="21"/>
                      <w:lang w:eastAsia="zh-CN"/>
                    </w:rPr>
                  </w:pPr>
                  <w:r>
                    <w:rPr>
                      <w:color w:val="auto"/>
                      <w:szCs w:val="21"/>
                    </w:rPr>
                    <w:t>主要危险物质：</w:t>
                  </w:r>
                  <w:r>
                    <w:rPr>
                      <w:rFonts w:hint="eastAsia"/>
                      <w:color w:val="auto"/>
                      <w:szCs w:val="21"/>
                      <w:lang w:eastAsia="zh-CN"/>
                    </w:rPr>
                    <w:t>废润滑油</w:t>
                  </w:r>
                </w:p>
                <w:p w14:paraId="25B12E91">
                  <w:pPr>
                    <w:jc w:val="center"/>
                    <w:rPr>
                      <w:rFonts w:hint="eastAsia" w:eastAsia="宋体"/>
                      <w:color w:val="auto"/>
                      <w:szCs w:val="21"/>
                      <w:lang w:eastAsia="zh-CN"/>
                    </w:rPr>
                  </w:pPr>
                  <w:r>
                    <w:rPr>
                      <w:color w:val="auto"/>
                      <w:szCs w:val="21"/>
                    </w:rPr>
                    <w:t>分布：</w:t>
                  </w:r>
                  <w:r>
                    <w:rPr>
                      <w:rFonts w:hint="eastAsia"/>
                      <w:color w:val="auto"/>
                      <w:szCs w:val="21"/>
                      <w:lang w:val="en-US" w:eastAsia="zh-CN"/>
                    </w:rPr>
                    <w:t>危废暂存间</w:t>
                  </w:r>
                </w:p>
              </w:tc>
            </w:tr>
            <w:tr w14:paraId="65CC35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8" w:type="pct"/>
                  <w:tcBorders>
                    <w:tl2br w:val="nil"/>
                    <w:tr2bl w:val="nil"/>
                  </w:tcBorders>
                  <w:vAlign w:val="center"/>
                </w:tcPr>
                <w:p w14:paraId="247AA527">
                  <w:pPr>
                    <w:jc w:val="center"/>
                    <w:rPr>
                      <w:color w:val="auto"/>
                      <w:szCs w:val="21"/>
                    </w:rPr>
                  </w:pPr>
                  <w:r>
                    <w:rPr>
                      <w:color w:val="auto"/>
                      <w:szCs w:val="21"/>
                    </w:rPr>
                    <w:t>环境影响途径及危害后果</w:t>
                  </w:r>
                </w:p>
              </w:tc>
              <w:tc>
                <w:tcPr>
                  <w:tcW w:w="4071" w:type="pct"/>
                  <w:gridSpan w:val="4"/>
                  <w:tcBorders>
                    <w:tl2br w:val="nil"/>
                    <w:tr2bl w:val="nil"/>
                  </w:tcBorders>
                  <w:vAlign w:val="center"/>
                </w:tcPr>
                <w:p w14:paraId="56F854AE">
                  <w:pPr>
                    <w:rPr>
                      <w:color w:val="auto"/>
                      <w:szCs w:val="21"/>
                    </w:rPr>
                  </w:pPr>
                  <w:r>
                    <w:rPr>
                      <w:color w:val="auto"/>
                      <w:szCs w:val="21"/>
                    </w:rPr>
                    <w:t>一旦</w:t>
                  </w:r>
                  <w:r>
                    <w:rPr>
                      <w:rFonts w:hint="eastAsia"/>
                      <w:color w:val="auto"/>
                      <w:szCs w:val="21"/>
                      <w:lang w:eastAsia="zh-CN"/>
                    </w:rPr>
                    <w:t>废润滑油</w:t>
                  </w:r>
                  <w:r>
                    <w:rPr>
                      <w:color w:val="auto"/>
                      <w:szCs w:val="21"/>
                    </w:rPr>
                    <w:t>泄漏、火灾引发的次生污染，将会给附近地下水、大气、土壤带来一定污染，短时间难以得到修复</w:t>
                  </w:r>
                </w:p>
              </w:tc>
            </w:tr>
            <w:tr w14:paraId="1EF788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8" w:type="pct"/>
                  <w:tcBorders>
                    <w:tl2br w:val="nil"/>
                    <w:tr2bl w:val="nil"/>
                  </w:tcBorders>
                  <w:vAlign w:val="center"/>
                </w:tcPr>
                <w:p w14:paraId="62F6E408">
                  <w:pPr>
                    <w:jc w:val="center"/>
                    <w:rPr>
                      <w:color w:val="auto"/>
                      <w:szCs w:val="21"/>
                    </w:rPr>
                  </w:pPr>
                  <w:r>
                    <w:rPr>
                      <w:color w:val="auto"/>
                      <w:szCs w:val="21"/>
                    </w:rPr>
                    <w:t>风险防范措施要求</w:t>
                  </w:r>
                </w:p>
              </w:tc>
              <w:tc>
                <w:tcPr>
                  <w:tcW w:w="4071" w:type="pct"/>
                  <w:gridSpan w:val="4"/>
                  <w:tcBorders>
                    <w:tl2br w:val="nil"/>
                    <w:tr2bl w:val="nil"/>
                  </w:tcBorders>
                  <w:vAlign w:val="center"/>
                </w:tcPr>
                <w:p w14:paraId="6D7147E3">
                  <w:pPr>
                    <w:rPr>
                      <w:rFonts w:hint="default" w:eastAsia="宋体"/>
                      <w:color w:val="auto"/>
                      <w:szCs w:val="21"/>
                      <w:lang w:val="en-US" w:eastAsia="zh-CN"/>
                    </w:rPr>
                  </w:pPr>
                  <w:r>
                    <w:rPr>
                      <w:rFonts w:hint="eastAsia"/>
                      <w:color w:val="auto"/>
                      <w:szCs w:val="21"/>
                      <w:lang w:val="en-US" w:eastAsia="zh-CN"/>
                    </w:rPr>
                    <w:t>详见报告章节6.4</w:t>
                  </w:r>
                </w:p>
              </w:tc>
            </w:tr>
            <w:tr w14:paraId="5A707D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8" w:type="pct"/>
                  <w:tcBorders>
                    <w:tl2br w:val="nil"/>
                    <w:tr2bl w:val="nil"/>
                  </w:tcBorders>
                  <w:vAlign w:val="center"/>
                </w:tcPr>
                <w:p w14:paraId="317AA0FE">
                  <w:pPr>
                    <w:jc w:val="center"/>
                    <w:rPr>
                      <w:color w:val="auto"/>
                      <w:szCs w:val="21"/>
                    </w:rPr>
                  </w:pPr>
                  <w:r>
                    <w:rPr>
                      <w:color w:val="auto"/>
                      <w:szCs w:val="21"/>
                    </w:rPr>
                    <w:t>填表说明</w:t>
                  </w:r>
                </w:p>
              </w:tc>
              <w:tc>
                <w:tcPr>
                  <w:tcW w:w="4071" w:type="pct"/>
                  <w:gridSpan w:val="4"/>
                  <w:tcBorders>
                    <w:tl2br w:val="nil"/>
                    <w:tr2bl w:val="nil"/>
                  </w:tcBorders>
                  <w:vAlign w:val="center"/>
                </w:tcPr>
                <w:p w14:paraId="1EB07A75">
                  <w:pPr>
                    <w:jc w:val="center"/>
                    <w:rPr>
                      <w:color w:val="auto"/>
                      <w:szCs w:val="21"/>
                    </w:rPr>
                  </w:pPr>
                  <w:r>
                    <w:rPr>
                      <w:color w:val="auto"/>
                      <w:szCs w:val="21"/>
                    </w:rPr>
                    <w:t>本项目</w:t>
                  </w:r>
                  <w:r>
                    <w:rPr>
                      <w:rFonts w:hint="eastAsia"/>
                      <w:color w:val="auto"/>
                      <w:szCs w:val="21"/>
                      <w:lang w:eastAsia="zh-CN"/>
                    </w:rPr>
                    <w:t>主要是涉及</w:t>
                  </w:r>
                  <w:r>
                    <w:rPr>
                      <w:color w:val="auto"/>
                      <w:szCs w:val="21"/>
                    </w:rPr>
                    <w:t>的危险物质</w:t>
                  </w:r>
                  <w:r>
                    <w:rPr>
                      <w:rFonts w:hint="eastAsia"/>
                      <w:color w:val="auto"/>
                      <w:szCs w:val="21"/>
                      <w:lang w:eastAsia="zh-CN"/>
                    </w:rPr>
                    <w:t>泄漏</w:t>
                  </w:r>
                  <w:r>
                    <w:rPr>
                      <w:color w:val="auto"/>
                      <w:szCs w:val="21"/>
                    </w:rPr>
                    <w:t>可能性小，所涉及工艺较成熟，危险性较低，环境敏感度较低。并且项目风险潜势为I，可开展简单分析。</w:t>
                  </w:r>
                </w:p>
              </w:tc>
            </w:tr>
          </w:tbl>
          <w:p w14:paraId="772D2992">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color w:val="auto"/>
              </w:rPr>
            </w:pPr>
            <w:r>
              <w:rPr>
                <w:color w:val="auto"/>
                <w:sz w:val="24"/>
              </w:rPr>
              <w:t>因此，本项目严格采取上述措施以后，运营期间发生环境风险概率较小，所以本项目的事故风险水平是可以接受的。</w:t>
            </w:r>
          </w:p>
          <w:p w14:paraId="0F225249">
            <w:pPr>
              <w:keepNext w:val="0"/>
              <w:keepLines w:val="0"/>
              <w:pageBreakBefore w:val="0"/>
              <w:numPr>
                <w:ilvl w:val="0"/>
                <w:numId w:val="13"/>
              </w:numPr>
              <w:kinsoku/>
              <w:wordWrap/>
              <w:overflowPunct/>
              <w:topLinePunct w:val="0"/>
              <w:autoSpaceDE/>
              <w:autoSpaceDN/>
              <w:bidi w:val="0"/>
              <w:adjustRightInd w:val="0"/>
              <w:snapToGrid w:val="0"/>
              <w:spacing w:line="520" w:lineRule="exact"/>
              <w:ind w:left="0" w:leftChars="0" w:firstLine="0" w:firstLineChars="0"/>
              <w:rPr>
                <w:rFonts w:hint="eastAsia" w:eastAsia="宋体"/>
                <w:b/>
                <w:bCs/>
                <w:color w:val="auto"/>
                <w:sz w:val="24"/>
                <w:lang w:eastAsia="zh-CN"/>
              </w:rPr>
            </w:pPr>
            <w:r>
              <w:rPr>
                <w:b/>
                <w:bCs/>
                <w:color w:val="auto"/>
                <w:sz w:val="24"/>
              </w:rPr>
              <w:t>排污口规范化</w:t>
            </w:r>
            <w:r>
              <w:rPr>
                <w:rFonts w:hint="eastAsia"/>
                <w:b/>
                <w:bCs/>
                <w:color w:val="auto"/>
                <w:sz w:val="24"/>
                <w:lang w:eastAsia="zh-CN"/>
              </w:rPr>
              <w:t>设置要求</w:t>
            </w:r>
          </w:p>
          <w:p w14:paraId="5869AA26">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baseline"/>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根据《固定源废气监测技术规范》（ HJ/T397-2007）和《污水监测技术规范》（HJ 91.1-2019）对排污口进行规范化设置。</w:t>
            </w:r>
          </w:p>
          <w:p w14:paraId="6ED20E90">
            <w:pPr>
              <w:keepNext w:val="0"/>
              <w:keepLines w:val="0"/>
              <w:pageBreakBefore w:val="0"/>
              <w:widowControl/>
              <w:numPr>
                <w:ilvl w:val="0"/>
                <w:numId w:val="15"/>
              </w:numPr>
              <w:kinsoku/>
              <w:wordWrap/>
              <w:overflowPunct/>
              <w:topLinePunct w:val="0"/>
              <w:autoSpaceDE/>
              <w:autoSpaceDN/>
              <w:bidi w:val="0"/>
              <w:adjustRightInd/>
              <w:snapToGrid/>
              <w:spacing w:line="520" w:lineRule="exact"/>
              <w:ind w:left="0" w:leftChars="0" w:firstLine="397" w:firstLineChars="0"/>
              <w:textAlignment w:val="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废气采样位置应优先选择在垂直管段，应避开烟道弯头和断面急剧变化的部位。采样位置应设置在距弯头、阀门、变径管下游方向不小于6 倍直径，和距上述部件上游方向不小于 3 倍直径处。</w:t>
            </w:r>
          </w:p>
          <w:p w14:paraId="0FF68A1C">
            <w:pPr>
              <w:keepNext w:val="0"/>
              <w:keepLines w:val="0"/>
              <w:pageBreakBefore w:val="0"/>
              <w:widowControl/>
              <w:numPr>
                <w:ilvl w:val="0"/>
                <w:numId w:val="15"/>
              </w:numPr>
              <w:kinsoku/>
              <w:wordWrap/>
              <w:overflowPunct/>
              <w:topLinePunct w:val="0"/>
              <w:autoSpaceDE/>
              <w:autoSpaceDN/>
              <w:bidi w:val="0"/>
              <w:adjustRightInd/>
              <w:snapToGrid/>
              <w:spacing w:line="520" w:lineRule="exact"/>
              <w:ind w:left="0" w:leftChars="0" w:firstLine="397" w:firstLineChars="0"/>
              <w:textAlignment w:val="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废气排放口必要时应设置采样平台，采样平台应有足够的工作面积使工作人员安全、方便地操作。平台面积应不小于 1.5 m，并设有 1.1 m 高的护和不低于 10 cm 的脚部挡板，采样平台的承重应不小于 200 kg/m，采样孔距平台面为 1.2~1.3 m。</w:t>
            </w:r>
          </w:p>
          <w:p w14:paraId="63108080">
            <w:pPr>
              <w:keepNext w:val="0"/>
              <w:keepLines w:val="0"/>
              <w:pageBreakBefore w:val="0"/>
              <w:widowControl/>
              <w:numPr>
                <w:ilvl w:val="0"/>
                <w:numId w:val="15"/>
              </w:numPr>
              <w:kinsoku/>
              <w:wordWrap/>
              <w:overflowPunct/>
              <w:topLinePunct w:val="0"/>
              <w:autoSpaceDE/>
              <w:autoSpaceDN/>
              <w:bidi w:val="0"/>
              <w:adjustRightInd/>
              <w:snapToGrid/>
              <w:spacing w:line="520" w:lineRule="exact"/>
              <w:ind w:left="0" w:leftChars="0" w:firstLine="397" w:firstLineChars="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污水排放口应满足现场采样和流量测定的要求，原则上设在厂界内，或厂界外不超过10 m的范围内。</w:t>
            </w:r>
          </w:p>
          <w:p w14:paraId="0ACB7917">
            <w:pPr>
              <w:keepNext w:val="0"/>
              <w:keepLines w:val="0"/>
              <w:pageBreakBefore w:val="0"/>
              <w:widowControl/>
              <w:numPr>
                <w:ilvl w:val="0"/>
                <w:numId w:val="15"/>
              </w:numPr>
              <w:kinsoku/>
              <w:wordWrap/>
              <w:overflowPunct/>
              <w:topLinePunct w:val="0"/>
              <w:autoSpaceDE/>
              <w:autoSpaceDN/>
              <w:bidi w:val="0"/>
              <w:adjustRightInd/>
              <w:snapToGrid/>
              <w:spacing w:line="520" w:lineRule="exact"/>
              <w:ind w:left="0" w:leftChars="0" w:firstLine="397" w:firstLineChars="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污水排放管道或渠道监测断面应为矩形、圆形、梯形等规则形状。测流段水流应平直、稳定、有一定水位高度。用暗管或暗渠排污的，须设置一段能满足采样条件和流量测量的明渠。</w:t>
            </w:r>
          </w:p>
          <w:p w14:paraId="5F891901">
            <w:pPr>
              <w:keepNext w:val="0"/>
              <w:keepLines w:val="0"/>
              <w:pageBreakBefore w:val="0"/>
              <w:widowControl/>
              <w:numPr>
                <w:ilvl w:val="0"/>
                <w:numId w:val="15"/>
              </w:numPr>
              <w:kinsoku/>
              <w:wordWrap/>
              <w:overflowPunct/>
              <w:topLinePunct w:val="0"/>
              <w:autoSpaceDE/>
              <w:autoSpaceDN/>
              <w:bidi w:val="0"/>
              <w:adjustRightInd/>
              <w:snapToGrid/>
              <w:spacing w:line="520" w:lineRule="exact"/>
              <w:ind w:left="0" w:leftChars="0" w:firstLine="397" w:firstLineChars="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污水面在地面以下超过 1 m 的排放口，应配建取样台阶或梯架。监测平台面积应不小于 1m</w:t>
            </w:r>
            <w:r>
              <w:rPr>
                <w:rFonts w:hint="eastAsia" w:ascii="Times New Roman" w:hAnsi="Times New Roman" w:eastAsia="宋体" w:cs="Times New Roman"/>
                <w:color w:val="auto"/>
                <w:sz w:val="24"/>
                <w:vertAlign w:val="superscript"/>
                <w:lang w:val="en-US" w:eastAsia="zh-CN"/>
              </w:rPr>
              <w:t>2</w:t>
            </w:r>
            <w:r>
              <w:rPr>
                <w:rFonts w:hint="eastAsia" w:ascii="Times New Roman" w:hAnsi="Times New Roman" w:eastAsia="宋体" w:cs="Times New Roman"/>
                <w:color w:val="auto"/>
                <w:sz w:val="24"/>
                <w:lang w:val="en-US" w:eastAsia="zh-CN"/>
              </w:rPr>
              <w:t>，平台应设置不低于 1.2 m 的防护栏。</w:t>
            </w:r>
          </w:p>
          <w:p w14:paraId="6092CD51">
            <w:pPr>
              <w:keepNext w:val="0"/>
              <w:keepLines w:val="0"/>
              <w:pageBreakBefore w:val="0"/>
              <w:widowControl/>
              <w:numPr>
                <w:ilvl w:val="0"/>
                <w:numId w:val="15"/>
              </w:numPr>
              <w:kinsoku/>
              <w:wordWrap/>
              <w:overflowPunct/>
              <w:topLinePunct w:val="0"/>
              <w:autoSpaceDE/>
              <w:autoSpaceDN/>
              <w:bidi w:val="0"/>
              <w:adjustRightInd/>
              <w:snapToGrid/>
              <w:spacing w:line="520" w:lineRule="exact"/>
              <w:ind w:left="0" w:leftChars="0" w:firstLine="397" w:firstLineChars="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排放口应按照 GB 15562.1 的要求设置明显标志，并应加强日常管理和维护，确保监测人员的安全，经常进行排放口的清障、疏通工作；保证污水监测点位场所通风、照明正常；产生有毒有害气体的监测场所应强制设置通风系统，并安装相应的气体浓度安全报警装置。</w:t>
            </w:r>
          </w:p>
          <w:p w14:paraId="33CFD9DA">
            <w:pPr>
              <w:keepNext w:val="0"/>
              <w:keepLines w:val="0"/>
              <w:pageBreakBefore w:val="0"/>
              <w:widowControl/>
              <w:numPr>
                <w:ilvl w:val="0"/>
                <w:numId w:val="15"/>
              </w:numPr>
              <w:kinsoku/>
              <w:wordWrap/>
              <w:overflowPunct/>
              <w:topLinePunct w:val="0"/>
              <w:autoSpaceDE/>
              <w:autoSpaceDN/>
              <w:bidi w:val="0"/>
              <w:adjustRightInd/>
              <w:snapToGrid/>
              <w:spacing w:line="520" w:lineRule="exact"/>
              <w:ind w:left="0" w:leftChars="0" w:firstLine="397" w:firstLineChars="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经生态环境主管部门确认的排放口不得随意改动。因生产工艺或其他原因需变更</w:t>
            </w:r>
            <w:r>
              <w:rPr>
                <w:rFonts w:hint="eastAsia" w:cs="Times New Roman"/>
                <w:color w:val="auto"/>
                <w:sz w:val="24"/>
                <w:lang w:val="en-US" w:eastAsia="zh-CN"/>
              </w:rPr>
              <w:t>排放</w:t>
            </w:r>
            <w:r>
              <w:rPr>
                <w:rFonts w:hint="eastAsia" w:ascii="Times New Roman" w:hAnsi="Times New Roman" w:eastAsia="宋体" w:cs="Times New Roman"/>
                <w:color w:val="auto"/>
                <w:sz w:val="24"/>
                <w:lang w:val="en-US" w:eastAsia="zh-CN"/>
              </w:rPr>
              <w:t>口时，须按以上要求重新确认。</w:t>
            </w:r>
          </w:p>
          <w:p w14:paraId="15AA65FC">
            <w:pPr>
              <w:keepNext w:val="0"/>
              <w:keepLines w:val="0"/>
              <w:pageBreakBefore w:val="0"/>
              <w:widowControl/>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环境保护图形标志具体设置图形见表4-</w:t>
            </w:r>
            <w:r>
              <w:rPr>
                <w:rFonts w:hint="eastAsia" w:cs="Times New Roman"/>
                <w:color w:val="auto"/>
                <w:sz w:val="24"/>
                <w:lang w:val="en-US" w:eastAsia="zh-CN"/>
              </w:rPr>
              <w:t>19</w:t>
            </w:r>
            <w:r>
              <w:rPr>
                <w:rFonts w:hint="eastAsia" w:ascii="Times New Roman" w:hAnsi="Times New Roman" w:eastAsia="宋体" w:cs="Times New Roman"/>
                <w:color w:val="auto"/>
                <w:sz w:val="24"/>
                <w:lang w:val="en-US" w:eastAsia="zh-CN"/>
              </w:rPr>
              <w:t>。</w:t>
            </w:r>
          </w:p>
          <w:p w14:paraId="0AB537F5">
            <w:pPr>
              <w:pStyle w:val="60"/>
              <w:keepNext w:val="0"/>
              <w:keepLines w:val="0"/>
              <w:pageBreakBefore w:val="0"/>
              <w:widowControl w:val="0"/>
              <w:kinsoku/>
              <w:wordWrap/>
              <w:overflowPunct/>
              <w:topLinePunct w:val="0"/>
              <w:autoSpaceDE/>
              <w:autoSpaceDN/>
              <w:bidi w:val="0"/>
              <w:adjustRightInd w:val="0"/>
              <w:snapToGrid w:val="0"/>
              <w:spacing w:line="520" w:lineRule="exact"/>
              <w:ind w:left="0" w:leftChars="0" w:firstLine="0" w:firstLineChars="0"/>
              <w:jc w:val="center"/>
              <w:textAlignment w:val="auto"/>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表4-</w:t>
            </w:r>
            <w:r>
              <w:rPr>
                <w:rFonts w:hint="eastAsia" w:hAnsi="Times New Roman" w:cs="Times New Roman"/>
                <w:b/>
                <w:bCs/>
                <w:color w:val="auto"/>
                <w:sz w:val="21"/>
                <w:szCs w:val="21"/>
                <w:lang w:val="en-US" w:eastAsia="zh-CN"/>
              </w:rPr>
              <w:t xml:space="preserve">19    </w:t>
            </w:r>
            <w:r>
              <w:rPr>
                <w:rFonts w:hint="eastAsia" w:ascii="Times New Roman" w:hAnsi="Times New Roman" w:eastAsia="宋体" w:cs="Times New Roman"/>
                <w:b/>
                <w:bCs/>
                <w:color w:val="auto"/>
                <w:sz w:val="21"/>
                <w:szCs w:val="21"/>
                <w:lang w:val="en-US" w:eastAsia="zh-CN"/>
              </w:rPr>
              <w:t>各排污口环境保护图形标志</w:t>
            </w:r>
          </w:p>
          <w:tbl>
            <w:tblPr>
              <w:tblStyle w:val="27"/>
              <w:tblW w:w="8150" w:type="dxa"/>
              <w:jc w:val="center"/>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fixed"/>
              <w:tblCellMar>
                <w:top w:w="0" w:type="dxa"/>
                <w:left w:w="108" w:type="dxa"/>
                <w:bottom w:w="0" w:type="dxa"/>
                <w:right w:w="108" w:type="dxa"/>
              </w:tblCellMar>
            </w:tblPr>
            <w:tblGrid>
              <w:gridCol w:w="1173"/>
              <w:gridCol w:w="1361"/>
              <w:gridCol w:w="1361"/>
              <w:gridCol w:w="1361"/>
              <w:gridCol w:w="1361"/>
              <w:gridCol w:w="1533"/>
            </w:tblGrid>
            <w:tr w14:paraId="149D733F">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697" w:hRule="atLeast"/>
                <w:jc w:val="center"/>
              </w:trPr>
              <w:tc>
                <w:tcPr>
                  <w:tcW w:w="1173" w:type="dxa"/>
                  <w:tcBorders>
                    <w:tl2br w:val="nil"/>
                    <w:tr2bl w:val="nil"/>
                  </w:tcBorders>
                  <w:noWrap w:val="0"/>
                  <w:vAlign w:val="center"/>
                </w:tcPr>
                <w:p w14:paraId="735CF197">
                  <w:pPr>
                    <w:spacing w:line="240" w:lineRule="auto"/>
                    <w:ind w:firstLine="0" w:firstLineChars="0"/>
                    <w:jc w:val="center"/>
                    <w:rPr>
                      <w:rFonts w:hint="default" w:ascii="Times New Roman" w:hAnsi="Times New Roman" w:cs="Times New Roman"/>
                      <w:b/>
                      <w:bCs/>
                      <w:color w:val="auto"/>
                      <w:sz w:val="21"/>
                      <w:lang w:val="en-US" w:eastAsia="zh-Hans"/>
                    </w:rPr>
                  </w:pPr>
                  <w:r>
                    <w:rPr>
                      <w:rFonts w:hint="default" w:ascii="Times New Roman" w:hAnsi="Times New Roman" w:cs="Times New Roman"/>
                      <w:b/>
                      <w:bCs/>
                      <w:color w:val="auto"/>
                      <w:sz w:val="21"/>
                      <w:lang w:val="en-US" w:eastAsia="zh-Hans"/>
                    </w:rPr>
                    <w:t>名称</w:t>
                  </w:r>
                </w:p>
              </w:tc>
              <w:tc>
                <w:tcPr>
                  <w:tcW w:w="1361" w:type="dxa"/>
                  <w:tcBorders>
                    <w:tl2br w:val="nil"/>
                    <w:tr2bl w:val="nil"/>
                  </w:tcBorders>
                  <w:noWrap w:val="0"/>
                  <w:vAlign w:val="center"/>
                </w:tcPr>
                <w:p w14:paraId="45BC9B29">
                  <w:pPr>
                    <w:spacing w:line="240" w:lineRule="auto"/>
                    <w:ind w:firstLine="0" w:firstLineChars="0"/>
                    <w:jc w:val="center"/>
                    <w:rPr>
                      <w:rFonts w:hint="default" w:ascii="Times New Roman" w:hAnsi="Times New Roman" w:cs="Times New Roman"/>
                      <w:b/>
                      <w:bCs/>
                      <w:color w:val="auto"/>
                      <w:sz w:val="21"/>
                      <w:lang w:val="en-US" w:eastAsia="zh-Hans"/>
                    </w:rPr>
                  </w:pPr>
                  <w:r>
                    <w:rPr>
                      <w:rFonts w:hint="default" w:ascii="Times New Roman" w:hAnsi="Times New Roman" w:cs="Times New Roman"/>
                      <w:b/>
                      <w:bCs/>
                      <w:color w:val="auto"/>
                      <w:sz w:val="21"/>
                      <w:lang w:val="en-US" w:eastAsia="zh-Hans"/>
                    </w:rPr>
                    <w:t>废气排放口</w:t>
                  </w:r>
                </w:p>
              </w:tc>
              <w:tc>
                <w:tcPr>
                  <w:tcW w:w="1361" w:type="dxa"/>
                  <w:tcBorders>
                    <w:tl2br w:val="nil"/>
                    <w:tr2bl w:val="nil"/>
                  </w:tcBorders>
                  <w:noWrap w:val="0"/>
                  <w:vAlign w:val="center"/>
                </w:tcPr>
                <w:p w14:paraId="744CD786">
                  <w:pPr>
                    <w:spacing w:line="240" w:lineRule="auto"/>
                    <w:ind w:firstLine="0" w:firstLineChars="0"/>
                    <w:jc w:val="center"/>
                    <w:rPr>
                      <w:rFonts w:hint="default" w:ascii="Times New Roman" w:hAnsi="Times New Roman" w:cs="Times New Roman"/>
                      <w:b/>
                      <w:bCs/>
                      <w:color w:val="auto"/>
                      <w:sz w:val="21"/>
                      <w:lang w:val="en-US" w:eastAsia="zh-Hans"/>
                    </w:rPr>
                  </w:pPr>
                  <w:r>
                    <w:rPr>
                      <w:rFonts w:hint="default" w:ascii="Times New Roman" w:hAnsi="Times New Roman" w:cs="Times New Roman"/>
                      <w:b/>
                      <w:bCs/>
                      <w:color w:val="auto"/>
                      <w:sz w:val="21"/>
                      <w:lang w:val="en-US" w:eastAsia="zh-Hans"/>
                    </w:rPr>
                    <w:t>废水排放口</w:t>
                  </w:r>
                </w:p>
              </w:tc>
              <w:tc>
                <w:tcPr>
                  <w:tcW w:w="1361" w:type="dxa"/>
                  <w:tcBorders>
                    <w:tl2br w:val="nil"/>
                    <w:tr2bl w:val="nil"/>
                  </w:tcBorders>
                  <w:noWrap w:val="0"/>
                  <w:vAlign w:val="center"/>
                </w:tcPr>
                <w:p w14:paraId="6BC97C50">
                  <w:pPr>
                    <w:spacing w:line="240" w:lineRule="auto"/>
                    <w:ind w:firstLine="0" w:firstLineChars="0"/>
                    <w:jc w:val="center"/>
                    <w:rPr>
                      <w:rFonts w:hint="default" w:ascii="Times New Roman" w:hAnsi="Times New Roman" w:cs="Times New Roman"/>
                      <w:b/>
                      <w:bCs/>
                      <w:color w:val="auto"/>
                      <w:sz w:val="21"/>
                      <w:lang w:val="en-US" w:eastAsia="zh-Hans"/>
                    </w:rPr>
                  </w:pPr>
                  <w:r>
                    <w:rPr>
                      <w:rFonts w:hint="default" w:ascii="Times New Roman" w:hAnsi="Times New Roman" w:cs="Times New Roman"/>
                      <w:b/>
                      <w:bCs/>
                      <w:color w:val="auto"/>
                      <w:sz w:val="21"/>
                      <w:lang w:val="en-US" w:eastAsia="zh-Hans"/>
                    </w:rPr>
                    <w:t>噪声排放源</w:t>
                  </w:r>
                </w:p>
              </w:tc>
              <w:tc>
                <w:tcPr>
                  <w:tcW w:w="1361" w:type="dxa"/>
                  <w:tcBorders>
                    <w:tl2br w:val="nil"/>
                    <w:tr2bl w:val="nil"/>
                  </w:tcBorders>
                  <w:noWrap w:val="0"/>
                  <w:vAlign w:val="center"/>
                </w:tcPr>
                <w:p w14:paraId="2362BF9B">
                  <w:pPr>
                    <w:spacing w:line="240" w:lineRule="auto"/>
                    <w:ind w:firstLine="0" w:firstLineChars="0"/>
                    <w:jc w:val="center"/>
                    <w:rPr>
                      <w:rFonts w:hint="default" w:ascii="Times New Roman" w:hAnsi="Times New Roman" w:cs="Times New Roman"/>
                      <w:b/>
                      <w:bCs/>
                      <w:color w:val="auto"/>
                      <w:sz w:val="21"/>
                      <w:lang w:val="en-US" w:eastAsia="zh-Hans"/>
                    </w:rPr>
                  </w:pPr>
                  <w:r>
                    <w:rPr>
                      <w:rFonts w:hint="default" w:ascii="Times New Roman" w:hAnsi="Times New Roman" w:cs="Times New Roman"/>
                      <w:b/>
                      <w:bCs/>
                      <w:color w:val="auto"/>
                      <w:sz w:val="21"/>
                      <w:lang w:val="en-US" w:eastAsia="zh-Hans"/>
                    </w:rPr>
                    <w:t>一般固体废物</w:t>
                  </w:r>
                </w:p>
              </w:tc>
              <w:tc>
                <w:tcPr>
                  <w:tcW w:w="1533" w:type="dxa"/>
                  <w:tcBorders>
                    <w:tl2br w:val="nil"/>
                    <w:tr2bl w:val="nil"/>
                  </w:tcBorders>
                  <w:noWrap w:val="0"/>
                  <w:vAlign w:val="center"/>
                </w:tcPr>
                <w:p w14:paraId="1000E867">
                  <w:pPr>
                    <w:spacing w:line="240" w:lineRule="auto"/>
                    <w:ind w:firstLine="0" w:firstLineChars="0"/>
                    <w:jc w:val="center"/>
                    <w:rPr>
                      <w:rFonts w:hint="eastAsia" w:ascii="Times New Roman" w:hAnsi="Times New Roman" w:eastAsia="宋体" w:cs="Times New Roman"/>
                      <w:b/>
                      <w:bCs/>
                      <w:color w:val="auto"/>
                      <w:sz w:val="21"/>
                      <w:lang w:val="en-US" w:eastAsia="zh-CN"/>
                    </w:rPr>
                  </w:pPr>
                  <w:r>
                    <w:rPr>
                      <w:rFonts w:hint="eastAsia" w:ascii="Times New Roman" w:hAnsi="Times New Roman" w:cs="Times New Roman"/>
                      <w:b/>
                      <w:bCs/>
                      <w:color w:val="auto"/>
                      <w:sz w:val="21"/>
                      <w:lang w:val="en-US" w:eastAsia="zh-CN"/>
                    </w:rPr>
                    <w:t>危险废物</w:t>
                  </w:r>
                </w:p>
              </w:tc>
            </w:tr>
            <w:tr w14:paraId="6537477B">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1228" w:hRule="atLeast"/>
                <w:jc w:val="center"/>
              </w:trPr>
              <w:tc>
                <w:tcPr>
                  <w:tcW w:w="1173" w:type="dxa"/>
                  <w:tcBorders>
                    <w:tl2br w:val="nil"/>
                    <w:tr2bl w:val="nil"/>
                  </w:tcBorders>
                  <w:noWrap w:val="0"/>
                  <w:vAlign w:val="center"/>
                </w:tcPr>
                <w:p w14:paraId="61FE719F">
                  <w:pPr>
                    <w:pStyle w:val="34"/>
                    <w:ind w:left="0" w:leftChars="0" w:firstLine="0" w:firstLineChars="0"/>
                    <w:jc w:val="center"/>
                    <w:rPr>
                      <w:rFonts w:hint="default" w:ascii="Times New Roman" w:hAnsi="Times New Roman" w:eastAsia="宋体" w:cs="Times New Roman"/>
                      <w:color w:val="auto"/>
                      <w:kern w:val="2"/>
                      <w:sz w:val="21"/>
                      <w:szCs w:val="24"/>
                      <w:lang w:val="en-US" w:eastAsia="zh-Hans" w:bidi="ar-SA"/>
                    </w:rPr>
                  </w:pPr>
                  <w:r>
                    <w:rPr>
                      <w:rFonts w:hint="default" w:ascii="Times New Roman" w:hAnsi="Times New Roman" w:eastAsia="宋体" w:cs="Times New Roman"/>
                      <w:color w:val="auto"/>
                      <w:kern w:val="2"/>
                      <w:sz w:val="21"/>
                      <w:szCs w:val="24"/>
                      <w:lang w:val="en-US" w:eastAsia="zh-Hans" w:bidi="ar-SA"/>
                    </w:rPr>
                    <w:t>提示图形</w:t>
                  </w:r>
                </w:p>
                <w:p w14:paraId="3B3F4537">
                  <w:pPr>
                    <w:pStyle w:val="34"/>
                    <w:ind w:left="0" w:leftChars="0" w:firstLine="0" w:firstLineChars="0"/>
                    <w:jc w:val="center"/>
                    <w:rPr>
                      <w:rFonts w:hint="default" w:ascii="Times New Roman" w:hAnsi="Times New Roman" w:cs="Times New Roman"/>
                      <w:color w:val="auto"/>
                    </w:rPr>
                  </w:pPr>
                  <w:r>
                    <w:rPr>
                      <w:rFonts w:hint="default" w:ascii="Times New Roman" w:hAnsi="Times New Roman" w:eastAsia="宋体" w:cs="Times New Roman"/>
                      <w:color w:val="auto"/>
                      <w:kern w:val="2"/>
                      <w:sz w:val="21"/>
                      <w:szCs w:val="24"/>
                      <w:lang w:val="en-US" w:eastAsia="zh-Hans" w:bidi="ar-SA"/>
                    </w:rPr>
                    <w:t>符号</w:t>
                  </w:r>
                </w:p>
              </w:tc>
              <w:tc>
                <w:tcPr>
                  <w:tcW w:w="1361" w:type="dxa"/>
                  <w:tcBorders>
                    <w:tl2br w:val="nil"/>
                    <w:tr2bl w:val="nil"/>
                  </w:tcBorders>
                  <w:noWrap w:val="0"/>
                  <w:vAlign w:val="center"/>
                </w:tcPr>
                <w:p w14:paraId="5A0B3FDB">
                  <w:pPr>
                    <w:pStyle w:val="34"/>
                    <w:ind w:left="0" w:leftChars="0" w:firstLine="0" w:firstLineChars="0"/>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720090" cy="720090"/>
                        <wp:effectExtent l="0" t="0" r="3810" b="3810"/>
                        <wp:docPr id="5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
                                <pic:cNvPicPr>
                                  <a:picLocks noChangeAspect="1"/>
                                </pic:cNvPicPr>
                              </pic:nvPicPr>
                              <pic:blipFill>
                                <a:blip r:embed="rId21"/>
                                <a:stretch>
                                  <a:fillRect/>
                                </a:stretch>
                              </pic:blipFill>
                              <pic:spPr>
                                <a:xfrm>
                                  <a:off x="0" y="0"/>
                                  <a:ext cx="720090" cy="720090"/>
                                </a:xfrm>
                                <a:prstGeom prst="rect">
                                  <a:avLst/>
                                </a:prstGeom>
                                <a:noFill/>
                                <a:ln>
                                  <a:noFill/>
                                </a:ln>
                              </pic:spPr>
                            </pic:pic>
                          </a:graphicData>
                        </a:graphic>
                      </wp:inline>
                    </w:drawing>
                  </w:r>
                </w:p>
              </w:tc>
              <w:tc>
                <w:tcPr>
                  <w:tcW w:w="1361" w:type="dxa"/>
                  <w:tcBorders>
                    <w:tl2br w:val="nil"/>
                    <w:tr2bl w:val="nil"/>
                  </w:tcBorders>
                  <w:noWrap w:val="0"/>
                  <w:vAlign w:val="center"/>
                </w:tcPr>
                <w:p w14:paraId="50A40F78">
                  <w:pPr>
                    <w:pStyle w:val="34"/>
                    <w:ind w:left="0" w:leftChars="0" w:firstLine="0" w:firstLineChars="0"/>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720090" cy="720090"/>
                        <wp:effectExtent l="0" t="0" r="3810" b="3810"/>
                        <wp:docPr id="6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pic:cNvPicPr>
                                  <a:picLocks noChangeAspect="1"/>
                                </pic:cNvPicPr>
                              </pic:nvPicPr>
                              <pic:blipFill>
                                <a:blip r:embed="rId22"/>
                                <a:stretch>
                                  <a:fillRect/>
                                </a:stretch>
                              </pic:blipFill>
                              <pic:spPr>
                                <a:xfrm>
                                  <a:off x="0" y="0"/>
                                  <a:ext cx="720090" cy="720090"/>
                                </a:xfrm>
                                <a:prstGeom prst="rect">
                                  <a:avLst/>
                                </a:prstGeom>
                                <a:noFill/>
                                <a:ln>
                                  <a:noFill/>
                                </a:ln>
                              </pic:spPr>
                            </pic:pic>
                          </a:graphicData>
                        </a:graphic>
                      </wp:inline>
                    </w:drawing>
                  </w:r>
                </w:p>
              </w:tc>
              <w:tc>
                <w:tcPr>
                  <w:tcW w:w="1361" w:type="dxa"/>
                  <w:tcBorders>
                    <w:tl2br w:val="nil"/>
                    <w:tr2bl w:val="nil"/>
                  </w:tcBorders>
                  <w:noWrap w:val="0"/>
                  <w:vAlign w:val="center"/>
                </w:tcPr>
                <w:p w14:paraId="6D4C29E9">
                  <w:pPr>
                    <w:pStyle w:val="34"/>
                    <w:ind w:left="0" w:leftChars="0" w:firstLine="0" w:firstLineChars="0"/>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720090" cy="720090"/>
                        <wp:effectExtent l="0" t="0" r="3810" b="3810"/>
                        <wp:docPr id="5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
                                <pic:cNvPicPr>
                                  <a:picLocks noChangeAspect="1"/>
                                </pic:cNvPicPr>
                              </pic:nvPicPr>
                              <pic:blipFill>
                                <a:blip r:embed="rId23"/>
                                <a:stretch>
                                  <a:fillRect/>
                                </a:stretch>
                              </pic:blipFill>
                              <pic:spPr>
                                <a:xfrm>
                                  <a:off x="0" y="0"/>
                                  <a:ext cx="720090" cy="720090"/>
                                </a:xfrm>
                                <a:prstGeom prst="rect">
                                  <a:avLst/>
                                </a:prstGeom>
                                <a:noFill/>
                                <a:ln>
                                  <a:noFill/>
                                </a:ln>
                              </pic:spPr>
                            </pic:pic>
                          </a:graphicData>
                        </a:graphic>
                      </wp:inline>
                    </w:drawing>
                  </w:r>
                </w:p>
              </w:tc>
              <w:tc>
                <w:tcPr>
                  <w:tcW w:w="1361" w:type="dxa"/>
                  <w:tcBorders>
                    <w:tl2br w:val="nil"/>
                    <w:tr2bl w:val="nil"/>
                  </w:tcBorders>
                  <w:noWrap w:val="0"/>
                  <w:vAlign w:val="center"/>
                </w:tcPr>
                <w:p w14:paraId="6756DFAC">
                  <w:pPr>
                    <w:pStyle w:val="34"/>
                    <w:ind w:left="0" w:leftChars="0" w:firstLine="0" w:firstLineChars="0"/>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720090" cy="720090"/>
                        <wp:effectExtent l="0" t="0" r="3810" b="3810"/>
                        <wp:docPr id="4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5"/>
                                <pic:cNvPicPr>
                                  <a:picLocks noChangeAspect="1"/>
                                </pic:cNvPicPr>
                              </pic:nvPicPr>
                              <pic:blipFill>
                                <a:blip r:embed="rId24"/>
                                <a:stretch>
                                  <a:fillRect/>
                                </a:stretch>
                              </pic:blipFill>
                              <pic:spPr>
                                <a:xfrm>
                                  <a:off x="0" y="0"/>
                                  <a:ext cx="720090" cy="720090"/>
                                </a:xfrm>
                                <a:prstGeom prst="rect">
                                  <a:avLst/>
                                </a:prstGeom>
                                <a:noFill/>
                                <a:ln>
                                  <a:noFill/>
                                </a:ln>
                              </pic:spPr>
                            </pic:pic>
                          </a:graphicData>
                        </a:graphic>
                      </wp:inline>
                    </w:drawing>
                  </w:r>
                </w:p>
              </w:tc>
              <w:tc>
                <w:tcPr>
                  <w:tcW w:w="1533" w:type="dxa"/>
                  <w:tcBorders>
                    <w:tl2br w:val="nil"/>
                    <w:tr2bl w:val="nil"/>
                  </w:tcBorders>
                  <w:noWrap w:val="0"/>
                  <w:vAlign w:val="center"/>
                </w:tcPr>
                <w:p w14:paraId="64875D42">
                  <w:pPr>
                    <w:pStyle w:val="34"/>
                    <w:ind w:left="0" w:leftChars="0" w:firstLine="0" w:firstLineChars="0"/>
                    <w:jc w:val="center"/>
                    <w:rPr>
                      <w:rFonts w:hint="default" w:ascii="Times New Roman" w:hAnsi="Times New Roman" w:cs="Times New Roman"/>
                      <w:color w:val="auto"/>
                    </w:rPr>
                  </w:pPr>
                  <w:r>
                    <w:rPr>
                      <w:rFonts w:hint="default" w:ascii="宋体" w:hAnsi="宋体" w:eastAsia="宋体" w:cs="宋体"/>
                      <w:color w:val="auto"/>
                      <w:spacing w:val="0"/>
                      <w:kern w:val="0"/>
                      <w:sz w:val="21"/>
                      <w:szCs w:val="21"/>
                      <w:lang w:val="en-US" w:eastAsia="zh-CN" w:bidi="ar-SA"/>
                    </w:rPr>
                    <w:drawing>
                      <wp:inline distT="0" distB="0" distL="114300" distR="114300">
                        <wp:extent cx="819150" cy="728980"/>
                        <wp:effectExtent l="0" t="0" r="0" b="13970"/>
                        <wp:docPr id="53" name="图片 6" descr="1691509705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6" descr="1691509705211"/>
                                <pic:cNvPicPr>
                                  <a:picLocks noChangeAspect="1"/>
                                </pic:cNvPicPr>
                              </pic:nvPicPr>
                              <pic:blipFill>
                                <a:blip r:embed="rId25"/>
                                <a:stretch>
                                  <a:fillRect/>
                                </a:stretch>
                              </pic:blipFill>
                              <pic:spPr>
                                <a:xfrm>
                                  <a:off x="0" y="0"/>
                                  <a:ext cx="819150" cy="728980"/>
                                </a:xfrm>
                                <a:prstGeom prst="rect">
                                  <a:avLst/>
                                </a:prstGeom>
                                <a:noFill/>
                                <a:ln>
                                  <a:noFill/>
                                </a:ln>
                              </pic:spPr>
                            </pic:pic>
                          </a:graphicData>
                        </a:graphic>
                      </wp:inline>
                    </w:drawing>
                  </w:r>
                </w:p>
              </w:tc>
            </w:tr>
            <w:tr w14:paraId="45CBAE2A">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1170" w:hRule="atLeast"/>
                <w:jc w:val="center"/>
              </w:trPr>
              <w:tc>
                <w:tcPr>
                  <w:tcW w:w="1173" w:type="dxa"/>
                  <w:tcBorders>
                    <w:tl2br w:val="nil"/>
                    <w:tr2bl w:val="nil"/>
                  </w:tcBorders>
                  <w:noWrap w:val="0"/>
                  <w:vAlign w:val="center"/>
                </w:tcPr>
                <w:p w14:paraId="15054D72">
                  <w:pPr>
                    <w:spacing w:line="240" w:lineRule="auto"/>
                    <w:ind w:firstLine="0" w:firstLineChars="0"/>
                    <w:jc w:val="center"/>
                    <w:rPr>
                      <w:rFonts w:hint="default" w:ascii="Times New Roman" w:hAnsi="Times New Roman" w:cs="Times New Roman"/>
                      <w:color w:val="auto"/>
                      <w:sz w:val="21"/>
                      <w:lang w:val="en-US" w:eastAsia="zh-Hans"/>
                    </w:rPr>
                  </w:pPr>
                  <w:r>
                    <w:rPr>
                      <w:rFonts w:hint="default" w:ascii="Times New Roman" w:hAnsi="Times New Roman" w:cs="Times New Roman"/>
                      <w:color w:val="auto"/>
                      <w:sz w:val="21"/>
                      <w:lang w:val="en-US" w:eastAsia="zh-Hans"/>
                    </w:rPr>
                    <w:t>功能</w:t>
                  </w:r>
                </w:p>
              </w:tc>
              <w:tc>
                <w:tcPr>
                  <w:tcW w:w="1361" w:type="dxa"/>
                  <w:tcBorders>
                    <w:tl2br w:val="nil"/>
                    <w:tr2bl w:val="nil"/>
                  </w:tcBorders>
                  <w:noWrap w:val="0"/>
                  <w:vAlign w:val="center"/>
                </w:tcPr>
                <w:p w14:paraId="0E57351D">
                  <w:pPr>
                    <w:spacing w:line="240" w:lineRule="auto"/>
                    <w:ind w:firstLine="0" w:firstLineChars="0"/>
                    <w:jc w:val="center"/>
                    <w:rPr>
                      <w:rFonts w:hint="default" w:ascii="Times New Roman" w:hAnsi="Times New Roman" w:cs="Times New Roman"/>
                      <w:color w:val="auto"/>
                      <w:sz w:val="21"/>
                      <w:lang w:val="en-US" w:eastAsia="zh-Hans"/>
                    </w:rPr>
                  </w:pPr>
                  <w:r>
                    <w:rPr>
                      <w:rFonts w:hint="default" w:ascii="Times New Roman" w:hAnsi="Times New Roman" w:cs="Times New Roman"/>
                      <w:color w:val="auto"/>
                      <w:sz w:val="21"/>
                      <w:lang w:val="en-US" w:eastAsia="zh-Hans"/>
                    </w:rPr>
                    <w:t>表示废气向大气环境排放</w:t>
                  </w:r>
                </w:p>
              </w:tc>
              <w:tc>
                <w:tcPr>
                  <w:tcW w:w="1361" w:type="dxa"/>
                  <w:tcBorders>
                    <w:tl2br w:val="nil"/>
                    <w:tr2bl w:val="nil"/>
                  </w:tcBorders>
                  <w:noWrap w:val="0"/>
                  <w:vAlign w:val="center"/>
                </w:tcPr>
                <w:p w14:paraId="3B2CE29A">
                  <w:pPr>
                    <w:spacing w:line="240" w:lineRule="auto"/>
                    <w:ind w:firstLine="0" w:firstLineChars="0"/>
                    <w:jc w:val="center"/>
                    <w:rPr>
                      <w:rFonts w:hint="default" w:ascii="Times New Roman" w:hAnsi="Times New Roman" w:cs="Times New Roman"/>
                      <w:color w:val="auto"/>
                      <w:sz w:val="21"/>
                      <w:lang w:val="en-US" w:eastAsia="zh-Hans"/>
                    </w:rPr>
                  </w:pPr>
                  <w:r>
                    <w:rPr>
                      <w:rFonts w:hint="default" w:ascii="Times New Roman" w:hAnsi="Times New Roman" w:cs="Times New Roman"/>
                      <w:color w:val="auto"/>
                      <w:sz w:val="21"/>
                      <w:lang w:val="en-US" w:eastAsia="zh-Hans"/>
                    </w:rPr>
                    <w:t>表示废水向水环境排放</w:t>
                  </w:r>
                </w:p>
              </w:tc>
              <w:tc>
                <w:tcPr>
                  <w:tcW w:w="1361" w:type="dxa"/>
                  <w:tcBorders>
                    <w:tl2br w:val="nil"/>
                    <w:tr2bl w:val="nil"/>
                  </w:tcBorders>
                  <w:noWrap w:val="0"/>
                  <w:vAlign w:val="center"/>
                </w:tcPr>
                <w:p w14:paraId="5BCFF61F">
                  <w:pPr>
                    <w:spacing w:line="240" w:lineRule="auto"/>
                    <w:ind w:firstLine="0" w:firstLineChars="0"/>
                    <w:jc w:val="center"/>
                    <w:rPr>
                      <w:rFonts w:hint="default" w:ascii="Times New Roman" w:hAnsi="Times New Roman" w:cs="Times New Roman"/>
                      <w:color w:val="auto"/>
                      <w:sz w:val="21"/>
                      <w:lang w:val="en-US" w:eastAsia="zh-Hans"/>
                    </w:rPr>
                  </w:pPr>
                  <w:r>
                    <w:rPr>
                      <w:rFonts w:hint="default" w:ascii="Times New Roman" w:hAnsi="Times New Roman" w:cs="Times New Roman"/>
                      <w:color w:val="auto"/>
                      <w:sz w:val="21"/>
                      <w:lang w:val="en-US" w:eastAsia="zh-Hans"/>
                    </w:rPr>
                    <w:t>表示噪声向外环境排放</w:t>
                  </w:r>
                </w:p>
              </w:tc>
              <w:tc>
                <w:tcPr>
                  <w:tcW w:w="1361" w:type="dxa"/>
                  <w:tcBorders>
                    <w:tl2br w:val="nil"/>
                    <w:tr2bl w:val="nil"/>
                  </w:tcBorders>
                  <w:noWrap w:val="0"/>
                  <w:vAlign w:val="center"/>
                </w:tcPr>
                <w:p w14:paraId="2D93D992">
                  <w:pPr>
                    <w:spacing w:line="240" w:lineRule="auto"/>
                    <w:ind w:firstLine="0" w:firstLineChars="0"/>
                    <w:jc w:val="center"/>
                    <w:rPr>
                      <w:rFonts w:hint="default" w:ascii="Times New Roman" w:hAnsi="Times New Roman" w:cs="Times New Roman"/>
                      <w:color w:val="auto"/>
                      <w:sz w:val="21"/>
                      <w:lang w:val="en-US" w:eastAsia="zh-Hans"/>
                    </w:rPr>
                  </w:pPr>
                  <w:r>
                    <w:rPr>
                      <w:rFonts w:hint="default" w:ascii="Times New Roman" w:hAnsi="Times New Roman" w:cs="Times New Roman"/>
                      <w:color w:val="auto"/>
                      <w:sz w:val="21"/>
                      <w:lang w:val="en-US" w:eastAsia="zh-Hans"/>
                    </w:rPr>
                    <w:t>表示一般固体废物贮存、处置场所</w:t>
                  </w:r>
                </w:p>
              </w:tc>
              <w:tc>
                <w:tcPr>
                  <w:tcW w:w="1533" w:type="dxa"/>
                  <w:tcBorders>
                    <w:tl2br w:val="nil"/>
                    <w:tr2bl w:val="nil"/>
                  </w:tcBorders>
                  <w:noWrap w:val="0"/>
                  <w:vAlign w:val="center"/>
                </w:tcPr>
                <w:p w14:paraId="58C73FBB">
                  <w:pPr>
                    <w:spacing w:line="240" w:lineRule="auto"/>
                    <w:ind w:firstLine="0" w:firstLineChars="0"/>
                    <w:jc w:val="center"/>
                    <w:rPr>
                      <w:rFonts w:hint="default" w:ascii="Times New Roman" w:hAnsi="Times New Roman" w:cs="Times New Roman"/>
                      <w:color w:val="auto"/>
                      <w:sz w:val="21"/>
                      <w:lang w:val="en-US" w:eastAsia="zh-Hans"/>
                    </w:rPr>
                  </w:pPr>
                  <w:r>
                    <w:rPr>
                      <w:rFonts w:hint="default" w:ascii="Times New Roman" w:hAnsi="Times New Roman" w:cs="Times New Roman"/>
                      <w:color w:val="auto"/>
                      <w:sz w:val="21"/>
                      <w:lang w:val="en-US" w:eastAsia="zh-Hans"/>
                    </w:rPr>
                    <w:t>表示危险废物贮存、处置场</w:t>
                  </w:r>
                </w:p>
              </w:tc>
            </w:tr>
          </w:tbl>
          <w:p w14:paraId="02DEE103">
            <w:pPr>
              <w:keepNext w:val="0"/>
              <w:keepLines w:val="0"/>
              <w:pageBreakBefore w:val="0"/>
              <w:widowControl w:val="0"/>
              <w:numPr>
                <w:ilvl w:val="0"/>
                <w:numId w:val="13"/>
              </w:numPr>
              <w:kinsoku/>
              <w:wordWrap/>
              <w:overflowPunct/>
              <w:topLinePunct w:val="0"/>
              <w:autoSpaceDE/>
              <w:autoSpaceDN/>
              <w:bidi w:val="0"/>
              <w:adjustRightInd/>
              <w:snapToGrid/>
              <w:spacing w:line="520" w:lineRule="exact"/>
              <w:ind w:left="0" w:leftChars="0" w:firstLine="0" w:firstLineChars="0"/>
              <w:textAlignment w:val="auto"/>
              <w:rPr>
                <w:b/>
                <w:color w:val="auto"/>
                <w:sz w:val="24"/>
              </w:rPr>
            </w:pPr>
            <w:r>
              <w:rPr>
                <w:b/>
                <w:color w:val="auto"/>
                <w:sz w:val="24"/>
              </w:rPr>
              <w:t>环保投资估算</w:t>
            </w:r>
          </w:p>
          <w:p w14:paraId="206042C1">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bCs/>
                <w:color w:val="auto"/>
                <w:highlight w:val="none"/>
              </w:rPr>
            </w:pPr>
            <w:r>
              <w:rPr>
                <w:bCs/>
                <w:color w:val="auto"/>
                <w:sz w:val="24"/>
                <w:highlight w:val="none"/>
              </w:rPr>
              <w:t>建设项目总投资</w:t>
            </w:r>
            <w:r>
              <w:rPr>
                <w:rFonts w:hint="eastAsia"/>
                <w:bCs/>
                <w:color w:val="auto"/>
                <w:sz w:val="24"/>
                <w:highlight w:val="none"/>
                <w:lang w:val="en-US" w:eastAsia="zh-CN"/>
              </w:rPr>
              <w:t>7500</w:t>
            </w:r>
            <w:r>
              <w:rPr>
                <w:rFonts w:hint="eastAsia"/>
                <w:bCs/>
                <w:color w:val="auto"/>
                <w:sz w:val="24"/>
                <w:highlight w:val="none"/>
              </w:rPr>
              <w:t>万元</w:t>
            </w:r>
            <w:r>
              <w:rPr>
                <w:bCs/>
                <w:color w:val="auto"/>
                <w:sz w:val="24"/>
                <w:highlight w:val="none"/>
              </w:rPr>
              <w:t>，其中环保投资</w:t>
            </w:r>
            <w:r>
              <w:rPr>
                <w:rFonts w:hint="eastAsia"/>
                <w:bCs/>
                <w:color w:val="auto"/>
                <w:sz w:val="24"/>
                <w:highlight w:val="none"/>
                <w:lang w:val="en-US" w:eastAsia="zh-CN"/>
              </w:rPr>
              <w:t>37</w:t>
            </w:r>
            <w:r>
              <w:rPr>
                <w:bCs/>
                <w:color w:val="auto"/>
                <w:sz w:val="24"/>
                <w:highlight w:val="none"/>
              </w:rPr>
              <w:t>万元，占总投资比例为</w:t>
            </w:r>
            <w:r>
              <w:rPr>
                <w:rFonts w:hint="eastAsia"/>
                <w:bCs/>
                <w:color w:val="auto"/>
                <w:sz w:val="24"/>
                <w:highlight w:val="none"/>
                <w:lang w:val="en-US" w:eastAsia="zh-CN"/>
              </w:rPr>
              <w:t>0.49</w:t>
            </w:r>
            <w:r>
              <w:rPr>
                <w:bCs/>
                <w:color w:val="auto"/>
                <w:sz w:val="24"/>
                <w:highlight w:val="none"/>
              </w:rPr>
              <w:t>%</w:t>
            </w:r>
            <w:r>
              <w:rPr>
                <w:rFonts w:hint="eastAsia"/>
                <w:bCs/>
                <w:color w:val="auto"/>
                <w:highlight w:val="none"/>
              </w:rPr>
              <w:t>。</w:t>
            </w:r>
          </w:p>
          <w:p w14:paraId="48E01304">
            <w:pPr>
              <w:keepNext w:val="0"/>
              <w:keepLines w:val="0"/>
              <w:pageBreakBefore w:val="0"/>
              <w:widowControl/>
              <w:kinsoku/>
              <w:wordWrap/>
              <w:overflowPunct/>
              <w:topLinePunct w:val="0"/>
              <w:autoSpaceDE/>
              <w:autoSpaceDN/>
              <w:bidi w:val="0"/>
              <w:adjustRightInd w:val="0"/>
              <w:snapToGrid w:val="0"/>
              <w:spacing w:line="520" w:lineRule="exact"/>
              <w:ind w:firstLine="2665" w:firstLineChars="1196"/>
              <w:textAlignment w:val="auto"/>
              <w:rPr>
                <w:b/>
                <w:color w:val="auto"/>
                <w:spacing w:val="6"/>
                <w:szCs w:val="21"/>
                <w:highlight w:val="none"/>
              </w:rPr>
            </w:pPr>
            <w:r>
              <w:rPr>
                <w:b/>
                <w:color w:val="auto"/>
                <w:spacing w:val="6"/>
                <w:szCs w:val="21"/>
                <w:highlight w:val="none"/>
              </w:rPr>
              <w:t>表4-</w:t>
            </w:r>
            <w:r>
              <w:rPr>
                <w:rFonts w:hint="eastAsia"/>
                <w:b/>
                <w:color w:val="auto"/>
                <w:spacing w:val="6"/>
                <w:szCs w:val="21"/>
                <w:highlight w:val="none"/>
                <w:lang w:val="en-US" w:eastAsia="zh-CN"/>
              </w:rPr>
              <w:t>20</w:t>
            </w:r>
            <w:r>
              <w:rPr>
                <w:b/>
                <w:color w:val="auto"/>
                <w:spacing w:val="6"/>
                <w:szCs w:val="21"/>
                <w:highlight w:val="none"/>
              </w:rPr>
              <w:t xml:space="preserve">  </w:t>
            </w:r>
            <w:r>
              <w:rPr>
                <w:rFonts w:hint="eastAsia"/>
                <w:b/>
                <w:color w:val="auto"/>
                <w:spacing w:val="6"/>
                <w:szCs w:val="21"/>
                <w:highlight w:val="none"/>
              </w:rPr>
              <w:t xml:space="preserve">  </w:t>
            </w:r>
            <w:r>
              <w:rPr>
                <w:b/>
                <w:color w:val="auto"/>
                <w:spacing w:val="6"/>
                <w:szCs w:val="21"/>
                <w:highlight w:val="none"/>
              </w:rPr>
              <w:t>环保投资一览表</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03"/>
              <w:gridCol w:w="998"/>
              <w:gridCol w:w="4966"/>
              <w:gridCol w:w="1597"/>
            </w:tblGrid>
            <w:tr w14:paraId="5BC1ED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9" w:type="pct"/>
                  <w:tcBorders>
                    <w:bottom w:val="single" w:color="auto" w:sz="12" w:space="0"/>
                  </w:tcBorders>
                  <w:vAlign w:val="center"/>
                </w:tcPr>
                <w:p w14:paraId="4D308AEC">
                  <w:pPr>
                    <w:jc w:val="center"/>
                    <w:rPr>
                      <w:b/>
                      <w:bCs/>
                      <w:color w:val="auto"/>
                      <w:szCs w:val="21"/>
                      <w:highlight w:val="none"/>
                    </w:rPr>
                  </w:pPr>
                  <w:r>
                    <w:rPr>
                      <w:b/>
                      <w:bCs/>
                      <w:color w:val="auto"/>
                      <w:szCs w:val="21"/>
                      <w:highlight w:val="none"/>
                    </w:rPr>
                    <w:t>序号</w:t>
                  </w:r>
                </w:p>
              </w:tc>
              <w:tc>
                <w:tcPr>
                  <w:tcW w:w="611" w:type="pct"/>
                  <w:tcBorders>
                    <w:bottom w:val="single" w:color="auto" w:sz="12" w:space="0"/>
                  </w:tcBorders>
                  <w:vAlign w:val="center"/>
                </w:tcPr>
                <w:p w14:paraId="2727C02B">
                  <w:pPr>
                    <w:jc w:val="center"/>
                    <w:rPr>
                      <w:b/>
                      <w:bCs/>
                      <w:color w:val="auto"/>
                      <w:szCs w:val="21"/>
                      <w:highlight w:val="none"/>
                    </w:rPr>
                  </w:pPr>
                  <w:r>
                    <w:rPr>
                      <w:b/>
                      <w:bCs/>
                      <w:color w:val="auto"/>
                      <w:szCs w:val="21"/>
                      <w:highlight w:val="none"/>
                    </w:rPr>
                    <w:t>项目</w:t>
                  </w:r>
                </w:p>
              </w:tc>
              <w:tc>
                <w:tcPr>
                  <w:tcW w:w="3041" w:type="pct"/>
                  <w:tcBorders>
                    <w:bottom w:val="single" w:color="auto" w:sz="12" w:space="0"/>
                  </w:tcBorders>
                  <w:vAlign w:val="center"/>
                </w:tcPr>
                <w:p w14:paraId="156256E8">
                  <w:pPr>
                    <w:jc w:val="center"/>
                    <w:rPr>
                      <w:b/>
                      <w:bCs/>
                      <w:color w:val="auto"/>
                      <w:szCs w:val="21"/>
                      <w:highlight w:val="none"/>
                    </w:rPr>
                  </w:pPr>
                  <w:r>
                    <w:rPr>
                      <w:b/>
                      <w:bCs/>
                      <w:color w:val="auto"/>
                      <w:szCs w:val="21"/>
                      <w:highlight w:val="none"/>
                    </w:rPr>
                    <w:t>环保设施</w:t>
                  </w:r>
                </w:p>
              </w:tc>
              <w:tc>
                <w:tcPr>
                  <w:tcW w:w="977" w:type="pct"/>
                  <w:tcBorders>
                    <w:bottom w:val="single" w:color="auto" w:sz="12" w:space="0"/>
                  </w:tcBorders>
                  <w:vAlign w:val="center"/>
                </w:tcPr>
                <w:p w14:paraId="16A29B91">
                  <w:pPr>
                    <w:jc w:val="center"/>
                    <w:rPr>
                      <w:b/>
                      <w:bCs/>
                      <w:color w:val="auto"/>
                      <w:szCs w:val="21"/>
                      <w:highlight w:val="none"/>
                    </w:rPr>
                  </w:pPr>
                  <w:r>
                    <w:rPr>
                      <w:b/>
                      <w:bCs/>
                      <w:color w:val="auto"/>
                      <w:szCs w:val="21"/>
                      <w:highlight w:val="none"/>
                    </w:rPr>
                    <w:t>投资额（万元）</w:t>
                  </w:r>
                </w:p>
              </w:tc>
            </w:tr>
            <w:tr w14:paraId="35C84E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369" w:type="pct"/>
                  <w:tcBorders>
                    <w:tl2br w:val="nil"/>
                    <w:tr2bl w:val="nil"/>
                  </w:tcBorders>
                  <w:vAlign w:val="center"/>
                </w:tcPr>
                <w:p w14:paraId="03C781F9">
                  <w:pPr>
                    <w:jc w:val="center"/>
                    <w:rPr>
                      <w:rFonts w:hint="default" w:eastAsia="宋体"/>
                      <w:color w:val="auto"/>
                      <w:szCs w:val="21"/>
                      <w:highlight w:val="none"/>
                      <w:lang w:val="en-US" w:eastAsia="zh-CN"/>
                    </w:rPr>
                  </w:pPr>
                  <w:r>
                    <w:rPr>
                      <w:rFonts w:hint="eastAsia"/>
                      <w:color w:val="auto"/>
                      <w:szCs w:val="21"/>
                      <w:highlight w:val="none"/>
                      <w:lang w:val="en-US" w:eastAsia="zh-CN"/>
                    </w:rPr>
                    <w:t>1</w:t>
                  </w:r>
                </w:p>
              </w:tc>
              <w:tc>
                <w:tcPr>
                  <w:tcW w:w="611" w:type="pct"/>
                  <w:vMerge w:val="restart"/>
                  <w:tcBorders>
                    <w:tl2br w:val="nil"/>
                    <w:tr2bl w:val="nil"/>
                  </w:tcBorders>
                  <w:vAlign w:val="center"/>
                </w:tcPr>
                <w:p w14:paraId="6AE89221">
                  <w:pPr>
                    <w:jc w:val="center"/>
                    <w:rPr>
                      <w:color w:val="auto"/>
                      <w:szCs w:val="21"/>
                      <w:highlight w:val="none"/>
                    </w:rPr>
                  </w:pPr>
                  <w:r>
                    <w:rPr>
                      <w:color w:val="auto"/>
                      <w:szCs w:val="21"/>
                      <w:highlight w:val="none"/>
                    </w:rPr>
                    <w:t>废气</w:t>
                  </w:r>
                </w:p>
              </w:tc>
              <w:tc>
                <w:tcPr>
                  <w:tcW w:w="3041" w:type="pct"/>
                  <w:tcBorders>
                    <w:tl2br w:val="nil"/>
                    <w:tr2bl w:val="nil"/>
                  </w:tcBorders>
                  <w:vAlign w:val="center"/>
                </w:tcPr>
                <w:p w14:paraId="47FEB103">
                  <w:pPr>
                    <w:jc w:val="center"/>
                    <w:rPr>
                      <w:rFonts w:hint="default" w:eastAsia="宋体"/>
                      <w:color w:val="auto"/>
                      <w:szCs w:val="21"/>
                      <w:highlight w:val="none"/>
                      <w:lang w:val="en-US" w:eastAsia="zh-CN"/>
                    </w:rPr>
                  </w:pPr>
                  <w:r>
                    <w:rPr>
                      <w:rFonts w:hint="eastAsia"/>
                      <w:color w:val="auto"/>
                      <w:szCs w:val="21"/>
                      <w:highlight w:val="none"/>
                      <w:lang w:val="en-US" w:eastAsia="zh-CN"/>
                    </w:rPr>
                    <w:t>破碎废气采用袋式除尘器</w:t>
                  </w:r>
                </w:p>
              </w:tc>
              <w:tc>
                <w:tcPr>
                  <w:tcW w:w="977" w:type="pct"/>
                  <w:tcBorders>
                    <w:tl2br w:val="nil"/>
                    <w:tr2bl w:val="nil"/>
                  </w:tcBorders>
                  <w:vAlign w:val="center"/>
                </w:tcPr>
                <w:p w14:paraId="52ABA722">
                  <w:pPr>
                    <w:jc w:val="center"/>
                    <w:rPr>
                      <w:rFonts w:hint="default" w:eastAsia="宋体"/>
                      <w:color w:val="auto"/>
                      <w:szCs w:val="21"/>
                      <w:highlight w:val="none"/>
                      <w:lang w:val="en-US" w:eastAsia="zh-CN"/>
                    </w:rPr>
                  </w:pPr>
                  <w:r>
                    <w:rPr>
                      <w:rFonts w:hint="eastAsia"/>
                      <w:color w:val="auto"/>
                      <w:szCs w:val="21"/>
                      <w:highlight w:val="none"/>
                      <w:lang w:val="en-US" w:eastAsia="zh-CN"/>
                    </w:rPr>
                    <w:t>10</w:t>
                  </w:r>
                </w:p>
              </w:tc>
            </w:tr>
            <w:tr w14:paraId="5320DB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369" w:type="pct"/>
                  <w:tcBorders>
                    <w:tl2br w:val="nil"/>
                    <w:tr2bl w:val="nil"/>
                  </w:tcBorders>
                  <w:vAlign w:val="center"/>
                </w:tcPr>
                <w:p w14:paraId="67543D5D">
                  <w:pPr>
                    <w:jc w:val="center"/>
                    <w:rPr>
                      <w:rFonts w:hint="default" w:eastAsia="宋体"/>
                      <w:color w:val="auto"/>
                      <w:szCs w:val="21"/>
                      <w:highlight w:val="none"/>
                      <w:lang w:val="en-US" w:eastAsia="zh-CN"/>
                    </w:rPr>
                  </w:pPr>
                  <w:r>
                    <w:rPr>
                      <w:rFonts w:hint="eastAsia"/>
                      <w:color w:val="auto"/>
                      <w:szCs w:val="21"/>
                      <w:highlight w:val="none"/>
                      <w:lang w:val="en-US" w:eastAsia="zh-CN"/>
                    </w:rPr>
                    <w:t>2</w:t>
                  </w:r>
                </w:p>
              </w:tc>
              <w:tc>
                <w:tcPr>
                  <w:tcW w:w="611" w:type="pct"/>
                  <w:vMerge w:val="continue"/>
                  <w:tcBorders>
                    <w:tl2br w:val="nil"/>
                    <w:tr2bl w:val="nil"/>
                  </w:tcBorders>
                  <w:vAlign w:val="center"/>
                </w:tcPr>
                <w:p w14:paraId="0EC09728">
                  <w:pPr>
                    <w:jc w:val="center"/>
                    <w:rPr>
                      <w:color w:val="auto"/>
                      <w:szCs w:val="21"/>
                      <w:highlight w:val="none"/>
                    </w:rPr>
                  </w:pPr>
                </w:p>
              </w:tc>
              <w:tc>
                <w:tcPr>
                  <w:tcW w:w="3041" w:type="pct"/>
                  <w:tcBorders>
                    <w:tl2br w:val="nil"/>
                    <w:tr2bl w:val="nil"/>
                  </w:tcBorders>
                  <w:vAlign w:val="center"/>
                </w:tcPr>
                <w:p w14:paraId="53394EE2">
                  <w:pPr>
                    <w:jc w:val="center"/>
                    <w:rPr>
                      <w:rFonts w:hint="default" w:eastAsia="宋体"/>
                      <w:color w:val="auto"/>
                      <w:szCs w:val="21"/>
                      <w:highlight w:val="none"/>
                      <w:lang w:val="en-US" w:eastAsia="zh-CN"/>
                    </w:rPr>
                  </w:pPr>
                  <w:r>
                    <w:rPr>
                      <w:rFonts w:hint="eastAsia"/>
                      <w:color w:val="auto"/>
                      <w:szCs w:val="21"/>
                      <w:highlight w:val="none"/>
                      <w:lang w:val="en-US" w:eastAsia="zh-CN"/>
                    </w:rPr>
                    <w:t>全密闭车间，洒水降尘</w:t>
                  </w:r>
                </w:p>
              </w:tc>
              <w:tc>
                <w:tcPr>
                  <w:tcW w:w="977" w:type="pct"/>
                  <w:tcBorders>
                    <w:tl2br w:val="nil"/>
                    <w:tr2bl w:val="nil"/>
                  </w:tcBorders>
                  <w:vAlign w:val="center"/>
                </w:tcPr>
                <w:p w14:paraId="683605E3">
                  <w:pPr>
                    <w:jc w:val="center"/>
                    <w:rPr>
                      <w:rFonts w:hint="default"/>
                      <w:color w:val="auto"/>
                      <w:szCs w:val="21"/>
                      <w:highlight w:val="none"/>
                      <w:lang w:val="en-US" w:eastAsia="zh-CN"/>
                    </w:rPr>
                  </w:pPr>
                  <w:r>
                    <w:rPr>
                      <w:rFonts w:hint="eastAsia"/>
                      <w:color w:val="auto"/>
                      <w:szCs w:val="21"/>
                      <w:highlight w:val="none"/>
                      <w:lang w:val="en-US" w:eastAsia="zh-CN"/>
                    </w:rPr>
                    <w:t>15</w:t>
                  </w:r>
                </w:p>
              </w:tc>
            </w:tr>
            <w:tr w14:paraId="6E93A7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9" w:type="pct"/>
                  <w:tcBorders>
                    <w:tl2br w:val="nil"/>
                    <w:tr2bl w:val="nil"/>
                  </w:tcBorders>
                  <w:vAlign w:val="center"/>
                </w:tcPr>
                <w:p w14:paraId="0304AE7B">
                  <w:pPr>
                    <w:jc w:val="center"/>
                    <w:rPr>
                      <w:rFonts w:hint="default" w:eastAsia="宋体"/>
                      <w:color w:val="auto"/>
                      <w:szCs w:val="21"/>
                      <w:highlight w:val="none"/>
                      <w:lang w:val="en-US" w:eastAsia="zh-CN"/>
                    </w:rPr>
                  </w:pPr>
                  <w:r>
                    <w:rPr>
                      <w:rFonts w:hint="eastAsia"/>
                      <w:color w:val="auto"/>
                      <w:szCs w:val="21"/>
                      <w:highlight w:val="none"/>
                      <w:lang w:val="en-US" w:eastAsia="zh-CN"/>
                    </w:rPr>
                    <w:t>3</w:t>
                  </w:r>
                </w:p>
              </w:tc>
              <w:tc>
                <w:tcPr>
                  <w:tcW w:w="611" w:type="pct"/>
                  <w:tcBorders>
                    <w:tl2br w:val="nil"/>
                    <w:tr2bl w:val="nil"/>
                  </w:tcBorders>
                  <w:vAlign w:val="center"/>
                </w:tcPr>
                <w:p w14:paraId="0C8F0B8D">
                  <w:pPr>
                    <w:jc w:val="center"/>
                    <w:rPr>
                      <w:color w:val="auto"/>
                      <w:szCs w:val="21"/>
                      <w:highlight w:val="none"/>
                    </w:rPr>
                  </w:pPr>
                  <w:r>
                    <w:rPr>
                      <w:color w:val="auto"/>
                      <w:szCs w:val="21"/>
                      <w:highlight w:val="none"/>
                    </w:rPr>
                    <w:t>噪声</w:t>
                  </w:r>
                </w:p>
              </w:tc>
              <w:tc>
                <w:tcPr>
                  <w:tcW w:w="3041" w:type="pct"/>
                  <w:tcBorders>
                    <w:tl2br w:val="nil"/>
                    <w:tr2bl w:val="nil"/>
                  </w:tcBorders>
                  <w:vAlign w:val="center"/>
                </w:tcPr>
                <w:p w14:paraId="4A3D843C">
                  <w:pPr>
                    <w:jc w:val="center"/>
                    <w:rPr>
                      <w:color w:val="auto"/>
                      <w:szCs w:val="21"/>
                      <w:highlight w:val="none"/>
                    </w:rPr>
                  </w:pPr>
                  <w:r>
                    <w:rPr>
                      <w:color w:val="auto"/>
                      <w:szCs w:val="21"/>
                      <w:highlight w:val="none"/>
                    </w:rPr>
                    <w:t>选用低噪声设备，采取减振、密闭、隔声、消声等措施</w:t>
                  </w:r>
                </w:p>
              </w:tc>
              <w:tc>
                <w:tcPr>
                  <w:tcW w:w="977" w:type="pct"/>
                  <w:tcBorders>
                    <w:tl2br w:val="nil"/>
                    <w:tr2bl w:val="nil"/>
                  </w:tcBorders>
                  <w:vAlign w:val="center"/>
                </w:tcPr>
                <w:p w14:paraId="15AF9693">
                  <w:pPr>
                    <w:jc w:val="center"/>
                    <w:rPr>
                      <w:rFonts w:hint="default" w:eastAsia="宋体"/>
                      <w:color w:val="auto"/>
                      <w:szCs w:val="21"/>
                      <w:highlight w:val="none"/>
                      <w:lang w:val="en-US" w:eastAsia="zh-CN"/>
                    </w:rPr>
                  </w:pPr>
                  <w:r>
                    <w:rPr>
                      <w:rFonts w:hint="eastAsia"/>
                      <w:color w:val="auto"/>
                      <w:szCs w:val="21"/>
                      <w:highlight w:val="none"/>
                      <w:lang w:val="en-US" w:eastAsia="zh-CN"/>
                    </w:rPr>
                    <w:t>5</w:t>
                  </w:r>
                </w:p>
              </w:tc>
            </w:tr>
            <w:tr w14:paraId="04CA6D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9" w:type="pct"/>
                  <w:tcBorders>
                    <w:tl2br w:val="nil"/>
                    <w:tr2bl w:val="nil"/>
                  </w:tcBorders>
                  <w:vAlign w:val="center"/>
                </w:tcPr>
                <w:p w14:paraId="3D0C6A78">
                  <w:pPr>
                    <w:jc w:val="center"/>
                    <w:rPr>
                      <w:rFonts w:hint="default"/>
                      <w:color w:val="auto"/>
                      <w:szCs w:val="21"/>
                      <w:highlight w:val="none"/>
                      <w:lang w:val="en-US" w:eastAsia="zh-CN"/>
                    </w:rPr>
                  </w:pPr>
                  <w:r>
                    <w:rPr>
                      <w:rFonts w:hint="eastAsia"/>
                      <w:color w:val="auto"/>
                      <w:szCs w:val="21"/>
                      <w:highlight w:val="none"/>
                      <w:lang w:val="en-US" w:eastAsia="zh-CN"/>
                    </w:rPr>
                    <w:t>4</w:t>
                  </w:r>
                </w:p>
              </w:tc>
              <w:tc>
                <w:tcPr>
                  <w:tcW w:w="611" w:type="pct"/>
                  <w:tcBorders>
                    <w:tl2br w:val="nil"/>
                    <w:tr2bl w:val="nil"/>
                  </w:tcBorders>
                  <w:vAlign w:val="center"/>
                </w:tcPr>
                <w:p w14:paraId="45B7D519">
                  <w:pPr>
                    <w:jc w:val="center"/>
                    <w:rPr>
                      <w:rFonts w:hint="eastAsia" w:eastAsia="宋体"/>
                      <w:color w:val="auto"/>
                      <w:szCs w:val="21"/>
                      <w:highlight w:val="none"/>
                      <w:lang w:val="en-US" w:eastAsia="zh-CN"/>
                    </w:rPr>
                  </w:pPr>
                  <w:r>
                    <w:rPr>
                      <w:rFonts w:hint="eastAsia"/>
                      <w:color w:val="auto"/>
                      <w:szCs w:val="21"/>
                      <w:highlight w:val="none"/>
                      <w:lang w:val="en-US" w:eastAsia="zh-CN"/>
                    </w:rPr>
                    <w:t>废水</w:t>
                  </w:r>
                </w:p>
              </w:tc>
              <w:tc>
                <w:tcPr>
                  <w:tcW w:w="3041" w:type="pct"/>
                  <w:tcBorders>
                    <w:tl2br w:val="nil"/>
                    <w:tr2bl w:val="nil"/>
                  </w:tcBorders>
                  <w:vAlign w:val="center"/>
                </w:tcPr>
                <w:p w14:paraId="2044183A">
                  <w:pPr>
                    <w:jc w:val="center"/>
                    <w:rPr>
                      <w:rFonts w:hint="default" w:eastAsia="宋体"/>
                      <w:color w:val="auto"/>
                      <w:szCs w:val="21"/>
                      <w:highlight w:val="none"/>
                      <w:lang w:val="en-US" w:eastAsia="zh-CN"/>
                    </w:rPr>
                  </w:pPr>
                  <w:r>
                    <w:rPr>
                      <w:rFonts w:hint="eastAsia"/>
                      <w:color w:val="auto"/>
                      <w:szCs w:val="21"/>
                      <w:highlight w:val="none"/>
                      <w:lang w:val="en-US" w:eastAsia="zh-CN"/>
                    </w:rPr>
                    <w:t>地埋式一体化污水处理设施</w:t>
                  </w:r>
                </w:p>
              </w:tc>
              <w:tc>
                <w:tcPr>
                  <w:tcW w:w="977" w:type="pct"/>
                  <w:tcBorders>
                    <w:tl2br w:val="nil"/>
                    <w:tr2bl w:val="nil"/>
                  </w:tcBorders>
                  <w:vAlign w:val="center"/>
                </w:tcPr>
                <w:p w14:paraId="3F692199">
                  <w:pPr>
                    <w:jc w:val="center"/>
                    <w:rPr>
                      <w:rFonts w:hint="default"/>
                      <w:color w:val="auto"/>
                      <w:szCs w:val="21"/>
                      <w:highlight w:val="none"/>
                      <w:lang w:val="en-US" w:eastAsia="zh-CN"/>
                    </w:rPr>
                  </w:pPr>
                  <w:r>
                    <w:rPr>
                      <w:rFonts w:hint="eastAsia"/>
                      <w:color w:val="auto"/>
                      <w:szCs w:val="21"/>
                      <w:highlight w:val="none"/>
                      <w:lang w:val="en-US" w:eastAsia="zh-CN"/>
                    </w:rPr>
                    <w:t>5</w:t>
                  </w:r>
                </w:p>
              </w:tc>
            </w:tr>
            <w:tr w14:paraId="5C969D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9" w:type="pct"/>
                  <w:tcBorders>
                    <w:tl2br w:val="nil"/>
                    <w:tr2bl w:val="nil"/>
                  </w:tcBorders>
                  <w:vAlign w:val="center"/>
                </w:tcPr>
                <w:p w14:paraId="4C5B5941">
                  <w:pPr>
                    <w:jc w:val="center"/>
                    <w:rPr>
                      <w:rFonts w:hint="eastAsia" w:eastAsia="宋体"/>
                      <w:color w:val="auto"/>
                      <w:szCs w:val="21"/>
                      <w:highlight w:val="none"/>
                      <w:lang w:val="en-US" w:eastAsia="zh-CN"/>
                    </w:rPr>
                  </w:pPr>
                  <w:r>
                    <w:rPr>
                      <w:rFonts w:hint="eastAsia"/>
                      <w:color w:val="auto"/>
                      <w:szCs w:val="21"/>
                      <w:highlight w:val="none"/>
                      <w:lang w:val="en-US" w:eastAsia="zh-CN"/>
                    </w:rPr>
                    <w:t>5</w:t>
                  </w:r>
                </w:p>
              </w:tc>
              <w:tc>
                <w:tcPr>
                  <w:tcW w:w="611" w:type="pct"/>
                  <w:tcBorders>
                    <w:tl2br w:val="nil"/>
                    <w:tr2bl w:val="nil"/>
                  </w:tcBorders>
                  <w:vAlign w:val="center"/>
                </w:tcPr>
                <w:p w14:paraId="7B35C3F5">
                  <w:pPr>
                    <w:jc w:val="center"/>
                    <w:rPr>
                      <w:color w:val="auto"/>
                      <w:szCs w:val="21"/>
                      <w:highlight w:val="none"/>
                    </w:rPr>
                  </w:pPr>
                  <w:r>
                    <w:rPr>
                      <w:color w:val="auto"/>
                      <w:szCs w:val="21"/>
                      <w:highlight w:val="none"/>
                    </w:rPr>
                    <w:t>固体废物</w:t>
                  </w:r>
                </w:p>
              </w:tc>
              <w:tc>
                <w:tcPr>
                  <w:tcW w:w="3041" w:type="pct"/>
                  <w:tcBorders>
                    <w:tl2br w:val="nil"/>
                    <w:tr2bl w:val="nil"/>
                  </w:tcBorders>
                  <w:vAlign w:val="center"/>
                </w:tcPr>
                <w:p w14:paraId="79AC094A">
                  <w:pPr>
                    <w:jc w:val="center"/>
                    <w:rPr>
                      <w:color w:val="auto"/>
                      <w:szCs w:val="21"/>
                      <w:highlight w:val="none"/>
                    </w:rPr>
                  </w:pPr>
                  <w:r>
                    <w:rPr>
                      <w:color w:val="auto"/>
                      <w:szCs w:val="21"/>
                      <w:highlight w:val="none"/>
                    </w:rPr>
                    <w:t>固体废物清运，</w:t>
                  </w:r>
                  <w:r>
                    <w:rPr>
                      <w:rFonts w:hint="eastAsia"/>
                      <w:color w:val="auto"/>
                      <w:szCs w:val="21"/>
                      <w:highlight w:val="none"/>
                      <w:lang w:val="en-US" w:eastAsia="zh-CN"/>
                    </w:rPr>
                    <w:t>危废</w:t>
                  </w:r>
                  <w:r>
                    <w:rPr>
                      <w:color w:val="auto"/>
                      <w:szCs w:val="21"/>
                      <w:highlight w:val="none"/>
                    </w:rPr>
                    <w:t>委托资质单位处置</w:t>
                  </w:r>
                </w:p>
              </w:tc>
              <w:tc>
                <w:tcPr>
                  <w:tcW w:w="977" w:type="pct"/>
                  <w:tcBorders>
                    <w:tl2br w:val="nil"/>
                    <w:tr2bl w:val="nil"/>
                  </w:tcBorders>
                  <w:vAlign w:val="center"/>
                </w:tcPr>
                <w:p w14:paraId="63FCA54E">
                  <w:pPr>
                    <w:jc w:val="center"/>
                    <w:rPr>
                      <w:rFonts w:hint="default" w:eastAsia="宋体"/>
                      <w:color w:val="auto"/>
                      <w:szCs w:val="21"/>
                      <w:highlight w:val="none"/>
                      <w:lang w:val="en-US" w:eastAsia="zh-CN"/>
                    </w:rPr>
                  </w:pPr>
                  <w:r>
                    <w:rPr>
                      <w:rFonts w:hint="eastAsia"/>
                      <w:color w:val="auto"/>
                      <w:szCs w:val="21"/>
                      <w:highlight w:val="none"/>
                      <w:lang w:val="en-US" w:eastAsia="zh-CN"/>
                    </w:rPr>
                    <w:t>2</w:t>
                  </w:r>
                </w:p>
              </w:tc>
            </w:tr>
            <w:tr w14:paraId="4FAFA3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369" w:type="pct"/>
                  <w:tcBorders>
                    <w:tl2br w:val="nil"/>
                    <w:tr2bl w:val="nil"/>
                  </w:tcBorders>
                  <w:vAlign w:val="center"/>
                </w:tcPr>
                <w:p w14:paraId="04314B55">
                  <w:pPr>
                    <w:jc w:val="center"/>
                    <w:rPr>
                      <w:rFonts w:hint="eastAsia" w:eastAsia="宋体"/>
                      <w:color w:val="auto"/>
                      <w:szCs w:val="21"/>
                      <w:highlight w:val="none"/>
                      <w:lang w:val="en-US" w:eastAsia="zh-CN"/>
                    </w:rPr>
                  </w:pPr>
                  <w:r>
                    <w:rPr>
                      <w:rFonts w:hint="eastAsia"/>
                      <w:color w:val="auto"/>
                      <w:szCs w:val="21"/>
                      <w:highlight w:val="none"/>
                      <w:lang w:val="en-US" w:eastAsia="zh-CN"/>
                    </w:rPr>
                    <w:t>6</w:t>
                  </w:r>
                </w:p>
              </w:tc>
              <w:tc>
                <w:tcPr>
                  <w:tcW w:w="3652" w:type="pct"/>
                  <w:gridSpan w:val="2"/>
                  <w:tcBorders>
                    <w:tl2br w:val="nil"/>
                    <w:tr2bl w:val="nil"/>
                  </w:tcBorders>
                  <w:vAlign w:val="center"/>
                </w:tcPr>
                <w:p w14:paraId="572F505E">
                  <w:pPr>
                    <w:jc w:val="center"/>
                    <w:rPr>
                      <w:color w:val="auto"/>
                      <w:szCs w:val="21"/>
                      <w:highlight w:val="none"/>
                    </w:rPr>
                  </w:pPr>
                  <w:r>
                    <w:rPr>
                      <w:color w:val="auto"/>
                      <w:szCs w:val="21"/>
                      <w:highlight w:val="none"/>
                    </w:rPr>
                    <w:t>总计</w:t>
                  </w:r>
                </w:p>
              </w:tc>
              <w:tc>
                <w:tcPr>
                  <w:tcW w:w="977" w:type="pct"/>
                  <w:tcBorders>
                    <w:tl2br w:val="nil"/>
                    <w:tr2bl w:val="nil"/>
                  </w:tcBorders>
                  <w:vAlign w:val="center"/>
                </w:tcPr>
                <w:p w14:paraId="563944CD">
                  <w:pPr>
                    <w:jc w:val="center"/>
                    <w:rPr>
                      <w:rFonts w:hint="default" w:eastAsia="宋体"/>
                      <w:color w:val="auto"/>
                      <w:szCs w:val="21"/>
                      <w:highlight w:val="none"/>
                      <w:lang w:val="en-US" w:eastAsia="zh-CN"/>
                    </w:rPr>
                  </w:pPr>
                  <w:r>
                    <w:rPr>
                      <w:rFonts w:hint="eastAsia"/>
                      <w:color w:val="auto"/>
                      <w:szCs w:val="21"/>
                      <w:highlight w:val="none"/>
                      <w:lang w:val="en-US" w:eastAsia="zh-CN"/>
                    </w:rPr>
                    <w:t>37</w:t>
                  </w:r>
                </w:p>
              </w:tc>
            </w:tr>
          </w:tbl>
          <w:p w14:paraId="369C6871">
            <w:pPr>
              <w:pStyle w:val="7"/>
              <w:spacing w:before="0" w:after="0" w:line="360" w:lineRule="auto"/>
              <w:ind w:firstLine="480" w:firstLineChars="200"/>
              <w:rPr>
                <w:bCs/>
                <w:color w:val="auto"/>
                <w:sz w:val="24"/>
                <w:szCs w:val="22"/>
              </w:rPr>
            </w:pPr>
          </w:p>
        </w:tc>
      </w:tr>
    </w:tbl>
    <w:p w14:paraId="6E909CB7">
      <w:pPr>
        <w:adjustRightInd w:val="0"/>
        <w:snapToGrid w:val="0"/>
        <w:spacing w:line="360" w:lineRule="auto"/>
        <w:rPr>
          <w:b/>
          <w:color w:val="auto"/>
          <w:kern w:val="0"/>
          <w:sz w:val="28"/>
          <w:szCs w:val="28"/>
        </w:rPr>
        <w:sectPr>
          <w:pgSz w:w="11907" w:h="16840"/>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pPr>
    </w:p>
    <w:p w14:paraId="7D75F519">
      <w:pPr>
        <w:pStyle w:val="25"/>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sz w:val="30"/>
          <w:szCs w:val="30"/>
        </w:rPr>
        <w:t>五、</w:t>
      </w:r>
      <w:bookmarkStart w:id="4" w:name="_Hlk54167917"/>
      <w:r>
        <w:rPr>
          <w:rFonts w:ascii="Times New Roman" w:hAnsi="Times New Roman" w:eastAsia="黑体"/>
          <w:snapToGrid w:val="0"/>
          <w:color w:val="auto"/>
          <w:sz w:val="30"/>
          <w:szCs w:val="30"/>
        </w:rPr>
        <w:t>环境保护措施监督检查清单</w:t>
      </w:r>
      <w:bookmarkEnd w:id="4"/>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51"/>
        <w:gridCol w:w="1689"/>
        <w:gridCol w:w="1217"/>
        <w:gridCol w:w="1843"/>
        <w:gridCol w:w="2600"/>
      </w:tblGrid>
      <w:tr w14:paraId="3A6914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51" w:type="dxa"/>
            <w:tcBorders>
              <w:tl2br w:val="single" w:color="auto" w:sz="4" w:space="0"/>
            </w:tcBorders>
          </w:tcPr>
          <w:p w14:paraId="727FED8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      内容</w:t>
            </w:r>
          </w:p>
          <w:p w14:paraId="7135FEA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要素</w:t>
            </w:r>
          </w:p>
        </w:tc>
        <w:tc>
          <w:tcPr>
            <w:tcW w:w="1689" w:type="dxa"/>
            <w:vAlign w:val="center"/>
          </w:tcPr>
          <w:p w14:paraId="2CBF12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排放口</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编号、</w:t>
            </w:r>
          </w:p>
          <w:p w14:paraId="59B2AFA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名称</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/污染源</w:t>
            </w:r>
          </w:p>
        </w:tc>
        <w:tc>
          <w:tcPr>
            <w:tcW w:w="1217" w:type="dxa"/>
            <w:vAlign w:val="center"/>
          </w:tcPr>
          <w:p w14:paraId="79A4897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污染物项目</w:t>
            </w:r>
          </w:p>
        </w:tc>
        <w:tc>
          <w:tcPr>
            <w:tcW w:w="1843" w:type="dxa"/>
            <w:vAlign w:val="center"/>
          </w:tcPr>
          <w:p w14:paraId="54D5C65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环境保护措施</w:t>
            </w:r>
          </w:p>
        </w:tc>
        <w:tc>
          <w:tcPr>
            <w:tcW w:w="2600" w:type="dxa"/>
            <w:vAlign w:val="center"/>
          </w:tcPr>
          <w:p w14:paraId="31D6781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执行标准</w:t>
            </w:r>
          </w:p>
        </w:tc>
      </w:tr>
      <w:tr w14:paraId="61D198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51" w:type="dxa"/>
            <w:vAlign w:val="center"/>
          </w:tcPr>
          <w:p w14:paraId="4157089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大气环境</w:t>
            </w:r>
          </w:p>
        </w:tc>
        <w:tc>
          <w:tcPr>
            <w:tcW w:w="1689" w:type="dxa"/>
            <w:vAlign w:val="center"/>
          </w:tcPr>
          <w:p w14:paraId="7F6181C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4"/>
                <w:szCs w:val="24"/>
              </w:rPr>
            </w:pPr>
            <w:r>
              <w:rPr>
                <w:rFonts w:hint="eastAsia" w:cs="Times New Roman"/>
                <w:color w:val="auto"/>
                <w:sz w:val="24"/>
                <w:szCs w:val="24"/>
                <w:lang w:val="en-US" w:eastAsia="zh-CN"/>
              </w:rPr>
              <w:t>破碎</w:t>
            </w:r>
            <w:r>
              <w:rPr>
                <w:rFonts w:hint="eastAsia"/>
                <w:color w:val="auto"/>
                <w:lang w:val="en-US" w:eastAsia="zh-CN"/>
              </w:rPr>
              <w:t>筛分</w:t>
            </w:r>
            <w:r>
              <w:rPr>
                <w:rFonts w:hint="eastAsia" w:cs="Times New Roman"/>
                <w:color w:val="auto"/>
                <w:sz w:val="24"/>
                <w:szCs w:val="24"/>
                <w:lang w:val="en-US" w:eastAsia="zh-CN"/>
              </w:rPr>
              <w:t>废气</w:t>
            </w:r>
            <w:r>
              <w:rPr>
                <w:rFonts w:hint="default" w:ascii="Times New Roman" w:hAnsi="Times New Roman" w:eastAsia="宋体" w:cs="Times New Roman"/>
                <w:color w:val="auto"/>
                <w:sz w:val="24"/>
                <w:szCs w:val="24"/>
              </w:rPr>
              <w:t>排气筒DA001</w:t>
            </w:r>
          </w:p>
        </w:tc>
        <w:tc>
          <w:tcPr>
            <w:tcW w:w="1217" w:type="dxa"/>
            <w:vAlign w:val="center"/>
          </w:tcPr>
          <w:p w14:paraId="4592719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颗粒物</w:t>
            </w:r>
          </w:p>
        </w:tc>
        <w:tc>
          <w:tcPr>
            <w:tcW w:w="1843" w:type="dxa"/>
            <w:vAlign w:val="center"/>
          </w:tcPr>
          <w:p w14:paraId="0FA9AAC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集气罩+</w:t>
            </w:r>
            <w:r>
              <w:rPr>
                <w:rFonts w:hint="eastAsia" w:cs="Times New Roman"/>
                <w:color w:val="auto"/>
                <w:sz w:val="24"/>
                <w:szCs w:val="24"/>
                <w:lang w:val="en-US" w:eastAsia="zh-CN"/>
              </w:rPr>
              <w:t>袋式除尘</w:t>
            </w:r>
            <w:r>
              <w:rPr>
                <w:rFonts w:hint="default" w:ascii="Times New Roman" w:hAnsi="Times New Roman" w:eastAsia="宋体" w:cs="Times New Roman"/>
                <w:color w:val="auto"/>
                <w:sz w:val="24"/>
                <w:szCs w:val="24"/>
              </w:rPr>
              <w:t>+15m高排气筒</w:t>
            </w:r>
          </w:p>
        </w:tc>
        <w:tc>
          <w:tcPr>
            <w:tcW w:w="2600" w:type="dxa"/>
            <w:vAlign w:val="center"/>
          </w:tcPr>
          <w:p w14:paraId="446D712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《煤炭工业污染物排放标准》（GB20246-2006）中表4</w:t>
            </w:r>
            <w:r>
              <w:rPr>
                <w:rFonts w:hint="default" w:ascii="Times New Roman" w:hAnsi="Times New Roman" w:eastAsia="宋体" w:cs="Times New Roman"/>
                <w:color w:val="auto"/>
                <w:sz w:val="24"/>
                <w:szCs w:val="24"/>
                <w:lang w:eastAsia="zh-CN"/>
              </w:rPr>
              <w:t>煤炭工业大气污染物排放限值</w:t>
            </w:r>
            <w:r>
              <w:rPr>
                <w:rFonts w:hint="default" w:ascii="Times New Roman" w:hAnsi="Times New Roman" w:eastAsia="宋体" w:cs="Times New Roman"/>
                <w:color w:val="auto"/>
                <w:sz w:val="24"/>
                <w:szCs w:val="24"/>
                <w:lang w:val="en-US" w:eastAsia="zh-CN"/>
              </w:rPr>
              <w:t>80mg/m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或设备去除效率＞98%</w:t>
            </w:r>
          </w:p>
        </w:tc>
      </w:tr>
      <w:tr w14:paraId="7E7BD0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28" w:hRule="atLeast"/>
          <w:jc w:val="center"/>
        </w:trPr>
        <w:tc>
          <w:tcPr>
            <w:tcW w:w="1451" w:type="dxa"/>
            <w:vAlign w:val="center"/>
          </w:tcPr>
          <w:p w14:paraId="629578A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地表水环境</w:t>
            </w:r>
          </w:p>
        </w:tc>
        <w:tc>
          <w:tcPr>
            <w:tcW w:w="1689" w:type="dxa"/>
            <w:vAlign w:val="center"/>
          </w:tcPr>
          <w:p w14:paraId="678D90A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4"/>
                <w:szCs w:val="24"/>
                <w:lang w:eastAsia="zh-CN"/>
              </w:rPr>
            </w:pPr>
            <w:r>
              <w:rPr>
                <w:rFonts w:hint="eastAsia" w:cs="Times New Roman"/>
                <w:color w:val="auto"/>
                <w:sz w:val="24"/>
                <w:szCs w:val="24"/>
                <w:lang w:val="en-US" w:eastAsia="zh-CN"/>
              </w:rPr>
              <w:t>/</w:t>
            </w:r>
          </w:p>
        </w:tc>
        <w:tc>
          <w:tcPr>
            <w:tcW w:w="1217" w:type="dxa"/>
            <w:vAlign w:val="center"/>
          </w:tcPr>
          <w:p w14:paraId="0842D5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4"/>
                <w:szCs w:val="24"/>
                <w:lang w:eastAsia="zh-CN"/>
              </w:rPr>
            </w:pPr>
            <w:r>
              <w:rPr>
                <w:rFonts w:hint="eastAsia" w:cs="Times New Roman"/>
                <w:color w:val="auto"/>
                <w:sz w:val="24"/>
                <w:szCs w:val="24"/>
                <w:lang w:val="en-US" w:eastAsia="zh-CN"/>
              </w:rPr>
              <w:t>/</w:t>
            </w:r>
          </w:p>
        </w:tc>
        <w:tc>
          <w:tcPr>
            <w:tcW w:w="1843" w:type="dxa"/>
            <w:vAlign w:val="center"/>
          </w:tcPr>
          <w:p w14:paraId="761423B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w:t>
            </w:r>
          </w:p>
        </w:tc>
        <w:tc>
          <w:tcPr>
            <w:tcW w:w="2600" w:type="dxa"/>
            <w:vAlign w:val="center"/>
          </w:tcPr>
          <w:p w14:paraId="1002870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4"/>
                <w:szCs w:val="24"/>
                <w:lang w:eastAsia="zh-CN"/>
              </w:rPr>
            </w:pPr>
            <w:r>
              <w:rPr>
                <w:rFonts w:hint="eastAsia" w:cs="Times New Roman"/>
                <w:color w:val="auto"/>
                <w:sz w:val="24"/>
                <w:szCs w:val="24"/>
                <w:lang w:val="en-US" w:eastAsia="zh-CN"/>
              </w:rPr>
              <w:t>/</w:t>
            </w:r>
          </w:p>
        </w:tc>
      </w:tr>
      <w:tr w14:paraId="42506C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38" w:hRule="atLeast"/>
          <w:jc w:val="center"/>
        </w:trPr>
        <w:tc>
          <w:tcPr>
            <w:tcW w:w="1451" w:type="dxa"/>
            <w:vAlign w:val="center"/>
          </w:tcPr>
          <w:p w14:paraId="182854C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声环境</w:t>
            </w:r>
          </w:p>
        </w:tc>
        <w:tc>
          <w:tcPr>
            <w:tcW w:w="1689" w:type="dxa"/>
            <w:vAlign w:val="center"/>
          </w:tcPr>
          <w:p w14:paraId="454A44A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生产设备</w:t>
            </w:r>
          </w:p>
        </w:tc>
        <w:tc>
          <w:tcPr>
            <w:tcW w:w="1217" w:type="dxa"/>
            <w:vAlign w:val="center"/>
          </w:tcPr>
          <w:p w14:paraId="79ABAB9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等效声级</w:t>
            </w:r>
          </w:p>
        </w:tc>
        <w:tc>
          <w:tcPr>
            <w:tcW w:w="1843" w:type="dxa"/>
            <w:vAlign w:val="center"/>
          </w:tcPr>
          <w:p w14:paraId="292C6A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车间密闭、隔声</w:t>
            </w:r>
            <w:r>
              <w:rPr>
                <w:rFonts w:hint="default" w:ascii="Times New Roman" w:hAnsi="Times New Roman" w:eastAsia="宋体" w:cs="Times New Roman"/>
                <w:color w:val="auto"/>
                <w:sz w:val="24"/>
                <w:szCs w:val="24"/>
                <w:lang w:eastAsia="zh-CN"/>
              </w:rPr>
              <w:t>减振</w:t>
            </w:r>
          </w:p>
        </w:tc>
        <w:tc>
          <w:tcPr>
            <w:tcW w:w="2600" w:type="dxa"/>
            <w:vAlign w:val="center"/>
          </w:tcPr>
          <w:p w14:paraId="25FB838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《工业企业厂界环境噪声排放标准》（GB12348-2008）</w:t>
            </w: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rPr>
              <w:t xml:space="preserve"> 类标准（昼间≤6</w:t>
            </w:r>
            <w:r>
              <w:rPr>
                <w:rFonts w:hint="eastAsia" w:cs="Times New Roman"/>
                <w:color w:val="auto"/>
                <w:sz w:val="24"/>
                <w:szCs w:val="24"/>
                <w:lang w:val="en-US" w:eastAsia="zh-CN"/>
              </w:rPr>
              <w:t>5</w:t>
            </w:r>
            <w:r>
              <w:rPr>
                <w:rFonts w:hint="default" w:ascii="Times New Roman" w:hAnsi="Times New Roman" w:eastAsia="宋体" w:cs="Times New Roman"/>
                <w:color w:val="auto"/>
                <w:sz w:val="24"/>
                <w:szCs w:val="24"/>
              </w:rPr>
              <w:t>dB（A），夜间≤5</w:t>
            </w:r>
            <w:r>
              <w:rPr>
                <w:rFonts w:hint="eastAsia" w:cs="Times New Roman"/>
                <w:color w:val="auto"/>
                <w:sz w:val="24"/>
                <w:szCs w:val="24"/>
                <w:lang w:val="en-US" w:eastAsia="zh-CN"/>
              </w:rPr>
              <w:t>5</w:t>
            </w:r>
            <w:r>
              <w:rPr>
                <w:rFonts w:hint="default" w:ascii="Times New Roman" w:hAnsi="Times New Roman" w:eastAsia="宋体" w:cs="Times New Roman"/>
                <w:color w:val="auto"/>
                <w:sz w:val="24"/>
                <w:szCs w:val="24"/>
              </w:rPr>
              <w:t>dB（A））</w:t>
            </w:r>
          </w:p>
        </w:tc>
      </w:tr>
      <w:tr w14:paraId="7B5C07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1451" w:type="dxa"/>
            <w:vAlign w:val="center"/>
          </w:tcPr>
          <w:p w14:paraId="3A5890F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电磁辐射</w:t>
            </w:r>
          </w:p>
        </w:tc>
        <w:tc>
          <w:tcPr>
            <w:tcW w:w="7349" w:type="dxa"/>
            <w:gridSpan w:val="4"/>
            <w:vAlign w:val="center"/>
          </w:tcPr>
          <w:p w14:paraId="5AAAEEB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r>
      <w:tr w14:paraId="53A084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451" w:type="dxa"/>
            <w:vMerge w:val="restart"/>
            <w:vAlign w:val="center"/>
          </w:tcPr>
          <w:p w14:paraId="355918E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固体废物</w:t>
            </w:r>
          </w:p>
        </w:tc>
        <w:tc>
          <w:tcPr>
            <w:tcW w:w="1689" w:type="dxa"/>
            <w:vMerge w:val="restart"/>
            <w:vAlign w:val="center"/>
          </w:tcPr>
          <w:p w14:paraId="54C8D3D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一般工业废物</w:t>
            </w:r>
          </w:p>
        </w:tc>
        <w:tc>
          <w:tcPr>
            <w:tcW w:w="1217" w:type="dxa"/>
            <w:vAlign w:val="center"/>
          </w:tcPr>
          <w:p w14:paraId="0F2124E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煤矸石</w:t>
            </w:r>
          </w:p>
        </w:tc>
        <w:tc>
          <w:tcPr>
            <w:tcW w:w="1843" w:type="dxa"/>
            <w:vMerge w:val="restart"/>
            <w:vAlign w:val="center"/>
          </w:tcPr>
          <w:p w14:paraId="0172FA6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4"/>
                <w:szCs w:val="24"/>
                <w:lang w:val="en-US"/>
              </w:rPr>
            </w:pPr>
            <w:r>
              <w:rPr>
                <w:rFonts w:hint="eastAsia" w:cs="Times New Roman"/>
                <w:color w:val="auto"/>
                <w:sz w:val="24"/>
                <w:szCs w:val="24"/>
                <w:lang w:val="en-US" w:eastAsia="zh-CN"/>
              </w:rPr>
              <w:t>暂存于副产品车间，定期外售</w:t>
            </w:r>
          </w:p>
        </w:tc>
        <w:tc>
          <w:tcPr>
            <w:tcW w:w="2600" w:type="dxa"/>
            <w:vMerge w:val="restart"/>
            <w:vAlign w:val="center"/>
          </w:tcPr>
          <w:p w14:paraId="4B49C35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《一般工业固体废物贮存和填埋 污染控制标准》（GB18599-2020）</w:t>
            </w:r>
          </w:p>
        </w:tc>
      </w:tr>
      <w:tr w14:paraId="02BA84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451" w:type="dxa"/>
            <w:vMerge w:val="continue"/>
            <w:vAlign w:val="center"/>
          </w:tcPr>
          <w:p w14:paraId="2B6A45A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4"/>
                <w:szCs w:val="24"/>
              </w:rPr>
            </w:pPr>
          </w:p>
        </w:tc>
        <w:tc>
          <w:tcPr>
            <w:tcW w:w="1689" w:type="dxa"/>
            <w:vMerge w:val="continue"/>
            <w:vAlign w:val="center"/>
          </w:tcPr>
          <w:p w14:paraId="39620DD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4"/>
                <w:szCs w:val="24"/>
              </w:rPr>
            </w:pPr>
          </w:p>
        </w:tc>
        <w:tc>
          <w:tcPr>
            <w:tcW w:w="1217" w:type="dxa"/>
            <w:vAlign w:val="center"/>
          </w:tcPr>
          <w:p w14:paraId="3D4BDB3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煤泥</w:t>
            </w:r>
          </w:p>
        </w:tc>
        <w:tc>
          <w:tcPr>
            <w:tcW w:w="1843" w:type="dxa"/>
            <w:vMerge w:val="continue"/>
            <w:vAlign w:val="center"/>
          </w:tcPr>
          <w:p w14:paraId="7D71B13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4"/>
                <w:szCs w:val="24"/>
                <w:lang w:val="en-US"/>
              </w:rPr>
            </w:pPr>
          </w:p>
        </w:tc>
        <w:tc>
          <w:tcPr>
            <w:tcW w:w="2600" w:type="dxa"/>
            <w:vMerge w:val="continue"/>
            <w:vAlign w:val="center"/>
          </w:tcPr>
          <w:p w14:paraId="3FE5B7F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4"/>
                <w:szCs w:val="24"/>
              </w:rPr>
            </w:pPr>
          </w:p>
        </w:tc>
      </w:tr>
      <w:tr w14:paraId="45D82F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451" w:type="dxa"/>
            <w:vMerge w:val="continue"/>
            <w:vAlign w:val="center"/>
          </w:tcPr>
          <w:p w14:paraId="5680D9C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rPr>
            </w:pPr>
          </w:p>
        </w:tc>
        <w:tc>
          <w:tcPr>
            <w:tcW w:w="1689" w:type="dxa"/>
            <w:vMerge w:val="continue"/>
            <w:vAlign w:val="center"/>
          </w:tcPr>
          <w:p w14:paraId="78940CA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rPr>
            </w:pPr>
          </w:p>
        </w:tc>
        <w:tc>
          <w:tcPr>
            <w:tcW w:w="1217" w:type="dxa"/>
            <w:vAlign w:val="center"/>
          </w:tcPr>
          <w:p w14:paraId="044B3F8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4"/>
                <w:szCs w:val="24"/>
                <w:lang w:val="en-US" w:eastAsia="zh-CN"/>
              </w:rPr>
            </w:pPr>
            <w:r>
              <w:rPr>
                <w:rFonts w:hint="eastAsia" w:cs="Times New Roman"/>
                <w:color w:val="auto"/>
                <w:sz w:val="24"/>
                <w:szCs w:val="24"/>
                <w:lang w:val="en-US" w:eastAsia="zh-CN"/>
              </w:rPr>
              <w:t>收集尘</w:t>
            </w:r>
          </w:p>
        </w:tc>
        <w:tc>
          <w:tcPr>
            <w:tcW w:w="1843" w:type="dxa"/>
            <w:vMerge w:val="continue"/>
            <w:vAlign w:val="center"/>
          </w:tcPr>
          <w:p w14:paraId="6A1E816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4"/>
                <w:szCs w:val="24"/>
                <w:lang w:val="en-US" w:eastAsia="zh-CN"/>
              </w:rPr>
            </w:pPr>
          </w:p>
        </w:tc>
        <w:tc>
          <w:tcPr>
            <w:tcW w:w="2600" w:type="dxa"/>
            <w:vMerge w:val="continue"/>
            <w:vAlign w:val="center"/>
          </w:tcPr>
          <w:p w14:paraId="6489F4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4"/>
                <w:szCs w:val="24"/>
                <w:lang w:val="en-US" w:eastAsia="zh-CN"/>
              </w:rPr>
            </w:pPr>
          </w:p>
        </w:tc>
      </w:tr>
      <w:tr w14:paraId="2FC1B3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451" w:type="dxa"/>
            <w:vMerge w:val="continue"/>
            <w:vAlign w:val="center"/>
          </w:tcPr>
          <w:p w14:paraId="4912ADB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4"/>
                <w:szCs w:val="24"/>
              </w:rPr>
            </w:pPr>
          </w:p>
        </w:tc>
        <w:tc>
          <w:tcPr>
            <w:tcW w:w="1689" w:type="dxa"/>
            <w:vAlign w:val="center"/>
          </w:tcPr>
          <w:p w14:paraId="7CF75B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危险废物</w:t>
            </w:r>
          </w:p>
        </w:tc>
        <w:tc>
          <w:tcPr>
            <w:tcW w:w="1217" w:type="dxa"/>
            <w:vAlign w:val="center"/>
          </w:tcPr>
          <w:p w14:paraId="386CDA8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废</w:t>
            </w:r>
            <w:r>
              <w:rPr>
                <w:rFonts w:hint="eastAsia" w:cs="Times New Roman"/>
                <w:color w:val="auto"/>
                <w:sz w:val="24"/>
                <w:szCs w:val="24"/>
                <w:lang w:val="en-US" w:eastAsia="zh-CN"/>
              </w:rPr>
              <w:t>机油</w:t>
            </w:r>
          </w:p>
        </w:tc>
        <w:tc>
          <w:tcPr>
            <w:tcW w:w="1843" w:type="dxa"/>
            <w:vAlign w:val="center"/>
          </w:tcPr>
          <w:p w14:paraId="47069F6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收集后暂存于危废间，定期委托有资质的单位处置</w:t>
            </w:r>
          </w:p>
        </w:tc>
        <w:tc>
          <w:tcPr>
            <w:tcW w:w="2600" w:type="dxa"/>
            <w:vAlign w:val="center"/>
          </w:tcPr>
          <w:p w14:paraId="68662DB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《危险废物贮存污染控制标准》（GB18597-2023）</w:t>
            </w:r>
          </w:p>
        </w:tc>
      </w:tr>
      <w:tr w14:paraId="133E72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451" w:type="dxa"/>
            <w:vMerge w:val="continue"/>
            <w:vAlign w:val="center"/>
          </w:tcPr>
          <w:p w14:paraId="504EA32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4"/>
                <w:szCs w:val="24"/>
              </w:rPr>
            </w:pPr>
          </w:p>
        </w:tc>
        <w:tc>
          <w:tcPr>
            <w:tcW w:w="1689" w:type="dxa"/>
            <w:vAlign w:val="center"/>
          </w:tcPr>
          <w:p w14:paraId="300D84F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生活垃圾</w:t>
            </w:r>
          </w:p>
        </w:tc>
        <w:tc>
          <w:tcPr>
            <w:tcW w:w="5660" w:type="dxa"/>
            <w:gridSpan w:val="3"/>
            <w:vAlign w:val="center"/>
          </w:tcPr>
          <w:p w14:paraId="057EB3D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生活垃圾集中收集后交由环卫部门统一处理</w:t>
            </w:r>
          </w:p>
        </w:tc>
      </w:tr>
      <w:tr w14:paraId="24CEF8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451" w:type="dxa"/>
            <w:vAlign w:val="center"/>
          </w:tcPr>
          <w:p w14:paraId="09B499B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土壤及地下水污染防治措施</w:t>
            </w:r>
          </w:p>
        </w:tc>
        <w:tc>
          <w:tcPr>
            <w:tcW w:w="7349" w:type="dxa"/>
            <w:gridSpan w:val="4"/>
            <w:vAlign w:val="center"/>
          </w:tcPr>
          <w:p w14:paraId="0CD94A3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对</w:t>
            </w:r>
            <w:r>
              <w:rPr>
                <w:rFonts w:hint="default" w:ascii="Times New Roman" w:hAnsi="Times New Roman" w:eastAsia="宋体" w:cs="Times New Roman"/>
                <w:color w:val="auto"/>
                <w:sz w:val="24"/>
                <w:szCs w:val="24"/>
                <w:lang w:val="en-US" w:eastAsia="zh-CN"/>
              </w:rPr>
              <w:t>危废间</w:t>
            </w:r>
            <w:r>
              <w:rPr>
                <w:rFonts w:hint="default" w:ascii="Times New Roman" w:hAnsi="Times New Roman" w:eastAsia="宋体" w:cs="Times New Roman"/>
                <w:color w:val="auto"/>
                <w:sz w:val="24"/>
                <w:szCs w:val="24"/>
              </w:rPr>
              <w:t>、污水管道采取相应措施，防止跑、冒、滴、漏，将污染物泄漏的环境风险事故降到最低程度，做到污染物“早发现、早处理”，减少由于埋地管道泄漏而造成的地下水污染。</w:t>
            </w:r>
          </w:p>
          <w:p w14:paraId="01651DF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采取分区防渗措施，原</w:t>
            </w:r>
            <w:r>
              <w:rPr>
                <w:rFonts w:hint="eastAsia" w:cs="Times New Roman"/>
                <w:color w:val="auto"/>
                <w:sz w:val="24"/>
                <w:szCs w:val="24"/>
                <w:lang w:val="en-US" w:eastAsia="zh-CN"/>
              </w:rPr>
              <w:t>煤棚</w:t>
            </w:r>
            <w:r>
              <w:rPr>
                <w:rFonts w:hint="default" w:ascii="Times New Roman" w:hAnsi="Times New Roman" w:eastAsia="宋体" w:cs="Times New Roman"/>
                <w:color w:val="auto"/>
                <w:sz w:val="24"/>
                <w:szCs w:val="24"/>
              </w:rPr>
              <w:t>、一般固废区、生产车间、成品库一般防渗；</w:t>
            </w:r>
            <w:r>
              <w:rPr>
                <w:rFonts w:hint="eastAsia" w:cs="Times New Roman"/>
                <w:color w:val="auto"/>
                <w:sz w:val="24"/>
                <w:szCs w:val="24"/>
                <w:lang w:val="en-US" w:eastAsia="zh-CN"/>
              </w:rPr>
              <w:t>危废间及防渗收集池重点防渗，</w:t>
            </w:r>
            <w:r>
              <w:rPr>
                <w:rFonts w:hint="default" w:ascii="Times New Roman" w:hAnsi="Times New Roman" w:eastAsia="宋体" w:cs="Times New Roman"/>
                <w:color w:val="auto"/>
                <w:sz w:val="24"/>
                <w:szCs w:val="24"/>
              </w:rPr>
              <w:t>厂区路面硬化。</w:t>
            </w:r>
          </w:p>
        </w:tc>
      </w:tr>
      <w:tr w14:paraId="7630F0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1451" w:type="dxa"/>
            <w:vAlign w:val="center"/>
          </w:tcPr>
          <w:p w14:paraId="1EA95F9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生态保护措施</w:t>
            </w:r>
          </w:p>
        </w:tc>
        <w:tc>
          <w:tcPr>
            <w:tcW w:w="7349" w:type="dxa"/>
            <w:gridSpan w:val="4"/>
            <w:vAlign w:val="center"/>
          </w:tcPr>
          <w:p w14:paraId="2B329BE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项目选址</w:t>
            </w:r>
            <w:r>
              <w:rPr>
                <w:rFonts w:hint="default" w:ascii="Times New Roman" w:hAnsi="Times New Roman" w:eastAsia="宋体" w:cs="Times New Roman"/>
                <w:color w:val="auto"/>
                <w:sz w:val="24"/>
                <w:szCs w:val="24"/>
                <w:lang w:val="en-US" w:eastAsia="zh-CN"/>
              </w:rPr>
              <w:t>位于</w:t>
            </w:r>
            <w:r>
              <w:rPr>
                <w:rFonts w:hint="eastAsia" w:cs="Times New Roman"/>
                <w:color w:val="auto"/>
                <w:sz w:val="24"/>
                <w:szCs w:val="24"/>
                <w:highlight w:val="none"/>
                <w:lang w:val="en-US" w:eastAsia="zh-CN"/>
              </w:rPr>
              <w:t>阜康市甘河子镇西侧院内</w:t>
            </w:r>
            <w:r>
              <w:rPr>
                <w:rFonts w:hint="default" w:ascii="Times New Roman" w:hAnsi="Times New Roman" w:eastAsia="宋体" w:cs="Times New Roman"/>
                <w:color w:val="auto"/>
                <w:sz w:val="24"/>
                <w:szCs w:val="24"/>
              </w:rPr>
              <w:t>，建设范围内无生态环境敏感目标，不需设置生态保护措施。</w:t>
            </w:r>
          </w:p>
        </w:tc>
      </w:tr>
      <w:tr w14:paraId="3595D9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0" w:hRule="atLeast"/>
          <w:jc w:val="center"/>
        </w:trPr>
        <w:tc>
          <w:tcPr>
            <w:tcW w:w="1451" w:type="dxa"/>
            <w:vAlign w:val="center"/>
          </w:tcPr>
          <w:p w14:paraId="40301F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8"/>
                <w:sz w:val="24"/>
                <w:szCs w:val="24"/>
              </w:rPr>
            </w:pPr>
            <w:r>
              <w:rPr>
                <w:rFonts w:hint="default" w:ascii="Times New Roman" w:hAnsi="Times New Roman" w:eastAsia="宋体" w:cs="Times New Roman"/>
                <w:color w:val="auto"/>
                <w:spacing w:val="-8"/>
                <w:sz w:val="24"/>
                <w:szCs w:val="24"/>
              </w:rPr>
              <w:t>环境风险</w:t>
            </w:r>
          </w:p>
          <w:p w14:paraId="4F0D90D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8"/>
                <w:sz w:val="24"/>
                <w:szCs w:val="24"/>
              </w:rPr>
            </w:pPr>
            <w:r>
              <w:rPr>
                <w:rFonts w:hint="default" w:ascii="Times New Roman" w:hAnsi="Times New Roman" w:eastAsia="宋体" w:cs="Times New Roman"/>
                <w:color w:val="auto"/>
                <w:spacing w:val="-8"/>
                <w:sz w:val="24"/>
                <w:szCs w:val="24"/>
              </w:rPr>
              <w:t>防范措施</w:t>
            </w:r>
          </w:p>
        </w:tc>
        <w:tc>
          <w:tcPr>
            <w:tcW w:w="7349" w:type="dxa"/>
            <w:gridSpan w:val="4"/>
            <w:vAlign w:val="center"/>
          </w:tcPr>
          <w:p w14:paraId="203A0909">
            <w:pPr>
              <w:keepNext w:val="0"/>
              <w:keepLines w:val="0"/>
              <w:pageBreakBefore w:val="0"/>
              <w:widowControl w:val="0"/>
              <w:kinsoku/>
              <w:wordWrap/>
              <w:overflowPunct/>
              <w:topLinePunct w:val="0"/>
              <w:autoSpaceDE/>
              <w:autoSpaceDN/>
              <w:bidi w:val="0"/>
              <w:adjustRightInd/>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（1）建立完善的安全生产管理制度和消防安全规定，制定设备操作规程并严格遵照执行；</w:t>
            </w:r>
          </w:p>
          <w:p w14:paraId="085AF7BE">
            <w:pPr>
              <w:keepNext w:val="0"/>
              <w:keepLines w:val="0"/>
              <w:pageBreakBefore w:val="0"/>
              <w:widowControl w:val="0"/>
              <w:kinsoku/>
              <w:wordWrap/>
              <w:overflowPunct/>
              <w:topLinePunct w:val="0"/>
              <w:autoSpaceDE/>
              <w:autoSpaceDN/>
              <w:bidi w:val="0"/>
              <w:adjustRightInd/>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（2）生产车间等应按照《建筑设计防火规范》等文件的要求设置消防给水和灭火设施、火灾探测及火灾报警系统。生产车间、库房配备灭火器、消防栓等消防器材；</w:t>
            </w:r>
          </w:p>
          <w:p w14:paraId="6EF3DAC6">
            <w:pPr>
              <w:keepNext w:val="0"/>
              <w:keepLines w:val="0"/>
              <w:pageBreakBefore w:val="0"/>
              <w:widowControl w:val="0"/>
              <w:kinsoku/>
              <w:wordWrap/>
              <w:overflowPunct/>
              <w:topLinePunct w:val="0"/>
              <w:autoSpaceDE/>
              <w:autoSpaceDN/>
              <w:bidi w:val="0"/>
              <w:adjustRightInd/>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（3）在有较大危险因素的有关设施、设备上，如压力容器、变压器等处均应设置明显的安全警示标志；</w:t>
            </w:r>
          </w:p>
          <w:p w14:paraId="162683D6">
            <w:pPr>
              <w:keepNext w:val="0"/>
              <w:keepLines w:val="0"/>
              <w:pageBreakBefore w:val="0"/>
              <w:widowControl w:val="0"/>
              <w:kinsoku/>
              <w:wordWrap/>
              <w:overflowPunct/>
              <w:topLinePunct w:val="0"/>
              <w:autoSpaceDE/>
              <w:autoSpaceDN/>
              <w:bidi w:val="0"/>
              <w:adjustRightInd/>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（4）生产区域应加强管理，避免和及时消除各种激发能源的产生和积累，杜绝火种及违章违纪现象，进入车辆必须装阻火器；</w:t>
            </w:r>
          </w:p>
          <w:p w14:paraId="5CEE3EA1">
            <w:pPr>
              <w:keepNext w:val="0"/>
              <w:keepLines w:val="0"/>
              <w:pageBreakBefore w:val="0"/>
              <w:widowControl w:val="0"/>
              <w:kinsoku/>
              <w:wordWrap/>
              <w:overflowPunct/>
              <w:topLinePunct w:val="0"/>
              <w:autoSpaceDE/>
              <w:autoSpaceDN/>
              <w:bidi w:val="0"/>
              <w:adjustRightInd/>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（5）加强员工的思想、道德教育，提高员工的责任心和主观能动性；完善并严格遵守相关的操作规程，加强岗位培训，落实岗位责任制，加强设备管理；</w:t>
            </w:r>
          </w:p>
          <w:p w14:paraId="6FF0B1E1">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（6）加强事故管理，在生产过程中注意对其他单位相关事故的研究，充分吸取经验和教训。</w:t>
            </w:r>
          </w:p>
        </w:tc>
      </w:tr>
      <w:tr w14:paraId="7F7F5F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39" w:hRule="atLeast"/>
          <w:jc w:val="center"/>
        </w:trPr>
        <w:tc>
          <w:tcPr>
            <w:tcW w:w="1451" w:type="dxa"/>
            <w:vAlign w:val="center"/>
          </w:tcPr>
          <w:p w14:paraId="604AD23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8"/>
                <w:sz w:val="24"/>
                <w:szCs w:val="24"/>
              </w:rPr>
            </w:pPr>
            <w:r>
              <w:rPr>
                <w:rFonts w:hint="default" w:ascii="Times New Roman" w:hAnsi="Times New Roman" w:eastAsia="宋体" w:cs="Times New Roman"/>
                <w:color w:val="auto"/>
                <w:spacing w:val="-8"/>
                <w:sz w:val="24"/>
                <w:szCs w:val="24"/>
              </w:rPr>
              <w:t>其他环境</w:t>
            </w:r>
          </w:p>
          <w:p w14:paraId="687915B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8"/>
                <w:sz w:val="24"/>
                <w:szCs w:val="24"/>
              </w:rPr>
            </w:pPr>
            <w:r>
              <w:rPr>
                <w:rFonts w:hint="default" w:ascii="Times New Roman" w:hAnsi="Times New Roman" w:eastAsia="宋体" w:cs="Times New Roman"/>
                <w:color w:val="auto"/>
                <w:spacing w:val="-8"/>
                <w:sz w:val="24"/>
                <w:szCs w:val="24"/>
              </w:rPr>
              <w:t>管理要求</w:t>
            </w:r>
          </w:p>
        </w:tc>
        <w:tc>
          <w:tcPr>
            <w:tcW w:w="7349" w:type="dxa"/>
            <w:gridSpan w:val="4"/>
            <w:vAlign w:val="center"/>
          </w:tcPr>
          <w:p w14:paraId="2C06FA6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color w:val="auto"/>
                <w:sz w:val="24"/>
                <w:lang w:val="en-US" w:eastAsia="zh-CN"/>
              </w:rPr>
            </w:pPr>
            <w:r>
              <w:rPr>
                <w:rFonts w:hint="eastAsia" w:ascii="Times New Roman" w:hAnsi="Times New Roman" w:eastAsia="宋体" w:cs="Times New Roman"/>
                <w:b/>
                <w:color w:val="auto"/>
                <w:sz w:val="24"/>
                <w:lang w:val="en-US" w:eastAsia="zh-CN"/>
              </w:rPr>
              <w:t>1.环境管理</w:t>
            </w:r>
          </w:p>
          <w:p w14:paraId="0F7250D4">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kern w:val="0"/>
                <w:sz w:val="24"/>
                <w:szCs w:val="24"/>
                <w:highlight w:val="none"/>
                <w:lang w:eastAsia="zh-CN"/>
              </w:rPr>
            </w:pPr>
            <w:r>
              <w:rPr>
                <w:rFonts w:hint="default" w:ascii="Times New Roman" w:hAnsi="Times New Roman" w:cs="Times New Roman"/>
                <w:color w:val="auto"/>
                <w:kern w:val="0"/>
                <w:sz w:val="24"/>
                <w:szCs w:val="24"/>
                <w:highlight w:val="none"/>
                <w:lang w:eastAsia="zh-CN"/>
              </w:rPr>
              <w:t>环境管理是企业管理制度的重要内容之一。</w:t>
            </w:r>
            <w:r>
              <w:rPr>
                <w:rFonts w:hint="eastAsia" w:ascii="Times New Roman" w:hAnsi="Times New Roman" w:cs="Times New Roman"/>
                <w:color w:val="auto"/>
                <w:kern w:val="0"/>
                <w:sz w:val="24"/>
                <w:szCs w:val="24"/>
                <w:highlight w:val="none"/>
                <w:lang w:eastAsia="zh-CN"/>
              </w:rPr>
              <w:t>本项目</w:t>
            </w:r>
            <w:r>
              <w:rPr>
                <w:rFonts w:hint="default" w:ascii="Times New Roman" w:hAnsi="Times New Roman" w:cs="Times New Roman"/>
                <w:color w:val="auto"/>
                <w:kern w:val="0"/>
                <w:sz w:val="24"/>
                <w:szCs w:val="24"/>
                <w:highlight w:val="none"/>
                <w:lang w:eastAsia="zh-CN"/>
              </w:rPr>
              <w:t>的环境管理必须遵循国家有关环境保护的法律、法规、标准、政策和制度，落实各项污染防治措施，确保垃圾填埋工作的有效实施，改善环境质量。环境管理计划涉及的内容包括：环境管理机构的建设、环境管理计划的制定、污染防治设施的管理、环境目标的制定及环境监督活动等。</w:t>
            </w:r>
          </w:p>
          <w:p w14:paraId="018311CF">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kern w:val="0"/>
                <w:sz w:val="24"/>
                <w:szCs w:val="24"/>
                <w:highlight w:val="none"/>
                <w:lang w:eastAsia="zh-CN"/>
              </w:rPr>
            </w:pPr>
            <w:r>
              <w:rPr>
                <w:rFonts w:hint="eastAsia" w:ascii="Times New Roman" w:hAnsi="Times New Roman" w:cs="Times New Roman"/>
                <w:color w:val="auto"/>
                <w:kern w:val="0"/>
                <w:sz w:val="24"/>
                <w:szCs w:val="24"/>
                <w:highlight w:val="none"/>
                <w:lang w:eastAsia="zh-CN"/>
              </w:rPr>
              <w:t>（</w:t>
            </w:r>
            <w:r>
              <w:rPr>
                <w:rFonts w:hint="eastAsia" w:ascii="Times New Roman" w:hAnsi="Times New Roman" w:cs="Times New Roman"/>
                <w:color w:val="auto"/>
                <w:kern w:val="0"/>
                <w:sz w:val="24"/>
                <w:szCs w:val="24"/>
                <w:highlight w:val="none"/>
                <w:lang w:val="en-US" w:eastAsia="zh-CN"/>
              </w:rPr>
              <w:t>1</w:t>
            </w:r>
            <w:r>
              <w:rPr>
                <w:rFonts w:hint="eastAsia" w:ascii="Times New Roman" w:hAnsi="Times New Roman" w:cs="Times New Roman"/>
                <w:color w:val="auto"/>
                <w:kern w:val="0"/>
                <w:sz w:val="24"/>
                <w:szCs w:val="24"/>
                <w:highlight w:val="none"/>
                <w:lang w:eastAsia="zh-CN"/>
              </w:rPr>
              <w:t>）</w:t>
            </w:r>
            <w:r>
              <w:rPr>
                <w:rFonts w:hint="default" w:ascii="Times New Roman" w:hAnsi="Times New Roman" w:cs="Times New Roman"/>
                <w:color w:val="auto"/>
                <w:kern w:val="0"/>
                <w:sz w:val="24"/>
                <w:szCs w:val="24"/>
                <w:highlight w:val="none"/>
                <w:lang w:eastAsia="zh-CN"/>
              </w:rPr>
              <w:t>成立环境管理机构</w:t>
            </w:r>
          </w:p>
          <w:p w14:paraId="5EDB4EAB">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kern w:val="0"/>
                <w:sz w:val="24"/>
                <w:szCs w:val="24"/>
                <w:highlight w:val="none"/>
                <w:lang w:eastAsia="zh-CN"/>
              </w:rPr>
            </w:pPr>
            <w:r>
              <w:rPr>
                <w:rFonts w:hint="eastAsia" w:ascii="Times New Roman" w:hAnsi="Times New Roman" w:cs="Times New Roman"/>
                <w:color w:val="auto"/>
                <w:kern w:val="0"/>
                <w:sz w:val="24"/>
                <w:szCs w:val="24"/>
                <w:highlight w:val="none"/>
                <w:lang w:eastAsia="zh-CN"/>
              </w:rPr>
              <w:t>建设单位</w:t>
            </w:r>
            <w:r>
              <w:rPr>
                <w:rFonts w:hint="default" w:ascii="Times New Roman" w:hAnsi="Times New Roman" w:cs="Times New Roman"/>
                <w:color w:val="auto"/>
                <w:kern w:val="0"/>
                <w:sz w:val="24"/>
                <w:szCs w:val="24"/>
                <w:highlight w:val="none"/>
                <w:lang w:eastAsia="zh-CN"/>
              </w:rPr>
              <w:t>应有环境管理机构，单独或合并设立环保科室。要有一名主管领导负责抓环保工作，由环保机构组织开展日常环境管理工作，具体负责环境保护的日常管理和监督等工作，并保持同上级环保部门的联系，及时汇报情况，对出现的环境问题作出</w:t>
            </w:r>
            <w:r>
              <w:rPr>
                <w:rFonts w:hint="eastAsia" w:ascii="Times New Roman" w:hAnsi="Times New Roman" w:cs="Times New Roman"/>
                <w:color w:val="auto"/>
                <w:kern w:val="0"/>
                <w:sz w:val="24"/>
                <w:szCs w:val="24"/>
                <w:highlight w:val="none"/>
                <w:lang w:eastAsia="zh-CN"/>
              </w:rPr>
              <w:t>及时的反映</w:t>
            </w:r>
            <w:r>
              <w:rPr>
                <w:rFonts w:hint="default" w:ascii="Times New Roman" w:hAnsi="Times New Roman" w:cs="Times New Roman"/>
                <w:color w:val="auto"/>
                <w:kern w:val="0"/>
                <w:sz w:val="24"/>
                <w:szCs w:val="24"/>
                <w:highlight w:val="none"/>
                <w:lang w:eastAsia="zh-CN"/>
              </w:rPr>
              <w:t>和反馈。具体负责以下事项：</w:t>
            </w:r>
          </w:p>
          <w:p w14:paraId="3BD35B93">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kern w:val="0"/>
                <w:sz w:val="24"/>
                <w:szCs w:val="24"/>
                <w:highlight w:val="none"/>
                <w:lang w:eastAsia="zh-CN"/>
              </w:rPr>
            </w:pPr>
            <w:r>
              <w:rPr>
                <w:rFonts w:hint="default" w:ascii="Times New Roman" w:hAnsi="Times New Roman" w:cs="Times New Roman"/>
                <w:color w:val="auto"/>
                <w:kern w:val="0"/>
                <w:sz w:val="24"/>
                <w:szCs w:val="24"/>
                <w:highlight w:val="none"/>
                <w:lang w:eastAsia="zh-CN"/>
              </w:rPr>
              <w:t>①负责制定环境管理计划和环境管理方案；</w:t>
            </w:r>
          </w:p>
          <w:p w14:paraId="26C5C1A3">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kern w:val="0"/>
                <w:sz w:val="24"/>
                <w:szCs w:val="24"/>
                <w:highlight w:val="none"/>
                <w:lang w:eastAsia="zh-CN"/>
              </w:rPr>
            </w:pPr>
            <w:r>
              <w:rPr>
                <w:rFonts w:hint="default" w:ascii="Times New Roman" w:hAnsi="Times New Roman" w:cs="Times New Roman"/>
                <w:color w:val="auto"/>
                <w:kern w:val="0"/>
                <w:sz w:val="24"/>
                <w:szCs w:val="24"/>
                <w:highlight w:val="none"/>
                <w:lang w:eastAsia="zh-CN"/>
              </w:rPr>
              <w:t>②制定环境管理规章制度，监督检查各项环保制度的落实情况；</w:t>
            </w:r>
          </w:p>
          <w:p w14:paraId="25C8CC79">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kern w:val="0"/>
                <w:sz w:val="24"/>
                <w:szCs w:val="24"/>
                <w:highlight w:val="none"/>
                <w:lang w:eastAsia="zh-CN"/>
              </w:rPr>
            </w:pPr>
            <w:r>
              <w:rPr>
                <w:rFonts w:hint="default" w:ascii="Times New Roman" w:hAnsi="Times New Roman" w:cs="Times New Roman"/>
                <w:color w:val="auto"/>
                <w:kern w:val="0"/>
                <w:sz w:val="24"/>
                <w:szCs w:val="24"/>
                <w:highlight w:val="none"/>
                <w:lang w:eastAsia="zh-CN"/>
              </w:rPr>
              <w:t>③组织对</w:t>
            </w:r>
            <w:r>
              <w:rPr>
                <w:rFonts w:hint="eastAsia" w:ascii="Times New Roman" w:hAnsi="Times New Roman" w:cs="Times New Roman"/>
                <w:color w:val="auto"/>
                <w:kern w:val="0"/>
                <w:sz w:val="24"/>
                <w:szCs w:val="24"/>
                <w:highlight w:val="none"/>
                <w:lang w:eastAsia="zh-CN"/>
              </w:rPr>
              <w:t>项目区</w:t>
            </w:r>
            <w:r>
              <w:rPr>
                <w:rFonts w:hint="default" w:ascii="Times New Roman" w:hAnsi="Times New Roman" w:cs="Times New Roman"/>
                <w:color w:val="auto"/>
                <w:kern w:val="0"/>
                <w:sz w:val="24"/>
                <w:szCs w:val="24"/>
                <w:highlight w:val="none"/>
                <w:lang w:eastAsia="zh-CN"/>
              </w:rPr>
              <w:t>环境质量进行监测，统计整理有关环境监测资料并上报地方环保部门；</w:t>
            </w:r>
          </w:p>
          <w:p w14:paraId="61550246">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kern w:val="0"/>
                <w:sz w:val="24"/>
                <w:szCs w:val="24"/>
                <w:highlight w:val="none"/>
                <w:lang w:eastAsia="zh-CN"/>
              </w:rPr>
            </w:pPr>
            <w:r>
              <w:rPr>
                <w:rFonts w:hint="default" w:ascii="Times New Roman" w:hAnsi="Times New Roman" w:cs="Times New Roman"/>
                <w:color w:val="auto"/>
                <w:kern w:val="0"/>
                <w:sz w:val="24"/>
                <w:szCs w:val="24"/>
                <w:highlight w:val="none"/>
                <w:lang w:eastAsia="zh-CN"/>
              </w:rPr>
              <w:t>④对</w:t>
            </w:r>
            <w:r>
              <w:rPr>
                <w:rFonts w:hint="eastAsia" w:ascii="Times New Roman" w:hAnsi="Times New Roman" w:cs="Times New Roman"/>
                <w:color w:val="auto"/>
                <w:kern w:val="0"/>
                <w:sz w:val="24"/>
                <w:szCs w:val="24"/>
                <w:highlight w:val="none"/>
                <w:lang w:eastAsia="zh-CN"/>
              </w:rPr>
              <w:t>本项目</w:t>
            </w:r>
            <w:r>
              <w:rPr>
                <w:rFonts w:hint="default" w:ascii="Times New Roman" w:hAnsi="Times New Roman" w:cs="Times New Roman"/>
                <w:color w:val="auto"/>
                <w:kern w:val="0"/>
                <w:sz w:val="24"/>
                <w:szCs w:val="24"/>
                <w:highlight w:val="none"/>
                <w:lang w:eastAsia="zh-CN"/>
              </w:rPr>
              <w:t>废水、废气排放、污染防治、环保设施的运行、维修等活动进行监督管理；</w:t>
            </w:r>
          </w:p>
          <w:p w14:paraId="061C86FF">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kern w:val="0"/>
                <w:sz w:val="24"/>
                <w:szCs w:val="24"/>
                <w:highlight w:val="none"/>
                <w:lang w:eastAsia="zh-CN"/>
              </w:rPr>
            </w:pPr>
            <w:r>
              <w:rPr>
                <w:rFonts w:hint="default" w:ascii="Times New Roman" w:hAnsi="Times New Roman" w:cs="Times New Roman"/>
                <w:color w:val="auto"/>
                <w:kern w:val="0"/>
                <w:sz w:val="24"/>
                <w:szCs w:val="24"/>
                <w:highlight w:val="none"/>
                <w:lang w:eastAsia="zh-CN"/>
              </w:rPr>
              <w:t>⑤开展环境保护法规、政策和环保知识宣传和教育工作。</w:t>
            </w:r>
          </w:p>
          <w:p w14:paraId="718E7A39">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kern w:val="0"/>
                <w:sz w:val="24"/>
                <w:szCs w:val="24"/>
                <w:highlight w:val="none"/>
                <w:lang w:eastAsia="zh-CN"/>
              </w:rPr>
            </w:pPr>
            <w:r>
              <w:rPr>
                <w:rFonts w:hint="eastAsia" w:ascii="Times New Roman" w:hAnsi="Times New Roman" w:cs="Times New Roman"/>
                <w:color w:val="auto"/>
                <w:kern w:val="0"/>
                <w:sz w:val="24"/>
                <w:szCs w:val="24"/>
                <w:highlight w:val="none"/>
                <w:lang w:eastAsia="zh-CN"/>
              </w:rPr>
              <w:t>（</w:t>
            </w:r>
            <w:r>
              <w:rPr>
                <w:rFonts w:hint="eastAsia" w:ascii="Times New Roman" w:hAnsi="Times New Roman" w:cs="Times New Roman"/>
                <w:color w:val="auto"/>
                <w:kern w:val="0"/>
                <w:sz w:val="24"/>
                <w:szCs w:val="24"/>
                <w:highlight w:val="none"/>
                <w:lang w:val="en-US" w:eastAsia="zh-CN"/>
              </w:rPr>
              <w:t>2</w:t>
            </w:r>
            <w:r>
              <w:rPr>
                <w:rFonts w:hint="eastAsia" w:ascii="Times New Roman" w:hAnsi="Times New Roman" w:cs="Times New Roman"/>
                <w:color w:val="auto"/>
                <w:kern w:val="0"/>
                <w:sz w:val="24"/>
                <w:szCs w:val="24"/>
                <w:highlight w:val="none"/>
                <w:lang w:eastAsia="zh-CN"/>
              </w:rPr>
              <w:t>）</w:t>
            </w:r>
            <w:r>
              <w:rPr>
                <w:rFonts w:hint="default" w:ascii="Times New Roman" w:hAnsi="Times New Roman" w:cs="Times New Roman"/>
                <w:color w:val="auto"/>
                <w:kern w:val="0"/>
                <w:sz w:val="24"/>
                <w:szCs w:val="24"/>
                <w:highlight w:val="none"/>
                <w:lang w:eastAsia="zh-CN"/>
              </w:rPr>
              <w:t>配备专职环保人员</w:t>
            </w:r>
          </w:p>
          <w:p w14:paraId="488A5F96">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kern w:val="0"/>
                <w:sz w:val="24"/>
                <w:szCs w:val="24"/>
                <w:highlight w:val="none"/>
                <w:lang w:eastAsia="zh-CN"/>
              </w:rPr>
            </w:pPr>
            <w:r>
              <w:rPr>
                <w:rFonts w:hint="eastAsia" w:ascii="Times New Roman" w:hAnsi="Times New Roman" w:cs="Times New Roman"/>
                <w:color w:val="auto"/>
                <w:kern w:val="0"/>
                <w:sz w:val="24"/>
                <w:szCs w:val="24"/>
                <w:highlight w:val="none"/>
                <w:lang w:eastAsia="zh-CN"/>
              </w:rPr>
              <w:t>本</w:t>
            </w:r>
            <w:r>
              <w:rPr>
                <w:rFonts w:hint="default" w:ascii="Times New Roman" w:hAnsi="Times New Roman" w:cs="Times New Roman"/>
                <w:color w:val="auto"/>
                <w:kern w:val="0"/>
                <w:sz w:val="24"/>
                <w:szCs w:val="24"/>
                <w:highlight w:val="none"/>
                <w:lang w:eastAsia="zh-CN"/>
              </w:rPr>
              <w:t>工程在建设期间，应设一名环保专职或兼职人员，负责建设期环保工作。项目建成投产后，应配备1名</w:t>
            </w:r>
            <w:r>
              <w:rPr>
                <w:rFonts w:hint="default" w:ascii="Times New Roman" w:hAnsi="Times New Roman" w:cs="Times New Roman"/>
                <w:color w:val="auto"/>
                <w:kern w:val="0"/>
                <w:sz w:val="24"/>
                <w:szCs w:val="24"/>
                <w:highlight w:val="none"/>
                <w:lang w:val="en-US" w:eastAsia="zh-CN"/>
              </w:rPr>
              <w:t>兼职</w:t>
            </w:r>
            <w:r>
              <w:rPr>
                <w:rFonts w:hint="default" w:ascii="Times New Roman" w:hAnsi="Times New Roman" w:cs="Times New Roman"/>
                <w:color w:val="auto"/>
                <w:kern w:val="0"/>
                <w:sz w:val="24"/>
                <w:szCs w:val="24"/>
                <w:highlight w:val="none"/>
                <w:lang w:eastAsia="zh-CN"/>
              </w:rPr>
              <w:t>环保人员，负责</w:t>
            </w:r>
            <w:r>
              <w:rPr>
                <w:rFonts w:hint="eastAsia" w:ascii="Times New Roman" w:hAnsi="Times New Roman" w:cs="Times New Roman"/>
                <w:color w:val="auto"/>
                <w:kern w:val="0"/>
                <w:sz w:val="24"/>
                <w:szCs w:val="24"/>
                <w:highlight w:val="none"/>
                <w:lang w:eastAsia="zh-CN"/>
              </w:rPr>
              <w:t>项目</w:t>
            </w:r>
            <w:r>
              <w:rPr>
                <w:rFonts w:hint="default" w:ascii="Times New Roman" w:hAnsi="Times New Roman" w:cs="Times New Roman"/>
                <w:color w:val="auto"/>
                <w:kern w:val="0"/>
                <w:sz w:val="24"/>
                <w:szCs w:val="24"/>
                <w:highlight w:val="none"/>
                <w:lang w:eastAsia="zh-CN"/>
              </w:rPr>
              <w:t>区的环境管理工作。</w:t>
            </w:r>
          </w:p>
          <w:p w14:paraId="1133E313">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kern w:val="0"/>
                <w:sz w:val="24"/>
                <w:szCs w:val="24"/>
                <w:highlight w:val="none"/>
                <w:lang w:eastAsia="zh-CN"/>
              </w:rPr>
            </w:pPr>
            <w:r>
              <w:rPr>
                <w:rFonts w:hint="eastAsia" w:ascii="Times New Roman" w:hAnsi="Times New Roman" w:cs="Times New Roman"/>
                <w:color w:val="auto"/>
                <w:kern w:val="0"/>
                <w:sz w:val="24"/>
                <w:szCs w:val="24"/>
                <w:highlight w:val="none"/>
                <w:lang w:eastAsia="zh-CN"/>
              </w:rPr>
              <w:t>（</w:t>
            </w:r>
            <w:r>
              <w:rPr>
                <w:rFonts w:hint="eastAsia" w:ascii="Times New Roman" w:hAnsi="Times New Roman" w:cs="Times New Roman"/>
                <w:color w:val="auto"/>
                <w:kern w:val="0"/>
                <w:sz w:val="24"/>
                <w:szCs w:val="24"/>
                <w:highlight w:val="none"/>
                <w:lang w:val="en-US" w:eastAsia="zh-CN"/>
              </w:rPr>
              <w:t>3</w:t>
            </w:r>
            <w:r>
              <w:rPr>
                <w:rFonts w:hint="eastAsia" w:ascii="Times New Roman" w:hAnsi="Times New Roman" w:cs="Times New Roman"/>
                <w:color w:val="auto"/>
                <w:kern w:val="0"/>
                <w:sz w:val="24"/>
                <w:szCs w:val="24"/>
                <w:highlight w:val="none"/>
                <w:lang w:eastAsia="zh-CN"/>
              </w:rPr>
              <w:t>）</w:t>
            </w:r>
            <w:r>
              <w:rPr>
                <w:rFonts w:hint="default" w:ascii="Times New Roman" w:hAnsi="Times New Roman" w:cs="Times New Roman"/>
                <w:color w:val="auto"/>
                <w:kern w:val="0"/>
                <w:sz w:val="24"/>
                <w:szCs w:val="24"/>
                <w:highlight w:val="none"/>
                <w:lang w:eastAsia="zh-CN"/>
              </w:rPr>
              <w:t>制定环境保护规章制度</w:t>
            </w:r>
          </w:p>
          <w:p w14:paraId="748015D3">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kern w:val="0"/>
                <w:sz w:val="24"/>
                <w:szCs w:val="24"/>
                <w:highlight w:val="none"/>
                <w:lang w:eastAsia="zh-CN"/>
              </w:rPr>
            </w:pPr>
            <w:r>
              <w:rPr>
                <w:rFonts w:hint="default" w:ascii="Times New Roman" w:hAnsi="Times New Roman" w:cs="Times New Roman"/>
                <w:color w:val="auto"/>
                <w:kern w:val="0"/>
                <w:sz w:val="24"/>
                <w:szCs w:val="24"/>
                <w:highlight w:val="none"/>
                <w:lang w:eastAsia="zh-CN"/>
              </w:rPr>
              <w:t>根据国家和地方现行的环保法律法规、政策、制度，结合实际情况，制定适合本单位环境管理需要的“环境保护规章制度”，规范单位和员工在保护环境、防治污染等方面的行为，实现环境计划中所提出的环境目标。需要制定的规章制度主要有：</w:t>
            </w:r>
          </w:p>
          <w:p w14:paraId="6B85AAA0">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kern w:val="0"/>
                <w:sz w:val="24"/>
                <w:szCs w:val="24"/>
                <w:highlight w:val="none"/>
                <w:lang w:eastAsia="zh-CN"/>
              </w:rPr>
            </w:pPr>
            <w:r>
              <w:rPr>
                <w:rFonts w:hint="default" w:ascii="Times New Roman" w:hAnsi="Times New Roman" w:cs="Times New Roman"/>
                <w:color w:val="auto"/>
                <w:kern w:val="0"/>
                <w:sz w:val="24"/>
                <w:szCs w:val="24"/>
                <w:highlight w:val="none"/>
                <w:lang w:eastAsia="zh-CN"/>
              </w:rPr>
              <w:t>①污染治理管理办法</w:t>
            </w:r>
          </w:p>
          <w:p w14:paraId="3A0672A0">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kern w:val="0"/>
                <w:sz w:val="24"/>
                <w:szCs w:val="24"/>
                <w:highlight w:val="none"/>
                <w:lang w:eastAsia="zh-CN"/>
              </w:rPr>
            </w:pPr>
            <w:r>
              <w:rPr>
                <w:rFonts w:hint="eastAsia" w:ascii="Times New Roman" w:hAnsi="Times New Roman" w:cs="Times New Roman"/>
                <w:color w:val="auto"/>
                <w:kern w:val="0"/>
                <w:sz w:val="24"/>
                <w:szCs w:val="24"/>
                <w:highlight w:val="none"/>
                <w:lang w:eastAsia="zh-CN"/>
              </w:rPr>
              <w:t>项目区</w:t>
            </w:r>
            <w:r>
              <w:rPr>
                <w:rFonts w:hint="default" w:ascii="Times New Roman" w:hAnsi="Times New Roman" w:cs="Times New Roman"/>
                <w:color w:val="auto"/>
                <w:kern w:val="0"/>
                <w:sz w:val="24"/>
                <w:szCs w:val="24"/>
                <w:highlight w:val="none"/>
                <w:lang w:eastAsia="zh-CN"/>
              </w:rPr>
              <w:t>污染治理设施的管理，应制定各级岗位责任制，编制生产设备及环保设施的操作规程，不得擅自拆除或闲置已有的污染处理设施，严禁故意不正常使用污染处理设施。</w:t>
            </w:r>
          </w:p>
          <w:p w14:paraId="20AE087F">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kern w:val="0"/>
                <w:sz w:val="24"/>
                <w:szCs w:val="24"/>
                <w:highlight w:val="none"/>
                <w:lang w:eastAsia="zh-CN"/>
              </w:rPr>
            </w:pPr>
            <w:r>
              <w:rPr>
                <w:rFonts w:hint="default" w:ascii="Times New Roman" w:hAnsi="Times New Roman" w:cs="Times New Roman"/>
                <w:color w:val="auto"/>
                <w:kern w:val="0"/>
                <w:sz w:val="24"/>
                <w:szCs w:val="24"/>
                <w:highlight w:val="none"/>
                <w:lang w:eastAsia="zh-CN"/>
              </w:rPr>
              <w:t>②环境保护目标责任制</w:t>
            </w:r>
          </w:p>
          <w:p w14:paraId="06350C0F">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kern w:val="0"/>
                <w:sz w:val="24"/>
                <w:szCs w:val="24"/>
                <w:highlight w:val="none"/>
                <w:lang w:eastAsia="zh-CN"/>
              </w:rPr>
            </w:pPr>
            <w:r>
              <w:rPr>
                <w:rFonts w:hint="default" w:ascii="Times New Roman" w:hAnsi="Times New Roman" w:cs="Times New Roman"/>
                <w:color w:val="auto"/>
                <w:kern w:val="0"/>
                <w:sz w:val="24"/>
                <w:szCs w:val="24"/>
                <w:highlight w:val="none"/>
                <w:lang w:eastAsia="zh-CN"/>
              </w:rPr>
              <w:t>实行生产者环境岗位责任制，要求各个岗位对其所从事的工作质量负责。将环境目标和污染控制计划，层层分解，建立以主管领导为核心的管理体系，明确各自的环境责任，将责任落实到领导者、管理者和员工，达到目标管理的目的。</w:t>
            </w:r>
          </w:p>
          <w:p w14:paraId="0066A0F7">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kern w:val="0"/>
                <w:sz w:val="24"/>
                <w:szCs w:val="24"/>
                <w:highlight w:val="none"/>
                <w:lang w:eastAsia="zh-CN"/>
              </w:rPr>
            </w:pPr>
            <w:r>
              <w:rPr>
                <w:rFonts w:hint="default" w:ascii="Times New Roman" w:hAnsi="Times New Roman" w:cs="Times New Roman"/>
                <w:color w:val="auto"/>
                <w:kern w:val="0"/>
                <w:sz w:val="24"/>
                <w:szCs w:val="24"/>
                <w:highlight w:val="none"/>
                <w:lang w:eastAsia="zh-CN"/>
              </w:rPr>
              <w:t>③制定环保奖惩制度</w:t>
            </w:r>
          </w:p>
          <w:p w14:paraId="61455EBC">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kern w:val="0"/>
                <w:sz w:val="24"/>
                <w:szCs w:val="24"/>
                <w:highlight w:val="none"/>
                <w:lang w:eastAsia="zh-CN"/>
              </w:rPr>
            </w:pPr>
            <w:r>
              <w:rPr>
                <w:rFonts w:hint="default" w:ascii="Times New Roman" w:hAnsi="Times New Roman" w:cs="Times New Roman"/>
                <w:color w:val="auto"/>
                <w:kern w:val="0"/>
                <w:sz w:val="24"/>
                <w:szCs w:val="24"/>
                <w:highlight w:val="none"/>
                <w:lang w:eastAsia="zh-CN"/>
              </w:rPr>
              <w:t>环保奖惩制度，应鼓励推行和实施清洁生产，限制和规范单位与员工的环境行为。对于重视环境管理、节能降耗、减少污染物排放，污染治理效果好等利于环境改善的班组或职工，采取一定的奖励措施，对环保观念淡薄、浪费能源与资源的则予以处罚。</w:t>
            </w:r>
          </w:p>
          <w:p w14:paraId="2D139703">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kern w:val="0"/>
                <w:sz w:val="24"/>
                <w:szCs w:val="24"/>
                <w:highlight w:val="none"/>
                <w:lang w:eastAsia="zh-CN"/>
              </w:rPr>
            </w:pPr>
            <w:r>
              <w:rPr>
                <w:rFonts w:hint="eastAsia" w:ascii="Times New Roman" w:hAnsi="Times New Roman" w:cs="Times New Roman"/>
                <w:color w:val="auto"/>
                <w:kern w:val="0"/>
                <w:sz w:val="24"/>
                <w:szCs w:val="24"/>
                <w:highlight w:val="none"/>
                <w:lang w:eastAsia="zh-CN"/>
              </w:rPr>
              <w:t>（</w:t>
            </w:r>
            <w:r>
              <w:rPr>
                <w:rFonts w:hint="eastAsia" w:ascii="Times New Roman" w:hAnsi="Times New Roman" w:cs="Times New Roman"/>
                <w:color w:val="auto"/>
                <w:kern w:val="0"/>
                <w:sz w:val="24"/>
                <w:szCs w:val="24"/>
                <w:highlight w:val="none"/>
                <w:lang w:val="en-US" w:eastAsia="zh-CN"/>
              </w:rPr>
              <w:t>4</w:t>
            </w:r>
            <w:r>
              <w:rPr>
                <w:rFonts w:hint="eastAsia" w:ascii="Times New Roman" w:hAnsi="Times New Roman" w:cs="Times New Roman"/>
                <w:color w:val="auto"/>
                <w:kern w:val="0"/>
                <w:sz w:val="24"/>
                <w:szCs w:val="24"/>
                <w:highlight w:val="none"/>
                <w:lang w:eastAsia="zh-CN"/>
              </w:rPr>
              <w:t>）</w:t>
            </w:r>
            <w:r>
              <w:rPr>
                <w:rFonts w:hint="default" w:ascii="Times New Roman" w:hAnsi="Times New Roman" w:cs="Times New Roman"/>
                <w:color w:val="auto"/>
                <w:kern w:val="0"/>
                <w:sz w:val="24"/>
                <w:szCs w:val="24"/>
                <w:highlight w:val="none"/>
                <w:lang w:eastAsia="zh-CN"/>
              </w:rPr>
              <w:t>环境监督管理内容</w:t>
            </w:r>
          </w:p>
          <w:p w14:paraId="08A11878">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kern w:val="0"/>
                <w:sz w:val="24"/>
                <w:szCs w:val="24"/>
                <w:highlight w:val="none"/>
                <w:lang w:eastAsia="zh-CN"/>
              </w:rPr>
            </w:pPr>
            <w:r>
              <w:rPr>
                <w:rFonts w:hint="default" w:ascii="Times New Roman" w:hAnsi="Times New Roman" w:cs="Times New Roman"/>
                <w:color w:val="auto"/>
                <w:kern w:val="0"/>
                <w:sz w:val="24"/>
                <w:szCs w:val="24"/>
                <w:highlight w:val="none"/>
                <w:lang w:eastAsia="zh-CN"/>
              </w:rPr>
              <w:t>①贯彻实施相关法律、法规</w:t>
            </w:r>
          </w:p>
          <w:p w14:paraId="2C63DB60">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kern w:val="0"/>
                <w:sz w:val="24"/>
                <w:szCs w:val="24"/>
                <w:highlight w:val="none"/>
                <w:lang w:eastAsia="zh-CN"/>
              </w:rPr>
            </w:pPr>
            <w:r>
              <w:rPr>
                <w:rFonts w:hint="default" w:ascii="Times New Roman" w:hAnsi="Times New Roman" w:cs="Times New Roman"/>
                <w:color w:val="auto"/>
                <w:kern w:val="0"/>
                <w:sz w:val="24"/>
                <w:szCs w:val="24"/>
                <w:highlight w:val="none"/>
                <w:lang w:eastAsia="zh-CN"/>
              </w:rPr>
              <w:t>环境管理机构在日常的环境管理工作中，必须严格贯彻国家和地方环境保护的有关法律、法规、政策和规章，督促各基层班组贯彻落实国家及地方的有关环保方针、政策法令、条例。</w:t>
            </w:r>
          </w:p>
          <w:p w14:paraId="12784238">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kern w:val="0"/>
                <w:sz w:val="24"/>
                <w:szCs w:val="24"/>
                <w:highlight w:val="none"/>
                <w:lang w:eastAsia="zh-CN"/>
              </w:rPr>
            </w:pPr>
            <w:r>
              <w:rPr>
                <w:rFonts w:hint="default" w:ascii="Times New Roman" w:hAnsi="Times New Roman" w:cs="Times New Roman"/>
                <w:color w:val="auto"/>
                <w:kern w:val="0"/>
                <w:sz w:val="24"/>
                <w:szCs w:val="24"/>
                <w:highlight w:val="none"/>
                <w:lang w:eastAsia="zh-CN"/>
              </w:rPr>
              <w:t>②编制并实施环境保护年度计划</w:t>
            </w:r>
          </w:p>
          <w:p w14:paraId="40DC9415">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kern w:val="0"/>
                <w:sz w:val="24"/>
                <w:szCs w:val="24"/>
                <w:highlight w:val="none"/>
                <w:lang w:eastAsia="zh-CN"/>
              </w:rPr>
            </w:pPr>
            <w:r>
              <w:rPr>
                <w:rFonts w:hint="default" w:ascii="Times New Roman" w:hAnsi="Times New Roman" w:cs="Times New Roman"/>
                <w:color w:val="auto"/>
                <w:kern w:val="0"/>
                <w:sz w:val="24"/>
                <w:szCs w:val="24"/>
                <w:highlight w:val="none"/>
                <w:lang w:eastAsia="zh-CN"/>
              </w:rPr>
              <w:t>建设单位主管环境保护的领导，应组织环境管理机构及有关部门制定年度环境保护计划并组织实施。</w:t>
            </w:r>
          </w:p>
          <w:p w14:paraId="2768E90A">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kern w:val="0"/>
                <w:sz w:val="24"/>
                <w:szCs w:val="24"/>
                <w:highlight w:val="none"/>
                <w:lang w:eastAsia="zh-CN"/>
              </w:rPr>
            </w:pPr>
            <w:r>
              <w:rPr>
                <w:rFonts w:hint="default" w:ascii="Times New Roman" w:hAnsi="Times New Roman" w:cs="Times New Roman"/>
                <w:color w:val="auto"/>
                <w:kern w:val="0"/>
                <w:sz w:val="24"/>
                <w:szCs w:val="24"/>
                <w:highlight w:val="none"/>
                <w:lang w:eastAsia="zh-CN"/>
              </w:rPr>
              <w:t>③监督管理污染源治理与污染治理设施</w:t>
            </w:r>
          </w:p>
          <w:p w14:paraId="685956C1">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highlight w:val="none"/>
                <w:lang w:eastAsia="zh-CN"/>
              </w:rPr>
            </w:pPr>
            <w:r>
              <w:rPr>
                <w:rFonts w:hint="eastAsia" w:ascii="Times New Roman" w:hAnsi="Times New Roman" w:cs="Times New Roman"/>
                <w:color w:val="auto"/>
                <w:kern w:val="0"/>
                <w:sz w:val="24"/>
                <w:szCs w:val="24"/>
                <w:highlight w:val="none"/>
                <w:lang w:eastAsia="zh-CN"/>
              </w:rPr>
              <w:t>项目区</w:t>
            </w:r>
            <w:r>
              <w:rPr>
                <w:rFonts w:hint="default" w:ascii="Times New Roman" w:hAnsi="Times New Roman" w:cs="Times New Roman"/>
                <w:color w:val="auto"/>
                <w:kern w:val="0"/>
                <w:sz w:val="24"/>
                <w:szCs w:val="24"/>
                <w:highlight w:val="none"/>
                <w:lang w:eastAsia="zh-CN"/>
              </w:rPr>
              <w:t>的污染防治工作，应依照制定的《污染治理管理办法》对污染源治理及污染治理设施进行管理，确保污染治理工作有效开展。</w:t>
            </w:r>
          </w:p>
          <w:p w14:paraId="0332529D">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highlight w:val="none"/>
                <w:lang w:eastAsia="zh-CN"/>
              </w:rPr>
            </w:pPr>
            <w:r>
              <w:rPr>
                <w:rFonts w:hint="default" w:ascii="Times New Roman" w:hAnsi="Times New Roman" w:cs="Times New Roman"/>
                <w:color w:val="auto"/>
                <w:kern w:val="0"/>
                <w:sz w:val="24"/>
                <w:szCs w:val="24"/>
                <w:highlight w:val="none"/>
                <w:lang w:eastAsia="zh-CN"/>
              </w:rPr>
              <w:t>④组织进行环境保护检查</w:t>
            </w:r>
          </w:p>
          <w:p w14:paraId="332EE5F5">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color w:val="auto"/>
                <w:kern w:val="0"/>
                <w:sz w:val="24"/>
                <w:szCs w:val="24"/>
                <w:highlight w:val="none"/>
                <w:lang w:eastAsia="zh-CN"/>
              </w:rPr>
            </w:pPr>
            <w:r>
              <w:rPr>
                <w:rFonts w:hint="eastAsia" w:ascii="Times New Roman" w:hAnsi="Times New Roman" w:cs="Times New Roman"/>
                <w:color w:val="auto"/>
                <w:kern w:val="0"/>
                <w:sz w:val="24"/>
                <w:szCs w:val="24"/>
                <w:highlight w:val="none"/>
                <w:lang w:eastAsia="zh-CN"/>
              </w:rPr>
              <w:t>项目区</w:t>
            </w:r>
            <w:r>
              <w:rPr>
                <w:rFonts w:hint="default" w:ascii="Times New Roman" w:hAnsi="Times New Roman" w:cs="Times New Roman"/>
                <w:color w:val="auto"/>
                <w:kern w:val="0"/>
                <w:sz w:val="24"/>
                <w:szCs w:val="24"/>
                <w:highlight w:val="none"/>
                <w:lang w:eastAsia="zh-CN"/>
              </w:rPr>
              <w:t>的环境管理机构应组织做好生产作业现场的环保管理工作，每月或每季进行一次环保现场检查。对查出不符合环保要求的问题，</w:t>
            </w:r>
            <w:r>
              <w:rPr>
                <w:rFonts w:hint="eastAsia" w:ascii="Times New Roman" w:hAnsi="Times New Roman" w:cs="Times New Roman"/>
                <w:color w:val="auto"/>
                <w:kern w:val="0"/>
                <w:sz w:val="24"/>
                <w:szCs w:val="24"/>
                <w:highlight w:val="none"/>
                <w:lang w:eastAsia="zh-CN"/>
              </w:rPr>
              <w:t>应立即</w:t>
            </w:r>
            <w:r>
              <w:rPr>
                <w:rFonts w:hint="default" w:ascii="Times New Roman" w:hAnsi="Times New Roman" w:cs="Times New Roman"/>
                <w:color w:val="auto"/>
                <w:kern w:val="0"/>
                <w:sz w:val="24"/>
                <w:szCs w:val="24"/>
                <w:highlight w:val="none"/>
                <w:lang w:eastAsia="zh-CN"/>
              </w:rPr>
              <w:t>责令当场整改，并监督使其符合规定的要求。</w:t>
            </w:r>
          </w:p>
          <w:p w14:paraId="7A9FDA1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color w:val="auto"/>
                <w:sz w:val="24"/>
              </w:rPr>
            </w:pPr>
            <w:r>
              <w:rPr>
                <w:rFonts w:hint="eastAsia" w:ascii="Times New Roman" w:hAnsi="Times New Roman" w:cs="Times New Roman"/>
                <w:b/>
                <w:color w:val="auto"/>
                <w:sz w:val="24"/>
                <w:lang w:val="en-US" w:eastAsia="zh-CN"/>
              </w:rPr>
              <w:t>2.</w:t>
            </w:r>
            <w:r>
              <w:rPr>
                <w:rFonts w:hint="default" w:ascii="Times New Roman" w:hAnsi="Times New Roman" w:cs="Times New Roman"/>
                <w:b/>
                <w:color w:val="auto"/>
                <w:sz w:val="24"/>
              </w:rPr>
              <w:t>环境监测</w:t>
            </w:r>
          </w:p>
          <w:p w14:paraId="00B0B18E">
            <w:pPr>
              <w:keepNext w:val="0"/>
              <w:keepLines w:val="0"/>
              <w:pageBreakBefore w:val="0"/>
              <w:widowControl w:val="0"/>
              <w:numPr>
                <w:ilvl w:val="0"/>
                <w:numId w:val="0"/>
              </w:numPr>
              <w:kinsoku/>
              <w:wordWrap/>
              <w:overflowPunct/>
              <w:topLinePunct w:val="0"/>
              <w:bidi w:val="0"/>
              <w:adjustRightInd w:val="0"/>
              <w:snapToGrid w:val="0"/>
              <w:spacing w:line="360" w:lineRule="auto"/>
              <w:ind w:leftChars="0" w:firstLine="480" w:firstLineChars="200"/>
              <w:textAlignment w:val="auto"/>
              <w:rPr>
                <w:rFonts w:hint="default" w:ascii="Times New Roman" w:hAnsi="Times New Roman" w:cs="Times New Roman"/>
                <w:b/>
                <w:bCs/>
                <w:color w:val="auto"/>
                <w:sz w:val="24"/>
                <w:szCs w:val="24"/>
              </w:rPr>
            </w:pPr>
            <w:r>
              <w:rPr>
                <w:rFonts w:hint="eastAsia" w:ascii="Times New Roman" w:hAnsi="Times New Roman" w:cs="Times New Roman"/>
                <w:b w:val="0"/>
                <w:bCs w:val="0"/>
                <w:color w:val="auto"/>
                <w:sz w:val="24"/>
                <w:szCs w:val="24"/>
                <w:lang w:eastAsia="zh-CN"/>
              </w:rPr>
              <w:t>（</w:t>
            </w:r>
            <w:r>
              <w:rPr>
                <w:rFonts w:hint="eastAsia" w:ascii="Times New Roman" w:hAnsi="Times New Roman" w:cs="Times New Roman"/>
                <w:b w:val="0"/>
                <w:bCs w:val="0"/>
                <w:color w:val="auto"/>
                <w:sz w:val="24"/>
                <w:szCs w:val="24"/>
                <w:lang w:val="en-US" w:eastAsia="zh-CN"/>
              </w:rPr>
              <w:t>1</w:t>
            </w:r>
            <w:r>
              <w:rPr>
                <w:rFonts w:hint="eastAsia" w:ascii="Times New Roman" w:hAnsi="Times New Roman" w:cs="Times New Roman"/>
                <w:b w:val="0"/>
                <w:bCs w:val="0"/>
                <w:color w:val="auto"/>
                <w:sz w:val="24"/>
                <w:szCs w:val="24"/>
                <w:lang w:eastAsia="zh-CN"/>
              </w:rPr>
              <w:t>）</w:t>
            </w:r>
            <w:r>
              <w:rPr>
                <w:rFonts w:hint="eastAsia" w:ascii="Times New Roman" w:hAnsi="Times New Roman" w:cs="Times New Roman"/>
                <w:b w:val="0"/>
                <w:bCs w:val="0"/>
                <w:color w:val="auto"/>
                <w:sz w:val="24"/>
                <w:szCs w:val="24"/>
                <w:lang w:val="en-US" w:eastAsia="zh-CN"/>
              </w:rPr>
              <w:t>环境监测</w:t>
            </w:r>
          </w:p>
          <w:p w14:paraId="468A4129">
            <w:pPr>
              <w:keepNext w:val="0"/>
              <w:keepLines w:val="0"/>
              <w:pageBreakBefore w:val="0"/>
              <w:widowControl w:val="0"/>
              <w:kinsoku/>
              <w:wordWrap/>
              <w:overflowPunct/>
              <w:topLinePunct w:val="0"/>
              <w:autoSpaceDE w:val="0"/>
              <w:autoSpaceDN w:val="0"/>
              <w:bidi w:val="0"/>
              <w:adjustRightInd w:val="0"/>
              <w:snapToGrid w:val="0"/>
              <w:spacing w:line="360" w:lineRule="auto"/>
              <w:ind w:leftChars="0" w:firstLine="480" w:firstLineChars="200"/>
              <w:jc w:val="both"/>
              <w:textAlignment w:val="auto"/>
              <w:rPr>
                <w:rFonts w:hint="default" w:ascii="Times New Roman" w:hAnsi="Times New Roman" w:cs="Times New Roman"/>
                <w:color w:val="auto"/>
                <w:kern w:val="0"/>
                <w:sz w:val="24"/>
              </w:rPr>
            </w:pPr>
            <w:r>
              <w:rPr>
                <w:rFonts w:hint="default" w:ascii="Times New Roman" w:hAnsi="Times New Roman" w:cs="Times New Roman"/>
                <w:color w:val="auto"/>
                <w:kern w:val="0"/>
                <w:sz w:val="24"/>
              </w:rPr>
              <w:t>本项目运营期应做好环境管理工作，并由专人负责，其主要内容包括：</w:t>
            </w:r>
          </w:p>
          <w:p w14:paraId="4C6884F2">
            <w:pPr>
              <w:keepNext w:val="0"/>
              <w:keepLines w:val="0"/>
              <w:pageBreakBefore w:val="0"/>
              <w:widowControl w:val="0"/>
              <w:kinsoku/>
              <w:wordWrap/>
              <w:overflowPunct/>
              <w:topLinePunct w:val="0"/>
              <w:autoSpaceDE w:val="0"/>
              <w:autoSpaceDN w:val="0"/>
              <w:bidi w:val="0"/>
              <w:adjustRightInd w:val="0"/>
              <w:snapToGrid w:val="0"/>
              <w:spacing w:line="360" w:lineRule="auto"/>
              <w:ind w:leftChars="0" w:firstLine="480" w:firstLineChars="200"/>
              <w:jc w:val="both"/>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①</w:t>
            </w:r>
            <w:r>
              <w:rPr>
                <w:rFonts w:hint="default" w:ascii="Times New Roman" w:hAnsi="Times New Roman" w:cs="Times New Roman"/>
                <w:color w:val="auto"/>
                <w:kern w:val="0"/>
                <w:sz w:val="24"/>
                <w:szCs w:val="24"/>
                <w:lang w:val="en-US" w:eastAsia="zh-CN"/>
              </w:rPr>
              <w:t xml:space="preserve"> </w:t>
            </w:r>
            <w:r>
              <w:rPr>
                <w:rFonts w:hint="default" w:ascii="Times New Roman" w:hAnsi="Times New Roman" w:cs="Times New Roman"/>
                <w:color w:val="auto"/>
                <w:kern w:val="0"/>
                <w:sz w:val="24"/>
                <w:szCs w:val="24"/>
              </w:rPr>
              <w:t>贯彻执行国家、地方和上级部门制定的各项环境保护方针、政策、法令和法规；</w:t>
            </w:r>
          </w:p>
          <w:p w14:paraId="2DAC52B2">
            <w:pPr>
              <w:keepNext w:val="0"/>
              <w:keepLines w:val="0"/>
              <w:pageBreakBefore w:val="0"/>
              <w:widowControl w:val="0"/>
              <w:kinsoku/>
              <w:wordWrap/>
              <w:overflowPunct/>
              <w:topLinePunct w:val="0"/>
              <w:autoSpaceDE w:val="0"/>
              <w:autoSpaceDN w:val="0"/>
              <w:bidi w:val="0"/>
              <w:adjustRightInd w:val="0"/>
              <w:snapToGrid w:val="0"/>
              <w:spacing w:line="360" w:lineRule="auto"/>
              <w:ind w:leftChars="0" w:firstLine="480" w:firstLineChars="200"/>
              <w:jc w:val="both"/>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②</w:t>
            </w:r>
            <w:r>
              <w:rPr>
                <w:rFonts w:hint="default" w:ascii="Times New Roman" w:hAnsi="Times New Roman" w:cs="Times New Roman"/>
                <w:color w:val="auto"/>
                <w:kern w:val="0"/>
                <w:sz w:val="24"/>
                <w:szCs w:val="24"/>
                <w:lang w:val="en-US" w:eastAsia="zh-CN"/>
              </w:rPr>
              <w:t xml:space="preserve"> </w:t>
            </w:r>
            <w:r>
              <w:rPr>
                <w:rFonts w:hint="default" w:ascii="Times New Roman" w:hAnsi="Times New Roman" w:cs="Times New Roman"/>
                <w:color w:val="auto"/>
                <w:kern w:val="0"/>
                <w:sz w:val="24"/>
                <w:szCs w:val="24"/>
              </w:rPr>
              <w:t>组织制定全厂环境保护管理规章制度并监督执行；</w:t>
            </w:r>
          </w:p>
          <w:p w14:paraId="1AC5F029">
            <w:pPr>
              <w:keepNext w:val="0"/>
              <w:keepLines w:val="0"/>
              <w:pageBreakBefore w:val="0"/>
              <w:widowControl w:val="0"/>
              <w:kinsoku/>
              <w:wordWrap/>
              <w:overflowPunct/>
              <w:topLinePunct w:val="0"/>
              <w:autoSpaceDE w:val="0"/>
              <w:autoSpaceDN w:val="0"/>
              <w:bidi w:val="0"/>
              <w:adjustRightInd w:val="0"/>
              <w:snapToGrid w:val="0"/>
              <w:spacing w:line="360" w:lineRule="auto"/>
              <w:ind w:leftChars="0" w:firstLine="480" w:firstLineChars="200"/>
              <w:jc w:val="both"/>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③</w:t>
            </w:r>
            <w:r>
              <w:rPr>
                <w:rFonts w:hint="default" w:ascii="Times New Roman" w:hAnsi="Times New Roman" w:cs="Times New Roman"/>
                <w:color w:val="auto"/>
                <w:kern w:val="0"/>
                <w:sz w:val="24"/>
                <w:szCs w:val="24"/>
                <w:lang w:val="en-US" w:eastAsia="zh-CN"/>
              </w:rPr>
              <w:t xml:space="preserve"> </w:t>
            </w:r>
            <w:r>
              <w:rPr>
                <w:rFonts w:hint="default" w:ascii="Times New Roman" w:hAnsi="Times New Roman" w:cs="Times New Roman"/>
                <w:color w:val="auto"/>
                <w:kern w:val="0"/>
                <w:sz w:val="24"/>
                <w:szCs w:val="24"/>
              </w:rPr>
              <w:t>组织调查生产情况、污染物排放情况、“三废”综合利用情况、环境质量现状等，制定并组织实施本单位的环境保护规划和计划；</w:t>
            </w:r>
          </w:p>
          <w:p w14:paraId="16961D92">
            <w:pPr>
              <w:keepNext w:val="0"/>
              <w:keepLines w:val="0"/>
              <w:pageBreakBefore w:val="0"/>
              <w:widowControl w:val="0"/>
              <w:kinsoku/>
              <w:wordWrap/>
              <w:overflowPunct/>
              <w:topLinePunct w:val="0"/>
              <w:autoSpaceDE w:val="0"/>
              <w:autoSpaceDN w:val="0"/>
              <w:bidi w:val="0"/>
              <w:adjustRightInd w:val="0"/>
              <w:snapToGrid w:val="0"/>
              <w:spacing w:line="360" w:lineRule="auto"/>
              <w:ind w:leftChars="0" w:firstLine="480" w:firstLineChars="200"/>
              <w:jc w:val="both"/>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④</w:t>
            </w:r>
            <w:r>
              <w:rPr>
                <w:rFonts w:hint="default" w:ascii="Times New Roman" w:hAnsi="Times New Roman" w:cs="Times New Roman"/>
                <w:color w:val="auto"/>
                <w:kern w:val="0"/>
                <w:sz w:val="24"/>
                <w:szCs w:val="24"/>
                <w:lang w:val="en-US" w:eastAsia="zh-CN"/>
              </w:rPr>
              <w:t xml:space="preserve"> </w:t>
            </w:r>
            <w:r>
              <w:rPr>
                <w:rFonts w:hint="default" w:ascii="Times New Roman" w:hAnsi="Times New Roman" w:cs="Times New Roman"/>
                <w:color w:val="auto"/>
                <w:kern w:val="0"/>
                <w:sz w:val="24"/>
                <w:szCs w:val="24"/>
              </w:rPr>
              <w:t>组织本厂的环境监测工作；</w:t>
            </w:r>
          </w:p>
          <w:p w14:paraId="26BCBB80">
            <w:pPr>
              <w:keepNext w:val="0"/>
              <w:keepLines w:val="0"/>
              <w:pageBreakBefore w:val="0"/>
              <w:widowControl w:val="0"/>
              <w:kinsoku/>
              <w:wordWrap/>
              <w:overflowPunct/>
              <w:topLinePunct w:val="0"/>
              <w:autoSpaceDE w:val="0"/>
              <w:autoSpaceDN w:val="0"/>
              <w:bidi w:val="0"/>
              <w:adjustRightInd w:val="0"/>
              <w:snapToGrid w:val="0"/>
              <w:spacing w:line="360" w:lineRule="auto"/>
              <w:ind w:leftChars="0" w:firstLine="480" w:firstLineChars="200"/>
              <w:jc w:val="both"/>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⑤</w:t>
            </w:r>
            <w:r>
              <w:rPr>
                <w:rFonts w:hint="default" w:ascii="Times New Roman" w:hAnsi="Times New Roman" w:cs="Times New Roman"/>
                <w:color w:val="auto"/>
                <w:kern w:val="0"/>
                <w:sz w:val="24"/>
                <w:szCs w:val="24"/>
                <w:lang w:val="en-US" w:eastAsia="zh-CN"/>
              </w:rPr>
              <w:t xml:space="preserve"> </w:t>
            </w:r>
            <w:r>
              <w:rPr>
                <w:rFonts w:hint="default" w:ascii="Times New Roman" w:hAnsi="Times New Roman" w:cs="Times New Roman"/>
                <w:color w:val="auto"/>
                <w:kern w:val="0"/>
                <w:sz w:val="24"/>
                <w:szCs w:val="24"/>
              </w:rPr>
              <w:t>监督本</w:t>
            </w:r>
            <w:r>
              <w:rPr>
                <w:rFonts w:hint="eastAsia" w:ascii="Times New Roman" w:hAnsi="Times New Roman" w:cs="Times New Roman"/>
                <w:color w:val="auto"/>
                <w:kern w:val="0"/>
                <w:sz w:val="24"/>
                <w:szCs w:val="24"/>
                <w:lang w:eastAsia="zh-CN"/>
              </w:rPr>
              <w:t>项目</w:t>
            </w:r>
            <w:r>
              <w:rPr>
                <w:rFonts w:hint="default" w:ascii="Times New Roman" w:hAnsi="Times New Roman" w:cs="Times New Roman"/>
                <w:color w:val="auto"/>
                <w:kern w:val="0"/>
                <w:sz w:val="24"/>
                <w:szCs w:val="24"/>
              </w:rPr>
              <w:t>环保设施的运行，并组织落实以环保为主要内容的技术措施和方案。</w:t>
            </w:r>
          </w:p>
          <w:p w14:paraId="1D023CCC">
            <w:pPr>
              <w:keepNext w:val="0"/>
              <w:keepLines w:val="0"/>
              <w:pageBreakBefore w:val="0"/>
              <w:widowControl w:val="0"/>
              <w:kinsoku/>
              <w:wordWrap/>
              <w:overflowPunct/>
              <w:topLinePunct w:val="0"/>
              <w:autoSpaceDE w:val="0"/>
              <w:autoSpaceDN w:val="0"/>
              <w:bidi w:val="0"/>
              <w:adjustRightInd w:val="0"/>
              <w:snapToGrid w:val="0"/>
              <w:spacing w:line="360" w:lineRule="auto"/>
              <w:ind w:leftChars="0" w:firstLine="480" w:firstLineChars="200"/>
              <w:jc w:val="both"/>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环境监测是环保工作重要组成部分，它是弄清污染物的来源、性质、数量和分布，正确评价环境质量和处理装置效果必不可少的手段。</w:t>
            </w:r>
          </w:p>
          <w:p w14:paraId="5B6C2701">
            <w:pPr>
              <w:keepNext w:val="0"/>
              <w:keepLines w:val="0"/>
              <w:pageBreakBefore w:val="0"/>
              <w:widowControl w:val="0"/>
              <w:kinsoku/>
              <w:wordWrap/>
              <w:overflowPunct/>
              <w:topLinePunct w:val="0"/>
              <w:bidi w:val="0"/>
              <w:adjustRightInd w:val="0"/>
              <w:snapToGrid w:val="0"/>
              <w:spacing w:line="360" w:lineRule="auto"/>
              <w:ind w:firstLine="480" w:firstLineChars="200"/>
              <w:contextualSpacing/>
              <w:jc w:val="both"/>
              <w:textAlignment w:val="auto"/>
              <w:rPr>
                <w:color w:val="auto"/>
                <w:sz w:val="24"/>
                <w:szCs w:val="24"/>
              </w:rPr>
            </w:pPr>
            <w:r>
              <w:rPr>
                <w:rFonts w:hint="default" w:ascii="Times New Roman" w:hAnsi="Times New Roman" w:cs="Times New Roman"/>
                <w:color w:val="auto"/>
                <w:kern w:val="0"/>
                <w:sz w:val="24"/>
                <w:szCs w:val="24"/>
              </w:rPr>
              <w:t>环境监测布点的基本原则应包括污染源源强及环境敏感点，从水、气、声几方面进行监控，严格按照国家有关监测技术规范执行，各有组织排放点应根据环境监测技术规范要求设置监测口。</w:t>
            </w:r>
          </w:p>
          <w:p w14:paraId="37ABBCD2">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auto"/>
              <w:rPr>
                <w:color w:val="auto"/>
                <w:sz w:val="24"/>
                <w:szCs w:val="24"/>
              </w:rPr>
            </w:pPr>
            <w:r>
              <w:rPr>
                <w:rFonts w:hint="eastAsia" w:ascii="Times New Roman" w:hAnsi="Times New Roman" w:eastAsia="宋体" w:cs="Times New Roman"/>
                <w:b/>
                <w:color w:val="auto"/>
                <w:kern w:val="0"/>
                <w:sz w:val="24"/>
                <w:szCs w:val="24"/>
                <w:lang w:val="en-US" w:eastAsia="zh-CN" w:bidi="ar"/>
              </w:rPr>
              <w:t>3.</w:t>
            </w:r>
            <w:r>
              <w:rPr>
                <w:rFonts w:hint="eastAsia" w:ascii="宋体" w:hAnsi="宋体" w:eastAsia="宋体" w:cs="宋体"/>
                <w:b/>
                <w:color w:val="auto"/>
                <w:kern w:val="0"/>
                <w:sz w:val="24"/>
                <w:szCs w:val="24"/>
                <w:lang w:val="en-US" w:eastAsia="zh-CN" w:bidi="ar"/>
              </w:rPr>
              <w:t>竣工环保验收内容</w:t>
            </w:r>
          </w:p>
          <w:p w14:paraId="04A1E44D">
            <w:pPr>
              <w:pStyle w:val="52"/>
              <w:spacing w:before="1" w:line="364" w:lineRule="auto"/>
              <w:ind w:right="13" w:firstLine="480" w:firstLineChars="200"/>
              <w:jc w:val="left"/>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根据《建设项目环境保护管理条例》</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2017年7月16日修订</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、《关于贯彻落实新修订的</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建设项目环境保护管理条例</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的通知》</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沪环保评〔2017〕323号</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，建设项目设计和</w:t>
            </w:r>
            <w:r>
              <w:rPr>
                <w:rFonts w:hint="eastAsia" w:ascii="Times New Roman" w:hAnsi="Times New Roman" w:eastAsia="宋体" w:cs="Times New Roman"/>
                <w:color w:val="auto"/>
                <w:kern w:val="2"/>
                <w:sz w:val="24"/>
                <w:szCs w:val="24"/>
                <w:highlight w:val="none"/>
                <w:lang w:val="en-US" w:eastAsia="zh-CN" w:bidi="ar-SA"/>
              </w:rPr>
              <w:t>施工中应严格落实</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三同时</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制度，建设单位应按照国家及本市有关法律法规、建设项目竣工环境保护验收技术规范、建设项目环境影响报告书（表）和审批决定等要求，自主开展相关验收工作。建设项目配套建设的环境保护设施经验收合格，方可投入生产或者使用；未经验收或者验收不合格的，不得投入生产或者使用。</w:t>
            </w:r>
          </w:p>
          <w:p w14:paraId="3E0A6C37">
            <w:pPr>
              <w:pStyle w:val="52"/>
              <w:spacing w:line="364" w:lineRule="auto"/>
              <w:ind w:right="13" w:firstLine="480" w:firstLineChars="200"/>
              <w:jc w:val="left"/>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建设单位是建设项目竣工环境保护验收的责任主体，应当按照《建设项目竣工环境保护验收暂行办法》（国环规环评〔</w:t>
            </w:r>
            <w:r>
              <w:rPr>
                <w:rFonts w:hint="default" w:ascii="Times New Roman" w:hAnsi="Times New Roman" w:eastAsia="宋体" w:cs="Times New Roman"/>
                <w:color w:val="auto"/>
                <w:kern w:val="2"/>
                <w:sz w:val="24"/>
                <w:szCs w:val="24"/>
                <w:highlight w:val="none"/>
                <w:lang w:val="en-US" w:eastAsia="zh-CN" w:bidi="ar-SA"/>
              </w:rPr>
              <w:t>2017</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4</w:t>
            </w:r>
            <w:r>
              <w:rPr>
                <w:rFonts w:hint="eastAsia" w:ascii="Times New Roman" w:hAnsi="Times New Roman" w:eastAsia="宋体" w:cs="Times New Roman"/>
                <w:color w:val="auto"/>
                <w:kern w:val="2"/>
                <w:sz w:val="24"/>
                <w:szCs w:val="24"/>
                <w:highlight w:val="none"/>
                <w:lang w:val="en-US" w:eastAsia="zh-CN" w:bidi="ar-SA"/>
              </w:rPr>
              <w:t>号）、《建设项目竣工环境保护验收技术指南 污染影响类》（生态环境部办公厅</w:t>
            </w:r>
            <w:r>
              <w:rPr>
                <w:rFonts w:hint="default" w:ascii="Times New Roman" w:hAnsi="Times New Roman" w:eastAsia="宋体" w:cs="Times New Roman"/>
                <w:color w:val="auto"/>
                <w:kern w:val="2"/>
                <w:sz w:val="24"/>
                <w:szCs w:val="24"/>
                <w:highlight w:val="none"/>
                <w:lang w:val="en-US" w:eastAsia="zh-CN" w:bidi="ar-SA"/>
              </w:rPr>
              <w:t>2018</w:t>
            </w:r>
            <w:r>
              <w:rPr>
                <w:rFonts w:hint="eastAsia" w:ascii="Times New Roman" w:hAnsi="Times New Roman" w:eastAsia="宋体" w:cs="Times New Roman"/>
                <w:color w:val="auto"/>
                <w:kern w:val="2"/>
                <w:sz w:val="24"/>
                <w:szCs w:val="24"/>
                <w:highlight w:val="none"/>
                <w:lang w:val="en-US" w:eastAsia="zh-CN" w:bidi="ar-SA"/>
              </w:rPr>
              <w:t>年</w:t>
            </w:r>
            <w:r>
              <w:rPr>
                <w:rFonts w:hint="default" w:ascii="Times New Roman" w:hAnsi="Times New Roman" w:eastAsia="宋体" w:cs="Times New Roman"/>
                <w:color w:val="auto"/>
                <w:kern w:val="2"/>
                <w:sz w:val="24"/>
                <w:szCs w:val="24"/>
                <w:highlight w:val="none"/>
                <w:lang w:val="en-US" w:eastAsia="zh-CN" w:bidi="ar-SA"/>
              </w:rPr>
              <w:t>5</w:t>
            </w:r>
            <w:r>
              <w:rPr>
                <w:rFonts w:hint="eastAsia" w:ascii="Times New Roman" w:hAnsi="Times New Roman" w:eastAsia="宋体" w:cs="Times New Roman"/>
                <w:color w:val="auto"/>
                <w:kern w:val="2"/>
                <w:sz w:val="24"/>
                <w:szCs w:val="24"/>
                <w:highlight w:val="none"/>
                <w:lang w:val="en-US" w:eastAsia="zh-CN" w:bidi="ar-SA"/>
              </w:rPr>
              <w:t>月</w:t>
            </w:r>
            <w:r>
              <w:rPr>
                <w:rFonts w:hint="default" w:ascii="Times New Roman" w:hAnsi="Times New Roman" w:eastAsia="宋体" w:cs="Times New Roman"/>
                <w:color w:val="auto"/>
                <w:kern w:val="2"/>
                <w:sz w:val="24"/>
                <w:szCs w:val="24"/>
                <w:highlight w:val="none"/>
                <w:lang w:val="en-US" w:eastAsia="zh-CN" w:bidi="ar-SA"/>
              </w:rPr>
              <w:t>16</w:t>
            </w:r>
            <w:r>
              <w:rPr>
                <w:rFonts w:hint="eastAsia" w:ascii="Times New Roman" w:hAnsi="Times New Roman" w:eastAsia="宋体" w:cs="Times New Roman"/>
                <w:color w:val="auto"/>
                <w:kern w:val="2"/>
                <w:sz w:val="24"/>
                <w:szCs w:val="24"/>
                <w:highlight w:val="none"/>
                <w:lang w:val="en-US" w:eastAsia="zh-CN" w:bidi="ar-SA"/>
              </w:rPr>
              <w:t>日印发）及上海市环境保护局《关于贯彻落实〈建设项目竣工环境保护验收暂行办法〉的通知》（沪环保评〔</w:t>
            </w:r>
            <w:r>
              <w:rPr>
                <w:rFonts w:hint="default" w:ascii="Times New Roman" w:hAnsi="Times New Roman" w:eastAsia="宋体" w:cs="Times New Roman"/>
                <w:color w:val="auto"/>
                <w:kern w:val="2"/>
                <w:sz w:val="24"/>
                <w:szCs w:val="24"/>
                <w:highlight w:val="none"/>
                <w:lang w:val="en-US" w:eastAsia="zh-CN" w:bidi="ar-SA"/>
              </w:rPr>
              <w:t>2017</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425</w:t>
            </w:r>
            <w:r>
              <w:rPr>
                <w:rFonts w:hint="eastAsia" w:ascii="Times New Roman" w:hAnsi="Times New Roman" w:eastAsia="宋体" w:cs="Times New Roman"/>
                <w:color w:val="auto"/>
                <w:kern w:val="2"/>
                <w:sz w:val="24"/>
                <w:szCs w:val="24"/>
                <w:highlight w:val="none"/>
                <w:lang w:val="en-US" w:eastAsia="zh-CN" w:bidi="ar-SA"/>
              </w:rPr>
              <w:t>号）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不得在验收中弄虚作假。</w:t>
            </w:r>
          </w:p>
          <w:p w14:paraId="3AEFFF7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rPr>
            </w:pPr>
          </w:p>
        </w:tc>
      </w:tr>
    </w:tbl>
    <w:p w14:paraId="4ECAA651">
      <w:pPr>
        <w:pStyle w:val="25"/>
        <w:jc w:val="center"/>
        <w:outlineLvl w:val="0"/>
        <w:rPr>
          <w:rFonts w:ascii="Times New Roman" w:hAnsi="Times New Roman" w:eastAsia="黑体"/>
          <w:snapToGrid w:val="0"/>
          <w:color w:val="auto"/>
          <w:sz w:val="30"/>
          <w:szCs w:val="30"/>
        </w:rPr>
      </w:pPr>
      <w:r>
        <w:rPr>
          <w:rFonts w:ascii="Times New Roman" w:hAnsi="Times New Roman"/>
          <w:snapToGrid w:val="0"/>
          <w:color w:val="auto"/>
        </w:rPr>
        <w:br w:type="page"/>
      </w:r>
      <w:r>
        <w:rPr>
          <w:rFonts w:ascii="Times New Roman" w:hAnsi="Times New Roman" w:eastAsia="黑体"/>
          <w:snapToGrid w:val="0"/>
          <w:color w:val="auto"/>
          <w:sz w:val="30"/>
          <w:szCs w:val="30"/>
        </w:rPr>
        <w:t>六、结论</w:t>
      </w: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35884B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4A83E074">
            <w:pPr>
              <w:spacing w:line="360" w:lineRule="auto"/>
              <w:ind w:firstLine="480" w:firstLineChars="200"/>
              <w:rPr>
                <w:color w:val="auto"/>
                <w:sz w:val="24"/>
              </w:rPr>
            </w:pPr>
            <w:r>
              <w:rPr>
                <w:rFonts w:hint="eastAsia"/>
                <w:color w:val="auto"/>
                <w:sz w:val="24"/>
              </w:rPr>
              <w:t>综上所述，本</w:t>
            </w:r>
            <w:r>
              <w:rPr>
                <w:color w:val="auto"/>
                <w:sz w:val="24"/>
              </w:rPr>
              <w:t>项目的建设目前符合国家产业政策要求，拟采取的污染防治措施技术可行、经济合理、在严格落实各项污染治理措施的前提下，各污染物均能够稳定达标排放，满足相应环境功能区要求，对区域环境质量影响在可接受范围内。从环境保护角度考虑，项目的建设是可行的。</w:t>
            </w:r>
          </w:p>
        </w:tc>
      </w:tr>
    </w:tbl>
    <w:p w14:paraId="1E7421F0">
      <w:pPr>
        <w:rPr>
          <w:color w:val="auto"/>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475944EE">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textAlignment w:val="auto"/>
        <w:outlineLvl w:val="0"/>
        <w:rPr>
          <w:rFonts w:ascii="Times New Roman" w:hAnsi="Times New Roman" w:eastAsia="黑体"/>
          <w:snapToGrid w:val="0"/>
          <w:color w:val="auto"/>
          <w:sz w:val="32"/>
          <w:szCs w:val="32"/>
        </w:rPr>
      </w:pPr>
      <w:r>
        <w:rPr>
          <w:rFonts w:ascii="Times New Roman" w:hAnsi="Times New Roman" w:eastAsia="黑体"/>
          <w:snapToGrid w:val="0"/>
          <w:color w:val="auto"/>
          <w:sz w:val="32"/>
          <w:szCs w:val="32"/>
        </w:rPr>
        <w:t>附表</w:t>
      </w:r>
    </w:p>
    <w:p w14:paraId="22A88A33">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ascii="Times New Roman" w:hAnsi="Times New Roman" w:eastAsia="方正小标宋_GBK"/>
          <w:snapToGrid w:val="0"/>
          <w:color w:val="auto"/>
          <w:sz w:val="38"/>
          <w:szCs w:val="38"/>
        </w:rPr>
      </w:pPr>
      <w:r>
        <w:rPr>
          <w:rFonts w:ascii="Times New Roman" w:hAnsi="Times New Roman" w:eastAsia="方正小标宋_GBK"/>
          <w:snapToGrid w:val="0"/>
          <w:color w:val="auto"/>
          <w:sz w:val="38"/>
          <w:szCs w:val="38"/>
        </w:rPr>
        <w:t>建设项目污染物排放量汇总表</w:t>
      </w:r>
    </w:p>
    <w:tbl>
      <w:tblPr>
        <w:tblStyle w:val="27"/>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761"/>
        <w:gridCol w:w="1433"/>
        <w:gridCol w:w="1352"/>
      </w:tblGrid>
      <w:tr w14:paraId="50BA45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57" w:hRule="exact"/>
        </w:trPr>
        <w:tc>
          <w:tcPr>
            <w:tcW w:w="1588" w:type="dxa"/>
            <w:tcBorders>
              <w:tl2br w:val="single" w:color="auto" w:sz="4" w:space="0"/>
            </w:tcBorders>
            <w:tcMar>
              <w:left w:w="28" w:type="dxa"/>
              <w:right w:w="28" w:type="dxa"/>
            </w:tcMar>
            <w:vAlign w:val="center"/>
          </w:tcPr>
          <w:p w14:paraId="2BF63420">
            <w:pPr>
              <w:pStyle w:val="34"/>
              <w:spacing w:beforeLines="0" w:afterLines="0" w:line="240" w:lineRule="auto"/>
              <w:jc w:val="right"/>
              <w:rPr>
                <w:rFonts w:ascii="Times New Roman" w:eastAsia="黑体"/>
                <w:snapToGrid w:val="0"/>
                <w:color w:val="auto"/>
                <w:spacing w:val="-6"/>
                <w:kern w:val="21"/>
                <w:szCs w:val="21"/>
              </w:rPr>
            </w:pPr>
            <w:r>
              <w:rPr>
                <w:rFonts w:ascii="Times New Roman" w:eastAsia="黑体"/>
                <w:snapToGrid w:val="0"/>
                <w:color w:val="auto"/>
                <w:spacing w:val="-6"/>
                <w:kern w:val="21"/>
                <w:szCs w:val="21"/>
              </w:rPr>
              <w:t>项目</w:t>
            </w:r>
          </w:p>
          <w:p w14:paraId="239D5559">
            <w:pPr>
              <w:pStyle w:val="34"/>
              <w:spacing w:beforeLines="0" w:afterLines="0" w:line="240" w:lineRule="auto"/>
              <w:jc w:val="left"/>
              <w:rPr>
                <w:rFonts w:ascii="Times New Roman" w:eastAsia="黑体"/>
                <w:snapToGrid w:val="0"/>
                <w:color w:val="auto"/>
                <w:spacing w:val="-6"/>
                <w:kern w:val="21"/>
                <w:szCs w:val="21"/>
              </w:rPr>
            </w:pPr>
            <w:r>
              <w:rPr>
                <w:rFonts w:ascii="Times New Roman" w:eastAsia="黑体"/>
                <w:snapToGrid w:val="0"/>
                <w:color w:val="auto"/>
                <w:spacing w:val="-6"/>
                <w:kern w:val="21"/>
                <w:szCs w:val="21"/>
              </w:rPr>
              <w:t>分类</w:t>
            </w:r>
          </w:p>
        </w:tc>
        <w:tc>
          <w:tcPr>
            <w:tcW w:w="1417" w:type="dxa"/>
            <w:tcMar>
              <w:left w:w="28" w:type="dxa"/>
              <w:right w:w="28" w:type="dxa"/>
            </w:tcMar>
            <w:vAlign w:val="center"/>
          </w:tcPr>
          <w:p w14:paraId="064B3B2F">
            <w:pPr>
              <w:pStyle w:val="34"/>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污染物名称</w:t>
            </w:r>
          </w:p>
        </w:tc>
        <w:tc>
          <w:tcPr>
            <w:tcW w:w="1701" w:type="dxa"/>
            <w:tcMar>
              <w:left w:w="28" w:type="dxa"/>
              <w:right w:w="28" w:type="dxa"/>
            </w:tcMar>
            <w:vAlign w:val="center"/>
          </w:tcPr>
          <w:p w14:paraId="1B95A306">
            <w:pPr>
              <w:pStyle w:val="34"/>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现有工程</w:t>
            </w:r>
          </w:p>
          <w:p w14:paraId="4F7BE44E">
            <w:pPr>
              <w:pStyle w:val="34"/>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排放量（固体废物产生量）</w:t>
            </w:r>
            <w:r>
              <w:rPr>
                <w:rFonts w:ascii="Times New Roman" w:eastAsia="黑体"/>
                <w:snapToGrid w:val="0"/>
                <w:color w:val="auto"/>
                <w:spacing w:val="-6"/>
                <w:kern w:val="21"/>
                <w:szCs w:val="21"/>
              </w:rPr>
              <w:fldChar w:fldCharType="begin"/>
            </w:r>
            <w:r>
              <w:rPr>
                <w:rFonts w:ascii="Times New Roman" w:eastAsia="黑体"/>
                <w:snapToGrid w:val="0"/>
                <w:color w:val="auto"/>
                <w:spacing w:val="-6"/>
                <w:kern w:val="21"/>
                <w:szCs w:val="21"/>
              </w:rPr>
              <w:instrText xml:space="preserve"> = 1 \* GB3 \* MERGEFORMAT </w:instrText>
            </w:r>
            <w:r>
              <w:rPr>
                <w:rFonts w:ascii="Times New Roman" w:eastAsia="黑体"/>
                <w:snapToGrid w:val="0"/>
                <w:color w:val="auto"/>
                <w:spacing w:val="-6"/>
                <w:kern w:val="21"/>
                <w:szCs w:val="21"/>
              </w:rPr>
              <w:fldChar w:fldCharType="separate"/>
            </w:r>
            <w:r>
              <w:rPr>
                <w:rFonts w:ascii="Times New Roman" w:eastAsia="黑体"/>
                <w:color w:val="auto"/>
                <w:kern w:val="2"/>
                <w:szCs w:val="21"/>
              </w:rPr>
              <w:t>①</w:t>
            </w:r>
            <w:r>
              <w:rPr>
                <w:rFonts w:ascii="Times New Roman" w:eastAsia="黑体"/>
                <w:snapToGrid w:val="0"/>
                <w:color w:val="auto"/>
                <w:spacing w:val="-6"/>
                <w:kern w:val="21"/>
                <w:szCs w:val="21"/>
              </w:rPr>
              <w:fldChar w:fldCharType="end"/>
            </w:r>
          </w:p>
        </w:tc>
        <w:tc>
          <w:tcPr>
            <w:tcW w:w="1276" w:type="dxa"/>
            <w:tcMar>
              <w:left w:w="28" w:type="dxa"/>
              <w:right w:w="28" w:type="dxa"/>
            </w:tcMar>
            <w:vAlign w:val="center"/>
          </w:tcPr>
          <w:p w14:paraId="51592C6B">
            <w:pPr>
              <w:pStyle w:val="34"/>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现有工程</w:t>
            </w:r>
          </w:p>
          <w:p w14:paraId="1539E4B0">
            <w:pPr>
              <w:pStyle w:val="34"/>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许可排放量</w:t>
            </w:r>
          </w:p>
          <w:p w14:paraId="006663F1">
            <w:pPr>
              <w:pStyle w:val="34"/>
              <w:spacing w:beforeLines="0" w:afterLines="0"/>
              <w:rPr>
                <w:rFonts w:ascii="Times New Roman" w:eastAsia="黑体"/>
                <w:snapToGrid w:val="0"/>
                <w:color w:val="auto"/>
                <w:spacing w:val="-6"/>
                <w:kern w:val="21"/>
                <w:szCs w:val="21"/>
              </w:rPr>
            </w:pPr>
            <w:r>
              <w:rPr>
                <w:rFonts w:ascii="Times New Roman" w:eastAsia="黑体"/>
                <w:snapToGrid w:val="0"/>
                <w:color w:val="auto"/>
                <w:spacing w:val="-6"/>
                <w:kern w:val="21"/>
                <w:szCs w:val="21"/>
              </w:rPr>
              <w:fldChar w:fldCharType="begin"/>
            </w:r>
            <w:r>
              <w:rPr>
                <w:rFonts w:ascii="Times New Roman" w:eastAsia="黑体"/>
                <w:snapToGrid w:val="0"/>
                <w:color w:val="auto"/>
                <w:spacing w:val="-6"/>
                <w:kern w:val="21"/>
                <w:szCs w:val="21"/>
              </w:rPr>
              <w:instrText xml:space="preserve"> = 2 \* GB3 \* MERGEFORMAT </w:instrText>
            </w:r>
            <w:r>
              <w:rPr>
                <w:rFonts w:ascii="Times New Roman" w:eastAsia="黑体"/>
                <w:snapToGrid w:val="0"/>
                <w:color w:val="auto"/>
                <w:spacing w:val="-6"/>
                <w:kern w:val="21"/>
                <w:szCs w:val="21"/>
              </w:rPr>
              <w:fldChar w:fldCharType="separate"/>
            </w:r>
            <w:r>
              <w:rPr>
                <w:rFonts w:ascii="Times New Roman" w:eastAsia="黑体"/>
                <w:snapToGrid w:val="0"/>
                <w:color w:val="auto"/>
                <w:spacing w:val="-6"/>
                <w:kern w:val="21"/>
                <w:szCs w:val="21"/>
              </w:rPr>
              <w:t>②</w:t>
            </w:r>
            <w:r>
              <w:rPr>
                <w:rFonts w:ascii="Times New Roman" w:eastAsia="黑体"/>
                <w:snapToGrid w:val="0"/>
                <w:color w:val="auto"/>
                <w:spacing w:val="-6"/>
                <w:kern w:val="21"/>
                <w:szCs w:val="21"/>
              </w:rPr>
              <w:fldChar w:fldCharType="end"/>
            </w:r>
          </w:p>
        </w:tc>
        <w:tc>
          <w:tcPr>
            <w:tcW w:w="1701" w:type="dxa"/>
            <w:tcMar>
              <w:left w:w="28" w:type="dxa"/>
              <w:right w:w="28" w:type="dxa"/>
            </w:tcMar>
            <w:vAlign w:val="center"/>
          </w:tcPr>
          <w:p w14:paraId="7F04E37F">
            <w:pPr>
              <w:pStyle w:val="34"/>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在建工程</w:t>
            </w:r>
          </w:p>
          <w:p w14:paraId="6852FE65">
            <w:pPr>
              <w:pStyle w:val="34"/>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排放量（固体废物产生量）</w:t>
            </w:r>
            <w:r>
              <w:rPr>
                <w:rFonts w:ascii="Times New Roman" w:eastAsia="黑体"/>
                <w:snapToGrid w:val="0"/>
                <w:color w:val="auto"/>
                <w:spacing w:val="-6"/>
                <w:kern w:val="21"/>
                <w:szCs w:val="21"/>
              </w:rPr>
              <w:fldChar w:fldCharType="begin"/>
            </w:r>
            <w:r>
              <w:rPr>
                <w:rFonts w:ascii="Times New Roman" w:eastAsia="黑体"/>
                <w:snapToGrid w:val="0"/>
                <w:color w:val="auto"/>
                <w:spacing w:val="-6"/>
                <w:kern w:val="21"/>
                <w:szCs w:val="21"/>
              </w:rPr>
              <w:instrText xml:space="preserve"> = 3 \* GB3 \* MERGEFORMAT </w:instrText>
            </w:r>
            <w:r>
              <w:rPr>
                <w:rFonts w:ascii="Times New Roman" w:eastAsia="黑体"/>
                <w:snapToGrid w:val="0"/>
                <w:color w:val="auto"/>
                <w:spacing w:val="-6"/>
                <w:kern w:val="21"/>
                <w:szCs w:val="21"/>
              </w:rPr>
              <w:fldChar w:fldCharType="separate"/>
            </w:r>
            <w:r>
              <w:rPr>
                <w:rFonts w:ascii="Times New Roman" w:eastAsia="黑体"/>
                <w:color w:val="auto"/>
                <w:kern w:val="2"/>
                <w:szCs w:val="21"/>
              </w:rPr>
              <w:t>③</w:t>
            </w:r>
            <w:r>
              <w:rPr>
                <w:rFonts w:ascii="Times New Roman" w:eastAsia="黑体"/>
                <w:snapToGrid w:val="0"/>
                <w:color w:val="auto"/>
                <w:spacing w:val="-6"/>
                <w:kern w:val="21"/>
                <w:szCs w:val="21"/>
              </w:rPr>
              <w:fldChar w:fldCharType="end"/>
            </w:r>
          </w:p>
        </w:tc>
        <w:tc>
          <w:tcPr>
            <w:tcW w:w="1559" w:type="dxa"/>
            <w:tcMar>
              <w:left w:w="28" w:type="dxa"/>
              <w:right w:w="28" w:type="dxa"/>
            </w:tcMar>
            <w:vAlign w:val="center"/>
          </w:tcPr>
          <w:p w14:paraId="1A7AC478">
            <w:pPr>
              <w:pStyle w:val="34"/>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本项目</w:t>
            </w:r>
          </w:p>
          <w:p w14:paraId="70AFACAA">
            <w:pPr>
              <w:pStyle w:val="34"/>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排放量（固体废物产生量）</w:t>
            </w:r>
            <w:r>
              <w:rPr>
                <w:rFonts w:ascii="Times New Roman" w:eastAsia="黑体"/>
                <w:snapToGrid w:val="0"/>
                <w:color w:val="auto"/>
                <w:spacing w:val="-6"/>
                <w:kern w:val="21"/>
                <w:szCs w:val="21"/>
              </w:rPr>
              <w:fldChar w:fldCharType="begin"/>
            </w:r>
            <w:r>
              <w:rPr>
                <w:rFonts w:ascii="Times New Roman" w:eastAsia="黑体"/>
                <w:snapToGrid w:val="0"/>
                <w:color w:val="auto"/>
                <w:spacing w:val="-6"/>
                <w:kern w:val="21"/>
                <w:szCs w:val="21"/>
              </w:rPr>
              <w:instrText xml:space="preserve"> = 4 \* GB3 \* MERGEFORMAT </w:instrText>
            </w:r>
            <w:r>
              <w:rPr>
                <w:rFonts w:ascii="Times New Roman" w:eastAsia="黑体"/>
                <w:snapToGrid w:val="0"/>
                <w:color w:val="auto"/>
                <w:spacing w:val="-6"/>
                <w:kern w:val="21"/>
                <w:szCs w:val="21"/>
              </w:rPr>
              <w:fldChar w:fldCharType="separate"/>
            </w:r>
            <w:r>
              <w:rPr>
                <w:rFonts w:ascii="Times New Roman" w:eastAsia="黑体"/>
                <w:color w:val="auto"/>
                <w:kern w:val="2"/>
                <w:szCs w:val="21"/>
              </w:rPr>
              <w:t>④</w:t>
            </w:r>
            <w:r>
              <w:rPr>
                <w:rFonts w:ascii="Times New Roman" w:eastAsia="黑体"/>
                <w:snapToGrid w:val="0"/>
                <w:color w:val="auto"/>
                <w:spacing w:val="-6"/>
                <w:kern w:val="21"/>
                <w:szCs w:val="21"/>
              </w:rPr>
              <w:fldChar w:fldCharType="end"/>
            </w:r>
          </w:p>
        </w:tc>
        <w:tc>
          <w:tcPr>
            <w:tcW w:w="1761" w:type="dxa"/>
            <w:tcMar>
              <w:left w:w="28" w:type="dxa"/>
              <w:right w:w="28" w:type="dxa"/>
            </w:tcMar>
            <w:vAlign w:val="center"/>
          </w:tcPr>
          <w:p w14:paraId="15AC739B">
            <w:pPr>
              <w:pStyle w:val="34"/>
              <w:spacing w:beforeLines="0" w:afterLines="0" w:line="240" w:lineRule="auto"/>
              <w:rPr>
                <w:rFonts w:ascii="Times New Roman" w:eastAsia="黑体"/>
                <w:snapToGrid w:val="0"/>
                <w:color w:val="auto"/>
                <w:spacing w:val="-16"/>
                <w:kern w:val="21"/>
                <w:szCs w:val="21"/>
              </w:rPr>
            </w:pPr>
            <w:r>
              <w:rPr>
                <w:rFonts w:ascii="Times New Roman" w:eastAsia="黑体"/>
                <w:snapToGrid w:val="0"/>
                <w:color w:val="auto"/>
                <w:spacing w:val="-16"/>
                <w:kern w:val="21"/>
                <w:szCs w:val="21"/>
              </w:rPr>
              <w:t>以新带老削减量</w:t>
            </w:r>
          </w:p>
          <w:p w14:paraId="2891DFAA">
            <w:pPr>
              <w:pStyle w:val="34"/>
              <w:spacing w:beforeLines="0" w:afterLines="0" w:line="240" w:lineRule="auto"/>
              <w:rPr>
                <w:rFonts w:ascii="Times New Roman" w:eastAsia="黑体"/>
                <w:snapToGrid w:val="0"/>
                <w:color w:val="auto"/>
                <w:spacing w:val="-16"/>
                <w:kern w:val="21"/>
                <w:szCs w:val="21"/>
              </w:rPr>
            </w:pPr>
            <w:r>
              <w:rPr>
                <w:rFonts w:ascii="Times New Roman" w:eastAsia="黑体"/>
                <w:snapToGrid w:val="0"/>
                <w:color w:val="auto"/>
                <w:spacing w:val="-16"/>
                <w:kern w:val="21"/>
                <w:szCs w:val="21"/>
              </w:rPr>
              <w:t>（新建项目不填）</w:t>
            </w:r>
            <w:r>
              <w:rPr>
                <w:rFonts w:ascii="Times New Roman" w:eastAsia="黑体"/>
                <w:snapToGrid w:val="0"/>
                <w:color w:val="auto"/>
                <w:spacing w:val="-16"/>
                <w:kern w:val="21"/>
                <w:szCs w:val="21"/>
              </w:rPr>
              <w:fldChar w:fldCharType="begin"/>
            </w:r>
            <w:r>
              <w:rPr>
                <w:rFonts w:ascii="Times New Roman" w:eastAsia="黑体"/>
                <w:snapToGrid w:val="0"/>
                <w:color w:val="auto"/>
                <w:spacing w:val="-16"/>
                <w:kern w:val="21"/>
                <w:szCs w:val="21"/>
              </w:rPr>
              <w:instrText xml:space="preserve"> = 5 \* GB3 \* MERGEFORMAT </w:instrText>
            </w:r>
            <w:r>
              <w:rPr>
                <w:rFonts w:ascii="Times New Roman" w:eastAsia="黑体"/>
                <w:snapToGrid w:val="0"/>
                <w:color w:val="auto"/>
                <w:spacing w:val="-16"/>
                <w:kern w:val="21"/>
                <w:szCs w:val="21"/>
              </w:rPr>
              <w:fldChar w:fldCharType="separate"/>
            </w:r>
            <w:r>
              <w:rPr>
                <w:rFonts w:ascii="Times New Roman" w:eastAsia="黑体"/>
                <w:color w:val="auto"/>
                <w:kern w:val="2"/>
                <w:szCs w:val="21"/>
              </w:rPr>
              <w:t>⑤</w:t>
            </w:r>
            <w:r>
              <w:rPr>
                <w:rFonts w:ascii="Times New Roman" w:eastAsia="黑体"/>
                <w:snapToGrid w:val="0"/>
                <w:color w:val="auto"/>
                <w:spacing w:val="-16"/>
                <w:kern w:val="21"/>
                <w:szCs w:val="21"/>
              </w:rPr>
              <w:fldChar w:fldCharType="end"/>
            </w:r>
          </w:p>
        </w:tc>
        <w:tc>
          <w:tcPr>
            <w:tcW w:w="1433" w:type="dxa"/>
            <w:tcMar>
              <w:left w:w="28" w:type="dxa"/>
              <w:right w:w="28" w:type="dxa"/>
            </w:tcMar>
            <w:vAlign w:val="center"/>
          </w:tcPr>
          <w:p w14:paraId="437B87F7">
            <w:pPr>
              <w:pStyle w:val="34"/>
              <w:spacing w:beforeLines="0" w:afterLines="0" w:line="240" w:lineRule="auto"/>
              <w:rPr>
                <w:rFonts w:ascii="Times New Roman" w:eastAsia="黑体"/>
                <w:snapToGrid w:val="0"/>
                <w:color w:val="auto"/>
                <w:spacing w:val="-16"/>
                <w:kern w:val="21"/>
                <w:szCs w:val="21"/>
              </w:rPr>
            </w:pPr>
            <w:r>
              <w:rPr>
                <w:rFonts w:ascii="Times New Roman" w:eastAsia="黑体"/>
                <w:snapToGrid w:val="0"/>
                <w:color w:val="auto"/>
                <w:spacing w:val="-16"/>
                <w:kern w:val="21"/>
                <w:szCs w:val="21"/>
              </w:rPr>
              <w:t>本项目建成后</w:t>
            </w:r>
          </w:p>
          <w:p w14:paraId="5985DEC7">
            <w:pPr>
              <w:pStyle w:val="34"/>
              <w:spacing w:beforeLines="0" w:afterLines="0" w:line="240" w:lineRule="auto"/>
              <w:rPr>
                <w:rFonts w:ascii="Times New Roman" w:eastAsia="黑体"/>
                <w:snapToGrid w:val="0"/>
                <w:color w:val="auto"/>
                <w:spacing w:val="-16"/>
                <w:kern w:val="21"/>
                <w:szCs w:val="21"/>
              </w:rPr>
            </w:pPr>
            <w:r>
              <w:rPr>
                <w:rFonts w:ascii="Times New Roman" w:eastAsia="黑体"/>
                <w:snapToGrid w:val="0"/>
                <w:color w:val="auto"/>
                <w:spacing w:val="-16"/>
                <w:kern w:val="21"/>
                <w:szCs w:val="21"/>
              </w:rPr>
              <w:t>全厂排放量（固体废物产生量）</w:t>
            </w:r>
            <w:r>
              <w:rPr>
                <w:rFonts w:ascii="Times New Roman" w:eastAsia="黑体"/>
                <w:snapToGrid w:val="0"/>
                <w:color w:val="auto"/>
                <w:spacing w:val="-16"/>
                <w:kern w:val="21"/>
                <w:szCs w:val="21"/>
              </w:rPr>
              <w:fldChar w:fldCharType="begin"/>
            </w:r>
            <w:r>
              <w:rPr>
                <w:rFonts w:ascii="Times New Roman" w:eastAsia="黑体"/>
                <w:snapToGrid w:val="0"/>
                <w:color w:val="auto"/>
                <w:spacing w:val="-16"/>
                <w:kern w:val="21"/>
                <w:szCs w:val="21"/>
              </w:rPr>
              <w:instrText xml:space="preserve"> = 6 \* GB3 \* MERGEFORMAT </w:instrText>
            </w:r>
            <w:r>
              <w:rPr>
                <w:rFonts w:ascii="Times New Roman" w:eastAsia="黑体"/>
                <w:snapToGrid w:val="0"/>
                <w:color w:val="auto"/>
                <w:spacing w:val="-16"/>
                <w:kern w:val="21"/>
                <w:szCs w:val="21"/>
              </w:rPr>
              <w:fldChar w:fldCharType="separate"/>
            </w:r>
            <w:r>
              <w:rPr>
                <w:rFonts w:ascii="Times New Roman" w:eastAsia="黑体"/>
                <w:color w:val="auto"/>
                <w:kern w:val="2"/>
                <w:szCs w:val="21"/>
              </w:rPr>
              <w:t>⑥</w:t>
            </w:r>
            <w:r>
              <w:rPr>
                <w:rFonts w:ascii="Times New Roman" w:eastAsia="黑体"/>
                <w:snapToGrid w:val="0"/>
                <w:color w:val="auto"/>
                <w:spacing w:val="-16"/>
                <w:kern w:val="21"/>
                <w:szCs w:val="21"/>
              </w:rPr>
              <w:fldChar w:fldCharType="end"/>
            </w:r>
          </w:p>
        </w:tc>
        <w:tc>
          <w:tcPr>
            <w:tcW w:w="1352" w:type="dxa"/>
            <w:tcMar>
              <w:left w:w="28" w:type="dxa"/>
              <w:right w:w="28" w:type="dxa"/>
            </w:tcMar>
            <w:vAlign w:val="center"/>
          </w:tcPr>
          <w:p w14:paraId="4D42DBFA">
            <w:pPr>
              <w:pStyle w:val="34"/>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变化量</w:t>
            </w:r>
          </w:p>
          <w:p w14:paraId="6CD58586">
            <w:pPr>
              <w:pStyle w:val="34"/>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fldChar w:fldCharType="begin"/>
            </w:r>
            <w:r>
              <w:rPr>
                <w:rFonts w:ascii="Times New Roman" w:eastAsia="黑体"/>
                <w:snapToGrid w:val="0"/>
                <w:color w:val="auto"/>
                <w:spacing w:val="-6"/>
                <w:kern w:val="21"/>
                <w:szCs w:val="21"/>
              </w:rPr>
              <w:instrText xml:space="preserve"> = 7 \* GB3 \* MERGEFORMAT </w:instrText>
            </w:r>
            <w:r>
              <w:rPr>
                <w:rFonts w:ascii="Times New Roman" w:eastAsia="黑体"/>
                <w:snapToGrid w:val="0"/>
                <w:color w:val="auto"/>
                <w:spacing w:val="-6"/>
                <w:kern w:val="21"/>
                <w:szCs w:val="21"/>
              </w:rPr>
              <w:fldChar w:fldCharType="separate"/>
            </w:r>
            <w:r>
              <w:rPr>
                <w:rFonts w:ascii="Times New Roman" w:eastAsia="黑体"/>
                <w:color w:val="auto"/>
                <w:kern w:val="2"/>
                <w:szCs w:val="21"/>
              </w:rPr>
              <w:t>⑦</w:t>
            </w:r>
            <w:r>
              <w:rPr>
                <w:rFonts w:ascii="Times New Roman" w:eastAsia="黑体"/>
                <w:snapToGrid w:val="0"/>
                <w:color w:val="auto"/>
                <w:spacing w:val="-6"/>
                <w:kern w:val="21"/>
                <w:szCs w:val="21"/>
              </w:rPr>
              <w:fldChar w:fldCharType="end"/>
            </w:r>
          </w:p>
        </w:tc>
      </w:tr>
      <w:tr w14:paraId="4C0963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1588" w:type="dxa"/>
            <w:vAlign w:val="center"/>
          </w:tcPr>
          <w:p w14:paraId="50E2FD1C">
            <w:pPr>
              <w:pStyle w:val="34"/>
              <w:spacing w:beforeLines="0" w:afterLines="0" w:line="240" w:lineRule="auto"/>
              <w:rPr>
                <w:rFonts w:ascii="Times New Roman"/>
                <w:snapToGrid w:val="0"/>
                <w:color w:val="auto"/>
                <w:kern w:val="21"/>
                <w:szCs w:val="21"/>
              </w:rPr>
            </w:pPr>
            <w:r>
              <w:rPr>
                <w:rFonts w:ascii="Times New Roman"/>
                <w:snapToGrid w:val="0"/>
                <w:color w:val="auto"/>
                <w:kern w:val="21"/>
                <w:szCs w:val="21"/>
              </w:rPr>
              <w:t>废气</w:t>
            </w:r>
          </w:p>
        </w:tc>
        <w:tc>
          <w:tcPr>
            <w:tcW w:w="1417" w:type="dxa"/>
            <w:vAlign w:val="center"/>
          </w:tcPr>
          <w:p w14:paraId="3B79DF98">
            <w:pPr>
              <w:pStyle w:val="34"/>
              <w:spacing w:beforeLines="0" w:afterLines="0" w:line="240" w:lineRule="auto"/>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颗粒物</w:t>
            </w:r>
          </w:p>
        </w:tc>
        <w:tc>
          <w:tcPr>
            <w:tcW w:w="1701" w:type="dxa"/>
            <w:shd w:val="clear" w:color="auto" w:fill="auto"/>
            <w:vAlign w:val="center"/>
          </w:tcPr>
          <w:p w14:paraId="78BB34B9">
            <w:pPr>
              <w:pStyle w:val="34"/>
              <w:spacing w:beforeLines="0" w:afterLines="0" w:line="240" w:lineRule="auto"/>
              <w:ind w:left="420" w:leftChars="0" w:hanging="420" w:hangingChars="200"/>
              <w:rPr>
                <w:rFonts w:hint="default" w:ascii="Times New Roman" w:hAnsi="Times New Roman" w:eastAsia="宋体" w:cs="Times New Roman"/>
                <w:snapToGrid w:val="0"/>
                <w:color w:val="auto"/>
                <w:kern w:val="21"/>
                <w:sz w:val="21"/>
                <w:szCs w:val="21"/>
                <w:lang w:val="en-US" w:eastAsia="zh-CN" w:bidi="ar-SA"/>
              </w:rPr>
            </w:pPr>
            <w:r>
              <w:rPr>
                <w:rFonts w:hint="eastAsia" w:ascii="Times New Roman"/>
                <w:snapToGrid w:val="0"/>
                <w:color w:val="auto"/>
                <w:kern w:val="21"/>
                <w:szCs w:val="21"/>
              </w:rPr>
              <w:t>0</w:t>
            </w:r>
          </w:p>
        </w:tc>
        <w:tc>
          <w:tcPr>
            <w:tcW w:w="1276" w:type="dxa"/>
            <w:vAlign w:val="center"/>
          </w:tcPr>
          <w:p w14:paraId="0AD0B324">
            <w:pPr>
              <w:pStyle w:val="34"/>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w:t>
            </w:r>
          </w:p>
        </w:tc>
        <w:tc>
          <w:tcPr>
            <w:tcW w:w="1701" w:type="dxa"/>
            <w:vAlign w:val="center"/>
          </w:tcPr>
          <w:p w14:paraId="0EB616F5">
            <w:pPr>
              <w:pStyle w:val="34"/>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w:t>
            </w:r>
          </w:p>
        </w:tc>
        <w:tc>
          <w:tcPr>
            <w:tcW w:w="1559" w:type="dxa"/>
            <w:vAlign w:val="center"/>
          </w:tcPr>
          <w:p w14:paraId="62F13C00">
            <w:pPr>
              <w:pStyle w:val="34"/>
              <w:spacing w:beforeLines="0" w:afterLines="0" w:line="240" w:lineRule="auto"/>
              <w:rPr>
                <w:rFonts w:hint="default" w:ascii="Times New Roman"/>
                <w:snapToGrid w:val="0"/>
                <w:color w:val="auto"/>
                <w:kern w:val="21"/>
                <w:szCs w:val="21"/>
                <w:lang w:val="en-US"/>
              </w:rPr>
            </w:pPr>
            <w:r>
              <w:rPr>
                <w:rFonts w:hint="eastAsia" w:ascii="Times New Roman"/>
                <w:snapToGrid w:val="0"/>
                <w:color w:val="auto"/>
                <w:kern w:val="21"/>
                <w:szCs w:val="21"/>
                <w:lang w:val="en-US" w:eastAsia="zh-CN"/>
              </w:rPr>
              <w:t>8.1t/a</w:t>
            </w:r>
          </w:p>
        </w:tc>
        <w:tc>
          <w:tcPr>
            <w:tcW w:w="1761" w:type="dxa"/>
            <w:vAlign w:val="center"/>
          </w:tcPr>
          <w:p w14:paraId="7DEA9056">
            <w:pPr>
              <w:pStyle w:val="34"/>
              <w:spacing w:beforeLines="0" w:afterLines="0" w:line="240" w:lineRule="auto"/>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0</w:t>
            </w:r>
          </w:p>
        </w:tc>
        <w:tc>
          <w:tcPr>
            <w:tcW w:w="1433" w:type="dxa"/>
            <w:vAlign w:val="center"/>
          </w:tcPr>
          <w:p w14:paraId="7377762E">
            <w:pPr>
              <w:pStyle w:val="34"/>
              <w:spacing w:beforeLines="0" w:afterLines="0" w:line="240" w:lineRule="auto"/>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8.1t/a</w:t>
            </w:r>
          </w:p>
        </w:tc>
        <w:tc>
          <w:tcPr>
            <w:tcW w:w="1352" w:type="dxa"/>
            <w:vAlign w:val="center"/>
          </w:tcPr>
          <w:p w14:paraId="751D27B8">
            <w:pPr>
              <w:pStyle w:val="34"/>
              <w:spacing w:beforeLines="0" w:afterLines="0" w:line="240" w:lineRule="auto"/>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w:t>
            </w:r>
          </w:p>
        </w:tc>
      </w:tr>
      <w:tr w14:paraId="67C4C3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1588" w:type="dxa"/>
            <w:vMerge w:val="restart"/>
            <w:vAlign w:val="center"/>
          </w:tcPr>
          <w:p w14:paraId="279232C9">
            <w:pPr>
              <w:pStyle w:val="34"/>
              <w:spacing w:beforeLines="0" w:afterLines="0" w:line="240" w:lineRule="auto"/>
              <w:rPr>
                <w:rFonts w:ascii="Times New Roman"/>
                <w:snapToGrid w:val="0"/>
                <w:color w:val="auto"/>
                <w:kern w:val="21"/>
                <w:szCs w:val="21"/>
              </w:rPr>
            </w:pPr>
            <w:r>
              <w:rPr>
                <w:rFonts w:ascii="Times New Roman"/>
                <w:snapToGrid w:val="0"/>
                <w:color w:val="auto"/>
                <w:kern w:val="21"/>
                <w:szCs w:val="21"/>
              </w:rPr>
              <w:t>废水</w:t>
            </w:r>
          </w:p>
        </w:tc>
        <w:tc>
          <w:tcPr>
            <w:tcW w:w="1417" w:type="dxa"/>
            <w:vAlign w:val="center"/>
          </w:tcPr>
          <w:p w14:paraId="7F770EF0">
            <w:pPr>
              <w:pStyle w:val="34"/>
              <w:spacing w:beforeLines="0" w:afterLines="0" w:line="240" w:lineRule="auto"/>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COD</w:t>
            </w:r>
          </w:p>
        </w:tc>
        <w:tc>
          <w:tcPr>
            <w:tcW w:w="1701" w:type="dxa"/>
            <w:shd w:val="clear" w:color="auto" w:fill="auto"/>
            <w:vAlign w:val="center"/>
          </w:tcPr>
          <w:p w14:paraId="47DC2048">
            <w:pPr>
              <w:pStyle w:val="34"/>
              <w:spacing w:beforeLines="0" w:afterLines="0" w:line="240" w:lineRule="auto"/>
              <w:ind w:left="420" w:leftChars="0" w:hanging="420" w:hangingChars="200"/>
              <w:rPr>
                <w:rFonts w:hint="default" w:ascii="Times New Roman" w:hAnsi="Times New Roman" w:eastAsia="宋体" w:cs="Times New Roman"/>
                <w:snapToGrid w:val="0"/>
                <w:color w:val="auto"/>
                <w:kern w:val="21"/>
                <w:sz w:val="21"/>
                <w:szCs w:val="21"/>
                <w:lang w:val="en-US" w:eastAsia="zh-CN" w:bidi="ar-SA"/>
              </w:rPr>
            </w:pPr>
            <w:r>
              <w:rPr>
                <w:rFonts w:hint="eastAsia" w:ascii="Times New Roman"/>
                <w:snapToGrid w:val="0"/>
                <w:color w:val="auto"/>
                <w:kern w:val="21"/>
                <w:szCs w:val="21"/>
              </w:rPr>
              <w:t>0</w:t>
            </w:r>
          </w:p>
        </w:tc>
        <w:tc>
          <w:tcPr>
            <w:tcW w:w="1276" w:type="dxa"/>
            <w:vAlign w:val="center"/>
          </w:tcPr>
          <w:p w14:paraId="299DD0F7">
            <w:pPr>
              <w:pStyle w:val="34"/>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w:t>
            </w:r>
          </w:p>
        </w:tc>
        <w:tc>
          <w:tcPr>
            <w:tcW w:w="1701" w:type="dxa"/>
            <w:vAlign w:val="center"/>
          </w:tcPr>
          <w:p w14:paraId="3FEA946E">
            <w:pPr>
              <w:pStyle w:val="34"/>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w:t>
            </w:r>
          </w:p>
        </w:tc>
        <w:tc>
          <w:tcPr>
            <w:tcW w:w="1559" w:type="dxa"/>
            <w:vAlign w:val="center"/>
          </w:tcPr>
          <w:p w14:paraId="5D9B096E">
            <w:pPr>
              <w:pStyle w:val="34"/>
              <w:spacing w:beforeLines="0" w:afterLines="0" w:line="240" w:lineRule="auto"/>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0.192t/a</w:t>
            </w:r>
          </w:p>
        </w:tc>
        <w:tc>
          <w:tcPr>
            <w:tcW w:w="1761" w:type="dxa"/>
            <w:vAlign w:val="center"/>
          </w:tcPr>
          <w:p w14:paraId="4F0D0E17">
            <w:pPr>
              <w:pStyle w:val="34"/>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w:t>
            </w:r>
          </w:p>
        </w:tc>
        <w:tc>
          <w:tcPr>
            <w:tcW w:w="1433" w:type="dxa"/>
            <w:vAlign w:val="center"/>
          </w:tcPr>
          <w:p w14:paraId="6391464E">
            <w:pPr>
              <w:pStyle w:val="34"/>
              <w:spacing w:beforeLines="0" w:afterLines="0" w:line="240" w:lineRule="auto"/>
              <w:rPr>
                <w:rFonts w:hint="default" w:ascii="Times New Roman"/>
                <w:snapToGrid w:val="0"/>
                <w:color w:val="auto"/>
                <w:kern w:val="21"/>
                <w:szCs w:val="21"/>
                <w:lang w:val="en-US"/>
              </w:rPr>
            </w:pPr>
            <w:r>
              <w:rPr>
                <w:rFonts w:hint="eastAsia" w:ascii="Times New Roman"/>
                <w:snapToGrid w:val="0"/>
                <w:color w:val="auto"/>
                <w:kern w:val="21"/>
                <w:szCs w:val="21"/>
                <w:lang w:val="en-US" w:eastAsia="zh-CN"/>
              </w:rPr>
              <w:t>0.192t/a</w:t>
            </w:r>
          </w:p>
        </w:tc>
        <w:tc>
          <w:tcPr>
            <w:tcW w:w="1352" w:type="dxa"/>
            <w:vAlign w:val="center"/>
          </w:tcPr>
          <w:p w14:paraId="49008AE5">
            <w:pPr>
              <w:pStyle w:val="34"/>
              <w:spacing w:beforeLines="0" w:afterLines="0" w:line="240" w:lineRule="auto"/>
              <w:rPr>
                <w:rFonts w:hint="default" w:ascii="Times New Roman"/>
                <w:snapToGrid w:val="0"/>
                <w:color w:val="auto"/>
                <w:kern w:val="21"/>
                <w:szCs w:val="21"/>
                <w:lang w:val="en-US"/>
              </w:rPr>
            </w:pPr>
            <w:r>
              <w:rPr>
                <w:rFonts w:hint="eastAsia" w:ascii="Times New Roman"/>
                <w:snapToGrid w:val="0"/>
                <w:color w:val="auto"/>
                <w:kern w:val="21"/>
                <w:szCs w:val="21"/>
                <w:lang w:val="en-US" w:eastAsia="zh-CN"/>
              </w:rPr>
              <w:t>/</w:t>
            </w:r>
          </w:p>
        </w:tc>
      </w:tr>
      <w:tr w14:paraId="69AA89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1588" w:type="dxa"/>
            <w:vMerge w:val="continue"/>
            <w:vAlign w:val="center"/>
          </w:tcPr>
          <w:p w14:paraId="582A02A3">
            <w:pPr>
              <w:pStyle w:val="34"/>
              <w:spacing w:beforeLines="0" w:afterLines="0" w:line="240" w:lineRule="auto"/>
              <w:rPr>
                <w:rFonts w:ascii="Times New Roman"/>
                <w:snapToGrid w:val="0"/>
                <w:color w:val="auto"/>
                <w:kern w:val="21"/>
                <w:szCs w:val="21"/>
              </w:rPr>
            </w:pPr>
          </w:p>
        </w:tc>
        <w:tc>
          <w:tcPr>
            <w:tcW w:w="1417" w:type="dxa"/>
            <w:vAlign w:val="center"/>
          </w:tcPr>
          <w:p w14:paraId="431BC28B">
            <w:pPr>
              <w:pStyle w:val="34"/>
              <w:spacing w:beforeLines="0" w:afterLines="0" w:line="240" w:lineRule="auto"/>
              <w:rPr>
                <w:rFonts w:hint="default" w:ascii="Times New Roman" w:eastAsia="宋体"/>
                <w:snapToGrid w:val="0"/>
                <w:color w:val="auto"/>
                <w:kern w:val="21"/>
                <w:szCs w:val="21"/>
                <w:vertAlign w:val="subscript"/>
                <w:lang w:val="en-US" w:eastAsia="zh-CN"/>
              </w:rPr>
            </w:pPr>
            <w:r>
              <w:rPr>
                <w:rFonts w:hint="eastAsia" w:ascii="Times New Roman"/>
                <w:snapToGrid w:val="0"/>
                <w:color w:val="auto"/>
                <w:kern w:val="21"/>
                <w:szCs w:val="21"/>
                <w:lang w:val="en-US" w:eastAsia="zh-CN"/>
              </w:rPr>
              <w:t>BOD</w:t>
            </w:r>
            <w:r>
              <w:rPr>
                <w:rFonts w:hint="eastAsia" w:ascii="Times New Roman"/>
                <w:snapToGrid w:val="0"/>
                <w:color w:val="auto"/>
                <w:kern w:val="21"/>
                <w:szCs w:val="21"/>
                <w:vertAlign w:val="subscript"/>
                <w:lang w:val="en-US" w:eastAsia="zh-CN"/>
              </w:rPr>
              <w:t>5</w:t>
            </w:r>
          </w:p>
        </w:tc>
        <w:tc>
          <w:tcPr>
            <w:tcW w:w="1701" w:type="dxa"/>
            <w:shd w:val="clear" w:color="auto" w:fill="auto"/>
            <w:vAlign w:val="center"/>
          </w:tcPr>
          <w:p w14:paraId="7F52956F">
            <w:pPr>
              <w:pStyle w:val="34"/>
              <w:spacing w:beforeLines="0" w:afterLines="0" w:line="240" w:lineRule="auto"/>
              <w:ind w:left="420" w:leftChars="0" w:hanging="420" w:hangingChars="200"/>
              <w:rPr>
                <w:rFonts w:hint="default" w:ascii="Times New Roman" w:hAnsi="Times New Roman" w:eastAsia="宋体" w:cs="Times New Roman"/>
                <w:snapToGrid w:val="0"/>
                <w:color w:val="auto"/>
                <w:kern w:val="21"/>
                <w:sz w:val="21"/>
                <w:szCs w:val="21"/>
                <w:lang w:val="en-US" w:eastAsia="zh-CN" w:bidi="ar-SA"/>
              </w:rPr>
            </w:pPr>
            <w:r>
              <w:rPr>
                <w:rFonts w:hint="eastAsia" w:ascii="Times New Roman"/>
                <w:snapToGrid w:val="0"/>
                <w:color w:val="auto"/>
                <w:kern w:val="21"/>
                <w:szCs w:val="21"/>
              </w:rPr>
              <w:t>0</w:t>
            </w:r>
          </w:p>
        </w:tc>
        <w:tc>
          <w:tcPr>
            <w:tcW w:w="1276" w:type="dxa"/>
            <w:vAlign w:val="center"/>
          </w:tcPr>
          <w:p w14:paraId="2EDB42D5">
            <w:pPr>
              <w:pStyle w:val="34"/>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w:t>
            </w:r>
          </w:p>
        </w:tc>
        <w:tc>
          <w:tcPr>
            <w:tcW w:w="1701" w:type="dxa"/>
            <w:vAlign w:val="center"/>
          </w:tcPr>
          <w:p w14:paraId="1F9C232D">
            <w:pPr>
              <w:pStyle w:val="34"/>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w:t>
            </w:r>
          </w:p>
        </w:tc>
        <w:tc>
          <w:tcPr>
            <w:tcW w:w="1559" w:type="dxa"/>
            <w:vAlign w:val="center"/>
          </w:tcPr>
          <w:p w14:paraId="56A6238E">
            <w:pPr>
              <w:pStyle w:val="34"/>
              <w:spacing w:beforeLines="0" w:afterLines="0" w:line="240" w:lineRule="auto"/>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0.120t/a</w:t>
            </w:r>
          </w:p>
        </w:tc>
        <w:tc>
          <w:tcPr>
            <w:tcW w:w="1761" w:type="dxa"/>
            <w:vAlign w:val="center"/>
          </w:tcPr>
          <w:p w14:paraId="32CE22FA">
            <w:pPr>
              <w:pStyle w:val="34"/>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w:t>
            </w:r>
          </w:p>
        </w:tc>
        <w:tc>
          <w:tcPr>
            <w:tcW w:w="1433" w:type="dxa"/>
            <w:vAlign w:val="center"/>
          </w:tcPr>
          <w:p w14:paraId="478663BE">
            <w:pPr>
              <w:pStyle w:val="34"/>
              <w:spacing w:beforeLines="0" w:afterLines="0" w:line="240" w:lineRule="auto"/>
              <w:rPr>
                <w:rFonts w:hint="default" w:ascii="Times New Roman"/>
                <w:snapToGrid w:val="0"/>
                <w:color w:val="auto"/>
                <w:kern w:val="21"/>
                <w:szCs w:val="21"/>
                <w:lang w:val="en-US"/>
              </w:rPr>
            </w:pPr>
            <w:r>
              <w:rPr>
                <w:rFonts w:hint="eastAsia" w:ascii="Times New Roman"/>
                <w:snapToGrid w:val="0"/>
                <w:color w:val="auto"/>
                <w:kern w:val="21"/>
                <w:szCs w:val="21"/>
                <w:lang w:val="en-US" w:eastAsia="zh-CN"/>
              </w:rPr>
              <w:t>0.120t/a</w:t>
            </w:r>
          </w:p>
        </w:tc>
        <w:tc>
          <w:tcPr>
            <w:tcW w:w="1352" w:type="dxa"/>
            <w:vAlign w:val="center"/>
          </w:tcPr>
          <w:p w14:paraId="4C29FCD6">
            <w:pPr>
              <w:pStyle w:val="34"/>
              <w:spacing w:beforeLines="0" w:afterLines="0" w:line="240" w:lineRule="auto"/>
              <w:rPr>
                <w:rFonts w:hint="default" w:ascii="Times New Roman"/>
                <w:snapToGrid w:val="0"/>
                <w:color w:val="auto"/>
                <w:kern w:val="21"/>
                <w:szCs w:val="21"/>
                <w:lang w:val="en-US"/>
              </w:rPr>
            </w:pPr>
            <w:r>
              <w:rPr>
                <w:rFonts w:hint="eastAsia" w:ascii="Times New Roman"/>
                <w:snapToGrid w:val="0"/>
                <w:color w:val="auto"/>
                <w:kern w:val="21"/>
                <w:szCs w:val="21"/>
                <w:lang w:val="en-US" w:eastAsia="zh-CN"/>
              </w:rPr>
              <w:t>/</w:t>
            </w:r>
          </w:p>
        </w:tc>
      </w:tr>
      <w:tr w14:paraId="30595D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1588" w:type="dxa"/>
            <w:vMerge w:val="continue"/>
            <w:vAlign w:val="center"/>
          </w:tcPr>
          <w:p w14:paraId="00C97797">
            <w:pPr>
              <w:pStyle w:val="34"/>
              <w:spacing w:beforeLines="0" w:afterLines="0" w:line="240" w:lineRule="auto"/>
              <w:rPr>
                <w:rFonts w:ascii="Times New Roman"/>
                <w:snapToGrid w:val="0"/>
                <w:color w:val="auto"/>
                <w:kern w:val="21"/>
                <w:szCs w:val="21"/>
              </w:rPr>
            </w:pPr>
          </w:p>
        </w:tc>
        <w:tc>
          <w:tcPr>
            <w:tcW w:w="1417" w:type="dxa"/>
            <w:vAlign w:val="center"/>
          </w:tcPr>
          <w:p w14:paraId="46AD62AB">
            <w:pPr>
              <w:pStyle w:val="34"/>
              <w:spacing w:beforeLines="0" w:afterLines="0" w:line="240" w:lineRule="auto"/>
              <w:rPr>
                <w:rFonts w:hint="default" w:ascii="Times New Roman" w:eastAsia="宋体"/>
                <w:snapToGrid w:val="0"/>
                <w:color w:val="auto"/>
                <w:kern w:val="21"/>
                <w:szCs w:val="21"/>
                <w:vertAlign w:val="baseline"/>
                <w:lang w:val="en-US" w:eastAsia="zh-CN"/>
              </w:rPr>
            </w:pPr>
            <w:r>
              <w:rPr>
                <w:rFonts w:hint="eastAsia" w:ascii="Times New Roman"/>
                <w:snapToGrid w:val="0"/>
                <w:color w:val="auto"/>
                <w:kern w:val="21"/>
                <w:szCs w:val="21"/>
                <w:lang w:val="en-US" w:eastAsia="zh-CN"/>
              </w:rPr>
              <w:t>NH</w:t>
            </w:r>
            <w:r>
              <w:rPr>
                <w:rFonts w:hint="eastAsia" w:ascii="Times New Roman"/>
                <w:snapToGrid w:val="0"/>
                <w:color w:val="auto"/>
                <w:kern w:val="21"/>
                <w:szCs w:val="21"/>
                <w:vertAlign w:val="subscript"/>
                <w:lang w:val="en-US" w:eastAsia="zh-CN"/>
              </w:rPr>
              <w:t>3</w:t>
            </w:r>
            <w:r>
              <w:rPr>
                <w:rFonts w:hint="eastAsia" w:ascii="Times New Roman"/>
                <w:snapToGrid w:val="0"/>
                <w:color w:val="auto"/>
                <w:kern w:val="21"/>
                <w:szCs w:val="21"/>
                <w:vertAlign w:val="baseline"/>
                <w:lang w:val="en-US" w:eastAsia="zh-CN"/>
              </w:rPr>
              <w:t>-N</w:t>
            </w:r>
          </w:p>
        </w:tc>
        <w:tc>
          <w:tcPr>
            <w:tcW w:w="1701" w:type="dxa"/>
            <w:shd w:val="clear" w:color="auto" w:fill="auto"/>
            <w:vAlign w:val="center"/>
          </w:tcPr>
          <w:p w14:paraId="77572E08">
            <w:pPr>
              <w:pStyle w:val="34"/>
              <w:spacing w:beforeLines="0" w:afterLines="0" w:line="240" w:lineRule="auto"/>
              <w:ind w:left="420" w:leftChars="0" w:hanging="420" w:hangingChars="200"/>
              <w:rPr>
                <w:rFonts w:hint="default" w:ascii="Times New Roman" w:hAnsi="Times New Roman" w:eastAsia="宋体" w:cs="Times New Roman"/>
                <w:snapToGrid w:val="0"/>
                <w:color w:val="auto"/>
                <w:kern w:val="21"/>
                <w:sz w:val="21"/>
                <w:szCs w:val="21"/>
                <w:lang w:val="en-US" w:eastAsia="zh-CN" w:bidi="ar-SA"/>
              </w:rPr>
            </w:pPr>
            <w:r>
              <w:rPr>
                <w:rFonts w:hint="eastAsia" w:ascii="Times New Roman"/>
                <w:snapToGrid w:val="0"/>
                <w:color w:val="auto"/>
                <w:kern w:val="21"/>
                <w:szCs w:val="21"/>
              </w:rPr>
              <w:t>0</w:t>
            </w:r>
          </w:p>
        </w:tc>
        <w:tc>
          <w:tcPr>
            <w:tcW w:w="1276" w:type="dxa"/>
            <w:vAlign w:val="center"/>
          </w:tcPr>
          <w:p w14:paraId="56A84CDB">
            <w:pPr>
              <w:pStyle w:val="34"/>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w:t>
            </w:r>
          </w:p>
        </w:tc>
        <w:tc>
          <w:tcPr>
            <w:tcW w:w="1701" w:type="dxa"/>
            <w:vAlign w:val="center"/>
          </w:tcPr>
          <w:p w14:paraId="7FB51DC2">
            <w:pPr>
              <w:pStyle w:val="34"/>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w:t>
            </w:r>
          </w:p>
        </w:tc>
        <w:tc>
          <w:tcPr>
            <w:tcW w:w="1559" w:type="dxa"/>
            <w:vAlign w:val="center"/>
          </w:tcPr>
          <w:p w14:paraId="04A37B37">
            <w:pPr>
              <w:pStyle w:val="34"/>
              <w:spacing w:beforeLines="0" w:afterLines="0" w:line="240" w:lineRule="auto"/>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0.014t/a</w:t>
            </w:r>
          </w:p>
        </w:tc>
        <w:tc>
          <w:tcPr>
            <w:tcW w:w="1761" w:type="dxa"/>
            <w:vAlign w:val="center"/>
          </w:tcPr>
          <w:p w14:paraId="7760904D">
            <w:pPr>
              <w:pStyle w:val="34"/>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w:t>
            </w:r>
          </w:p>
        </w:tc>
        <w:tc>
          <w:tcPr>
            <w:tcW w:w="1433" w:type="dxa"/>
            <w:vAlign w:val="center"/>
          </w:tcPr>
          <w:p w14:paraId="26D9EDB5">
            <w:pPr>
              <w:pStyle w:val="34"/>
              <w:spacing w:beforeLines="0" w:afterLines="0" w:line="240" w:lineRule="auto"/>
              <w:rPr>
                <w:rFonts w:hint="default" w:ascii="Times New Roman"/>
                <w:snapToGrid w:val="0"/>
                <w:color w:val="auto"/>
                <w:kern w:val="21"/>
                <w:szCs w:val="21"/>
                <w:lang w:val="en-US"/>
              </w:rPr>
            </w:pPr>
            <w:r>
              <w:rPr>
                <w:rFonts w:hint="eastAsia" w:ascii="Times New Roman"/>
                <w:snapToGrid w:val="0"/>
                <w:color w:val="auto"/>
                <w:kern w:val="21"/>
                <w:szCs w:val="21"/>
                <w:lang w:val="en-US" w:eastAsia="zh-CN"/>
              </w:rPr>
              <w:t>0.014t/a</w:t>
            </w:r>
          </w:p>
        </w:tc>
        <w:tc>
          <w:tcPr>
            <w:tcW w:w="1352" w:type="dxa"/>
            <w:vAlign w:val="center"/>
          </w:tcPr>
          <w:p w14:paraId="2CBD465A">
            <w:pPr>
              <w:pStyle w:val="34"/>
              <w:spacing w:beforeLines="0" w:afterLines="0" w:line="240" w:lineRule="auto"/>
              <w:rPr>
                <w:rFonts w:hint="default" w:ascii="Times New Roman"/>
                <w:snapToGrid w:val="0"/>
                <w:color w:val="auto"/>
                <w:kern w:val="21"/>
                <w:szCs w:val="21"/>
                <w:lang w:val="en-US"/>
              </w:rPr>
            </w:pPr>
            <w:r>
              <w:rPr>
                <w:rFonts w:hint="eastAsia" w:ascii="Times New Roman"/>
                <w:snapToGrid w:val="0"/>
                <w:color w:val="auto"/>
                <w:kern w:val="21"/>
                <w:szCs w:val="21"/>
                <w:lang w:val="en-US" w:eastAsia="zh-CN"/>
              </w:rPr>
              <w:t>/</w:t>
            </w:r>
          </w:p>
        </w:tc>
      </w:tr>
      <w:tr w14:paraId="5AA880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1588" w:type="dxa"/>
            <w:vMerge w:val="continue"/>
            <w:vAlign w:val="center"/>
          </w:tcPr>
          <w:p w14:paraId="71C6D08C">
            <w:pPr>
              <w:pStyle w:val="34"/>
              <w:spacing w:beforeLines="0" w:afterLines="0" w:line="240" w:lineRule="auto"/>
              <w:rPr>
                <w:rFonts w:ascii="Times New Roman"/>
                <w:snapToGrid w:val="0"/>
                <w:color w:val="auto"/>
                <w:kern w:val="21"/>
                <w:szCs w:val="21"/>
              </w:rPr>
            </w:pPr>
          </w:p>
        </w:tc>
        <w:tc>
          <w:tcPr>
            <w:tcW w:w="1417" w:type="dxa"/>
            <w:vAlign w:val="center"/>
          </w:tcPr>
          <w:p w14:paraId="2481DE70">
            <w:pPr>
              <w:pStyle w:val="34"/>
              <w:spacing w:beforeLines="0" w:afterLines="0" w:line="240" w:lineRule="auto"/>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SS</w:t>
            </w:r>
          </w:p>
        </w:tc>
        <w:tc>
          <w:tcPr>
            <w:tcW w:w="1701" w:type="dxa"/>
            <w:shd w:val="clear" w:color="auto" w:fill="auto"/>
            <w:vAlign w:val="center"/>
          </w:tcPr>
          <w:p w14:paraId="5E70AA25">
            <w:pPr>
              <w:pStyle w:val="34"/>
              <w:spacing w:beforeLines="0" w:afterLines="0" w:line="240" w:lineRule="auto"/>
              <w:ind w:left="420" w:leftChars="0" w:hanging="420" w:hangingChars="200"/>
              <w:rPr>
                <w:rFonts w:hint="default" w:ascii="Times New Roman" w:hAnsi="Times New Roman" w:eastAsia="宋体" w:cs="Times New Roman"/>
                <w:snapToGrid w:val="0"/>
                <w:color w:val="auto"/>
                <w:kern w:val="21"/>
                <w:sz w:val="21"/>
                <w:szCs w:val="21"/>
                <w:lang w:val="en-US" w:eastAsia="zh-CN" w:bidi="ar-SA"/>
              </w:rPr>
            </w:pPr>
            <w:r>
              <w:rPr>
                <w:rFonts w:hint="eastAsia" w:ascii="Times New Roman"/>
                <w:snapToGrid w:val="0"/>
                <w:color w:val="auto"/>
                <w:kern w:val="21"/>
                <w:szCs w:val="21"/>
              </w:rPr>
              <w:t>0</w:t>
            </w:r>
          </w:p>
        </w:tc>
        <w:tc>
          <w:tcPr>
            <w:tcW w:w="1276" w:type="dxa"/>
            <w:vAlign w:val="center"/>
          </w:tcPr>
          <w:p w14:paraId="35D90611">
            <w:pPr>
              <w:pStyle w:val="34"/>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w:t>
            </w:r>
          </w:p>
        </w:tc>
        <w:tc>
          <w:tcPr>
            <w:tcW w:w="1701" w:type="dxa"/>
            <w:vAlign w:val="center"/>
          </w:tcPr>
          <w:p w14:paraId="58A0A9A9">
            <w:pPr>
              <w:pStyle w:val="34"/>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w:t>
            </w:r>
          </w:p>
        </w:tc>
        <w:tc>
          <w:tcPr>
            <w:tcW w:w="1559" w:type="dxa"/>
            <w:vAlign w:val="center"/>
          </w:tcPr>
          <w:p w14:paraId="7FDDCA6B">
            <w:pPr>
              <w:pStyle w:val="34"/>
              <w:spacing w:beforeLines="0" w:afterLines="0" w:line="240" w:lineRule="auto"/>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0.106t/a</w:t>
            </w:r>
          </w:p>
        </w:tc>
        <w:tc>
          <w:tcPr>
            <w:tcW w:w="1761" w:type="dxa"/>
            <w:vAlign w:val="center"/>
          </w:tcPr>
          <w:p w14:paraId="48A959A3">
            <w:pPr>
              <w:pStyle w:val="34"/>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w:t>
            </w:r>
          </w:p>
        </w:tc>
        <w:tc>
          <w:tcPr>
            <w:tcW w:w="1433" w:type="dxa"/>
            <w:vAlign w:val="center"/>
          </w:tcPr>
          <w:p w14:paraId="700609C8">
            <w:pPr>
              <w:pStyle w:val="34"/>
              <w:spacing w:beforeLines="0" w:afterLines="0" w:line="240" w:lineRule="auto"/>
              <w:rPr>
                <w:rFonts w:hint="default" w:ascii="Times New Roman"/>
                <w:snapToGrid w:val="0"/>
                <w:color w:val="auto"/>
                <w:kern w:val="21"/>
                <w:szCs w:val="21"/>
                <w:lang w:val="en-US"/>
              </w:rPr>
            </w:pPr>
            <w:r>
              <w:rPr>
                <w:rFonts w:hint="eastAsia" w:ascii="Times New Roman"/>
                <w:snapToGrid w:val="0"/>
                <w:color w:val="auto"/>
                <w:kern w:val="21"/>
                <w:szCs w:val="21"/>
                <w:lang w:val="en-US" w:eastAsia="zh-CN"/>
              </w:rPr>
              <w:t>0.106t/a</w:t>
            </w:r>
          </w:p>
        </w:tc>
        <w:tc>
          <w:tcPr>
            <w:tcW w:w="1352" w:type="dxa"/>
            <w:vAlign w:val="center"/>
          </w:tcPr>
          <w:p w14:paraId="39C6E106">
            <w:pPr>
              <w:pStyle w:val="34"/>
              <w:spacing w:beforeLines="0" w:afterLines="0" w:line="240" w:lineRule="auto"/>
              <w:rPr>
                <w:rFonts w:hint="default" w:ascii="Times New Roman"/>
                <w:snapToGrid w:val="0"/>
                <w:color w:val="auto"/>
                <w:kern w:val="21"/>
                <w:szCs w:val="21"/>
                <w:lang w:val="en-US"/>
              </w:rPr>
            </w:pPr>
            <w:r>
              <w:rPr>
                <w:rFonts w:hint="eastAsia" w:ascii="Times New Roman"/>
                <w:snapToGrid w:val="0"/>
                <w:color w:val="auto"/>
                <w:kern w:val="21"/>
                <w:szCs w:val="21"/>
                <w:lang w:val="en-US" w:eastAsia="zh-CN"/>
              </w:rPr>
              <w:t>/</w:t>
            </w:r>
          </w:p>
        </w:tc>
      </w:tr>
      <w:tr w14:paraId="5AE0E2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1588" w:type="dxa"/>
            <w:vMerge w:val="restart"/>
            <w:vAlign w:val="center"/>
          </w:tcPr>
          <w:p w14:paraId="2F22FF61">
            <w:pPr>
              <w:pStyle w:val="34"/>
              <w:spacing w:beforeLines="0" w:afterLines="0" w:line="240" w:lineRule="auto"/>
              <w:rPr>
                <w:rFonts w:ascii="Times New Roman"/>
                <w:snapToGrid w:val="0"/>
                <w:color w:val="auto"/>
                <w:kern w:val="21"/>
                <w:szCs w:val="21"/>
              </w:rPr>
            </w:pPr>
            <w:r>
              <w:rPr>
                <w:rFonts w:ascii="Times New Roman"/>
                <w:snapToGrid w:val="0"/>
                <w:color w:val="auto"/>
                <w:kern w:val="21"/>
                <w:szCs w:val="21"/>
              </w:rPr>
              <w:t>一般工业</w:t>
            </w:r>
          </w:p>
          <w:p w14:paraId="7A631B1E">
            <w:pPr>
              <w:pStyle w:val="34"/>
              <w:spacing w:beforeLines="0" w:afterLines="0" w:line="240" w:lineRule="auto"/>
              <w:rPr>
                <w:rFonts w:ascii="Times New Roman"/>
                <w:snapToGrid w:val="0"/>
                <w:color w:val="auto"/>
                <w:kern w:val="21"/>
                <w:szCs w:val="21"/>
              </w:rPr>
            </w:pPr>
            <w:r>
              <w:rPr>
                <w:rFonts w:ascii="Times New Roman"/>
                <w:snapToGrid w:val="0"/>
                <w:color w:val="auto"/>
                <w:kern w:val="21"/>
                <w:szCs w:val="21"/>
              </w:rPr>
              <w:t>固体废物</w:t>
            </w:r>
          </w:p>
        </w:tc>
        <w:tc>
          <w:tcPr>
            <w:tcW w:w="1417" w:type="dxa"/>
            <w:vAlign w:val="center"/>
          </w:tcPr>
          <w:p w14:paraId="19C335FB">
            <w:pPr>
              <w:pStyle w:val="34"/>
              <w:spacing w:beforeLines="0" w:afterLines="0" w:line="240" w:lineRule="auto"/>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煤矸石</w:t>
            </w:r>
          </w:p>
        </w:tc>
        <w:tc>
          <w:tcPr>
            <w:tcW w:w="1701" w:type="dxa"/>
            <w:shd w:val="clear" w:color="auto" w:fill="auto"/>
            <w:vAlign w:val="center"/>
          </w:tcPr>
          <w:p w14:paraId="1BAED234">
            <w:pPr>
              <w:pStyle w:val="34"/>
              <w:spacing w:beforeLines="0" w:afterLines="0" w:line="240" w:lineRule="auto"/>
              <w:ind w:left="420" w:leftChars="0" w:hanging="420" w:hangingChars="200"/>
              <w:rPr>
                <w:rFonts w:hint="default" w:ascii="Times New Roman" w:hAnsi="Times New Roman" w:eastAsia="宋体" w:cs="Times New Roman"/>
                <w:snapToGrid w:val="0"/>
                <w:color w:val="auto"/>
                <w:kern w:val="21"/>
                <w:sz w:val="21"/>
                <w:szCs w:val="21"/>
                <w:lang w:val="en-US" w:eastAsia="zh-CN" w:bidi="ar-SA"/>
              </w:rPr>
            </w:pPr>
            <w:r>
              <w:rPr>
                <w:rFonts w:hint="eastAsia" w:ascii="Times New Roman"/>
                <w:snapToGrid w:val="0"/>
                <w:color w:val="auto"/>
                <w:kern w:val="21"/>
                <w:szCs w:val="21"/>
              </w:rPr>
              <w:t>0</w:t>
            </w:r>
          </w:p>
        </w:tc>
        <w:tc>
          <w:tcPr>
            <w:tcW w:w="1276" w:type="dxa"/>
            <w:vAlign w:val="center"/>
          </w:tcPr>
          <w:p w14:paraId="636A4D5F">
            <w:pPr>
              <w:pStyle w:val="34"/>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w:t>
            </w:r>
          </w:p>
        </w:tc>
        <w:tc>
          <w:tcPr>
            <w:tcW w:w="1701" w:type="dxa"/>
            <w:vAlign w:val="center"/>
          </w:tcPr>
          <w:p w14:paraId="7344D974">
            <w:pPr>
              <w:pStyle w:val="34"/>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w:t>
            </w:r>
          </w:p>
        </w:tc>
        <w:tc>
          <w:tcPr>
            <w:tcW w:w="1559" w:type="dxa"/>
            <w:vAlign w:val="center"/>
          </w:tcPr>
          <w:p w14:paraId="5136109F">
            <w:pPr>
              <w:pStyle w:val="34"/>
              <w:spacing w:beforeLines="0" w:afterLines="0" w:line="240" w:lineRule="auto"/>
              <w:rPr>
                <w:rFonts w:hint="default" w:ascii="Times New Roman"/>
                <w:snapToGrid w:val="0"/>
                <w:color w:val="auto"/>
                <w:kern w:val="21"/>
                <w:szCs w:val="21"/>
                <w:lang w:val="en-US"/>
              </w:rPr>
            </w:pPr>
            <w:r>
              <w:rPr>
                <w:rFonts w:hint="eastAsia" w:ascii="Times New Roman"/>
                <w:snapToGrid w:val="0"/>
                <w:color w:val="auto"/>
                <w:kern w:val="21"/>
                <w:szCs w:val="21"/>
                <w:lang w:val="en-US" w:eastAsia="zh-CN"/>
              </w:rPr>
              <w:t>3.58万t/a</w:t>
            </w:r>
          </w:p>
        </w:tc>
        <w:tc>
          <w:tcPr>
            <w:tcW w:w="1761" w:type="dxa"/>
            <w:vAlign w:val="center"/>
          </w:tcPr>
          <w:p w14:paraId="3AABF1B7">
            <w:pPr>
              <w:pStyle w:val="34"/>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w:t>
            </w:r>
          </w:p>
        </w:tc>
        <w:tc>
          <w:tcPr>
            <w:tcW w:w="1433" w:type="dxa"/>
            <w:vAlign w:val="center"/>
          </w:tcPr>
          <w:p w14:paraId="09D117AA">
            <w:pPr>
              <w:pStyle w:val="34"/>
              <w:spacing w:beforeLines="0" w:afterLines="0" w:line="240" w:lineRule="auto"/>
              <w:rPr>
                <w:rFonts w:hint="default" w:ascii="Times New Roman"/>
                <w:snapToGrid w:val="0"/>
                <w:color w:val="auto"/>
                <w:kern w:val="21"/>
                <w:szCs w:val="21"/>
                <w:lang w:val="en-US"/>
              </w:rPr>
            </w:pPr>
            <w:r>
              <w:rPr>
                <w:rFonts w:hint="eastAsia" w:ascii="Times New Roman"/>
                <w:snapToGrid w:val="0"/>
                <w:color w:val="auto"/>
                <w:kern w:val="21"/>
                <w:szCs w:val="21"/>
                <w:lang w:val="en-US" w:eastAsia="zh-CN"/>
              </w:rPr>
              <w:t>3.58万t/a</w:t>
            </w:r>
          </w:p>
        </w:tc>
        <w:tc>
          <w:tcPr>
            <w:tcW w:w="1352" w:type="dxa"/>
            <w:vAlign w:val="center"/>
          </w:tcPr>
          <w:p w14:paraId="7375BA1E">
            <w:pPr>
              <w:pStyle w:val="34"/>
              <w:spacing w:beforeLines="0" w:afterLines="0" w:line="240" w:lineRule="auto"/>
              <w:rPr>
                <w:rFonts w:hint="default" w:ascii="Times New Roman"/>
                <w:snapToGrid w:val="0"/>
                <w:color w:val="auto"/>
                <w:kern w:val="21"/>
                <w:szCs w:val="21"/>
                <w:lang w:val="en-US"/>
              </w:rPr>
            </w:pPr>
            <w:r>
              <w:rPr>
                <w:rFonts w:hint="eastAsia" w:ascii="Times New Roman"/>
                <w:snapToGrid w:val="0"/>
                <w:color w:val="auto"/>
                <w:kern w:val="21"/>
                <w:szCs w:val="21"/>
                <w:lang w:val="en-US" w:eastAsia="zh-CN"/>
              </w:rPr>
              <w:t>/</w:t>
            </w:r>
          </w:p>
        </w:tc>
      </w:tr>
      <w:tr w14:paraId="64B923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1588" w:type="dxa"/>
            <w:vMerge w:val="continue"/>
            <w:vAlign w:val="center"/>
          </w:tcPr>
          <w:p w14:paraId="28ED69ED">
            <w:pPr>
              <w:pStyle w:val="34"/>
              <w:spacing w:beforeLines="0" w:afterLines="0" w:line="240" w:lineRule="auto"/>
              <w:rPr>
                <w:rFonts w:ascii="Times New Roman"/>
                <w:snapToGrid w:val="0"/>
                <w:color w:val="auto"/>
                <w:kern w:val="21"/>
                <w:szCs w:val="21"/>
              </w:rPr>
            </w:pPr>
          </w:p>
        </w:tc>
        <w:tc>
          <w:tcPr>
            <w:tcW w:w="1417" w:type="dxa"/>
            <w:vAlign w:val="center"/>
          </w:tcPr>
          <w:p w14:paraId="35CF9DB5">
            <w:pPr>
              <w:pStyle w:val="34"/>
              <w:spacing w:beforeLines="0" w:afterLines="0" w:line="240" w:lineRule="auto"/>
              <w:ind w:left="420" w:leftChars="0" w:hanging="420" w:hangingChars="200"/>
              <w:rPr>
                <w:rFonts w:hint="eastAsia" w:ascii="Times New Roman" w:hAnsi="Times New Roman" w:eastAsia="宋体" w:cs="Times New Roman"/>
                <w:snapToGrid w:val="0"/>
                <w:color w:val="auto"/>
                <w:kern w:val="21"/>
                <w:sz w:val="21"/>
                <w:szCs w:val="21"/>
                <w:lang w:val="en-US" w:eastAsia="zh-CN" w:bidi="ar-SA"/>
              </w:rPr>
            </w:pPr>
            <w:r>
              <w:rPr>
                <w:rFonts w:hint="eastAsia" w:ascii="Times New Roman"/>
                <w:snapToGrid w:val="0"/>
                <w:color w:val="auto"/>
                <w:kern w:val="21"/>
                <w:szCs w:val="21"/>
                <w:lang w:val="en-US" w:eastAsia="zh-CN"/>
              </w:rPr>
              <w:t>煤泥</w:t>
            </w:r>
          </w:p>
        </w:tc>
        <w:tc>
          <w:tcPr>
            <w:tcW w:w="1701" w:type="dxa"/>
            <w:shd w:val="clear" w:color="auto" w:fill="auto"/>
            <w:vAlign w:val="center"/>
          </w:tcPr>
          <w:p w14:paraId="20B01CAC">
            <w:pPr>
              <w:pStyle w:val="34"/>
              <w:spacing w:beforeLines="0" w:afterLines="0" w:line="240" w:lineRule="auto"/>
              <w:ind w:left="420" w:leftChars="0" w:hanging="420" w:hangingChars="200"/>
              <w:rPr>
                <w:rFonts w:hint="default" w:ascii="Times New Roman" w:hAnsi="Times New Roman" w:eastAsia="宋体" w:cs="Times New Roman"/>
                <w:snapToGrid w:val="0"/>
                <w:color w:val="auto"/>
                <w:kern w:val="21"/>
                <w:sz w:val="21"/>
                <w:szCs w:val="21"/>
                <w:lang w:val="en-US" w:eastAsia="zh-CN" w:bidi="ar-SA"/>
              </w:rPr>
            </w:pPr>
            <w:r>
              <w:rPr>
                <w:rFonts w:hint="eastAsia" w:ascii="Times New Roman"/>
                <w:snapToGrid w:val="0"/>
                <w:color w:val="auto"/>
                <w:kern w:val="21"/>
                <w:szCs w:val="21"/>
              </w:rPr>
              <w:t>0</w:t>
            </w:r>
          </w:p>
        </w:tc>
        <w:tc>
          <w:tcPr>
            <w:tcW w:w="1276" w:type="dxa"/>
            <w:vAlign w:val="center"/>
          </w:tcPr>
          <w:p w14:paraId="5B09CBF7">
            <w:pPr>
              <w:pStyle w:val="34"/>
              <w:spacing w:beforeLines="0" w:afterLines="0" w:line="240" w:lineRule="auto"/>
              <w:ind w:left="420" w:leftChars="0" w:hanging="420" w:hangingChars="200"/>
              <w:rPr>
                <w:rFonts w:ascii="Times New Roman" w:hAnsi="Times New Roman" w:eastAsia="宋体" w:cs="Times New Roman"/>
                <w:snapToGrid w:val="0"/>
                <w:color w:val="auto"/>
                <w:kern w:val="21"/>
                <w:sz w:val="21"/>
                <w:szCs w:val="21"/>
                <w:lang w:val="en-US" w:eastAsia="zh-CN" w:bidi="ar-SA"/>
              </w:rPr>
            </w:pPr>
            <w:r>
              <w:rPr>
                <w:rFonts w:hint="eastAsia" w:ascii="Times New Roman"/>
                <w:snapToGrid w:val="0"/>
                <w:color w:val="auto"/>
                <w:kern w:val="21"/>
                <w:szCs w:val="21"/>
              </w:rPr>
              <w:t>0</w:t>
            </w:r>
          </w:p>
        </w:tc>
        <w:tc>
          <w:tcPr>
            <w:tcW w:w="1701" w:type="dxa"/>
            <w:vAlign w:val="center"/>
          </w:tcPr>
          <w:p w14:paraId="1F12D3AE">
            <w:pPr>
              <w:pStyle w:val="34"/>
              <w:spacing w:beforeLines="0" w:afterLines="0" w:line="240" w:lineRule="auto"/>
              <w:ind w:left="420" w:leftChars="0" w:hanging="420" w:hangingChars="200"/>
              <w:rPr>
                <w:rFonts w:ascii="Times New Roman" w:hAnsi="Times New Roman" w:eastAsia="宋体" w:cs="Times New Roman"/>
                <w:snapToGrid w:val="0"/>
                <w:color w:val="auto"/>
                <w:kern w:val="21"/>
                <w:sz w:val="21"/>
                <w:szCs w:val="21"/>
                <w:lang w:val="en-US" w:eastAsia="zh-CN" w:bidi="ar-SA"/>
              </w:rPr>
            </w:pPr>
            <w:r>
              <w:rPr>
                <w:rFonts w:hint="eastAsia" w:ascii="Times New Roman"/>
                <w:snapToGrid w:val="0"/>
                <w:color w:val="auto"/>
                <w:kern w:val="21"/>
                <w:szCs w:val="21"/>
              </w:rPr>
              <w:t>0</w:t>
            </w:r>
          </w:p>
        </w:tc>
        <w:tc>
          <w:tcPr>
            <w:tcW w:w="1559" w:type="dxa"/>
            <w:vAlign w:val="center"/>
          </w:tcPr>
          <w:p w14:paraId="549DC964">
            <w:pPr>
              <w:pStyle w:val="34"/>
              <w:spacing w:beforeLines="0" w:afterLines="0" w:line="240" w:lineRule="auto"/>
              <w:ind w:left="420" w:leftChars="0" w:hanging="420" w:hangingChars="200"/>
              <w:rPr>
                <w:rFonts w:hint="default" w:ascii="Times New Roman" w:hAnsi="Times New Roman" w:eastAsia="宋体" w:cs="Times New Roman"/>
                <w:snapToGrid w:val="0"/>
                <w:color w:val="auto"/>
                <w:kern w:val="21"/>
                <w:sz w:val="21"/>
                <w:szCs w:val="21"/>
                <w:lang w:val="en-US" w:eastAsia="zh-CN" w:bidi="ar-SA"/>
              </w:rPr>
            </w:pPr>
            <w:r>
              <w:rPr>
                <w:rFonts w:hint="eastAsia" w:ascii="Times New Roman"/>
                <w:snapToGrid w:val="0"/>
                <w:color w:val="auto"/>
                <w:kern w:val="21"/>
                <w:szCs w:val="21"/>
                <w:lang w:val="en-US" w:eastAsia="zh-CN"/>
              </w:rPr>
              <w:t>1.34万t/a</w:t>
            </w:r>
          </w:p>
        </w:tc>
        <w:tc>
          <w:tcPr>
            <w:tcW w:w="1761" w:type="dxa"/>
            <w:vAlign w:val="center"/>
          </w:tcPr>
          <w:p w14:paraId="114FAE73">
            <w:pPr>
              <w:pStyle w:val="34"/>
              <w:spacing w:beforeLines="0" w:afterLines="0" w:line="240" w:lineRule="auto"/>
              <w:ind w:left="420" w:leftChars="0" w:hanging="420" w:hangingChars="200"/>
              <w:rPr>
                <w:rFonts w:ascii="Times New Roman" w:hAnsi="Times New Roman" w:eastAsia="宋体" w:cs="Times New Roman"/>
                <w:snapToGrid w:val="0"/>
                <w:color w:val="auto"/>
                <w:kern w:val="21"/>
                <w:sz w:val="21"/>
                <w:szCs w:val="21"/>
                <w:lang w:val="en-US" w:eastAsia="zh-CN" w:bidi="ar-SA"/>
              </w:rPr>
            </w:pPr>
            <w:r>
              <w:rPr>
                <w:rFonts w:hint="eastAsia" w:ascii="Times New Roman"/>
                <w:snapToGrid w:val="0"/>
                <w:color w:val="auto"/>
                <w:kern w:val="21"/>
                <w:szCs w:val="21"/>
              </w:rPr>
              <w:t>0</w:t>
            </w:r>
          </w:p>
        </w:tc>
        <w:tc>
          <w:tcPr>
            <w:tcW w:w="1433" w:type="dxa"/>
            <w:vAlign w:val="center"/>
          </w:tcPr>
          <w:p w14:paraId="5D9731C0">
            <w:pPr>
              <w:pStyle w:val="34"/>
              <w:spacing w:beforeLines="0" w:afterLines="0" w:line="240" w:lineRule="auto"/>
              <w:ind w:left="420" w:leftChars="0" w:hanging="420" w:hangingChars="200"/>
              <w:rPr>
                <w:rFonts w:hint="default" w:ascii="Times New Roman" w:hAnsi="Times New Roman" w:eastAsia="宋体" w:cs="Times New Roman"/>
                <w:snapToGrid w:val="0"/>
                <w:color w:val="auto"/>
                <w:kern w:val="21"/>
                <w:sz w:val="21"/>
                <w:szCs w:val="21"/>
                <w:lang w:val="en-US" w:eastAsia="zh-CN" w:bidi="ar-SA"/>
              </w:rPr>
            </w:pPr>
            <w:r>
              <w:rPr>
                <w:rFonts w:hint="eastAsia" w:ascii="Times New Roman"/>
                <w:snapToGrid w:val="0"/>
                <w:color w:val="auto"/>
                <w:kern w:val="21"/>
                <w:szCs w:val="21"/>
                <w:lang w:val="en-US" w:eastAsia="zh-CN"/>
              </w:rPr>
              <w:t>1.34万t/a</w:t>
            </w:r>
          </w:p>
        </w:tc>
        <w:tc>
          <w:tcPr>
            <w:tcW w:w="1352" w:type="dxa"/>
            <w:vAlign w:val="center"/>
          </w:tcPr>
          <w:p w14:paraId="598875F7">
            <w:pPr>
              <w:pStyle w:val="34"/>
              <w:spacing w:beforeLines="0" w:afterLines="0" w:line="240" w:lineRule="auto"/>
              <w:ind w:left="420" w:leftChars="0" w:hanging="420" w:hangingChars="200"/>
              <w:rPr>
                <w:rFonts w:hint="default" w:ascii="Times New Roman" w:hAnsi="Times New Roman" w:eastAsia="宋体" w:cs="Times New Roman"/>
                <w:snapToGrid w:val="0"/>
                <w:color w:val="auto"/>
                <w:kern w:val="21"/>
                <w:sz w:val="21"/>
                <w:szCs w:val="21"/>
                <w:lang w:val="en-US" w:eastAsia="zh-CN" w:bidi="ar-SA"/>
              </w:rPr>
            </w:pPr>
            <w:r>
              <w:rPr>
                <w:rFonts w:hint="eastAsia" w:ascii="Times New Roman"/>
                <w:snapToGrid w:val="0"/>
                <w:color w:val="auto"/>
                <w:kern w:val="21"/>
                <w:szCs w:val="21"/>
                <w:lang w:val="en-US" w:eastAsia="zh-CN"/>
              </w:rPr>
              <w:t>/</w:t>
            </w:r>
          </w:p>
        </w:tc>
      </w:tr>
      <w:tr w14:paraId="6732C2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1588" w:type="dxa"/>
            <w:vMerge w:val="continue"/>
            <w:vAlign w:val="center"/>
          </w:tcPr>
          <w:p w14:paraId="0762FFDE">
            <w:pPr>
              <w:pStyle w:val="34"/>
              <w:spacing w:beforeLines="0" w:afterLines="0" w:line="240" w:lineRule="auto"/>
              <w:rPr>
                <w:rFonts w:ascii="Times New Roman"/>
                <w:snapToGrid w:val="0"/>
                <w:color w:val="auto"/>
                <w:kern w:val="21"/>
                <w:szCs w:val="21"/>
              </w:rPr>
            </w:pPr>
          </w:p>
        </w:tc>
        <w:tc>
          <w:tcPr>
            <w:tcW w:w="1417" w:type="dxa"/>
            <w:vAlign w:val="center"/>
          </w:tcPr>
          <w:p w14:paraId="09D6D670">
            <w:pPr>
              <w:pStyle w:val="34"/>
              <w:spacing w:beforeLines="0" w:afterLines="0" w:line="240" w:lineRule="auto"/>
              <w:ind w:left="420" w:leftChars="0" w:hanging="420" w:hangingChars="200"/>
              <w:rPr>
                <w:rFonts w:hint="default" w:ascii="Times New Roman" w:hAnsi="Times New Roman" w:eastAsia="宋体" w:cs="Times New Roman"/>
                <w:snapToGrid w:val="0"/>
                <w:color w:val="auto"/>
                <w:kern w:val="21"/>
                <w:sz w:val="21"/>
                <w:szCs w:val="21"/>
                <w:lang w:val="en-US" w:eastAsia="zh-CN" w:bidi="ar-SA"/>
              </w:rPr>
            </w:pPr>
            <w:r>
              <w:rPr>
                <w:rFonts w:hint="eastAsia" w:ascii="Times New Roman"/>
                <w:snapToGrid w:val="0"/>
                <w:color w:val="auto"/>
                <w:kern w:val="21"/>
                <w:szCs w:val="21"/>
                <w:lang w:val="en-US" w:eastAsia="zh-CN"/>
              </w:rPr>
              <w:t>收集尘</w:t>
            </w:r>
          </w:p>
        </w:tc>
        <w:tc>
          <w:tcPr>
            <w:tcW w:w="1701" w:type="dxa"/>
            <w:shd w:val="clear" w:color="auto" w:fill="auto"/>
            <w:vAlign w:val="center"/>
          </w:tcPr>
          <w:p w14:paraId="181411AE">
            <w:pPr>
              <w:pStyle w:val="34"/>
              <w:spacing w:beforeLines="0" w:afterLines="0" w:line="240" w:lineRule="auto"/>
              <w:ind w:left="420" w:leftChars="0" w:hanging="420" w:hangingChars="200"/>
              <w:rPr>
                <w:rFonts w:hint="default" w:ascii="Times New Roman" w:hAnsi="Times New Roman" w:eastAsia="宋体" w:cs="Times New Roman"/>
                <w:snapToGrid w:val="0"/>
                <w:color w:val="auto"/>
                <w:kern w:val="21"/>
                <w:sz w:val="21"/>
                <w:szCs w:val="21"/>
                <w:lang w:val="en-US" w:eastAsia="zh-CN" w:bidi="ar-SA"/>
              </w:rPr>
            </w:pPr>
            <w:r>
              <w:rPr>
                <w:rFonts w:hint="eastAsia" w:ascii="Times New Roman"/>
                <w:snapToGrid w:val="0"/>
                <w:color w:val="auto"/>
                <w:kern w:val="21"/>
                <w:szCs w:val="21"/>
              </w:rPr>
              <w:t>0</w:t>
            </w:r>
          </w:p>
        </w:tc>
        <w:tc>
          <w:tcPr>
            <w:tcW w:w="1276" w:type="dxa"/>
            <w:vAlign w:val="center"/>
          </w:tcPr>
          <w:p w14:paraId="0F9E1A6E">
            <w:pPr>
              <w:pStyle w:val="34"/>
              <w:spacing w:beforeLines="0" w:afterLines="0" w:line="240" w:lineRule="auto"/>
              <w:ind w:left="420" w:leftChars="0" w:hanging="420" w:hangingChars="200"/>
              <w:rPr>
                <w:rFonts w:ascii="Times New Roman" w:hAnsi="Times New Roman" w:eastAsia="宋体" w:cs="Times New Roman"/>
                <w:snapToGrid w:val="0"/>
                <w:color w:val="auto"/>
                <w:kern w:val="21"/>
                <w:sz w:val="21"/>
                <w:szCs w:val="21"/>
                <w:lang w:val="en-US" w:eastAsia="zh-CN" w:bidi="ar-SA"/>
              </w:rPr>
            </w:pPr>
            <w:r>
              <w:rPr>
                <w:rFonts w:hint="eastAsia" w:ascii="Times New Roman"/>
                <w:snapToGrid w:val="0"/>
                <w:color w:val="auto"/>
                <w:kern w:val="21"/>
                <w:szCs w:val="21"/>
              </w:rPr>
              <w:t>0</w:t>
            </w:r>
          </w:p>
        </w:tc>
        <w:tc>
          <w:tcPr>
            <w:tcW w:w="1701" w:type="dxa"/>
            <w:vAlign w:val="center"/>
          </w:tcPr>
          <w:p w14:paraId="04774C4C">
            <w:pPr>
              <w:pStyle w:val="34"/>
              <w:spacing w:beforeLines="0" w:afterLines="0" w:line="240" w:lineRule="auto"/>
              <w:ind w:left="420" w:leftChars="0" w:hanging="420" w:hangingChars="200"/>
              <w:rPr>
                <w:rFonts w:ascii="Times New Roman" w:hAnsi="Times New Roman" w:eastAsia="宋体" w:cs="Times New Roman"/>
                <w:snapToGrid w:val="0"/>
                <w:color w:val="auto"/>
                <w:kern w:val="21"/>
                <w:sz w:val="21"/>
                <w:szCs w:val="21"/>
                <w:lang w:val="en-US" w:eastAsia="zh-CN" w:bidi="ar-SA"/>
              </w:rPr>
            </w:pPr>
            <w:r>
              <w:rPr>
                <w:rFonts w:hint="eastAsia" w:ascii="Times New Roman"/>
                <w:snapToGrid w:val="0"/>
                <w:color w:val="auto"/>
                <w:kern w:val="21"/>
                <w:szCs w:val="21"/>
              </w:rPr>
              <w:t>0</w:t>
            </w:r>
          </w:p>
        </w:tc>
        <w:tc>
          <w:tcPr>
            <w:tcW w:w="1559" w:type="dxa"/>
            <w:vAlign w:val="center"/>
          </w:tcPr>
          <w:p w14:paraId="3E79D878">
            <w:pPr>
              <w:pStyle w:val="34"/>
              <w:spacing w:beforeLines="0" w:afterLines="0" w:line="240" w:lineRule="auto"/>
              <w:ind w:left="420" w:leftChars="0" w:hanging="420" w:hangingChars="200"/>
              <w:rPr>
                <w:rFonts w:hint="default" w:ascii="Times New Roman" w:hAnsi="Times New Roman" w:eastAsia="宋体" w:cs="Times New Roman"/>
                <w:snapToGrid w:val="0"/>
                <w:color w:val="auto"/>
                <w:kern w:val="21"/>
                <w:sz w:val="21"/>
                <w:szCs w:val="21"/>
                <w:lang w:val="en-US" w:eastAsia="zh-CN" w:bidi="ar-SA"/>
              </w:rPr>
            </w:pPr>
            <w:r>
              <w:rPr>
                <w:rFonts w:hint="eastAsia" w:ascii="Times New Roman"/>
                <w:snapToGrid w:val="0"/>
                <w:color w:val="auto"/>
                <w:kern w:val="21"/>
                <w:szCs w:val="21"/>
                <w:lang w:val="en-US" w:eastAsia="zh-CN"/>
              </w:rPr>
              <w:t>769.824t/a</w:t>
            </w:r>
          </w:p>
        </w:tc>
        <w:tc>
          <w:tcPr>
            <w:tcW w:w="1761" w:type="dxa"/>
            <w:vAlign w:val="center"/>
          </w:tcPr>
          <w:p w14:paraId="25ACE6FD">
            <w:pPr>
              <w:pStyle w:val="34"/>
              <w:spacing w:beforeLines="0" w:afterLines="0" w:line="240" w:lineRule="auto"/>
              <w:ind w:left="420" w:leftChars="0" w:hanging="420" w:hangingChars="200"/>
              <w:rPr>
                <w:rFonts w:ascii="Times New Roman" w:hAnsi="Times New Roman" w:eastAsia="宋体" w:cs="Times New Roman"/>
                <w:snapToGrid w:val="0"/>
                <w:color w:val="auto"/>
                <w:kern w:val="21"/>
                <w:sz w:val="21"/>
                <w:szCs w:val="21"/>
                <w:lang w:val="en-US" w:eastAsia="zh-CN" w:bidi="ar-SA"/>
              </w:rPr>
            </w:pPr>
            <w:r>
              <w:rPr>
                <w:rFonts w:hint="eastAsia" w:ascii="Times New Roman"/>
                <w:snapToGrid w:val="0"/>
                <w:color w:val="auto"/>
                <w:kern w:val="21"/>
                <w:szCs w:val="21"/>
              </w:rPr>
              <w:t>0</w:t>
            </w:r>
          </w:p>
        </w:tc>
        <w:tc>
          <w:tcPr>
            <w:tcW w:w="1433" w:type="dxa"/>
            <w:vAlign w:val="center"/>
          </w:tcPr>
          <w:p w14:paraId="3158063F">
            <w:pPr>
              <w:pStyle w:val="34"/>
              <w:spacing w:beforeLines="0" w:afterLines="0" w:line="240" w:lineRule="auto"/>
              <w:ind w:left="420" w:leftChars="0" w:hanging="420" w:hangingChars="200"/>
              <w:rPr>
                <w:rFonts w:hint="default" w:ascii="Times New Roman" w:hAnsi="Times New Roman" w:eastAsia="宋体" w:cs="Times New Roman"/>
                <w:snapToGrid w:val="0"/>
                <w:color w:val="auto"/>
                <w:kern w:val="21"/>
                <w:sz w:val="21"/>
                <w:szCs w:val="21"/>
                <w:lang w:val="en-US" w:eastAsia="zh-CN" w:bidi="ar-SA"/>
              </w:rPr>
            </w:pPr>
            <w:r>
              <w:rPr>
                <w:rFonts w:hint="eastAsia" w:ascii="Times New Roman"/>
                <w:snapToGrid w:val="0"/>
                <w:color w:val="auto"/>
                <w:kern w:val="21"/>
                <w:szCs w:val="21"/>
                <w:lang w:val="en-US" w:eastAsia="zh-CN"/>
              </w:rPr>
              <w:t>769.824t/a</w:t>
            </w:r>
          </w:p>
        </w:tc>
        <w:tc>
          <w:tcPr>
            <w:tcW w:w="1352" w:type="dxa"/>
            <w:vAlign w:val="center"/>
          </w:tcPr>
          <w:p w14:paraId="50A06973">
            <w:pPr>
              <w:pStyle w:val="34"/>
              <w:spacing w:beforeLines="0" w:afterLines="0" w:line="240" w:lineRule="auto"/>
              <w:ind w:left="420" w:leftChars="0" w:hanging="420" w:hangingChars="200"/>
              <w:rPr>
                <w:rFonts w:hint="default" w:ascii="Times New Roman" w:hAnsi="Times New Roman" w:eastAsia="宋体" w:cs="Times New Roman"/>
                <w:snapToGrid w:val="0"/>
                <w:color w:val="auto"/>
                <w:kern w:val="21"/>
                <w:sz w:val="21"/>
                <w:szCs w:val="21"/>
                <w:lang w:val="en-US" w:eastAsia="zh-CN" w:bidi="ar-SA"/>
              </w:rPr>
            </w:pPr>
            <w:r>
              <w:rPr>
                <w:rFonts w:hint="eastAsia" w:ascii="Times New Roman"/>
                <w:snapToGrid w:val="0"/>
                <w:color w:val="auto"/>
                <w:kern w:val="21"/>
                <w:szCs w:val="21"/>
                <w:lang w:val="en-US" w:eastAsia="zh-CN"/>
              </w:rPr>
              <w:t>/</w:t>
            </w:r>
          </w:p>
        </w:tc>
      </w:tr>
      <w:tr w14:paraId="143AF7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1588" w:type="dxa"/>
            <w:vAlign w:val="center"/>
          </w:tcPr>
          <w:p w14:paraId="7BC03589">
            <w:pPr>
              <w:pStyle w:val="34"/>
              <w:spacing w:beforeLines="0" w:afterLines="0" w:line="240" w:lineRule="auto"/>
              <w:rPr>
                <w:rFonts w:ascii="Times New Roman"/>
                <w:snapToGrid w:val="0"/>
                <w:color w:val="auto"/>
                <w:kern w:val="21"/>
                <w:szCs w:val="21"/>
              </w:rPr>
            </w:pPr>
            <w:r>
              <w:rPr>
                <w:rFonts w:ascii="Times New Roman"/>
                <w:snapToGrid w:val="0"/>
                <w:color w:val="auto"/>
                <w:kern w:val="21"/>
                <w:szCs w:val="21"/>
              </w:rPr>
              <w:t>危险废物</w:t>
            </w:r>
          </w:p>
        </w:tc>
        <w:tc>
          <w:tcPr>
            <w:tcW w:w="1417" w:type="dxa"/>
            <w:vAlign w:val="center"/>
          </w:tcPr>
          <w:p w14:paraId="23786715">
            <w:pPr>
              <w:pStyle w:val="34"/>
              <w:spacing w:beforeLines="0" w:afterLines="0" w:line="240" w:lineRule="auto"/>
              <w:rPr>
                <w:rFonts w:hint="eastAsia" w:ascii="Times New Roman" w:eastAsia="宋体"/>
                <w:snapToGrid w:val="0"/>
                <w:color w:val="auto"/>
                <w:kern w:val="21"/>
                <w:szCs w:val="21"/>
                <w:lang w:eastAsia="zh-CN"/>
              </w:rPr>
            </w:pPr>
            <w:r>
              <w:rPr>
                <w:rFonts w:hint="eastAsia" w:ascii="Times New Roman"/>
                <w:snapToGrid w:val="0"/>
                <w:color w:val="auto"/>
                <w:kern w:val="21"/>
                <w:szCs w:val="21"/>
                <w:lang w:eastAsia="zh-CN"/>
              </w:rPr>
              <w:t>废</w:t>
            </w:r>
            <w:r>
              <w:rPr>
                <w:rFonts w:hint="eastAsia" w:ascii="Times New Roman"/>
                <w:snapToGrid w:val="0"/>
                <w:color w:val="auto"/>
                <w:kern w:val="21"/>
                <w:szCs w:val="21"/>
                <w:lang w:val="en-US" w:eastAsia="zh-CN"/>
              </w:rPr>
              <w:t>机油</w:t>
            </w:r>
          </w:p>
        </w:tc>
        <w:tc>
          <w:tcPr>
            <w:tcW w:w="1701" w:type="dxa"/>
            <w:shd w:val="clear" w:color="auto" w:fill="auto"/>
            <w:vAlign w:val="center"/>
          </w:tcPr>
          <w:p w14:paraId="3812D838">
            <w:pPr>
              <w:pStyle w:val="34"/>
              <w:spacing w:beforeLines="0" w:afterLines="0" w:line="240" w:lineRule="auto"/>
              <w:ind w:left="420" w:leftChars="0" w:hanging="420" w:hangingChars="200"/>
              <w:rPr>
                <w:rFonts w:hint="default" w:ascii="Times New Roman" w:hAnsi="Times New Roman" w:eastAsia="宋体" w:cs="Times New Roman"/>
                <w:snapToGrid w:val="0"/>
                <w:color w:val="auto"/>
                <w:kern w:val="21"/>
                <w:sz w:val="21"/>
                <w:szCs w:val="21"/>
                <w:lang w:val="en-US" w:eastAsia="zh-CN" w:bidi="ar-SA"/>
              </w:rPr>
            </w:pPr>
            <w:r>
              <w:rPr>
                <w:rFonts w:hint="eastAsia" w:ascii="Times New Roman"/>
                <w:snapToGrid w:val="0"/>
                <w:color w:val="auto"/>
                <w:kern w:val="21"/>
                <w:szCs w:val="21"/>
              </w:rPr>
              <w:t>0</w:t>
            </w:r>
          </w:p>
        </w:tc>
        <w:tc>
          <w:tcPr>
            <w:tcW w:w="1276" w:type="dxa"/>
            <w:vAlign w:val="center"/>
          </w:tcPr>
          <w:p w14:paraId="1392A744">
            <w:pPr>
              <w:pStyle w:val="34"/>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w:t>
            </w:r>
          </w:p>
        </w:tc>
        <w:tc>
          <w:tcPr>
            <w:tcW w:w="1701" w:type="dxa"/>
            <w:vAlign w:val="center"/>
          </w:tcPr>
          <w:p w14:paraId="5852C27D">
            <w:pPr>
              <w:pStyle w:val="34"/>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w:t>
            </w:r>
          </w:p>
        </w:tc>
        <w:tc>
          <w:tcPr>
            <w:tcW w:w="1559" w:type="dxa"/>
            <w:vAlign w:val="center"/>
          </w:tcPr>
          <w:p w14:paraId="32AE69EF">
            <w:pPr>
              <w:pStyle w:val="34"/>
              <w:spacing w:beforeLines="0" w:afterLines="0" w:line="240" w:lineRule="auto"/>
              <w:rPr>
                <w:rFonts w:ascii="Times New Roman"/>
                <w:snapToGrid w:val="0"/>
                <w:color w:val="auto"/>
                <w:kern w:val="21"/>
                <w:szCs w:val="21"/>
              </w:rPr>
            </w:pPr>
            <w:r>
              <w:rPr>
                <w:rFonts w:hint="eastAsia" w:ascii="Times New Roman"/>
                <w:snapToGrid w:val="0"/>
                <w:color w:val="auto"/>
                <w:kern w:val="21"/>
                <w:szCs w:val="21"/>
                <w:lang w:val="en-US" w:eastAsia="zh-CN"/>
              </w:rPr>
              <w:t>0.05</w:t>
            </w:r>
            <w:r>
              <w:rPr>
                <w:rFonts w:hint="eastAsia" w:ascii="Times New Roman"/>
                <w:snapToGrid w:val="0"/>
                <w:color w:val="auto"/>
                <w:kern w:val="21"/>
                <w:szCs w:val="21"/>
              </w:rPr>
              <w:t>t/a</w:t>
            </w:r>
          </w:p>
        </w:tc>
        <w:tc>
          <w:tcPr>
            <w:tcW w:w="1761" w:type="dxa"/>
            <w:vAlign w:val="center"/>
          </w:tcPr>
          <w:p w14:paraId="782856B7">
            <w:pPr>
              <w:pStyle w:val="34"/>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w:t>
            </w:r>
          </w:p>
        </w:tc>
        <w:tc>
          <w:tcPr>
            <w:tcW w:w="1433" w:type="dxa"/>
            <w:vAlign w:val="center"/>
          </w:tcPr>
          <w:p w14:paraId="670992FF">
            <w:pPr>
              <w:pStyle w:val="34"/>
              <w:spacing w:beforeLines="0" w:afterLines="0" w:line="240" w:lineRule="auto"/>
              <w:rPr>
                <w:rFonts w:hint="default" w:ascii="Times New Roman"/>
                <w:snapToGrid w:val="0"/>
                <w:color w:val="auto"/>
                <w:kern w:val="21"/>
                <w:szCs w:val="21"/>
                <w:lang w:val="en-US"/>
              </w:rPr>
            </w:pPr>
            <w:r>
              <w:rPr>
                <w:rFonts w:hint="eastAsia" w:ascii="Times New Roman"/>
                <w:snapToGrid w:val="0"/>
                <w:color w:val="auto"/>
                <w:kern w:val="21"/>
                <w:szCs w:val="21"/>
                <w:lang w:val="en-US" w:eastAsia="zh-CN"/>
              </w:rPr>
              <w:t>0.05t/a</w:t>
            </w:r>
          </w:p>
        </w:tc>
        <w:tc>
          <w:tcPr>
            <w:tcW w:w="1352" w:type="dxa"/>
            <w:vAlign w:val="center"/>
          </w:tcPr>
          <w:p w14:paraId="7D1A8157">
            <w:pPr>
              <w:pStyle w:val="34"/>
              <w:spacing w:beforeLines="0" w:afterLines="0" w:line="240" w:lineRule="auto"/>
              <w:rPr>
                <w:rFonts w:hint="default" w:ascii="Times New Roman"/>
                <w:snapToGrid w:val="0"/>
                <w:color w:val="auto"/>
                <w:kern w:val="21"/>
                <w:szCs w:val="21"/>
                <w:lang w:val="en-US"/>
              </w:rPr>
            </w:pPr>
            <w:r>
              <w:rPr>
                <w:rFonts w:hint="eastAsia" w:ascii="Times New Roman"/>
                <w:snapToGrid w:val="0"/>
                <w:color w:val="auto"/>
                <w:kern w:val="21"/>
                <w:szCs w:val="21"/>
                <w:lang w:val="en-US" w:eastAsia="zh-CN"/>
              </w:rPr>
              <w:t>/</w:t>
            </w:r>
          </w:p>
        </w:tc>
      </w:tr>
      <w:tr w14:paraId="32C450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1588" w:type="dxa"/>
            <w:vAlign w:val="center"/>
          </w:tcPr>
          <w:p w14:paraId="038B1254">
            <w:pPr>
              <w:pStyle w:val="34"/>
              <w:spacing w:beforeLines="0" w:afterLines="0" w:line="240" w:lineRule="auto"/>
              <w:rPr>
                <w:rFonts w:hint="eastAsia"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生活垃圾</w:t>
            </w:r>
          </w:p>
        </w:tc>
        <w:tc>
          <w:tcPr>
            <w:tcW w:w="1417" w:type="dxa"/>
            <w:vAlign w:val="center"/>
          </w:tcPr>
          <w:p w14:paraId="32852445">
            <w:pPr>
              <w:pStyle w:val="34"/>
              <w:spacing w:beforeLines="0" w:afterLines="0" w:line="240" w:lineRule="auto"/>
              <w:rPr>
                <w:rFonts w:hint="default" w:ascii="Times New Roman"/>
                <w:snapToGrid w:val="0"/>
                <w:color w:val="auto"/>
                <w:kern w:val="21"/>
                <w:szCs w:val="21"/>
                <w:lang w:val="en-US" w:eastAsia="zh-CN"/>
              </w:rPr>
            </w:pPr>
            <w:r>
              <w:rPr>
                <w:rFonts w:hint="eastAsia" w:ascii="Times New Roman"/>
                <w:snapToGrid w:val="0"/>
                <w:color w:val="auto"/>
                <w:kern w:val="21"/>
                <w:szCs w:val="21"/>
                <w:lang w:val="en-US" w:eastAsia="zh-CN"/>
              </w:rPr>
              <w:t>生活垃圾</w:t>
            </w:r>
          </w:p>
        </w:tc>
        <w:tc>
          <w:tcPr>
            <w:tcW w:w="1701" w:type="dxa"/>
            <w:shd w:val="clear" w:color="auto" w:fill="auto"/>
            <w:vAlign w:val="center"/>
          </w:tcPr>
          <w:p w14:paraId="3B27E072">
            <w:pPr>
              <w:pStyle w:val="34"/>
              <w:spacing w:beforeLines="0" w:afterLines="0" w:line="240" w:lineRule="auto"/>
              <w:ind w:left="420" w:leftChars="0" w:hanging="420" w:hangingChars="200"/>
              <w:rPr>
                <w:rFonts w:hint="eastAsia" w:ascii="Times New Roman" w:hAnsi="Times New Roman" w:eastAsia="宋体" w:cs="Times New Roman"/>
                <w:snapToGrid w:val="0"/>
                <w:color w:val="auto"/>
                <w:kern w:val="21"/>
                <w:sz w:val="21"/>
                <w:szCs w:val="21"/>
                <w:lang w:val="en-US" w:eastAsia="zh-CN" w:bidi="ar-SA"/>
              </w:rPr>
            </w:pPr>
            <w:r>
              <w:rPr>
                <w:rFonts w:hint="eastAsia" w:ascii="Times New Roman"/>
                <w:snapToGrid w:val="0"/>
                <w:color w:val="auto"/>
                <w:kern w:val="21"/>
                <w:szCs w:val="21"/>
              </w:rPr>
              <w:t>0</w:t>
            </w:r>
          </w:p>
        </w:tc>
        <w:tc>
          <w:tcPr>
            <w:tcW w:w="1276" w:type="dxa"/>
            <w:vAlign w:val="center"/>
          </w:tcPr>
          <w:p w14:paraId="1B4F5C73">
            <w:pPr>
              <w:pStyle w:val="34"/>
              <w:spacing w:beforeLines="0" w:afterLines="0" w:line="240" w:lineRule="auto"/>
              <w:ind w:left="420" w:leftChars="0" w:hanging="420" w:hangingChars="200"/>
              <w:rPr>
                <w:rFonts w:hint="eastAsia" w:ascii="Times New Roman" w:hAnsi="Times New Roman" w:eastAsia="宋体" w:cs="Times New Roman"/>
                <w:snapToGrid w:val="0"/>
                <w:color w:val="auto"/>
                <w:kern w:val="21"/>
                <w:sz w:val="21"/>
                <w:szCs w:val="21"/>
                <w:lang w:val="en-US" w:eastAsia="zh-CN" w:bidi="ar-SA"/>
              </w:rPr>
            </w:pPr>
            <w:r>
              <w:rPr>
                <w:rFonts w:hint="eastAsia" w:ascii="Times New Roman"/>
                <w:snapToGrid w:val="0"/>
                <w:color w:val="auto"/>
                <w:kern w:val="21"/>
                <w:szCs w:val="21"/>
              </w:rPr>
              <w:t>0</w:t>
            </w:r>
          </w:p>
        </w:tc>
        <w:tc>
          <w:tcPr>
            <w:tcW w:w="1701" w:type="dxa"/>
            <w:vAlign w:val="center"/>
          </w:tcPr>
          <w:p w14:paraId="2770D8BC">
            <w:pPr>
              <w:pStyle w:val="34"/>
              <w:spacing w:beforeLines="0" w:afterLines="0" w:line="240" w:lineRule="auto"/>
              <w:ind w:left="420" w:leftChars="0" w:hanging="420" w:hangingChars="200"/>
              <w:rPr>
                <w:rFonts w:hint="eastAsia" w:ascii="Times New Roman" w:hAnsi="Times New Roman" w:eastAsia="宋体" w:cs="Times New Roman"/>
                <w:snapToGrid w:val="0"/>
                <w:color w:val="auto"/>
                <w:kern w:val="21"/>
                <w:sz w:val="21"/>
                <w:szCs w:val="21"/>
                <w:lang w:val="en-US" w:eastAsia="zh-CN" w:bidi="ar-SA"/>
              </w:rPr>
            </w:pPr>
            <w:r>
              <w:rPr>
                <w:rFonts w:hint="eastAsia" w:ascii="Times New Roman"/>
                <w:snapToGrid w:val="0"/>
                <w:color w:val="auto"/>
                <w:kern w:val="21"/>
                <w:szCs w:val="21"/>
              </w:rPr>
              <w:t>0</w:t>
            </w:r>
          </w:p>
        </w:tc>
        <w:tc>
          <w:tcPr>
            <w:tcW w:w="1559" w:type="dxa"/>
            <w:vAlign w:val="center"/>
          </w:tcPr>
          <w:p w14:paraId="7B72A273">
            <w:pPr>
              <w:pStyle w:val="34"/>
              <w:spacing w:beforeLines="0" w:afterLines="0" w:line="240" w:lineRule="auto"/>
              <w:ind w:left="420" w:leftChars="0" w:hanging="420" w:hangingChars="200"/>
              <w:rPr>
                <w:rFonts w:hint="eastAsia" w:ascii="Times New Roman" w:hAnsi="Times New Roman" w:eastAsia="宋体" w:cs="Times New Roman"/>
                <w:snapToGrid w:val="0"/>
                <w:color w:val="auto"/>
                <w:kern w:val="21"/>
                <w:sz w:val="21"/>
                <w:szCs w:val="21"/>
                <w:lang w:val="en-US" w:eastAsia="zh-CN" w:bidi="ar-SA"/>
              </w:rPr>
            </w:pPr>
            <w:r>
              <w:rPr>
                <w:rFonts w:hint="eastAsia" w:ascii="Times New Roman"/>
                <w:snapToGrid w:val="0"/>
                <w:color w:val="auto"/>
                <w:kern w:val="21"/>
                <w:szCs w:val="21"/>
                <w:lang w:val="en-US" w:eastAsia="zh-CN"/>
              </w:rPr>
              <w:t>6t/a</w:t>
            </w:r>
          </w:p>
        </w:tc>
        <w:tc>
          <w:tcPr>
            <w:tcW w:w="1761" w:type="dxa"/>
            <w:vAlign w:val="center"/>
          </w:tcPr>
          <w:p w14:paraId="53A07ED9">
            <w:pPr>
              <w:pStyle w:val="34"/>
              <w:spacing w:beforeLines="0" w:afterLines="0" w:line="240" w:lineRule="auto"/>
              <w:ind w:left="420" w:leftChars="0" w:hanging="420" w:hangingChars="200"/>
              <w:rPr>
                <w:rFonts w:hint="eastAsia" w:ascii="Times New Roman" w:hAnsi="Times New Roman" w:eastAsia="宋体" w:cs="Times New Roman"/>
                <w:snapToGrid w:val="0"/>
                <w:color w:val="auto"/>
                <w:kern w:val="21"/>
                <w:sz w:val="21"/>
                <w:szCs w:val="21"/>
                <w:lang w:val="en-US" w:eastAsia="zh-CN" w:bidi="ar-SA"/>
              </w:rPr>
            </w:pPr>
            <w:r>
              <w:rPr>
                <w:rFonts w:hint="eastAsia" w:ascii="Times New Roman"/>
                <w:snapToGrid w:val="0"/>
                <w:color w:val="auto"/>
                <w:kern w:val="21"/>
                <w:szCs w:val="21"/>
              </w:rPr>
              <w:t>0</w:t>
            </w:r>
          </w:p>
        </w:tc>
        <w:tc>
          <w:tcPr>
            <w:tcW w:w="1433" w:type="dxa"/>
            <w:vAlign w:val="center"/>
          </w:tcPr>
          <w:p w14:paraId="387B0917">
            <w:pPr>
              <w:pStyle w:val="34"/>
              <w:spacing w:beforeLines="0" w:afterLines="0" w:line="240" w:lineRule="auto"/>
              <w:ind w:left="420" w:leftChars="0" w:hanging="420" w:hangingChars="200"/>
              <w:rPr>
                <w:rFonts w:hint="eastAsia" w:ascii="Times New Roman" w:hAnsi="Times New Roman" w:eastAsia="宋体" w:cs="Times New Roman"/>
                <w:snapToGrid w:val="0"/>
                <w:color w:val="auto"/>
                <w:kern w:val="21"/>
                <w:sz w:val="21"/>
                <w:szCs w:val="21"/>
                <w:lang w:val="en-US" w:eastAsia="zh-CN" w:bidi="ar-SA"/>
              </w:rPr>
            </w:pPr>
            <w:r>
              <w:rPr>
                <w:rFonts w:hint="eastAsia" w:ascii="Times New Roman"/>
                <w:snapToGrid w:val="0"/>
                <w:color w:val="auto"/>
                <w:kern w:val="21"/>
                <w:szCs w:val="21"/>
                <w:lang w:val="en-US" w:eastAsia="zh-CN"/>
              </w:rPr>
              <w:t>6t/a</w:t>
            </w:r>
          </w:p>
        </w:tc>
        <w:tc>
          <w:tcPr>
            <w:tcW w:w="1352" w:type="dxa"/>
            <w:vAlign w:val="center"/>
          </w:tcPr>
          <w:p w14:paraId="25143FD5">
            <w:pPr>
              <w:pStyle w:val="34"/>
              <w:spacing w:beforeLines="0" w:afterLines="0" w:line="240" w:lineRule="auto"/>
              <w:ind w:left="420" w:leftChars="0" w:hanging="420" w:hangingChars="200"/>
              <w:rPr>
                <w:rFonts w:hint="eastAsia" w:ascii="Times New Roman" w:hAnsi="Times New Roman" w:eastAsia="宋体" w:cs="Times New Roman"/>
                <w:snapToGrid w:val="0"/>
                <w:color w:val="auto"/>
                <w:kern w:val="21"/>
                <w:sz w:val="21"/>
                <w:szCs w:val="21"/>
                <w:lang w:val="en-US" w:eastAsia="zh-CN" w:bidi="ar-SA"/>
              </w:rPr>
            </w:pPr>
            <w:r>
              <w:rPr>
                <w:rFonts w:hint="eastAsia" w:ascii="Times New Roman"/>
                <w:snapToGrid w:val="0"/>
                <w:color w:val="auto"/>
                <w:kern w:val="21"/>
                <w:szCs w:val="21"/>
                <w:lang w:val="en-US" w:eastAsia="zh-CN"/>
              </w:rPr>
              <w:t>/</w:t>
            </w:r>
          </w:p>
        </w:tc>
      </w:tr>
    </w:tbl>
    <w:p w14:paraId="3F9D2D8B">
      <w:pPr>
        <w:rPr>
          <w:rFonts w:ascii="Times New Roman"/>
          <w:snapToGrid w:val="0"/>
          <w:color w:val="auto"/>
          <w:spacing w:val="-6"/>
          <w:kern w:val="21"/>
          <w:szCs w:val="21"/>
        </w:rPr>
      </w:pPr>
      <w:r>
        <w:rPr>
          <w:rFonts w:ascii="Times New Roman"/>
          <w:snapToGrid w:val="0"/>
          <w:color w:val="auto"/>
          <w:kern w:val="21"/>
          <w:szCs w:val="21"/>
        </w:rPr>
        <w:t>注：</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6 \* GB3 \* MERGEFORMAT </w:instrText>
      </w:r>
      <w:r>
        <w:rPr>
          <w:rFonts w:ascii="Times New Roman"/>
          <w:snapToGrid w:val="0"/>
          <w:color w:val="auto"/>
          <w:spacing w:val="-16"/>
          <w:kern w:val="21"/>
          <w:szCs w:val="21"/>
        </w:rPr>
        <w:fldChar w:fldCharType="separate"/>
      </w:r>
      <w:r>
        <w:rPr>
          <w:rFonts w:ascii="Times New Roman"/>
          <w:color w:val="auto"/>
          <w:szCs w:val="21"/>
        </w:rPr>
        <w:t>⑥</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1 \* GB3 \* MERGEFORMAT </w:instrText>
      </w:r>
      <w:r>
        <w:rPr>
          <w:rFonts w:ascii="Times New Roman"/>
          <w:snapToGrid w:val="0"/>
          <w:color w:val="auto"/>
          <w:spacing w:val="-6"/>
          <w:kern w:val="21"/>
          <w:szCs w:val="21"/>
        </w:rPr>
        <w:fldChar w:fldCharType="separate"/>
      </w:r>
      <w:r>
        <w:rPr>
          <w:rFonts w:ascii="Times New Roman"/>
          <w:color w:val="auto"/>
          <w:szCs w:val="21"/>
        </w:rPr>
        <w:t>①</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3 \* GB3 \* MERGEFORMAT </w:instrText>
      </w:r>
      <w:r>
        <w:rPr>
          <w:rFonts w:ascii="Times New Roman"/>
          <w:snapToGrid w:val="0"/>
          <w:color w:val="auto"/>
          <w:spacing w:val="-6"/>
          <w:kern w:val="21"/>
          <w:szCs w:val="21"/>
        </w:rPr>
        <w:fldChar w:fldCharType="separate"/>
      </w:r>
      <w:r>
        <w:rPr>
          <w:rFonts w:ascii="Times New Roman"/>
          <w:color w:val="auto"/>
          <w:szCs w:val="21"/>
        </w:rPr>
        <w:t>③</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4 \* GB3 \* MERGEFORMAT </w:instrText>
      </w:r>
      <w:r>
        <w:rPr>
          <w:rFonts w:ascii="Times New Roman"/>
          <w:snapToGrid w:val="0"/>
          <w:color w:val="auto"/>
          <w:spacing w:val="-6"/>
          <w:kern w:val="21"/>
          <w:szCs w:val="21"/>
        </w:rPr>
        <w:fldChar w:fldCharType="separate"/>
      </w:r>
      <w:r>
        <w:rPr>
          <w:rFonts w:ascii="Times New Roman"/>
          <w:color w:val="auto"/>
          <w:szCs w:val="21"/>
        </w:rPr>
        <w:t>④</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5 \* GB3 \* MERGEFORMAT </w:instrText>
      </w:r>
      <w:r>
        <w:rPr>
          <w:rFonts w:ascii="Times New Roman"/>
          <w:snapToGrid w:val="0"/>
          <w:color w:val="auto"/>
          <w:spacing w:val="-16"/>
          <w:kern w:val="21"/>
          <w:szCs w:val="21"/>
        </w:rPr>
        <w:fldChar w:fldCharType="separate"/>
      </w:r>
      <w:r>
        <w:rPr>
          <w:rFonts w:ascii="Times New Roman"/>
          <w:color w:val="auto"/>
          <w:szCs w:val="21"/>
        </w:rPr>
        <w:t>⑤</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7 \* GB3 \* MERGEFORMAT </w:instrText>
      </w:r>
      <w:r>
        <w:rPr>
          <w:rFonts w:ascii="Times New Roman"/>
          <w:snapToGrid w:val="0"/>
          <w:color w:val="auto"/>
          <w:spacing w:val="-6"/>
          <w:kern w:val="21"/>
          <w:szCs w:val="21"/>
        </w:rPr>
        <w:fldChar w:fldCharType="separate"/>
      </w:r>
      <w:r>
        <w:rPr>
          <w:rFonts w:ascii="Times New Roman"/>
          <w:color w:val="auto"/>
          <w:szCs w:val="21"/>
        </w:rPr>
        <w:t>⑦</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6 \* GB3 \* MERGEFORMAT </w:instrText>
      </w:r>
      <w:r>
        <w:rPr>
          <w:rFonts w:ascii="Times New Roman"/>
          <w:snapToGrid w:val="0"/>
          <w:color w:val="auto"/>
          <w:spacing w:val="-16"/>
          <w:kern w:val="21"/>
          <w:szCs w:val="21"/>
        </w:rPr>
        <w:fldChar w:fldCharType="separate"/>
      </w:r>
      <w:r>
        <w:rPr>
          <w:rFonts w:ascii="Times New Roman"/>
          <w:color w:val="auto"/>
          <w:szCs w:val="21"/>
        </w:rPr>
        <w:t>⑥</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1 \* GB3 \* MERGEFORMAT </w:instrText>
      </w:r>
      <w:r>
        <w:rPr>
          <w:rFonts w:ascii="Times New Roman"/>
          <w:snapToGrid w:val="0"/>
          <w:color w:val="auto"/>
          <w:spacing w:val="-6"/>
          <w:kern w:val="21"/>
          <w:szCs w:val="21"/>
        </w:rPr>
        <w:fldChar w:fldCharType="separate"/>
      </w:r>
      <w:r>
        <w:rPr>
          <w:rFonts w:ascii="Times New Roman"/>
          <w:color w:val="auto"/>
          <w:szCs w:val="21"/>
        </w:rPr>
        <w:t>①</w:t>
      </w:r>
      <w:r>
        <w:rPr>
          <w:rFonts w:ascii="Times New Roman"/>
          <w:snapToGrid w:val="0"/>
          <w:color w:val="auto"/>
          <w:spacing w:val="-6"/>
          <w:kern w:val="21"/>
          <w:szCs w:val="21"/>
        </w:rPr>
        <w:fldChar w:fldCharType="end"/>
      </w:r>
    </w:p>
    <w:p w14:paraId="62196BF7">
      <w:pPr>
        <w:pStyle w:val="40"/>
        <w:rPr>
          <w:rFonts w:ascii="Times New Roman"/>
          <w:snapToGrid w:val="0"/>
          <w:color w:val="auto"/>
          <w:spacing w:val="-6"/>
          <w:kern w:val="21"/>
          <w:szCs w:val="21"/>
        </w:rPr>
        <w:sectPr>
          <w:footerReference r:id="rId5"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pPr>
    </w:p>
    <w:p w14:paraId="5802591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附图：</w:t>
      </w:r>
    </w:p>
    <w:p w14:paraId="38C01C4D">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附图1：项目地理位置图</w:t>
      </w:r>
    </w:p>
    <w:p w14:paraId="51F4868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附图2：项目周边关系图</w:t>
      </w:r>
    </w:p>
    <w:p w14:paraId="75B544C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附图3：项目在昌吉州</w:t>
      </w:r>
      <w:r>
        <w:rPr>
          <w:rFonts w:hint="default" w:ascii="Times New Roman" w:hAnsi="Times New Roman" w:eastAsia="宋体" w:cs="Times New Roman"/>
          <w:color w:val="auto"/>
          <w:sz w:val="24"/>
          <w:szCs w:val="24"/>
          <w:lang w:val="en-US" w:eastAsia="zh-CN"/>
        </w:rPr>
        <w:t>环境管控单元分类</w:t>
      </w:r>
      <w:r>
        <w:rPr>
          <w:rFonts w:hint="eastAsia" w:ascii="Times New Roman" w:hAnsi="Times New Roman" w:eastAsia="宋体" w:cs="Times New Roman"/>
          <w:color w:val="auto"/>
          <w:sz w:val="24"/>
          <w:szCs w:val="24"/>
          <w:lang w:val="en-US" w:eastAsia="zh-CN"/>
        </w:rPr>
        <w:t>位置</w:t>
      </w:r>
      <w:r>
        <w:rPr>
          <w:rFonts w:hint="default" w:ascii="Times New Roman" w:hAnsi="Times New Roman" w:eastAsia="宋体" w:cs="Times New Roman"/>
          <w:color w:val="auto"/>
          <w:sz w:val="24"/>
          <w:szCs w:val="24"/>
          <w:lang w:val="en-US" w:eastAsia="zh-CN"/>
        </w:rPr>
        <w:t>图</w:t>
      </w:r>
    </w:p>
    <w:p w14:paraId="1108712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附图4：</w:t>
      </w:r>
      <w:r>
        <w:rPr>
          <w:rFonts w:hint="default" w:ascii="Times New Roman" w:hAnsi="Times New Roman" w:eastAsia="宋体" w:cs="Times New Roman"/>
          <w:color w:val="auto"/>
          <w:sz w:val="24"/>
          <w:szCs w:val="24"/>
          <w:lang w:val="en-US" w:eastAsia="zh-CN"/>
        </w:rPr>
        <w:t>项目</w:t>
      </w:r>
      <w:r>
        <w:rPr>
          <w:rFonts w:hint="eastAsia" w:ascii="Times New Roman" w:hAnsi="Times New Roman" w:eastAsia="宋体" w:cs="Times New Roman"/>
          <w:color w:val="auto"/>
          <w:sz w:val="24"/>
          <w:szCs w:val="24"/>
          <w:lang w:val="en-US" w:eastAsia="zh-CN"/>
        </w:rPr>
        <w:t>与阜康产业园总体</w:t>
      </w:r>
      <w:r>
        <w:rPr>
          <w:rFonts w:hint="default" w:ascii="Times New Roman" w:hAnsi="Times New Roman" w:eastAsia="宋体" w:cs="Times New Roman"/>
          <w:color w:val="auto"/>
          <w:sz w:val="24"/>
          <w:szCs w:val="24"/>
          <w:lang w:val="en-US" w:eastAsia="zh-CN"/>
        </w:rPr>
        <w:t>规划</w:t>
      </w:r>
      <w:r>
        <w:rPr>
          <w:rFonts w:hint="eastAsia" w:ascii="Times New Roman" w:hAnsi="Times New Roman" w:eastAsia="宋体" w:cs="Times New Roman"/>
          <w:color w:val="auto"/>
          <w:sz w:val="24"/>
          <w:szCs w:val="24"/>
          <w:lang w:val="en-US" w:eastAsia="zh-CN"/>
        </w:rPr>
        <w:t>关系图</w:t>
      </w:r>
    </w:p>
    <w:p w14:paraId="73D45EA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附图5：项目平面布置图</w:t>
      </w:r>
    </w:p>
    <w:p w14:paraId="4D3963C6">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val="0"/>
          <w:bCs w:val="0"/>
          <w:color w:val="auto"/>
          <w:kern w:val="0"/>
          <w:sz w:val="24"/>
          <w:szCs w:val="24"/>
          <w:lang w:val="en-US" w:eastAsia="zh-CN" w:bidi="ar"/>
        </w:rPr>
        <w:t>附</w:t>
      </w:r>
      <w:r>
        <w:rPr>
          <w:rFonts w:hint="default" w:ascii="Times New Roman" w:hAnsi="Times New Roman" w:eastAsia="宋体" w:cs="Times New Roman"/>
          <w:color w:val="auto"/>
          <w:sz w:val="24"/>
          <w:szCs w:val="24"/>
          <w:lang w:val="en-US" w:eastAsia="zh-CN"/>
        </w:rPr>
        <w:t>图</w:t>
      </w:r>
      <w:r>
        <w:rPr>
          <w:rFonts w:hint="eastAsia"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项目监测布点图</w:t>
      </w:r>
    </w:p>
    <w:p w14:paraId="7A0937A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bCs/>
          <w:color w:val="auto"/>
          <w:sz w:val="24"/>
          <w:szCs w:val="24"/>
          <w:lang w:val="en-US" w:eastAsia="zh-CN"/>
        </w:rPr>
      </w:pPr>
    </w:p>
    <w:p w14:paraId="164641D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附件：</w:t>
      </w:r>
    </w:p>
    <w:p w14:paraId="32A534EA">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附件1：委托书</w:t>
      </w:r>
    </w:p>
    <w:p w14:paraId="1FFC03F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附件2：项目备案证</w:t>
      </w:r>
    </w:p>
    <w:p w14:paraId="1B88C754">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附件</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原环评批复</w:t>
      </w:r>
    </w:p>
    <w:p w14:paraId="75C1F4EE">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附件4：阜康市政府相关文件</w:t>
      </w:r>
    </w:p>
    <w:p w14:paraId="18953DBE">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附件5：监测报告</w:t>
      </w:r>
    </w:p>
    <w:p w14:paraId="2E63B31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附件6：转让协议</w:t>
      </w:r>
    </w:p>
    <w:p w14:paraId="24702F0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附件7：土地手续</w:t>
      </w:r>
    </w:p>
    <w:p w14:paraId="563E1DA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附件8：选址意见</w:t>
      </w:r>
    </w:p>
    <w:p w14:paraId="14E27ABC">
      <w:pPr>
        <w:pStyle w:val="44"/>
        <w:keepNext w:val="0"/>
        <w:keepLines w:val="0"/>
        <w:pageBreakBefore w:val="0"/>
        <w:widowControl w:val="0"/>
        <w:kinsoku/>
        <w:wordWrap/>
        <w:overflowPunct/>
        <w:topLinePunct w:val="0"/>
        <w:autoSpaceDE/>
        <w:autoSpaceDN/>
        <w:bidi w:val="0"/>
        <w:adjustRightInd/>
        <w:snapToGrid/>
        <w:spacing w:line="520" w:lineRule="exact"/>
        <w:ind w:left="0" w:leftChars="0" w:firstLine="480" w:firstLineChars="200"/>
        <w:textAlignment w:val="baseline"/>
        <w:rPr>
          <w:rFonts w:hint="default" w:cs="Times New Roman"/>
          <w:color w:val="auto"/>
          <w:lang w:val="en-US" w:eastAsia="zh-CN"/>
        </w:rPr>
      </w:pPr>
    </w:p>
    <w:p w14:paraId="13ABF405">
      <w:pPr>
        <w:pStyle w:val="14"/>
        <w:widowControl w:val="0"/>
        <w:numPr>
          <w:ilvl w:val="0"/>
          <w:numId w:val="0"/>
        </w:numPr>
        <w:jc w:val="both"/>
        <w:rPr>
          <w:rFonts w:hint="eastAsia" w:eastAsia="宋体"/>
          <w:color w:val="auto"/>
          <w:sz w:val="24"/>
          <w:szCs w:val="24"/>
          <w:lang w:val="en-US" w:eastAsia="zh-CN"/>
        </w:rPr>
      </w:pPr>
    </w:p>
    <w:p w14:paraId="1B461E6E">
      <w:pPr>
        <w:pStyle w:val="14"/>
        <w:widowControl w:val="0"/>
        <w:numPr>
          <w:ilvl w:val="0"/>
          <w:numId w:val="0"/>
        </w:numPr>
        <w:jc w:val="both"/>
        <w:rPr>
          <w:rFonts w:hint="eastAsia" w:eastAsia="宋体"/>
          <w:color w:val="auto"/>
          <w:sz w:val="24"/>
          <w:szCs w:val="24"/>
          <w:lang w:val="en-US" w:eastAsia="zh-CN"/>
        </w:rPr>
      </w:pPr>
    </w:p>
    <w:p w14:paraId="2CA8AB29">
      <w:pPr>
        <w:pStyle w:val="14"/>
        <w:widowControl w:val="0"/>
        <w:numPr>
          <w:ilvl w:val="0"/>
          <w:numId w:val="0"/>
        </w:numPr>
        <w:jc w:val="both"/>
        <w:rPr>
          <w:color w:val="auto"/>
        </w:rPr>
      </w:pPr>
    </w:p>
    <w:p w14:paraId="61337E3F">
      <w:pPr>
        <w:pStyle w:val="14"/>
        <w:widowControl w:val="0"/>
        <w:numPr>
          <w:ilvl w:val="0"/>
          <w:numId w:val="0"/>
        </w:numPr>
        <w:jc w:val="both"/>
        <w:rPr>
          <w:color w:val="auto"/>
        </w:rPr>
      </w:pPr>
    </w:p>
    <w:p w14:paraId="1CDA0ECC">
      <w:pPr>
        <w:pStyle w:val="14"/>
        <w:widowControl w:val="0"/>
        <w:numPr>
          <w:ilvl w:val="0"/>
          <w:numId w:val="0"/>
        </w:numPr>
        <w:jc w:val="both"/>
        <w:rPr>
          <w:color w:val="auto"/>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41619F8E">
      <w:pPr>
        <w:pStyle w:val="14"/>
        <w:numPr>
          <w:ilvl w:val="0"/>
          <w:numId w:val="0"/>
        </w:numPr>
        <w:rPr>
          <w:rFonts w:hint="default"/>
          <w:b/>
          <w:bCs/>
          <w:color w:val="auto"/>
          <w:lang w:val="en-US" w:eastAsia="zh-CN"/>
        </w:rPr>
      </w:pPr>
    </w:p>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941A0177-BED8-4BC3-8613-0AC56990E435}"/>
  </w:font>
  <w:font w:name="黑体">
    <w:panose1 w:val="02010609060101010101"/>
    <w:charset w:val="86"/>
    <w:family w:val="auto"/>
    <w:pitch w:val="default"/>
    <w:sig w:usb0="800002BF" w:usb1="38CF7CFA" w:usb2="00000016" w:usb3="00000000" w:csb0="00040001" w:csb1="00000000"/>
    <w:embedRegular r:id="rId2" w:fontKey="{0A1AA354-299F-4FDF-92A2-F34310FE63A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0B02A9FD-5BBA-459B-BC49-E2E48C73012B}"/>
  </w:font>
  <w:font w:name="仿宋_GB2312">
    <w:panose1 w:val="02010609030101010101"/>
    <w:charset w:val="86"/>
    <w:family w:val="modern"/>
    <w:pitch w:val="default"/>
    <w:sig w:usb0="00000001" w:usb1="080E0000" w:usb2="00000000" w:usb3="00000000" w:csb0="00040000" w:csb1="00000000"/>
    <w:embedRegular r:id="rId4" w:fontKey="{E23AE126-E5AA-4273-837C-DDFFBF964A3C}"/>
  </w:font>
  <w:font w:name="Arial Unicode MS">
    <w:altName w:val="宋体"/>
    <w:panose1 w:val="020B0604020202020204"/>
    <w:charset w:val="86"/>
    <w:family w:val="swiss"/>
    <w:pitch w:val="default"/>
    <w:sig w:usb0="00000000" w:usb1="00000000" w:usb2="0000003F" w:usb3="00000000" w:csb0="603F01FF" w:csb1="FFFF0000"/>
  </w:font>
  <w:font w:name="方正仿宋_GBK">
    <w:panose1 w:val="03000509000000000000"/>
    <w:charset w:val="86"/>
    <w:family w:val="script"/>
    <w:pitch w:val="default"/>
    <w:sig w:usb0="00000001" w:usb1="080E0000" w:usb2="00000000" w:usb3="00000000" w:csb0="00040000" w:csb1="00000000"/>
  </w:font>
  <w:font w:name="TimesNewRomanPSMT">
    <w:altName w:val="Times New Roman"/>
    <w:panose1 w:val="00000000000000000000"/>
    <w:charset w:val="80"/>
    <w:family w:val="auto"/>
    <w:pitch w:val="default"/>
    <w:sig w:usb0="00000000" w:usb1="00000000" w:usb2="00000010" w:usb3="00000000" w:csb0="00020000" w:csb1="00000000"/>
    <w:embedRegular r:id="rId5" w:fontKey="{E80CA327-FC06-465A-997B-9CDFADD838A3}"/>
  </w:font>
  <w:font w:name="方正小标宋_GBK">
    <w:panose1 w:val="03000509000000000000"/>
    <w:charset w:val="86"/>
    <w:family w:val="script"/>
    <w:pitch w:val="default"/>
    <w:sig w:usb0="00000001" w:usb1="080E0000" w:usb2="00000000" w:usb3="00000000" w:csb0="00040000" w:csb1="00000000"/>
    <w:embedRegular r:id="rId6" w:fontKey="{C62CCE4A-7984-4078-A7E4-3542BC7F1248}"/>
  </w:font>
  <w:font w:name="楷体">
    <w:panose1 w:val="02010609060101010101"/>
    <w:charset w:val="86"/>
    <w:family w:val="auto"/>
    <w:pitch w:val="default"/>
    <w:sig w:usb0="800002BF" w:usb1="38CF7CFA" w:usb2="00000016" w:usb3="00000000" w:csb0="00040001" w:csb1="00000000"/>
    <w:embedRegular r:id="rId7" w:fontKey="{DC168760-A89C-4B6B-946C-C895C8140A8D}"/>
  </w:font>
  <w:font w:name="华文仿宋">
    <w:panose1 w:val="02010600040101010101"/>
    <w:charset w:val="86"/>
    <w:family w:val="auto"/>
    <w:pitch w:val="default"/>
    <w:sig w:usb0="00000287" w:usb1="080F0000" w:usb2="00000000" w:usb3="00000000" w:csb0="0004009F" w:csb1="DFD70000"/>
    <w:embedRegular r:id="rId8" w:fontKey="{CA8562DA-9CBC-4C0F-88CF-AC69551B9014}"/>
  </w:font>
  <w:font w:name="仿宋">
    <w:panose1 w:val="02010609060101010101"/>
    <w:charset w:val="86"/>
    <w:family w:val="modern"/>
    <w:pitch w:val="default"/>
    <w:sig w:usb0="800002BF" w:usb1="38CF7CFA" w:usb2="00000016" w:usb3="00000000" w:csb0="00040001" w:csb1="00000000"/>
    <w:embedRegular r:id="rId9" w:fontKey="{F2495ABA-053E-4861-916E-75EBECF3C2CD}"/>
  </w:font>
  <w:font w:name="Wingdings 2">
    <w:panose1 w:val="05020102010507070707"/>
    <w:charset w:val="00"/>
    <w:family w:val="auto"/>
    <w:pitch w:val="default"/>
    <w:sig w:usb0="00000000" w:usb1="00000000" w:usb2="00000000" w:usb3="00000000" w:csb0="80000000" w:csb1="00000000"/>
    <w:embedRegular r:id="rId10" w:fontKey="{D20915B9-EF7C-47D4-9864-28DEF9FA44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E3E712">
    <w:pPr>
      <w:pStyle w:val="17"/>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E3F24E">
    <w:pPr>
      <w:pStyle w:val="17"/>
      <w:ind w:right="360" w:firstLine="360"/>
      <w:jc w:val="center"/>
      <w:rPr>
        <w:rFonts w:hint="default"/>
        <w:lang w:val="en-US"/>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3ACD65">
                          <w:pPr>
                            <w:pStyle w:val="17"/>
                            <w:rPr>
                              <w:rStyle w:val="30"/>
                              <w:rFonts w:hint="default" w:ascii="Times New Roman" w:hAnsi="Times New Roman" w:cs="Times New Roman"/>
                              <w:sz w:val="21"/>
                              <w:szCs w:val="21"/>
                            </w:rPr>
                          </w:pPr>
                          <w:r>
                            <w:rPr>
                              <w:rStyle w:val="30"/>
                              <w:rFonts w:hint="default" w:ascii="Times New Roman" w:hAnsi="Times New Roman" w:cs="Times New Roman"/>
                              <w:sz w:val="21"/>
                              <w:szCs w:val="21"/>
                            </w:rPr>
                            <w:fldChar w:fldCharType="begin"/>
                          </w:r>
                          <w:r>
                            <w:rPr>
                              <w:rStyle w:val="30"/>
                              <w:rFonts w:hint="default" w:ascii="Times New Roman" w:hAnsi="Times New Roman" w:cs="Times New Roman"/>
                              <w:sz w:val="21"/>
                              <w:szCs w:val="21"/>
                            </w:rPr>
                            <w:instrText xml:space="preserve">PAGE  </w:instrText>
                          </w:r>
                          <w:r>
                            <w:rPr>
                              <w:rStyle w:val="30"/>
                              <w:rFonts w:hint="default" w:ascii="Times New Roman" w:hAnsi="Times New Roman" w:cs="Times New Roman"/>
                              <w:sz w:val="21"/>
                              <w:szCs w:val="21"/>
                            </w:rPr>
                            <w:fldChar w:fldCharType="separate"/>
                          </w:r>
                          <w:r>
                            <w:rPr>
                              <w:rStyle w:val="30"/>
                              <w:rFonts w:hint="default" w:ascii="Times New Roman" w:hAnsi="Times New Roman" w:cs="Times New Roman"/>
                              <w:sz w:val="21"/>
                              <w:szCs w:val="21"/>
                            </w:rPr>
                            <w:t>30</w:t>
                          </w:r>
                          <w:r>
                            <w:rPr>
                              <w:rStyle w:val="30"/>
                              <w:rFonts w:hint="default"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333ACD65">
                    <w:pPr>
                      <w:pStyle w:val="17"/>
                      <w:rPr>
                        <w:rStyle w:val="30"/>
                        <w:rFonts w:hint="default" w:ascii="Times New Roman" w:hAnsi="Times New Roman" w:cs="Times New Roman"/>
                        <w:sz w:val="21"/>
                        <w:szCs w:val="21"/>
                      </w:rPr>
                    </w:pPr>
                    <w:r>
                      <w:rPr>
                        <w:rStyle w:val="30"/>
                        <w:rFonts w:hint="default" w:ascii="Times New Roman" w:hAnsi="Times New Roman" w:cs="Times New Roman"/>
                        <w:sz w:val="21"/>
                        <w:szCs w:val="21"/>
                      </w:rPr>
                      <w:fldChar w:fldCharType="begin"/>
                    </w:r>
                    <w:r>
                      <w:rPr>
                        <w:rStyle w:val="30"/>
                        <w:rFonts w:hint="default" w:ascii="Times New Roman" w:hAnsi="Times New Roman" w:cs="Times New Roman"/>
                        <w:sz w:val="21"/>
                        <w:szCs w:val="21"/>
                      </w:rPr>
                      <w:instrText xml:space="preserve">PAGE  </w:instrText>
                    </w:r>
                    <w:r>
                      <w:rPr>
                        <w:rStyle w:val="30"/>
                        <w:rFonts w:hint="default" w:ascii="Times New Roman" w:hAnsi="Times New Roman" w:cs="Times New Roman"/>
                        <w:sz w:val="21"/>
                        <w:szCs w:val="21"/>
                      </w:rPr>
                      <w:fldChar w:fldCharType="separate"/>
                    </w:r>
                    <w:r>
                      <w:rPr>
                        <w:rStyle w:val="30"/>
                        <w:rFonts w:hint="default" w:ascii="Times New Roman" w:hAnsi="Times New Roman" w:cs="Times New Roman"/>
                        <w:sz w:val="21"/>
                        <w:szCs w:val="21"/>
                      </w:rPr>
                      <w:t>30</w:t>
                    </w:r>
                    <w:r>
                      <w:rPr>
                        <w:rStyle w:val="30"/>
                        <w:rFonts w:hint="default" w:ascii="Times New Roman" w:hAnsi="Times New Roman" w:cs="Times New Roman"/>
                        <w:sz w:val="21"/>
                        <w:szCs w:val="21"/>
                      </w:rPr>
                      <w:fldChar w:fldCharType="end"/>
                    </w:r>
                  </w:p>
                </w:txbxContent>
              </v:textbox>
            </v:shape>
          </w:pict>
        </mc:Fallback>
      </mc:AlternateContent>
    </w:r>
    <w:r>
      <w:rPr>
        <w:rFonts w:hint="eastAsia"/>
        <w:lang w:val="en-US" w:eastAsia="zh-C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36D802">
    <w:pPr>
      <w:pStyle w:val="17"/>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4EF6FD">
                          <w:pPr>
                            <w:pStyle w:val="1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6F4EF6FD">
                    <w:pPr>
                      <w:pStyle w:val="17"/>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349001">
    <w:pPr>
      <w:pStyle w:val="17"/>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D98A47"/>
    <w:multiLevelType w:val="singleLevel"/>
    <w:tmpl w:val="8FD98A47"/>
    <w:lvl w:ilvl="0" w:tentative="0">
      <w:start w:val="1"/>
      <w:numFmt w:val="decimal"/>
      <w:suff w:val="space"/>
      <w:lvlText w:val="%1."/>
      <w:lvlJc w:val="left"/>
    </w:lvl>
  </w:abstractNum>
  <w:abstractNum w:abstractNumId="1">
    <w:nsid w:val="90E6C091"/>
    <w:multiLevelType w:val="singleLevel"/>
    <w:tmpl w:val="90E6C091"/>
    <w:lvl w:ilvl="0" w:tentative="0">
      <w:start w:val="1"/>
      <w:numFmt w:val="decimal"/>
      <w:suff w:val="space"/>
      <w:lvlText w:val="%1."/>
      <w:lvlJc w:val="left"/>
    </w:lvl>
  </w:abstractNum>
  <w:abstractNum w:abstractNumId="2">
    <w:nsid w:val="97A12469"/>
    <w:multiLevelType w:val="singleLevel"/>
    <w:tmpl w:val="97A12469"/>
    <w:lvl w:ilvl="0" w:tentative="0">
      <w:start w:val="1"/>
      <w:numFmt w:val="bullet"/>
      <w:pStyle w:val="14"/>
      <w:lvlText w:val=""/>
      <w:lvlJc w:val="left"/>
      <w:pPr>
        <w:tabs>
          <w:tab w:val="left" w:pos="2040"/>
        </w:tabs>
        <w:ind w:left="2040" w:hanging="360"/>
      </w:pPr>
      <w:rPr>
        <w:rFonts w:hint="default" w:ascii="Wingdings" w:hAnsi="Wingdings"/>
      </w:rPr>
    </w:lvl>
  </w:abstractNum>
  <w:abstractNum w:abstractNumId="3">
    <w:nsid w:val="98D2F0C0"/>
    <w:multiLevelType w:val="singleLevel"/>
    <w:tmpl w:val="98D2F0C0"/>
    <w:lvl w:ilvl="0" w:tentative="0">
      <w:start w:val="2"/>
      <w:numFmt w:val="decimal"/>
      <w:suff w:val="space"/>
      <w:lvlText w:val="%1."/>
      <w:lvlJc w:val="left"/>
    </w:lvl>
  </w:abstractNum>
  <w:abstractNum w:abstractNumId="4">
    <w:nsid w:val="9B9DC984"/>
    <w:multiLevelType w:val="singleLevel"/>
    <w:tmpl w:val="9B9DC984"/>
    <w:lvl w:ilvl="0" w:tentative="0">
      <w:start w:val="3"/>
      <w:numFmt w:val="decimal"/>
      <w:suff w:val="space"/>
      <w:lvlText w:val="%1."/>
      <w:lvlJc w:val="left"/>
    </w:lvl>
  </w:abstractNum>
  <w:abstractNum w:abstractNumId="5">
    <w:nsid w:val="C1734D34"/>
    <w:multiLevelType w:val="singleLevel"/>
    <w:tmpl w:val="C1734D34"/>
    <w:lvl w:ilvl="0" w:tentative="0">
      <w:start w:val="1"/>
      <w:numFmt w:val="decimal"/>
      <w:suff w:val="nothing"/>
      <w:lvlText w:val="（%1）"/>
      <w:lvlJc w:val="left"/>
      <w:pPr>
        <w:ind w:left="0" w:firstLine="397"/>
      </w:pPr>
      <w:rPr>
        <w:rFonts w:hint="default"/>
      </w:rPr>
    </w:lvl>
  </w:abstractNum>
  <w:abstractNum w:abstractNumId="6">
    <w:nsid w:val="C6269525"/>
    <w:multiLevelType w:val="singleLevel"/>
    <w:tmpl w:val="C6269525"/>
    <w:lvl w:ilvl="0" w:tentative="0">
      <w:start w:val="1"/>
      <w:numFmt w:val="decimal"/>
      <w:pStyle w:val="21"/>
      <w:lvlText w:val="%1."/>
      <w:lvlJc w:val="left"/>
      <w:pPr>
        <w:tabs>
          <w:tab w:val="left" w:pos="2040"/>
        </w:tabs>
        <w:ind w:left="2040" w:hanging="360"/>
      </w:pPr>
    </w:lvl>
  </w:abstractNum>
  <w:abstractNum w:abstractNumId="7">
    <w:nsid w:val="F2141CEC"/>
    <w:multiLevelType w:val="multilevel"/>
    <w:tmpl w:val="F2141CEC"/>
    <w:lvl w:ilvl="0" w:tentative="0">
      <w:start w:val="1"/>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8">
    <w:nsid w:val="FCF048EE"/>
    <w:multiLevelType w:val="singleLevel"/>
    <w:tmpl w:val="FCF048EE"/>
    <w:lvl w:ilvl="0" w:tentative="0">
      <w:start w:val="4"/>
      <w:numFmt w:val="decimal"/>
      <w:suff w:val="space"/>
      <w:lvlText w:val="%1."/>
      <w:lvlJc w:val="left"/>
    </w:lvl>
  </w:abstractNum>
  <w:abstractNum w:abstractNumId="9">
    <w:nsid w:val="0B337DC8"/>
    <w:multiLevelType w:val="multilevel"/>
    <w:tmpl w:val="0B337DC8"/>
    <w:lvl w:ilvl="0" w:tentative="0">
      <w:start w:val="3"/>
      <w:numFmt w:val="decimal"/>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rPr>
    </w:lvl>
    <w:lvl w:ilvl="2" w:tentative="0">
      <w:start w:val="1"/>
      <w:numFmt w:val="decimal"/>
      <w:pStyle w:val="4"/>
      <w:lvlText w:val="%1.%2.%3."/>
      <w:lvlJc w:val="left"/>
      <w:pPr>
        <w:tabs>
          <w:tab w:val="left" w:pos="1080"/>
        </w:tabs>
        <w:ind w:left="709" w:hanging="709"/>
      </w:pPr>
      <w:rPr>
        <w:rFonts w:hint="eastAsia"/>
      </w:rPr>
    </w:lvl>
    <w:lvl w:ilvl="3" w:tentative="0">
      <w:start w:val="1"/>
      <w:numFmt w:val="decimal"/>
      <w:lvlText w:val="%1.%2.%3.%4."/>
      <w:lvlJc w:val="left"/>
      <w:pPr>
        <w:tabs>
          <w:tab w:val="left" w:pos="1440"/>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0">
    <w:nsid w:val="12763AB5"/>
    <w:multiLevelType w:val="singleLevel"/>
    <w:tmpl w:val="12763AB5"/>
    <w:lvl w:ilvl="0" w:tentative="0">
      <w:start w:val="3"/>
      <w:numFmt w:val="decimal"/>
      <w:suff w:val="space"/>
      <w:lvlText w:val="%1."/>
      <w:lvlJc w:val="left"/>
    </w:lvl>
  </w:abstractNum>
  <w:abstractNum w:abstractNumId="11">
    <w:nsid w:val="1498E69D"/>
    <w:multiLevelType w:val="singleLevel"/>
    <w:tmpl w:val="1498E69D"/>
    <w:lvl w:ilvl="0" w:tentative="0">
      <w:start w:val="1"/>
      <w:numFmt w:val="decimal"/>
      <w:suff w:val="space"/>
      <w:lvlText w:val="%1."/>
      <w:lvlJc w:val="left"/>
    </w:lvl>
  </w:abstractNum>
  <w:abstractNum w:abstractNumId="12">
    <w:nsid w:val="39BFC295"/>
    <w:multiLevelType w:val="singleLevel"/>
    <w:tmpl w:val="39BFC295"/>
    <w:lvl w:ilvl="0" w:tentative="0">
      <w:start w:val="3"/>
      <w:numFmt w:val="decimal"/>
      <w:suff w:val="nothing"/>
      <w:lvlText w:val="（%1）"/>
      <w:lvlJc w:val="left"/>
    </w:lvl>
  </w:abstractNum>
  <w:abstractNum w:abstractNumId="13">
    <w:nsid w:val="3D749DA9"/>
    <w:multiLevelType w:val="singleLevel"/>
    <w:tmpl w:val="3D749DA9"/>
    <w:lvl w:ilvl="0" w:tentative="0">
      <w:start w:val="1"/>
      <w:numFmt w:val="decimal"/>
      <w:suff w:val="space"/>
      <w:lvlText w:val="%1."/>
      <w:lvlJc w:val="left"/>
    </w:lvl>
  </w:abstractNum>
  <w:abstractNum w:abstractNumId="14">
    <w:nsid w:val="73544E32"/>
    <w:multiLevelType w:val="multilevel"/>
    <w:tmpl w:val="73544E32"/>
    <w:lvl w:ilvl="0" w:tentative="0">
      <w:start w:val="1"/>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num w:numId="1">
    <w:abstractNumId w:val="9"/>
  </w:num>
  <w:num w:numId="2">
    <w:abstractNumId w:val="2"/>
  </w:num>
  <w:num w:numId="3">
    <w:abstractNumId w:val="6"/>
  </w:num>
  <w:num w:numId="4">
    <w:abstractNumId w:val="3"/>
  </w:num>
  <w:num w:numId="5">
    <w:abstractNumId w:val="4"/>
  </w:num>
  <w:num w:numId="6">
    <w:abstractNumId w:val="13"/>
  </w:num>
  <w:num w:numId="7">
    <w:abstractNumId w:val="10"/>
  </w:num>
  <w:num w:numId="8">
    <w:abstractNumId w:val="8"/>
  </w:num>
  <w:num w:numId="9">
    <w:abstractNumId w:val="14"/>
  </w:num>
  <w:num w:numId="10">
    <w:abstractNumId w:val="1"/>
  </w:num>
  <w:num w:numId="11">
    <w:abstractNumId w:val="11"/>
  </w:num>
  <w:num w:numId="12">
    <w:abstractNumId w:val="0"/>
  </w:num>
  <w:num w:numId="13">
    <w:abstractNumId w:val="7"/>
  </w:num>
  <w:num w:numId="14">
    <w:abstractNumId w:val="12"/>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VjYmY2ZWI4Y2I3MzQ0YjcwMWQzYjM1NzUxYThmYWQifQ=="/>
  </w:docVars>
  <w:rsids>
    <w:rsidRoot w:val="00000000"/>
    <w:rsid w:val="02013A6F"/>
    <w:rsid w:val="021B4775"/>
    <w:rsid w:val="025E6FCA"/>
    <w:rsid w:val="02897931"/>
    <w:rsid w:val="0304723F"/>
    <w:rsid w:val="031C457C"/>
    <w:rsid w:val="03BD5AE4"/>
    <w:rsid w:val="05902D7A"/>
    <w:rsid w:val="06206042"/>
    <w:rsid w:val="062F1B50"/>
    <w:rsid w:val="064B5EC5"/>
    <w:rsid w:val="065D717F"/>
    <w:rsid w:val="06952D48"/>
    <w:rsid w:val="069D3172"/>
    <w:rsid w:val="0713589A"/>
    <w:rsid w:val="072B7208"/>
    <w:rsid w:val="07301E21"/>
    <w:rsid w:val="07950B26"/>
    <w:rsid w:val="07AA67FD"/>
    <w:rsid w:val="085F360E"/>
    <w:rsid w:val="08EB5085"/>
    <w:rsid w:val="08EF2A75"/>
    <w:rsid w:val="093C7934"/>
    <w:rsid w:val="094C0A60"/>
    <w:rsid w:val="09665483"/>
    <w:rsid w:val="0ACA1CB9"/>
    <w:rsid w:val="0B35090D"/>
    <w:rsid w:val="0B3C19E4"/>
    <w:rsid w:val="0BA81657"/>
    <w:rsid w:val="0BBE75D4"/>
    <w:rsid w:val="0BF8434E"/>
    <w:rsid w:val="0C2030B4"/>
    <w:rsid w:val="0C8B24A6"/>
    <w:rsid w:val="0D336E17"/>
    <w:rsid w:val="0E215AA9"/>
    <w:rsid w:val="10030D22"/>
    <w:rsid w:val="1058248C"/>
    <w:rsid w:val="10CD7582"/>
    <w:rsid w:val="10EB24F2"/>
    <w:rsid w:val="11BA392B"/>
    <w:rsid w:val="123553DF"/>
    <w:rsid w:val="12605509"/>
    <w:rsid w:val="12703411"/>
    <w:rsid w:val="12C86FAD"/>
    <w:rsid w:val="134223C1"/>
    <w:rsid w:val="13744DF5"/>
    <w:rsid w:val="1382238D"/>
    <w:rsid w:val="13C8392A"/>
    <w:rsid w:val="13F836D0"/>
    <w:rsid w:val="146F6DE5"/>
    <w:rsid w:val="15BD6FF9"/>
    <w:rsid w:val="161B7B46"/>
    <w:rsid w:val="162E3847"/>
    <w:rsid w:val="168406E3"/>
    <w:rsid w:val="19415185"/>
    <w:rsid w:val="194B192D"/>
    <w:rsid w:val="1A312930"/>
    <w:rsid w:val="1CA24DC3"/>
    <w:rsid w:val="1D497F91"/>
    <w:rsid w:val="1D5E5113"/>
    <w:rsid w:val="1DD555F0"/>
    <w:rsid w:val="1E1A5886"/>
    <w:rsid w:val="1E373ECB"/>
    <w:rsid w:val="1EAC5FBE"/>
    <w:rsid w:val="1F570348"/>
    <w:rsid w:val="1FF561AE"/>
    <w:rsid w:val="200C293E"/>
    <w:rsid w:val="204D7D98"/>
    <w:rsid w:val="207A7B0F"/>
    <w:rsid w:val="21835C66"/>
    <w:rsid w:val="22EC3898"/>
    <w:rsid w:val="22F34C27"/>
    <w:rsid w:val="232748D0"/>
    <w:rsid w:val="23E82E29"/>
    <w:rsid w:val="24261A50"/>
    <w:rsid w:val="24523D08"/>
    <w:rsid w:val="24773635"/>
    <w:rsid w:val="24EA02AB"/>
    <w:rsid w:val="25D80938"/>
    <w:rsid w:val="261D6E0B"/>
    <w:rsid w:val="2652754E"/>
    <w:rsid w:val="267F0309"/>
    <w:rsid w:val="2681079B"/>
    <w:rsid w:val="27955A81"/>
    <w:rsid w:val="27A877A0"/>
    <w:rsid w:val="280E2F70"/>
    <w:rsid w:val="282006DE"/>
    <w:rsid w:val="287D6C90"/>
    <w:rsid w:val="28B6366D"/>
    <w:rsid w:val="28EE300B"/>
    <w:rsid w:val="29183ECD"/>
    <w:rsid w:val="298F31CF"/>
    <w:rsid w:val="2A000C85"/>
    <w:rsid w:val="2A091DA2"/>
    <w:rsid w:val="2AD7409A"/>
    <w:rsid w:val="2B870602"/>
    <w:rsid w:val="2B9E594C"/>
    <w:rsid w:val="2BDD6474"/>
    <w:rsid w:val="2C624BCB"/>
    <w:rsid w:val="2CAB2C34"/>
    <w:rsid w:val="2D30298C"/>
    <w:rsid w:val="2D4A7B39"/>
    <w:rsid w:val="2D9708A4"/>
    <w:rsid w:val="2DB453C0"/>
    <w:rsid w:val="2DE01AD5"/>
    <w:rsid w:val="2ED112A0"/>
    <w:rsid w:val="2EF42627"/>
    <w:rsid w:val="2F6407E2"/>
    <w:rsid w:val="2F6F7EFC"/>
    <w:rsid w:val="2F7479F1"/>
    <w:rsid w:val="2F7C597C"/>
    <w:rsid w:val="2FF83694"/>
    <w:rsid w:val="30AA056D"/>
    <w:rsid w:val="30AB6B41"/>
    <w:rsid w:val="3179636B"/>
    <w:rsid w:val="31B7699A"/>
    <w:rsid w:val="32877139"/>
    <w:rsid w:val="32D84432"/>
    <w:rsid w:val="32ED6C2C"/>
    <w:rsid w:val="33177712"/>
    <w:rsid w:val="34453929"/>
    <w:rsid w:val="34567B88"/>
    <w:rsid w:val="347831DE"/>
    <w:rsid w:val="34DF3EBA"/>
    <w:rsid w:val="35002997"/>
    <w:rsid w:val="35942753"/>
    <w:rsid w:val="35DE4F44"/>
    <w:rsid w:val="36552FEC"/>
    <w:rsid w:val="3666668E"/>
    <w:rsid w:val="366B690C"/>
    <w:rsid w:val="366F77C5"/>
    <w:rsid w:val="369D33CF"/>
    <w:rsid w:val="369D4BED"/>
    <w:rsid w:val="36AD0EA9"/>
    <w:rsid w:val="37BE1A03"/>
    <w:rsid w:val="37F039D3"/>
    <w:rsid w:val="38546048"/>
    <w:rsid w:val="38822FC6"/>
    <w:rsid w:val="38F213D7"/>
    <w:rsid w:val="39E11825"/>
    <w:rsid w:val="3A6B6FB2"/>
    <w:rsid w:val="3B5953EB"/>
    <w:rsid w:val="3B7330F3"/>
    <w:rsid w:val="3B89215E"/>
    <w:rsid w:val="3C237ED3"/>
    <w:rsid w:val="3C292100"/>
    <w:rsid w:val="3D3B512F"/>
    <w:rsid w:val="3DE76596"/>
    <w:rsid w:val="3E374CB6"/>
    <w:rsid w:val="3E75078E"/>
    <w:rsid w:val="3EDC3E17"/>
    <w:rsid w:val="3F5147FD"/>
    <w:rsid w:val="3FA54EFD"/>
    <w:rsid w:val="40B977E5"/>
    <w:rsid w:val="414F2C34"/>
    <w:rsid w:val="41783875"/>
    <w:rsid w:val="41AE46E3"/>
    <w:rsid w:val="42C0764E"/>
    <w:rsid w:val="430A6728"/>
    <w:rsid w:val="438F1CCE"/>
    <w:rsid w:val="43EA37DE"/>
    <w:rsid w:val="449E48BF"/>
    <w:rsid w:val="44E12CB1"/>
    <w:rsid w:val="45863281"/>
    <w:rsid w:val="45C304BF"/>
    <w:rsid w:val="463E393A"/>
    <w:rsid w:val="468F3EE3"/>
    <w:rsid w:val="46B21DE3"/>
    <w:rsid w:val="46EC3A02"/>
    <w:rsid w:val="46F77171"/>
    <w:rsid w:val="47835CCA"/>
    <w:rsid w:val="47B9793D"/>
    <w:rsid w:val="481910EA"/>
    <w:rsid w:val="487D2F49"/>
    <w:rsid w:val="48F5509D"/>
    <w:rsid w:val="4A761B16"/>
    <w:rsid w:val="4AD511E2"/>
    <w:rsid w:val="4B520C8E"/>
    <w:rsid w:val="4B963A09"/>
    <w:rsid w:val="4BBF19D3"/>
    <w:rsid w:val="4BE807F1"/>
    <w:rsid w:val="4C1F5A98"/>
    <w:rsid w:val="4E195DC0"/>
    <w:rsid w:val="4FA72771"/>
    <w:rsid w:val="50B65390"/>
    <w:rsid w:val="5130748A"/>
    <w:rsid w:val="51434736"/>
    <w:rsid w:val="51B1208C"/>
    <w:rsid w:val="51BB6F21"/>
    <w:rsid w:val="51DA3B62"/>
    <w:rsid w:val="53AA4F24"/>
    <w:rsid w:val="55D91490"/>
    <w:rsid w:val="568461BA"/>
    <w:rsid w:val="56F20776"/>
    <w:rsid w:val="59924764"/>
    <w:rsid w:val="599C0E6D"/>
    <w:rsid w:val="5A42157E"/>
    <w:rsid w:val="5A8C3762"/>
    <w:rsid w:val="5AD308BE"/>
    <w:rsid w:val="5B081868"/>
    <w:rsid w:val="5B3F5E3F"/>
    <w:rsid w:val="5B48289B"/>
    <w:rsid w:val="5B982824"/>
    <w:rsid w:val="5BA830B6"/>
    <w:rsid w:val="5BD0463B"/>
    <w:rsid w:val="5D501207"/>
    <w:rsid w:val="5DDC4F08"/>
    <w:rsid w:val="5E4E699A"/>
    <w:rsid w:val="5E6F6596"/>
    <w:rsid w:val="5EB11EF5"/>
    <w:rsid w:val="5EDF3CD6"/>
    <w:rsid w:val="5F6D7AAB"/>
    <w:rsid w:val="5F9213F8"/>
    <w:rsid w:val="601D1297"/>
    <w:rsid w:val="60F030D6"/>
    <w:rsid w:val="60FB291D"/>
    <w:rsid w:val="61182BCF"/>
    <w:rsid w:val="612D6B9E"/>
    <w:rsid w:val="62164BFB"/>
    <w:rsid w:val="62202A06"/>
    <w:rsid w:val="63554566"/>
    <w:rsid w:val="635A1B7D"/>
    <w:rsid w:val="64E31B60"/>
    <w:rsid w:val="64F97173"/>
    <w:rsid w:val="65ED4C77"/>
    <w:rsid w:val="65F619C6"/>
    <w:rsid w:val="6674584F"/>
    <w:rsid w:val="672C3830"/>
    <w:rsid w:val="674D1736"/>
    <w:rsid w:val="674F5770"/>
    <w:rsid w:val="67784CC7"/>
    <w:rsid w:val="68316A35"/>
    <w:rsid w:val="68564D87"/>
    <w:rsid w:val="68715CE9"/>
    <w:rsid w:val="69EA0BA3"/>
    <w:rsid w:val="6A607091"/>
    <w:rsid w:val="6AB30676"/>
    <w:rsid w:val="6B410883"/>
    <w:rsid w:val="6BE11F8A"/>
    <w:rsid w:val="6C2076DB"/>
    <w:rsid w:val="6C705C30"/>
    <w:rsid w:val="6C8B48C0"/>
    <w:rsid w:val="6D16576B"/>
    <w:rsid w:val="6DD760E5"/>
    <w:rsid w:val="6EEA6ECE"/>
    <w:rsid w:val="7048022E"/>
    <w:rsid w:val="70DC4E6A"/>
    <w:rsid w:val="710A5B54"/>
    <w:rsid w:val="71267542"/>
    <w:rsid w:val="73033E70"/>
    <w:rsid w:val="73730016"/>
    <w:rsid w:val="73C34DAD"/>
    <w:rsid w:val="73D61C84"/>
    <w:rsid w:val="74011985"/>
    <w:rsid w:val="741F551F"/>
    <w:rsid w:val="74427F4C"/>
    <w:rsid w:val="74551D72"/>
    <w:rsid w:val="74833D0A"/>
    <w:rsid w:val="74CA007C"/>
    <w:rsid w:val="750D65AA"/>
    <w:rsid w:val="757476D5"/>
    <w:rsid w:val="75786F3E"/>
    <w:rsid w:val="76562AB6"/>
    <w:rsid w:val="765F58D6"/>
    <w:rsid w:val="768E0063"/>
    <w:rsid w:val="76B4289C"/>
    <w:rsid w:val="76DB2B7D"/>
    <w:rsid w:val="77043E82"/>
    <w:rsid w:val="775C78BE"/>
    <w:rsid w:val="77F91B4A"/>
    <w:rsid w:val="78191335"/>
    <w:rsid w:val="796B2A3F"/>
    <w:rsid w:val="79C97604"/>
    <w:rsid w:val="7AD95625"/>
    <w:rsid w:val="7ADF6C08"/>
    <w:rsid w:val="7C877483"/>
    <w:rsid w:val="7DE9766C"/>
    <w:rsid w:val="7E0D0EDC"/>
    <w:rsid w:val="7E683E50"/>
    <w:rsid w:val="7F3B06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qFormat="1"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autoRedefine/>
    <w:unhideWhenUsed/>
    <w:qFormat/>
    <w:uiPriority w:val="0"/>
    <w:pPr>
      <w:keepNext/>
      <w:keepLines/>
      <w:jc w:val="left"/>
      <w:outlineLvl w:val="1"/>
    </w:pPr>
    <w:rPr>
      <w:sz w:val="28"/>
    </w:rPr>
  </w:style>
  <w:style w:type="paragraph" w:styleId="4">
    <w:name w:val="heading 3"/>
    <w:basedOn w:val="1"/>
    <w:next w:val="1"/>
    <w:autoRedefine/>
    <w:qFormat/>
    <w:uiPriority w:val="0"/>
    <w:pPr>
      <w:keepNext/>
      <w:keepLines/>
      <w:numPr>
        <w:ilvl w:val="2"/>
        <w:numId w:val="1"/>
      </w:numPr>
      <w:spacing w:before="200" w:after="200"/>
      <w:outlineLvl w:val="2"/>
    </w:pPr>
    <w:rPr>
      <w:rFonts w:ascii="Calibri" w:hAnsi="Calibri"/>
      <w:b/>
    </w:rPr>
  </w:style>
  <w:style w:type="paragraph" w:styleId="5">
    <w:name w:val="heading 4"/>
    <w:basedOn w:val="1"/>
    <w:next w:val="1"/>
    <w:autoRedefine/>
    <w:semiHidden/>
    <w:unhideWhenUsed/>
    <w:qFormat/>
    <w:uiPriority w:val="0"/>
    <w:pPr>
      <w:keepNext/>
      <w:keepLines/>
      <w:widowControl/>
      <w:spacing w:line="360" w:lineRule="auto"/>
      <w:ind w:firstLine="640" w:firstLineChars="200"/>
      <w:outlineLvl w:val="3"/>
    </w:pPr>
    <w:rPr>
      <w:b/>
      <w:bCs/>
      <w:color w:val="000000"/>
      <w:sz w:val="28"/>
      <w:szCs w:val="28"/>
    </w:rPr>
  </w:style>
  <w:style w:type="character" w:default="1" w:styleId="29">
    <w:name w:val="Default Paragraph Font"/>
    <w:autoRedefine/>
    <w:semiHidden/>
    <w:qFormat/>
    <w:uiPriority w:val="0"/>
  </w:style>
  <w:style w:type="table" w:default="1" w:styleId="27">
    <w:name w:val="Normal Table"/>
    <w:autoRedefine/>
    <w:semiHidden/>
    <w:qFormat/>
    <w:uiPriority w:val="0"/>
    <w:tblPr>
      <w:tblCellMar>
        <w:top w:w="0" w:type="dxa"/>
        <w:left w:w="108" w:type="dxa"/>
        <w:bottom w:w="0" w:type="dxa"/>
        <w:right w:w="108" w:type="dxa"/>
      </w:tblCellMar>
    </w:tblPr>
  </w:style>
  <w:style w:type="paragraph" w:styleId="6">
    <w:name w:val="Normal Indent"/>
    <w:basedOn w:val="1"/>
    <w:next w:val="7"/>
    <w:autoRedefine/>
    <w:qFormat/>
    <w:uiPriority w:val="0"/>
    <w:pPr>
      <w:ind w:firstLine="420"/>
    </w:pPr>
  </w:style>
  <w:style w:type="paragraph" w:styleId="7">
    <w:name w:val="Body Text"/>
    <w:basedOn w:val="1"/>
    <w:next w:val="8"/>
    <w:autoRedefine/>
    <w:qFormat/>
    <w:uiPriority w:val="0"/>
    <w:pPr>
      <w:widowControl/>
      <w:snapToGrid w:val="0"/>
      <w:spacing w:before="60" w:after="160" w:line="259" w:lineRule="auto"/>
      <w:ind w:right="113"/>
    </w:pPr>
    <w:rPr>
      <w:kern w:val="0"/>
      <w:sz w:val="18"/>
      <w:szCs w:val="20"/>
    </w:rPr>
  </w:style>
  <w:style w:type="paragraph" w:styleId="8">
    <w:name w:val="Salutation"/>
    <w:basedOn w:val="1"/>
    <w:next w:val="1"/>
    <w:autoRedefine/>
    <w:qFormat/>
    <w:uiPriority w:val="0"/>
  </w:style>
  <w:style w:type="paragraph" w:styleId="9">
    <w:name w:val="caption"/>
    <w:basedOn w:val="1"/>
    <w:next w:val="1"/>
    <w:autoRedefine/>
    <w:qFormat/>
    <w:uiPriority w:val="0"/>
    <w:pPr>
      <w:spacing w:before="120" w:after="120" w:line="480" w:lineRule="exact"/>
      <w:jc w:val="center"/>
    </w:pPr>
    <w:rPr>
      <w:sz w:val="24"/>
    </w:rPr>
  </w:style>
  <w:style w:type="paragraph" w:styleId="10">
    <w:name w:val="annotation text"/>
    <w:basedOn w:val="1"/>
    <w:autoRedefine/>
    <w:semiHidden/>
    <w:qFormat/>
    <w:uiPriority w:val="0"/>
    <w:pPr>
      <w:jc w:val="left"/>
    </w:pPr>
    <w:rPr>
      <w:kern w:val="0"/>
      <w:sz w:val="24"/>
      <w:szCs w:val="20"/>
    </w:rPr>
  </w:style>
  <w:style w:type="paragraph" w:styleId="11">
    <w:name w:val="Body Text Indent"/>
    <w:basedOn w:val="1"/>
    <w:next w:val="12"/>
    <w:autoRedefine/>
    <w:qFormat/>
    <w:uiPriority w:val="0"/>
    <w:pPr>
      <w:spacing w:after="120"/>
      <w:ind w:left="420" w:leftChars="200"/>
    </w:pPr>
    <w:rPr>
      <w:kern w:val="0"/>
      <w:sz w:val="24"/>
      <w:szCs w:val="20"/>
    </w:rPr>
  </w:style>
  <w:style w:type="paragraph" w:styleId="12">
    <w:name w:val="Body Text First Indent 2"/>
    <w:basedOn w:val="11"/>
    <w:next w:val="7"/>
    <w:autoRedefine/>
    <w:qFormat/>
    <w:uiPriority w:val="0"/>
    <w:pPr>
      <w:ind w:firstLine="420"/>
    </w:pPr>
    <w:rPr>
      <w:sz w:val="21"/>
    </w:rPr>
  </w:style>
  <w:style w:type="paragraph" w:styleId="13">
    <w:name w:val="Plain Text"/>
    <w:basedOn w:val="1"/>
    <w:autoRedefine/>
    <w:qFormat/>
    <w:uiPriority w:val="99"/>
    <w:rPr>
      <w:rFonts w:ascii="宋体" w:hAnsi="Courier New" w:eastAsia="仿宋_GB2312"/>
      <w:sz w:val="28"/>
    </w:rPr>
  </w:style>
  <w:style w:type="paragraph" w:styleId="14">
    <w:name w:val="List Bullet 5"/>
    <w:basedOn w:val="1"/>
    <w:autoRedefine/>
    <w:qFormat/>
    <w:uiPriority w:val="0"/>
    <w:pPr>
      <w:numPr>
        <w:ilvl w:val="0"/>
        <w:numId w:val="2"/>
      </w:numPr>
    </w:pPr>
  </w:style>
  <w:style w:type="paragraph" w:styleId="15">
    <w:name w:val="Body Text Indent 2"/>
    <w:basedOn w:val="1"/>
    <w:next w:val="16"/>
    <w:autoRedefine/>
    <w:qFormat/>
    <w:uiPriority w:val="0"/>
    <w:pPr>
      <w:ind w:firstLine="560"/>
    </w:pPr>
    <w:rPr>
      <w:rFonts w:ascii="宋体"/>
      <w:color w:val="FF0000"/>
      <w:kern w:val="0"/>
      <w:sz w:val="28"/>
      <w:szCs w:val="28"/>
    </w:rPr>
  </w:style>
  <w:style w:type="paragraph" w:customStyle="1" w:styleId="16">
    <w:name w:val="表格文字"/>
    <w:basedOn w:val="1"/>
    <w:autoRedefine/>
    <w:qFormat/>
    <w:uiPriority w:val="0"/>
    <w:pPr>
      <w:spacing w:line="300" w:lineRule="exact"/>
      <w:jc w:val="center"/>
    </w:pPr>
    <w:rPr>
      <w:rFonts w:ascii="宋体"/>
      <w:kern w:val="0"/>
      <w:szCs w:val="32"/>
    </w:rPr>
  </w:style>
  <w:style w:type="paragraph" w:styleId="17">
    <w:name w:val="footer"/>
    <w:basedOn w:val="1"/>
    <w:autoRedefine/>
    <w:qFormat/>
    <w:uiPriority w:val="99"/>
    <w:pPr>
      <w:tabs>
        <w:tab w:val="center" w:pos="4153"/>
        <w:tab w:val="right" w:pos="8306"/>
      </w:tabs>
      <w:snapToGrid w:val="0"/>
      <w:jc w:val="left"/>
    </w:pPr>
    <w:rPr>
      <w:kern w:val="0"/>
      <w:sz w:val="18"/>
      <w:szCs w:val="20"/>
    </w:rPr>
  </w:style>
  <w:style w:type="paragraph" w:styleId="18">
    <w:name w:val="header"/>
    <w:basedOn w:val="1"/>
    <w:next w:val="19"/>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19">
    <w:name w:val="样式5"/>
    <w:basedOn w:val="20"/>
    <w:qFormat/>
    <w:uiPriority w:val="0"/>
    <w:pPr>
      <w:snapToGrid w:val="0"/>
      <w:spacing w:beforeLines="20" w:afterLines="20" w:line="480" w:lineRule="exact"/>
      <w:ind w:firstLine="523" w:firstLineChars="218"/>
      <w:jc w:val="both"/>
    </w:pPr>
    <w:rPr>
      <w:i/>
      <w:iCs/>
      <w:kern w:val="2"/>
      <w:sz w:val="24"/>
      <w:szCs w:val="20"/>
    </w:rPr>
  </w:style>
  <w:style w:type="paragraph" w:customStyle="1" w:styleId="20">
    <w:name w:val="正文1"/>
    <w:basedOn w:val="6"/>
    <w:next w:val="1"/>
    <w:qFormat/>
    <w:uiPriority w:val="0"/>
    <w:pPr>
      <w:ind w:firstLine="480"/>
    </w:pPr>
    <w:rPr>
      <w:rFonts w:hAnsi="宋体"/>
      <w:lang w:val="zh-CN"/>
    </w:rPr>
  </w:style>
  <w:style w:type="paragraph" w:styleId="21">
    <w:name w:val="List Number 5"/>
    <w:basedOn w:val="1"/>
    <w:autoRedefine/>
    <w:qFormat/>
    <w:uiPriority w:val="0"/>
    <w:pPr>
      <w:numPr>
        <w:ilvl w:val="0"/>
        <w:numId w:val="3"/>
      </w:numPr>
    </w:pPr>
  </w:style>
  <w:style w:type="paragraph" w:styleId="22">
    <w:name w:val="List"/>
    <w:basedOn w:val="1"/>
    <w:next w:val="1"/>
    <w:autoRedefine/>
    <w:qFormat/>
    <w:uiPriority w:val="0"/>
    <w:pPr>
      <w:ind w:left="200" w:hanging="200" w:hangingChars="200"/>
    </w:pPr>
    <w:rPr>
      <w:rFonts w:ascii="Times New Roman" w:hAnsi="Times New Roman" w:eastAsia="宋体" w:cs="Times New Roman"/>
    </w:rPr>
  </w:style>
  <w:style w:type="paragraph" w:styleId="23">
    <w:name w:val="table of figures"/>
    <w:basedOn w:val="1"/>
    <w:next w:val="1"/>
    <w:unhideWhenUsed/>
    <w:qFormat/>
    <w:uiPriority w:val="99"/>
    <w:pPr>
      <w:ind w:left="200" w:leftChars="200" w:hanging="200" w:hangingChars="200"/>
    </w:pPr>
  </w:style>
  <w:style w:type="paragraph" w:styleId="24">
    <w:name w:val="Body Text 2"/>
    <w:basedOn w:val="1"/>
    <w:next w:val="1"/>
    <w:autoRedefine/>
    <w:qFormat/>
    <w:uiPriority w:val="0"/>
    <w:pPr>
      <w:spacing w:after="120" w:line="480" w:lineRule="auto"/>
    </w:pPr>
  </w:style>
  <w:style w:type="paragraph" w:styleId="25">
    <w:name w:val="Normal (Web)"/>
    <w:basedOn w:val="1"/>
    <w:autoRedefine/>
    <w:qFormat/>
    <w:uiPriority w:val="0"/>
    <w:pPr>
      <w:widowControl/>
      <w:spacing w:before="100" w:beforeAutospacing="1" w:after="100" w:afterAutospacing="1"/>
      <w:jc w:val="left"/>
    </w:pPr>
    <w:rPr>
      <w:rFonts w:ascii="宋体" w:hAnsi="宋体"/>
      <w:kern w:val="0"/>
      <w:sz w:val="24"/>
      <w:szCs w:val="20"/>
    </w:rPr>
  </w:style>
  <w:style w:type="paragraph" w:styleId="26">
    <w:name w:val="Body Text First Indent"/>
    <w:basedOn w:val="7"/>
    <w:autoRedefine/>
    <w:qFormat/>
    <w:uiPriority w:val="0"/>
    <w:pPr>
      <w:widowControl w:val="0"/>
      <w:spacing w:after="120"/>
      <w:ind w:firstLine="420" w:firstLineChars="100"/>
    </w:pPr>
    <w:rPr>
      <w:kern w:val="2"/>
      <w:sz w:val="21"/>
      <w:szCs w:val="21"/>
    </w:rPr>
  </w:style>
  <w:style w:type="table" w:styleId="28">
    <w:name w:val="Table Grid"/>
    <w:basedOn w:val="27"/>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page number"/>
    <w:basedOn w:val="29"/>
    <w:autoRedefine/>
    <w:qFormat/>
    <w:uiPriority w:val="0"/>
  </w:style>
  <w:style w:type="character" w:styleId="31">
    <w:name w:val="Hyperlink"/>
    <w:basedOn w:val="29"/>
    <w:autoRedefine/>
    <w:qFormat/>
    <w:uiPriority w:val="0"/>
    <w:rPr>
      <w:color w:val="0000FF"/>
      <w:u w:val="single"/>
    </w:rPr>
  </w:style>
  <w:style w:type="paragraph" w:customStyle="1" w:styleId="32">
    <w:name w:val="样式 首行缩进:  2 字符1"/>
    <w:basedOn w:val="1"/>
    <w:autoRedefine/>
    <w:qFormat/>
    <w:uiPriority w:val="0"/>
    <w:pPr>
      <w:adjustRightInd w:val="0"/>
      <w:snapToGrid w:val="0"/>
      <w:spacing w:line="360" w:lineRule="auto"/>
      <w:ind w:firstLine="480" w:firstLineChars="200"/>
    </w:pPr>
    <w:rPr>
      <w:rFonts w:cs="宋体"/>
      <w:sz w:val="24"/>
      <w:lang w:val="en-US" w:eastAsia="zh-CN"/>
    </w:rPr>
  </w:style>
  <w:style w:type="paragraph" w:customStyle="1" w:styleId="33">
    <w:name w:val="样式 正文文本缩进 + 行距: 1.5 倍行距"/>
    <w:autoRedefine/>
    <w:qFormat/>
    <w:uiPriority w:val="0"/>
    <w:pPr>
      <w:widowControl w:val="0"/>
      <w:spacing w:after="120" w:line="360" w:lineRule="auto"/>
      <w:ind w:left="90" w:leftChars="32" w:firstLine="560" w:firstLineChars="200"/>
      <w:jc w:val="both"/>
    </w:pPr>
    <w:rPr>
      <w:rFonts w:ascii="Times New Roman" w:hAnsi="Times New Roman" w:eastAsia="宋体" w:cs="宋体"/>
      <w:lang w:val="en-US" w:eastAsia="zh-CN" w:bidi="ar-SA"/>
    </w:rPr>
  </w:style>
  <w:style w:type="paragraph" w:customStyle="1" w:styleId="34">
    <w:name w:val="表格"/>
    <w:basedOn w:val="22"/>
    <w:next w:val="1"/>
    <w:autoRedefine/>
    <w:qFormat/>
    <w:uiPriority w:val="0"/>
    <w:pPr>
      <w:adjustRightInd w:val="0"/>
      <w:snapToGrid w:val="0"/>
      <w:spacing w:beforeLines="10" w:afterLines="10" w:line="259" w:lineRule="auto"/>
      <w:jc w:val="center"/>
    </w:pPr>
    <w:rPr>
      <w:rFonts w:ascii="宋体"/>
      <w:kern w:val="0"/>
      <w:szCs w:val="20"/>
    </w:rPr>
  </w:style>
  <w:style w:type="paragraph" w:customStyle="1" w:styleId="35">
    <w:name w:val="Body Text 21"/>
    <w:basedOn w:val="1"/>
    <w:autoRedefine/>
    <w:qFormat/>
    <w:uiPriority w:val="0"/>
    <w:pPr>
      <w:spacing w:after="120" w:line="480" w:lineRule="auto"/>
    </w:pPr>
  </w:style>
  <w:style w:type="paragraph" w:customStyle="1" w:styleId="36">
    <w:name w:val="xl27"/>
    <w:basedOn w:val="1"/>
    <w:autoRedefine/>
    <w:qFormat/>
    <w:uiPriority w:val="0"/>
    <w:pPr>
      <w:widowControl/>
      <w:pBdr>
        <w:bottom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37">
    <w:name w:val="样式 正文缩进正文缩进2正文缩进 Char Char正文缩进 Char Char Char Char正文缩进 Char ..."/>
    <w:basedOn w:val="6"/>
    <w:autoRedefine/>
    <w:qFormat/>
    <w:uiPriority w:val="0"/>
    <w:pPr>
      <w:spacing w:line="360" w:lineRule="auto"/>
      <w:ind w:firstLine="200"/>
    </w:pPr>
    <w:rPr>
      <w:rFonts w:cs="宋体"/>
      <w:sz w:val="24"/>
    </w:rPr>
  </w:style>
  <w:style w:type="paragraph" w:customStyle="1" w:styleId="38">
    <w:name w:val="环评正文"/>
    <w:autoRedefine/>
    <w:qFormat/>
    <w:uiPriority w:val="0"/>
    <w:pPr>
      <w:spacing w:line="520" w:lineRule="exact"/>
      <w:ind w:firstLine="1440" w:firstLineChars="200"/>
      <w:jc w:val="both"/>
    </w:pPr>
    <w:rPr>
      <w:rFonts w:ascii="Times New Roman" w:hAnsi="Times New Roman" w:eastAsia="宋体" w:cs="Times New Roman"/>
      <w:sz w:val="24"/>
      <w:lang w:val="en-US" w:eastAsia="zh-CN" w:bidi="ar-SA"/>
    </w:rPr>
  </w:style>
  <w:style w:type="paragraph" w:customStyle="1" w:styleId="39">
    <w:name w:val="表格内"/>
    <w:basedOn w:val="1"/>
    <w:autoRedefine/>
    <w:qFormat/>
    <w:uiPriority w:val="0"/>
    <w:pPr>
      <w:adjustRightInd w:val="0"/>
      <w:snapToGrid w:val="0"/>
      <w:spacing w:line="360" w:lineRule="exact"/>
      <w:jc w:val="center"/>
    </w:pPr>
    <w:rPr>
      <w:rFonts w:eastAsia="Times New Roman"/>
      <w:snapToGrid w:val="0"/>
      <w:kern w:val="0"/>
      <w:szCs w:val="21"/>
    </w:rPr>
  </w:style>
  <w:style w:type="paragraph" w:customStyle="1" w:styleId="40">
    <w:name w:val="Default"/>
    <w:basedOn w:val="41"/>
    <w:next w:val="1"/>
    <w:autoRedefine/>
    <w:unhideWhenUsed/>
    <w:qFormat/>
    <w:uiPriority w:val="99"/>
    <w:pPr>
      <w:tabs>
        <w:tab w:val="left" w:pos="1845"/>
      </w:tabs>
      <w:autoSpaceDE w:val="0"/>
      <w:autoSpaceDN w:val="0"/>
    </w:pPr>
    <w:rPr>
      <w:rFonts w:hint="eastAsia" w:ascii="宋体" w:hAnsi="宋体"/>
      <w:sz w:val="24"/>
    </w:rPr>
  </w:style>
  <w:style w:type="paragraph" w:customStyle="1" w:styleId="41">
    <w:name w:val="纯文本1"/>
    <w:basedOn w:val="1"/>
    <w:autoRedefine/>
    <w:qFormat/>
    <w:uiPriority w:val="0"/>
    <w:rPr>
      <w:rFonts w:ascii="宋体" w:hAnsi="Courier New" w:cs="Courier New"/>
      <w:szCs w:val="21"/>
    </w:rPr>
  </w:style>
  <w:style w:type="paragraph" w:customStyle="1" w:styleId="42">
    <w:name w:val="3博创正文"/>
    <w:basedOn w:val="1"/>
    <w:link w:val="43"/>
    <w:autoRedefine/>
    <w:unhideWhenUsed/>
    <w:qFormat/>
    <w:uiPriority w:val="0"/>
  </w:style>
  <w:style w:type="character" w:customStyle="1" w:styleId="43">
    <w:name w:val="3博创正文 Char"/>
    <w:link w:val="42"/>
    <w:autoRedefine/>
    <w:qFormat/>
    <w:uiPriority w:val="0"/>
  </w:style>
  <w:style w:type="paragraph" w:customStyle="1" w:styleId="44">
    <w:name w:val="@正文缩进"/>
    <w:basedOn w:val="1"/>
    <w:autoRedefine/>
    <w:qFormat/>
    <w:uiPriority w:val="0"/>
    <w:pPr>
      <w:pBdr>
        <w:top w:val="none" w:color="auto" w:sz="0" w:space="3"/>
        <w:left w:val="none" w:color="auto" w:sz="0" w:space="4"/>
        <w:bottom w:val="none" w:color="auto" w:sz="0" w:space="1"/>
        <w:right w:val="none" w:color="auto" w:sz="0" w:space="4"/>
      </w:pBdr>
      <w:spacing w:line="360" w:lineRule="auto"/>
      <w:ind w:firstLine="420" w:firstLineChars="200"/>
      <w:textAlignment w:val="baseline"/>
    </w:pPr>
    <w:rPr>
      <w:sz w:val="24"/>
    </w:rPr>
  </w:style>
  <w:style w:type="paragraph" w:customStyle="1" w:styleId="45">
    <w:name w:val="表格1"/>
    <w:basedOn w:val="1"/>
    <w:autoRedefine/>
    <w:qFormat/>
    <w:uiPriority w:val="0"/>
    <w:pPr>
      <w:adjustRightInd w:val="0"/>
      <w:snapToGrid w:val="0"/>
      <w:jc w:val="center"/>
    </w:pPr>
    <w:rPr>
      <w:rFonts w:eastAsia="方正仿宋_GBK"/>
      <w:color w:val="000000"/>
      <w:kern w:val="0"/>
    </w:rPr>
  </w:style>
  <w:style w:type="paragraph" w:customStyle="1" w:styleId="46">
    <w:name w:val="1正文段落"/>
    <w:basedOn w:val="1"/>
    <w:autoRedefine/>
    <w:qFormat/>
    <w:uiPriority w:val="0"/>
    <w:pPr>
      <w:spacing w:line="500" w:lineRule="exact"/>
      <w:ind w:firstLine="200" w:firstLineChars="200"/>
      <w:jc w:val="left"/>
    </w:pPr>
    <w:rPr>
      <w:snapToGrid w:val="0"/>
      <w:kern w:val="0"/>
      <w:sz w:val="24"/>
    </w:rPr>
  </w:style>
  <w:style w:type="paragraph" w:customStyle="1" w:styleId="47">
    <w:name w:val="表格字体"/>
    <w:basedOn w:val="1"/>
    <w:autoRedefine/>
    <w:qFormat/>
    <w:uiPriority w:val="0"/>
    <w:pPr>
      <w:jc w:val="center"/>
    </w:pPr>
  </w:style>
  <w:style w:type="paragraph" w:customStyle="1" w:styleId="48">
    <w:name w:val="表头"/>
    <w:basedOn w:val="49"/>
    <w:next w:val="1"/>
    <w:autoRedefine/>
    <w:qFormat/>
    <w:uiPriority w:val="0"/>
    <w:pPr>
      <w:adjustRightInd w:val="0"/>
      <w:snapToGrid w:val="0"/>
      <w:spacing w:line="240" w:lineRule="atLeast"/>
      <w:ind w:firstLine="0"/>
    </w:pPr>
    <w:rPr>
      <w:rFonts w:ascii="宋体" w:hAnsi="宋体" w:eastAsia="黑体"/>
      <w:kern w:val="0"/>
      <w:sz w:val="24"/>
    </w:rPr>
  </w:style>
  <w:style w:type="paragraph" w:customStyle="1" w:styleId="49">
    <w:name w:val="表格内容"/>
    <w:basedOn w:val="6"/>
    <w:next w:val="1"/>
    <w:autoRedefine/>
    <w:qFormat/>
    <w:uiPriority w:val="0"/>
    <w:pPr>
      <w:jc w:val="center"/>
    </w:pPr>
    <w:rPr>
      <w:lang w:val="zh-TW" w:eastAsia="zh-TW"/>
    </w:rPr>
  </w:style>
  <w:style w:type="paragraph" w:customStyle="1" w:styleId="50">
    <w:name w:val="文本"/>
    <w:basedOn w:val="1"/>
    <w:autoRedefine/>
    <w:qFormat/>
    <w:uiPriority w:val="0"/>
    <w:pPr>
      <w:adjustRightInd w:val="0"/>
      <w:snapToGrid w:val="0"/>
      <w:spacing w:line="360" w:lineRule="auto"/>
      <w:ind w:firstLine="480" w:firstLineChars="200"/>
      <w:jc w:val="left"/>
    </w:pPr>
    <w:rPr>
      <w:sz w:val="24"/>
    </w:rPr>
  </w:style>
  <w:style w:type="paragraph" w:customStyle="1" w:styleId="51">
    <w:name w:val="表格标题"/>
    <w:basedOn w:val="1"/>
    <w:autoRedefine/>
    <w:qFormat/>
    <w:uiPriority w:val="0"/>
    <w:pPr>
      <w:autoSpaceDE w:val="0"/>
      <w:autoSpaceDN w:val="0"/>
      <w:adjustRightInd w:val="0"/>
      <w:snapToGrid w:val="0"/>
      <w:spacing w:line="324" w:lineRule="auto"/>
      <w:ind w:firstLine="422" w:firstLineChars="200"/>
      <w:jc w:val="center"/>
    </w:pPr>
    <w:rPr>
      <w:rFonts w:ascii="宋体" w:hAnsi="宋体"/>
      <w:b/>
      <w:lang w:val="zh-CN"/>
    </w:rPr>
  </w:style>
  <w:style w:type="paragraph" w:customStyle="1" w:styleId="52">
    <w:name w:val="Table Paragraph"/>
    <w:basedOn w:val="1"/>
    <w:autoRedefine/>
    <w:qFormat/>
    <w:uiPriority w:val="0"/>
    <w:pPr>
      <w:jc w:val="left"/>
    </w:pPr>
    <w:rPr>
      <w:rFonts w:ascii="Calibri" w:hAnsi="Calibri"/>
      <w:kern w:val="0"/>
      <w:sz w:val="22"/>
      <w:szCs w:val="22"/>
      <w:lang w:eastAsia="en-US"/>
    </w:rPr>
  </w:style>
  <w:style w:type="paragraph" w:styleId="53">
    <w:name w:val="List Paragraph"/>
    <w:basedOn w:val="1"/>
    <w:autoRedefine/>
    <w:qFormat/>
    <w:uiPriority w:val="1"/>
    <w:pPr>
      <w:ind w:left="1159" w:hanging="602"/>
    </w:pPr>
    <w:rPr>
      <w:rFonts w:ascii="宋体" w:hAnsi="宋体" w:cs="宋体"/>
      <w:u w:val="single" w:color="000000"/>
      <w:lang w:val="zh-CN" w:bidi="zh-CN"/>
    </w:rPr>
  </w:style>
  <w:style w:type="paragraph" w:customStyle="1" w:styleId="54">
    <w:name w:val="表头  报告书"/>
    <w:basedOn w:val="1"/>
    <w:autoRedefine/>
    <w:qFormat/>
    <w:uiPriority w:val="0"/>
    <w:pPr>
      <w:spacing w:before="50" w:beforeLines="50" w:line="360" w:lineRule="auto"/>
      <w:ind w:firstLine="200" w:firstLineChars="200"/>
      <w:jc w:val="center"/>
    </w:pPr>
    <w:rPr>
      <w:rFonts w:hAnsi="宋体"/>
      <w:b/>
      <w:sz w:val="24"/>
      <w:szCs w:val="21"/>
    </w:rPr>
  </w:style>
  <w:style w:type="paragraph" w:customStyle="1" w:styleId="55">
    <w:name w:val="表格内容1"/>
    <w:basedOn w:val="1"/>
    <w:autoRedefine/>
    <w:qFormat/>
    <w:uiPriority w:val="0"/>
    <w:pPr>
      <w:tabs>
        <w:tab w:val="left" w:pos="1535"/>
        <w:tab w:val="left" w:pos="3105"/>
        <w:tab w:val="left" w:pos="4676"/>
        <w:tab w:val="left" w:pos="6247"/>
        <w:tab w:val="left" w:pos="7740"/>
        <w:tab w:val="left" w:pos="9288"/>
      </w:tabs>
      <w:adjustRightInd w:val="0"/>
      <w:snapToGrid w:val="0"/>
      <w:spacing w:line="240" w:lineRule="auto"/>
      <w:ind w:firstLine="0" w:firstLineChars="0"/>
      <w:jc w:val="center"/>
      <w:textAlignment w:val="baseline"/>
    </w:pPr>
    <w:rPr>
      <w:rFonts w:ascii="Times New Roman" w:hAnsi="Times New Roman"/>
      <w:sz w:val="21"/>
      <w:szCs w:val="21"/>
    </w:rPr>
  </w:style>
  <w:style w:type="character" w:customStyle="1" w:styleId="56">
    <w:name w:val="textbig1"/>
    <w:autoRedefine/>
    <w:qFormat/>
    <w:uiPriority w:val="0"/>
    <w:rPr>
      <w:sz w:val="18"/>
      <w:szCs w:val="18"/>
    </w:rPr>
  </w:style>
  <w:style w:type="paragraph" w:customStyle="1" w:styleId="57">
    <w:name w:val="报告表正文"/>
    <w:basedOn w:val="58"/>
    <w:autoRedefine/>
    <w:qFormat/>
    <w:uiPriority w:val="0"/>
    <w:pPr>
      <w:adjustRightInd w:val="0"/>
      <w:ind w:firstLine="482"/>
      <w:textAlignment w:val="baseline"/>
    </w:pPr>
  </w:style>
  <w:style w:type="paragraph" w:customStyle="1" w:styleId="58">
    <w:name w:val="报告正文"/>
    <w:basedOn w:val="59"/>
    <w:autoRedefine/>
    <w:qFormat/>
    <w:uiPriority w:val="0"/>
    <w:pPr>
      <w:widowControl w:val="0"/>
      <w:snapToGrid w:val="0"/>
      <w:spacing w:line="520" w:lineRule="exact"/>
      <w:ind w:firstLine="200" w:firstLineChars="200"/>
    </w:pPr>
    <w:rPr>
      <w:rFonts w:ascii="Times New Roman" w:hAnsi="Times New Roman" w:eastAsia="宋体" w:cs="Times New Roman"/>
      <w:snapToGrid w:val="0"/>
      <w:sz w:val="24"/>
      <w:szCs w:val="28"/>
    </w:rPr>
  </w:style>
  <w:style w:type="paragraph" w:customStyle="1" w:styleId="59">
    <w:name w:val="p17"/>
    <w:basedOn w:val="1"/>
    <w:autoRedefine/>
    <w:qFormat/>
    <w:uiPriority w:val="0"/>
    <w:pPr>
      <w:widowControl/>
    </w:pPr>
    <w:rPr>
      <w:rFonts w:ascii="宋体" w:hAnsi="宋体" w:cs="宋体"/>
      <w:kern w:val="0"/>
      <w:szCs w:val="21"/>
    </w:rPr>
  </w:style>
  <w:style w:type="paragraph" w:customStyle="1" w:styleId="60">
    <w:name w:val="正文(首行缩进)"/>
    <w:basedOn w:val="1"/>
    <w:autoRedefine/>
    <w:qFormat/>
    <w:uiPriority w:val="0"/>
    <w:pPr>
      <w:adjustRightInd w:val="0"/>
      <w:snapToGrid w:val="0"/>
      <w:spacing w:line="360" w:lineRule="auto"/>
      <w:ind w:firstLine="482" w:firstLineChars="200"/>
    </w:pPr>
    <w:rPr>
      <w:rFonts w:ascii="Times New Roman" w:hAnsi="宋体" w:eastAsia="宋体" w:cs="Times New Roman"/>
      <w:b/>
      <w:bCs/>
      <w:color w:val="000000"/>
      <w:sz w:val="24"/>
      <w:szCs w:val="28"/>
    </w:rPr>
  </w:style>
  <w:style w:type="paragraph" w:customStyle="1" w:styleId="61">
    <w:name w:val="环评正文格式"/>
    <w:basedOn w:val="1"/>
    <w:autoRedefine/>
    <w:qFormat/>
    <w:uiPriority w:val="0"/>
    <w:pPr>
      <w:numPr>
        <w:ilvl w:val="0"/>
        <w:numId w:val="0"/>
      </w:numPr>
      <w:spacing w:line="520" w:lineRule="exact"/>
      <w:ind w:firstLine="480" w:firstLineChars="200"/>
    </w:pPr>
    <w:rPr>
      <w:rFonts w:hint="eastAsia" w:ascii="Times New Roman" w:hAnsi="Times New Roman" w:eastAsia="宋体"/>
      <w:sz w:val="24"/>
    </w:rPr>
  </w:style>
  <w:style w:type="paragraph" w:customStyle="1" w:styleId="62">
    <w:name w:val="正文新"/>
    <w:basedOn w:val="1"/>
    <w:autoRedefine/>
    <w:qFormat/>
    <w:uiPriority w:val="0"/>
    <w:pPr>
      <w:spacing w:line="460" w:lineRule="exact"/>
      <w:ind w:firstLine="480" w:firstLineChars="200"/>
    </w:pPr>
    <w:rPr>
      <w:sz w:val="24"/>
    </w:rPr>
  </w:style>
  <w:style w:type="paragraph" w:customStyle="1" w:styleId="63">
    <w:name w:val="！正文"/>
    <w:basedOn w:val="1"/>
    <w:autoRedefine/>
    <w:qFormat/>
    <w:uiPriority w:val="0"/>
    <w:pPr>
      <w:spacing w:line="500" w:lineRule="exact"/>
      <w:ind w:firstLine="200" w:firstLineChars="200"/>
    </w:pPr>
    <w:rPr>
      <w:kern w:val="0"/>
      <w:sz w:val="24"/>
    </w:rPr>
  </w:style>
  <w:style w:type="paragraph" w:customStyle="1" w:styleId="64">
    <w:name w:val="Char"/>
    <w:basedOn w:val="1"/>
    <w:qFormat/>
    <w:uiPriority w:val="0"/>
    <w:pPr>
      <w:spacing w:line="360" w:lineRule="auto"/>
      <w:ind w:firstLine="200" w:firstLineChars="200"/>
    </w:pPr>
    <w:rPr>
      <w:rFonts w:ascii="宋体" w:hAnsi="宋体" w:cs="宋体"/>
      <w:sz w:val="24"/>
    </w:rPr>
  </w:style>
  <w:style w:type="character" w:customStyle="1" w:styleId="65">
    <w:name w:val="fontstyle01"/>
    <w:basedOn w:val="29"/>
    <w:autoRedefine/>
    <w:qFormat/>
    <w:uiPriority w:val="0"/>
    <w:rPr>
      <w:rFonts w:ascii="TimesNewRomanPSMT" w:hAnsi="TimesNewRomanPSMT" w:cs="Times New Roman"/>
      <w:color w:val="000000"/>
      <w:sz w:val="24"/>
      <w:szCs w:val="24"/>
    </w:rPr>
  </w:style>
  <w:style w:type="character" w:customStyle="1" w:styleId="66">
    <w:name w:val="font31"/>
    <w:basedOn w:val="29"/>
    <w:qFormat/>
    <w:uiPriority w:val="0"/>
    <w:rPr>
      <w:rFonts w:ascii="Calibri" w:hAnsi="Calibri" w:cs="Calibri"/>
      <w:color w:val="000000"/>
      <w:sz w:val="24"/>
      <w:szCs w:val="24"/>
      <w:u w:val="none"/>
    </w:rPr>
  </w:style>
  <w:style w:type="character" w:customStyle="1" w:styleId="67">
    <w:name w:val="font21"/>
    <w:basedOn w:val="29"/>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wmf"/><Relationship Id="rId2" Type="http://schemas.openxmlformats.org/officeDocument/2006/relationships/settings" Target="settings.xml"/><Relationship Id="rId19" Type="http://schemas.openxmlformats.org/officeDocument/2006/relationships/oleObject" Target="embeddings/oleObject4.bin"/><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wmf"/><Relationship Id="rId15" Type="http://schemas.openxmlformats.org/officeDocument/2006/relationships/oleObject" Target="embeddings/oleObject3.bin"/><Relationship Id="rId14" Type="http://schemas.openxmlformats.org/officeDocument/2006/relationships/image" Target="media/image5.wmf"/><Relationship Id="rId13" Type="http://schemas.openxmlformats.org/officeDocument/2006/relationships/oleObject" Target="embeddings/oleObject2.bin"/><Relationship Id="rId12" Type="http://schemas.openxmlformats.org/officeDocument/2006/relationships/image" Target="media/image4.wmf"/><Relationship Id="rId11" Type="http://schemas.openxmlformats.org/officeDocument/2006/relationships/oleObject" Target="embeddings/oleObject1.bin"/><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zIzMzAwODMzMTA0IiwKCSJHcm91cElkIiA6ICIxODgyOTI1MjQiLAoJIkltYWdlIiA6ICJpVkJPUncwS0dnb0FBQUFOU1VoRVVnQUFCTDhBQUFTU0NBWUFBQUJRVGt4L0FBQUFBWE5TUjBJQXJzNGM2UUFBSUFCSlJFRlVlSnpzM1hsNFROZi9CL0QzdVRQSkpKRVFCRUZJeUVKc1dWU3BJclpxcTBXcmltcTFkTkZTUzJ0ci9TeEZMYVVvYWkwdFNpbFZ0RnJGdDVaV1VSU1JFTEVsUVlUc0lYc3lNK2YzUjJTYU1aTmtRbVNpZWIrZXh5UDMzSFBPL2R5SW01blBuQVVn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40bi9CYkRQWVUyeVdHZFhBQUFBQUVsRlRrU3VRbUNDIiwKCSJUaGVtZSIgOiAiIiwKCSJUeXBlIiA6ICJmbG93IiwKCSJWZXJzaW9uIiA6ICIiCn0K"/>
    </extobj>
    <extobj name="ECB019B1-382A-4266-B25C-5B523AA43C14-2">
      <extobjdata type="ECB019B1-382A-4266-B25C-5B523AA43C14" data="ewoJIkZpbGVJZCIgOiAiMzI0Mzk1NDczMjM5IiwKCSJHcm91cElkIiA6ICIxODgyOTI1MjQiLAoJIkltYWdlIiA6ICJpVkJPUncwS0dnb0FBQUFOU1VoRVVnQUFCSWtBQUFPWkNBWUFBQUNhdzNCTkFBQUFBWE5TUjBJQXJzNGM2UUFBSUFCSlJFRlVlSnpzM1hsOFZOWDkvL0gzdVRQWjJCVlFpdEFHQlZtRm1RbFltb0lWOTRMZ3dsTEU0cjZnb2lMV0JWU3FQM2RxRVFWS1JVUy9vTlFGQkxSU2dkYWlDQ3JJVE5nQ0VSUVFrQjFDV0xMTjNQUDdJOGswTzFFSWcvQjZQaDQrT25QdU9lZCticXcrd3R0enpwV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RnlEL3dFZXl2RjZTYkt5c3dBQUFBQkpSVTVFcmtKZ2dnPT0iLAoJIlRoZW1lIiA6ICIiLAoJIlR5cGUiIDogImZsb3ciLAoJIlZlcnNpb24iIDogIi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77</Pages>
  <Words>42528</Words>
  <Characters>46787</Characters>
  <Lines>0</Lines>
  <Paragraphs>0</Paragraphs>
  <TotalTime>11</TotalTime>
  <ScaleCrop>false</ScaleCrop>
  <LinksUpToDate>false</LinksUpToDate>
  <CharactersWithSpaces>47240</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2023-01-16T14:19:00Z</dcterms:created>
  <dc:creator>李文凯</dc:creator>
  <cp:lastModifiedBy>北方有佳人</cp:lastModifiedBy>
  <cp:lastPrinted>2024-02-26T05:06:00Z</cp:lastPrinted>
  <dcterms:modified xsi:type="dcterms:W3CDTF">2024-09-30T07:36:54Z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E8743A5644094E9C88AF4F229A7AE43B_13</vt:lpwstr>
  </property>
</Properties>
</file>