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rightChars="0" w:firstLine="0" w:firstLineChars="0"/>
        <w:jc w:val="center"/>
        <w:textAlignment w:val="auto"/>
        <w:outlineLvl w:val="9"/>
        <w:rPr>
          <w:rFonts w:ascii="微软雅黑" w:hAnsi="微软雅黑" w:eastAsia="微软雅黑" w:cs="微软雅黑"/>
          <w:sz w:val="30"/>
          <w:szCs w:val="30"/>
          <w:lang w:val="en-US" w:eastAsia="zh-CN" w:bidi="ar-SA"/>
        </w:rPr>
      </w:pP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rightChars="0" w:firstLine="0" w:firstLineChars="0"/>
        <w:jc w:val="center"/>
        <w:textAlignment w:val="auto"/>
        <w:outlineLvl w:val="0"/>
        <w:rPr>
          <w:rFonts w:ascii="微软雅黑" w:hAnsi="微软雅黑" w:eastAsia="微软雅黑" w:cs="微软雅黑"/>
          <w:sz w:val="72"/>
          <w:szCs w:val="72"/>
          <w:lang w:val="en-US" w:eastAsia="zh-CN" w:bidi="ar-SA"/>
        </w:rPr>
      </w:pPr>
      <w:bookmarkStart w:id="0" w:name="_Toc26165"/>
      <w:bookmarkStart w:id="1" w:name="_Toc18017"/>
      <w:r>
        <w:rPr>
          <w:rFonts w:ascii="微软雅黑" w:hAnsi="微软雅黑" w:eastAsia="微软雅黑" w:cs="微软雅黑"/>
          <w:sz w:val="72"/>
          <w:szCs w:val="72"/>
          <w:lang w:val="en-US" w:eastAsia="zh-CN" w:bidi="ar-SA"/>
        </w:rPr>
        <w:t>建设项目环境影响报告表</w:t>
      </w:r>
      <w:bookmarkEnd w:id="0"/>
      <w:bookmarkEnd w:id="1"/>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right="0" w:firstLine="0" w:firstLineChars="0"/>
        <w:jc w:val="center"/>
        <w:textAlignment w:val="auto"/>
        <w:rPr>
          <w:rFonts w:hint="eastAsia" w:ascii="楷体" w:hAnsi="Times New Roman" w:eastAsia="楷体" w:cs="宋体"/>
          <w:sz w:val="48"/>
        </w:rPr>
      </w:pPr>
      <w:r>
        <w:rPr>
          <w:rFonts w:hint="eastAsia" w:ascii="楷体" w:hAnsi="Times New Roman" w:eastAsia="楷体" w:cs="宋体"/>
          <w:sz w:val="48"/>
        </w:rPr>
        <w:t>（</w:t>
      </w:r>
      <w:r>
        <w:rPr>
          <w:rFonts w:hint="eastAsia" w:ascii="楷体" w:eastAsia="楷体" w:cs="宋体"/>
          <w:sz w:val="48"/>
          <w:lang w:val="en-US" w:eastAsia="zh-CN"/>
        </w:rPr>
        <w:t>污染影响类</w:t>
      </w:r>
      <w:r>
        <w:rPr>
          <w:rFonts w:hint="eastAsia" w:ascii="楷体" w:hAnsi="Times New Roman" w:eastAsia="楷体" w:cs="宋体"/>
          <w:sz w:val="48"/>
        </w:rPr>
        <w:t>）</w:t>
      </w:r>
    </w:p>
    <w:p>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sz w:val="48"/>
          <w:szCs w:val="24"/>
          <w:lang w:val="en-US" w:eastAsia="zh-CN" w:bidi="ar-SA"/>
        </w:rPr>
      </w:pPr>
    </w:p>
    <w:p>
      <w:pPr>
        <w:overflowPunct w:val="0"/>
        <w:autoSpaceDE w:val="0"/>
        <w:autoSpaceDN w:val="0"/>
        <w:adjustRightInd w:val="0"/>
        <w:snapToGrid w:val="0"/>
        <w:spacing w:before="0" w:after="0" w:line="500" w:lineRule="exact"/>
        <w:ind w:left="0" w:leftChars="0" w:right="0" w:firstLine="0" w:firstLineChars="0"/>
        <w:jc w:val="center"/>
        <w:rPr>
          <w:rFonts w:hint="eastAsia" w:ascii="Times New Roman" w:hAnsi="Times New Roman" w:eastAsia="宋体" w:cs="Times New Roman"/>
          <w:b w:val="0"/>
          <w:bCs w:val="0"/>
          <w:spacing w:val="-4"/>
          <w:sz w:val="28"/>
          <w:szCs w:val="28"/>
          <w:u w:val="none"/>
          <w:lang w:val="en-US" w:eastAsia="zh-CN"/>
        </w:rPr>
      </w:pPr>
      <w:r>
        <w:rPr>
          <w:rFonts w:hint="eastAsia" w:ascii="Times New Roman" w:hAnsi="Times New Roman" w:eastAsia="宋体" w:cs="Times New Roman"/>
          <w:b w:val="0"/>
          <w:bCs w:val="0"/>
          <w:spacing w:val="-4"/>
          <w:sz w:val="28"/>
          <w:szCs w:val="28"/>
          <w:u w:val="none"/>
          <w:lang w:val="en-US" w:eastAsia="zh-CN"/>
        </w:rPr>
        <w:t>（</w:t>
      </w:r>
      <w:r>
        <w:rPr>
          <w:rFonts w:hint="eastAsia" w:cs="Times New Roman"/>
          <w:b w:val="0"/>
          <w:bCs w:val="0"/>
          <w:spacing w:val="-4"/>
          <w:sz w:val="28"/>
          <w:szCs w:val="28"/>
          <w:u w:val="none"/>
          <w:lang w:val="en-US" w:eastAsia="zh-CN"/>
        </w:rPr>
        <w:t>报批</w:t>
      </w:r>
      <w:r>
        <w:rPr>
          <w:rFonts w:hint="eastAsia" w:ascii="Times New Roman" w:hAnsi="Times New Roman" w:eastAsia="宋体" w:cs="Times New Roman"/>
          <w:b w:val="0"/>
          <w:bCs w:val="0"/>
          <w:spacing w:val="-4"/>
          <w:sz w:val="28"/>
          <w:szCs w:val="28"/>
          <w:u w:val="none"/>
          <w:lang w:val="en-US" w:eastAsia="zh-CN"/>
        </w:rPr>
        <w:t>稿）</w:t>
      </w:r>
    </w:p>
    <w:p>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sz w:val="48"/>
          <w:szCs w:val="24"/>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sz w:val="48"/>
          <w:szCs w:val="24"/>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sz w:val="48"/>
          <w:szCs w:val="24"/>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sz w:val="48"/>
          <w:szCs w:val="24"/>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sz w:val="48"/>
          <w:szCs w:val="24"/>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sz w:val="48"/>
          <w:szCs w:val="24"/>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sz w:val="48"/>
          <w:szCs w:val="24"/>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sz w:val="48"/>
          <w:szCs w:val="24"/>
          <w:lang w:val="en-US" w:eastAsia="zh-CN" w:bidi="ar-SA"/>
        </w:rPr>
      </w:pP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79" w:leftChars="0" w:right="0" w:firstLine="0" w:firstLineChars="0"/>
        <w:jc w:val="left"/>
        <w:textAlignment w:val="auto"/>
        <w:rPr>
          <w:rFonts w:hint="default" w:cs="Times New Roman"/>
          <w:b w:val="0"/>
          <w:bCs w:val="0"/>
          <w:spacing w:val="-10"/>
          <w:sz w:val="28"/>
          <w:szCs w:val="28"/>
          <w:u w:val="single"/>
          <w:lang w:val="en-US" w:eastAsia="zh-CN"/>
        </w:rPr>
      </w:pPr>
      <w:r>
        <w:rPr>
          <w:rFonts w:hint="default" w:ascii="Times New Roman" w:hAnsi="Times New Roman" w:eastAsia="宋体" w:cs="Times New Roman"/>
          <w:b w:val="0"/>
          <w:bCs w:val="0"/>
          <w:spacing w:val="-10"/>
          <w:sz w:val="28"/>
          <w:szCs w:val="28"/>
        </w:rPr>
        <w:t>项目名称</w:t>
      </w:r>
      <w:r>
        <w:rPr>
          <w:rFonts w:hint="eastAsia" w:cs="Times New Roman"/>
          <w:b w:val="0"/>
          <w:bCs w:val="0"/>
          <w:spacing w:val="-10"/>
          <w:sz w:val="28"/>
          <w:szCs w:val="28"/>
          <w:lang w:eastAsia="zh-CN"/>
        </w:rPr>
        <w:t>：</w:t>
      </w:r>
      <w:r>
        <w:rPr>
          <w:rFonts w:hint="eastAsia" w:cs="Times New Roman"/>
          <w:b w:val="0"/>
          <w:bCs w:val="0"/>
          <w:spacing w:val="-10"/>
          <w:sz w:val="28"/>
          <w:szCs w:val="28"/>
          <w:u w:val="single"/>
          <w:lang w:val="en-US" w:eastAsia="zh-CN"/>
        </w:rPr>
        <w:t xml:space="preserve"> 新疆圣威线缆科技有限公司建设年产2000千米电线电缆项目                                             </w:t>
      </w:r>
    </w:p>
    <w:p>
      <w:pPr>
        <w:overflowPunct w:val="0"/>
        <w:autoSpaceDE w:val="0"/>
        <w:autoSpaceDN w:val="0"/>
        <w:adjustRightInd w:val="0"/>
        <w:snapToGrid w:val="0"/>
        <w:spacing w:before="0" w:after="0" w:line="500" w:lineRule="exact"/>
        <w:ind w:left="0" w:leftChars="0" w:right="0" w:firstLine="0" w:firstLineChars="0"/>
        <w:jc w:val="left"/>
        <w:rPr>
          <w:rFonts w:hint="default" w:ascii="Times New Roman" w:hAnsi="Times New Roman" w:eastAsia="宋体" w:cs="Times New Roman"/>
          <w:b w:val="0"/>
          <w:bCs w:val="0"/>
          <w:sz w:val="28"/>
          <w:szCs w:val="28"/>
          <w:u w:val="single"/>
        </w:rPr>
      </w:pPr>
      <w:r>
        <w:rPr>
          <w:rFonts w:hint="default" w:ascii="Times New Roman" w:hAnsi="Times New Roman" w:eastAsia="宋体" w:cs="Times New Roman"/>
          <w:b w:val="0"/>
          <w:bCs w:val="0"/>
          <w:spacing w:val="-4"/>
          <w:sz w:val="28"/>
          <w:szCs w:val="28"/>
        </w:rPr>
        <w:t>建设单位（盖章）：</w:t>
      </w:r>
      <w:r>
        <w:rPr>
          <w:rFonts w:hint="eastAsia" w:cs="Times New Roman"/>
          <w:b w:val="0"/>
          <w:bCs w:val="0"/>
          <w:spacing w:val="-4"/>
          <w:sz w:val="28"/>
          <w:szCs w:val="28"/>
          <w:u w:val="single"/>
          <w:lang w:val="en-US" w:eastAsia="zh-CN"/>
        </w:rPr>
        <w:t xml:space="preserve">       新疆圣威线缆科技有限公司</w:t>
      </w:r>
      <w:r>
        <w:rPr>
          <w:rFonts w:hint="default" w:ascii="Times New Roman" w:hAnsi="Times New Roman" w:eastAsia="宋体" w:cs="Times New Roman"/>
          <w:b w:val="0"/>
          <w:bCs w:val="0"/>
          <w:spacing w:val="-4"/>
          <w:sz w:val="28"/>
          <w:szCs w:val="28"/>
          <w:u w:val="single"/>
          <w:lang w:val="en-US" w:eastAsia="zh-CN"/>
        </w:rPr>
        <w:t xml:space="preserve">  </w:t>
      </w:r>
      <w:r>
        <w:rPr>
          <w:rFonts w:hint="eastAsia" w:cs="Times New Roman"/>
          <w:b w:val="0"/>
          <w:bCs w:val="0"/>
          <w:spacing w:val="-4"/>
          <w:sz w:val="28"/>
          <w:szCs w:val="28"/>
          <w:u w:val="single"/>
          <w:lang w:val="en-US" w:eastAsia="zh-CN"/>
        </w:rPr>
        <w:t xml:space="preserve">                            </w:t>
      </w:r>
      <w:r>
        <w:rPr>
          <w:rFonts w:hint="default" w:ascii="Times New Roman" w:hAnsi="Times New Roman" w:eastAsia="宋体" w:cs="Times New Roman"/>
          <w:b w:val="0"/>
          <w:bCs w:val="0"/>
          <w:spacing w:val="-4"/>
          <w:sz w:val="28"/>
          <w:szCs w:val="28"/>
          <w:u w:val="single"/>
          <w:lang w:val="en-US" w:eastAsia="zh-CN"/>
        </w:rPr>
        <w:t xml:space="preserve">   </w:t>
      </w:r>
      <w:r>
        <w:rPr>
          <w:rFonts w:hint="default" w:ascii="Times New Roman" w:hAnsi="Times New Roman" w:eastAsia="宋体" w:cs="Times New Roman"/>
          <w:b w:val="0"/>
          <w:bCs w:val="0"/>
          <w:sz w:val="28"/>
          <w:szCs w:val="28"/>
          <w:u w:val="single"/>
        </w:rPr>
        <w:t xml:space="preserve"> </w:t>
      </w:r>
      <w:r>
        <w:rPr>
          <w:rFonts w:hint="default" w:ascii="Times New Roman" w:hAnsi="Times New Roman" w:eastAsia="宋体" w:cs="Times New Roman"/>
          <w:b w:val="0"/>
          <w:bCs w:val="0"/>
          <w:sz w:val="28"/>
          <w:szCs w:val="28"/>
          <w:u w:val="single"/>
          <w:lang w:val="en-US" w:eastAsia="zh-CN"/>
        </w:rPr>
        <w:t xml:space="preserve">      </w:t>
      </w:r>
      <w:r>
        <w:rPr>
          <w:rFonts w:hint="default" w:ascii="Times New Roman" w:hAnsi="Times New Roman" w:eastAsia="宋体" w:cs="Times New Roman"/>
          <w:b w:val="0"/>
          <w:bCs w:val="0"/>
          <w:sz w:val="28"/>
          <w:szCs w:val="28"/>
          <w:u w:val="single"/>
        </w:rPr>
        <w:t xml:space="preserve"> </w:t>
      </w:r>
    </w:p>
    <w:p>
      <w:pPr>
        <w:overflowPunct w:val="0"/>
        <w:autoSpaceDE w:val="0"/>
        <w:autoSpaceDN w:val="0"/>
        <w:adjustRightInd w:val="0"/>
        <w:snapToGrid w:val="0"/>
        <w:spacing w:before="0" w:after="0" w:line="500" w:lineRule="exact"/>
        <w:ind w:left="0" w:leftChars="0" w:right="0" w:firstLine="0" w:firstLineChars="0"/>
        <w:jc w:val="left"/>
        <w:rPr>
          <w:rFonts w:hint="default" w:ascii="宋体" w:hAnsi="宋体" w:eastAsia="宋体" w:cs="宋体"/>
          <w:b w:val="0"/>
          <w:bCs w:val="0"/>
          <w:spacing w:val="-4"/>
          <w:sz w:val="28"/>
          <w:szCs w:val="28"/>
          <w:u w:val="single"/>
          <w:lang w:val="en-US" w:eastAsia="zh-CN"/>
        </w:rPr>
      </w:pPr>
      <w:r>
        <w:rPr>
          <w:rFonts w:hint="default" w:ascii="Times New Roman" w:hAnsi="Times New Roman" w:eastAsia="宋体" w:cs="Times New Roman"/>
          <w:b w:val="0"/>
          <w:bCs w:val="0"/>
          <w:spacing w:val="-4"/>
          <w:sz w:val="28"/>
          <w:szCs w:val="28"/>
          <w:lang w:val="en-US" w:eastAsia="zh-CN"/>
        </w:rPr>
        <w:t>编制日期：</w:t>
      </w:r>
      <w:r>
        <w:rPr>
          <w:rFonts w:hint="default" w:ascii="Times New Roman" w:hAnsi="Times New Roman" w:eastAsia="宋体" w:cs="Times New Roman"/>
          <w:b w:val="0"/>
          <w:bCs w:val="0"/>
          <w:spacing w:val="-4"/>
          <w:sz w:val="28"/>
          <w:szCs w:val="28"/>
          <w:u w:val="single"/>
          <w:lang w:val="en-US" w:eastAsia="zh-CN"/>
        </w:rPr>
        <w:t xml:space="preserve">                  </w:t>
      </w:r>
      <w:r>
        <w:rPr>
          <w:rFonts w:hint="eastAsia" w:cs="Times New Roman"/>
          <w:b w:val="0"/>
          <w:bCs w:val="0"/>
          <w:spacing w:val="-4"/>
          <w:sz w:val="28"/>
          <w:szCs w:val="28"/>
          <w:u w:val="single"/>
          <w:lang w:val="en-US" w:eastAsia="zh-CN"/>
        </w:rPr>
        <w:t xml:space="preserve"> </w:t>
      </w:r>
      <w:r>
        <w:rPr>
          <w:rFonts w:hint="default" w:ascii="Times New Roman" w:hAnsi="Times New Roman" w:eastAsia="宋体" w:cs="Times New Roman"/>
          <w:b w:val="0"/>
          <w:bCs w:val="0"/>
          <w:spacing w:val="-4"/>
          <w:sz w:val="28"/>
          <w:szCs w:val="28"/>
          <w:u w:val="single"/>
          <w:lang w:val="en-US" w:eastAsia="zh-CN"/>
        </w:rPr>
        <w:t xml:space="preserve">  </w:t>
      </w:r>
      <w:r>
        <w:rPr>
          <w:rFonts w:hint="default" w:ascii="Times New Roman" w:hAnsi="Times New Roman" w:eastAsia="宋体" w:cs="Times New Roman"/>
          <w:b w:val="0"/>
          <w:bCs w:val="0"/>
          <w:spacing w:val="-4"/>
          <w:sz w:val="28"/>
          <w:szCs w:val="28"/>
          <w:u w:val="single"/>
        </w:rPr>
        <w:t>20</w:t>
      </w:r>
      <w:r>
        <w:rPr>
          <w:rFonts w:hint="eastAsia" w:cs="Times New Roman"/>
          <w:b w:val="0"/>
          <w:bCs w:val="0"/>
          <w:spacing w:val="-4"/>
          <w:sz w:val="28"/>
          <w:szCs w:val="28"/>
          <w:u w:val="single"/>
          <w:lang w:val="en-US" w:eastAsia="zh-CN"/>
        </w:rPr>
        <w:t>24</w:t>
      </w:r>
      <w:r>
        <w:rPr>
          <w:rFonts w:hint="default" w:ascii="Times New Roman" w:hAnsi="Times New Roman" w:eastAsia="宋体" w:cs="Times New Roman"/>
          <w:b w:val="0"/>
          <w:bCs w:val="0"/>
          <w:spacing w:val="-4"/>
          <w:sz w:val="28"/>
          <w:szCs w:val="28"/>
          <w:u w:val="single"/>
        </w:rPr>
        <w:t>年</w:t>
      </w:r>
      <w:r>
        <w:rPr>
          <w:rFonts w:hint="eastAsia" w:cs="Times New Roman"/>
          <w:b w:val="0"/>
          <w:bCs w:val="0"/>
          <w:spacing w:val="-4"/>
          <w:sz w:val="28"/>
          <w:szCs w:val="28"/>
          <w:u w:val="single"/>
          <w:lang w:val="en-US" w:eastAsia="zh-CN"/>
        </w:rPr>
        <w:t>9</w:t>
      </w:r>
      <w:r>
        <w:rPr>
          <w:rFonts w:hint="default" w:ascii="Times New Roman" w:hAnsi="Times New Roman" w:eastAsia="宋体" w:cs="Times New Roman"/>
          <w:b w:val="0"/>
          <w:bCs w:val="0"/>
          <w:spacing w:val="-4"/>
          <w:sz w:val="28"/>
          <w:szCs w:val="28"/>
          <w:u w:val="single"/>
        </w:rPr>
        <w:t>月</w:t>
      </w:r>
      <w:r>
        <w:rPr>
          <w:rFonts w:hint="default" w:ascii="Times New Roman" w:hAnsi="Times New Roman" w:eastAsia="宋体" w:cs="Times New Roman"/>
          <w:b w:val="0"/>
          <w:bCs w:val="0"/>
          <w:spacing w:val="-4"/>
          <w:sz w:val="28"/>
          <w:szCs w:val="28"/>
          <w:u w:val="single"/>
          <w:lang w:val="en-US" w:eastAsia="zh-CN"/>
        </w:rPr>
        <w:t xml:space="preserve">     </w:t>
      </w:r>
      <w:r>
        <w:rPr>
          <w:rFonts w:hint="eastAsia" w:ascii="宋体" w:hAnsi="宋体" w:eastAsia="宋体" w:cs="宋体"/>
          <w:b w:val="0"/>
          <w:bCs w:val="0"/>
          <w:spacing w:val="-4"/>
          <w:sz w:val="28"/>
          <w:szCs w:val="28"/>
          <w:u w:val="single"/>
          <w:lang w:val="en-US" w:eastAsia="zh-CN"/>
        </w:rPr>
        <w:t xml:space="preserve">     </w:t>
      </w:r>
      <w:r>
        <w:rPr>
          <w:rFonts w:hint="eastAsia" w:ascii="宋体" w:hAnsi="宋体" w:cs="宋体"/>
          <w:b w:val="0"/>
          <w:bCs w:val="0"/>
          <w:spacing w:val="-4"/>
          <w:sz w:val="28"/>
          <w:szCs w:val="28"/>
          <w:u w:val="single"/>
          <w:lang w:val="en-US" w:eastAsia="zh-CN"/>
        </w:rPr>
        <w:t xml:space="preserve">                       </w:t>
      </w:r>
      <w:r>
        <w:rPr>
          <w:rFonts w:hint="eastAsia" w:ascii="宋体" w:hAnsi="宋体" w:eastAsia="宋体" w:cs="宋体"/>
          <w:b w:val="0"/>
          <w:bCs w:val="0"/>
          <w:spacing w:val="-4"/>
          <w:sz w:val="28"/>
          <w:szCs w:val="28"/>
          <w:u w:val="single"/>
          <w:lang w:val="en-US" w:eastAsia="zh-CN"/>
        </w:rPr>
        <w:t xml:space="preserve">    </w:t>
      </w:r>
      <w:r>
        <w:rPr>
          <w:rFonts w:hint="eastAsia" w:ascii="宋体" w:hAnsi="宋体" w:cs="宋体"/>
          <w:b w:val="0"/>
          <w:bCs w:val="0"/>
          <w:spacing w:val="-4"/>
          <w:sz w:val="28"/>
          <w:szCs w:val="28"/>
          <w:u w:val="single"/>
          <w:lang w:val="en-US" w:eastAsia="zh-CN"/>
        </w:rPr>
        <w:t xml:space="preserve">                </w:t>
      </w:r>
      <w:r>
        <w:rPr>
          <w:rFonts w:hint="eastAsia" w:ascii="宋体" w:hAnsi="宋体" w:eastAsia="宋体" w:cs="宋体"/>
          <w:b w:val="0"/>
          <w:bCs w:val="0"/>
          <w:spacing w:val="-4"/>
          <w:sz w:val="28"/>
          <w:szCs w:val="28"/>
          <w:u w:val="single"/>
          <w:lang w:val="en-US" w:eastAsia="zh-CN"/>
        </w:rPr>
        <w:t xml:space="preserve">          </w:t>
      </w:r>
    </w:p>
    <w:p>
      <w:pPr>
        <w:overflowPunct w:val="0"/>
        <w:autoSpaceDE w:val="0"/>
        <w:autoSpaceDN w:val="0"/>
        <w:adjustRightInd w:val="0"/>
        <w:snapToGrid w:val="0"/>
        <w:spacing w:before="0" w:after="0" w:line="360" w:lineRule="auto"/>
        <w:ind w:left="0" w:right="0" w:firstLine="643" w:firstLineChars="200"/>
        <w:jc w:val="left"/>
        <w:rPr>
          <w:rFonts w:hint="default" w:ascii="宋体" w:hAnsi="宋体" w:eastAsia="宋体" w:cs="宋体"/>
          <w:b/>
          <w:bCs/>
          <w:sz w:val="32"/>
          <w:szCs w:val="32"/>
          <w:u w:val="none"/>
          <w:lang w:val="en-US" w:eastAsia="zh-CN"/>
        </w:rPr>
      </w:pPr>
    </w:p>
    <w:p>
      <w:pPr>
        <w:overflowPunct w:val="0"/>
        <w:autoSpaceDE w:val="0"/>
        <w:autoSpaceDN w:val="0"/>
        <w:adjustRightInd w:val="0"/>
        <w:snapToGrid w:val="0"/>
        <w:spacing w:before="0" w:after="0" w:line="360" w:lineRule="auto"/>
        <w:ind w:left="0" w:right="0" w:firstLine="560" w:firstLineChars="200"/>
        <w:jc w:val="left"/>
        <w:rPr>
          <w:rFonts w:ascii="宋体" w:hAnsi="宋体" w:eastAsia="宋体" w:cs="宋体"/>
          <w:sz w:val="28"/>
        </w:rPr>
      </w:pPr>
    </w:p>
    <w:p>
      <w:pPr>
        <w:widowControl w:val="0"/>
        <w:overflowPunct w:val="0"/>
        <w:autoSpaceDE w:val="0"/>
        <w:autoSpaceDN w:val="0"/>
        <w:adjustRightInd w:val="0"/>
        <w:snapToGrid w:val="0"/>
        <w:spacing w:before="0" w:after="0" w:line="360" w:lineRule="exact"/>
        <w:ind w:left="0" w:right="0" w:firstLine="560" w:firstLineChars="200"/>
        <w:jc w:val="center"/>
        <w:rPr>
          <w:rFonts w:hint="eastAsia" w:ascii="宋体" w:hAnsi="宋体" w:eastAsia="宋体" w:cs="宋体"/>
          <w:snapToGrid w:val="0"/>
          <w:sz w:val="28"/>
          <w:szCs w:val="21"/>
          <w:lang w:val="en-US" w:eastAsia="zh-CN" w:bidi="ar-SA"/>
        </w:rPr>
      </w:pPr>
      <w:r>
        <w:rPr>
          <w:rFonts w:hint="eastAsia" w:ascii="宋体" w:hAnsi="宋体" w:eastAsia="宋体" w:cs="宋体"/>
          <w:snapToGrid w:val="0"/>
          <w:sz w:val="28"/>
          <w:szCs w:val="21"/>
          <w:lang w:val="en-US" w:eastAsia="zh-CN" w:bidi="ar-SA"/>
        </w:rPr>
        <w:t xml:space="preserve"> </w:t>
      </w:r>
    </w:p>
    <w:p>
      <w:pPr>
        <w:widowControl w:val="0"/>
        <w:overflowPunct w:val="0"/>
        <w:autoSpaceDE w:val="0"/>
        <w:autoSpaceDN w:val="0"/>
        <w:adjustRightInd w:val="0"/>
        <w:snapToGrid w:val="0"/>
        <w:spacing w:before="0" w:after="0" w:line="360" w:lineRule="exact"/>
        <w:ind w:left="0" w:right="0" w:firstLine="560" w:firstLineChars="200"/>
        <w:jc w:val="center"/>
        <w:rPr>
          <w:rFonts w:hint="eastAsia" w:ascii="宋体" w:hAnsi="宋体" w:eastAsia="宋体" w:cs="宋体"/>
          <w:snapToGrid w:val="0"/>
          <w:sz w:val="28"/>
          <w:szCs w:val="21"/>
          <w:lang w:val="en-US" w:eastAsia="zh-CN" w:bidi="ar-SA"/>
        </w:rPr>
      </w:pPr>
    </w:p>
    <w:p>
      <w:pPr>
        <w:widowControl w:val="0"/>
        <w:overflowPunct w:val="0"/>
        <w:autoSpaceDE w:val="0"/>
        <w:autoSpaceDN w:val="0"/>
        <w:adjustRightInd w:val="0"/>
        <w:snapToGrid w:val="0"/>
        <w:spacing w:before="0" w:after="0" w:line="360" w:lineRule="exact"/>
        <w:ind w:left="0" w:right="0" w:firstLine="560" w:firstLineChars="200"/>
        <w:jc w:val="center"/>
        <w:rPr>
          <w:rFonts w:ascii="宋体" w:hAnsi="宋体" w:eastAsia="宋体" w:cs="宋体"/>
          <w:snapToGrid w:val="0"/>
          <w:sz w:val="28"/>
          <w:szCs w:val="21"/>
          <w:lang w:val="en-US" w:eastAsia="zh-CN" w:bidi="ar-SA"/>
        </w:rPr>
      </w:pPr>
    </w:p>
    <w:p>
      <w:pPr>
        <w:overflowPunct w:val="0"/>
        <w:autoSpaceDE w:val="0"/>
        <w:autoSpaceDN w:val="0"/>
        <w:adjustRightInd w:val="0"/>
        <w:snapToGrid w:val="0"/>
        <w:spacing w:before="50" w:after="0" w:line="500" w:lineRule="exact"/>
        <w:ind w:left="0" w:leftChars="0" w:right="464" w:firstLine="0" w:firstLineChars="0"/>
        <w:jc w:val="center"/>
        <w:rPr>
          <w:rFonts w:hint="eastAsia" w:ascii="楷体" w:hAnsi="Times New Roman" w:eastAsia="楷体" w:cs="宋体"/>
          <w:sz w:val="36"/>
          <w:lang w:val="en-US" w:eastAsia="zh-CN"/>
        </w:rPr>
      </w:pPr>
    </w:p>
    <w:p>
      <w:pPr>
        <w:overflowPunct w:val="0"/>
        <w:autoSpaceDE w:val="0"/>
        <w:autoSpaceDN w:val="0"/>
        <w:adjustRightInd w:val="0"/>
        <w:snapToGrid w:val="0"/>
        <w:spacing w:before="50" w:after="0" w:line="500" w:lineRule="exact"/>
        <w:ind w:left="0" w:leftChars="0" w:right="464" w:firstLine="0" w:firstLineChars="0"/>
        <w:jc w:val="center"/>
        <w:rPr>
          <w:rFonts w:hint="eastAsia" w:ascii="楷体" w:hAnsi="Times New Roman" w:eastAsia="楷体" w:cs="宋体"/>
          <w:sz w:val="36"/>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楷体" w:hAnsi="Times New Roman" w:eastAsia="楷体" w:cs="宋体"/>
          <w:sz w:val="36"/>
          <w:lang w:val="en-US" w:eastAsia="zh-CN"/>
        </w:rPr>
        <w:t>中</w:t>
      </w:r>
      <w:r>
        <w:rPr>
          <w:rFonts w:hint="eastAsia" w:ascii="楷体" w:hAnsi="Times New Roman" w:eastAsia="楷体" w:cs="宋体"/>
          <w:sz w:val="36"/>
        </w:rPr>
        <w:t>华人民共和国生态环境部制</w:t>
      </w:r>
    </w:p>
    <w:tbl>
      <w:tblPr>
        <w:tblStyle w:val="14"/>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0"/>
        <w:gridCol w:w="41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7" w:hRule="atLeast"/>
        </w:trPr>
        <w:tc>
          <w:tcPr>
            <w:tcW w:w="4360" w:type="dxa"/>
            <w:tcBorders>
              <w:tl2br w:val="nil"/>
              <w:tr2bl w:val="nil"/>
            </w:tcBorders>
            <w:vAlign w:val="center"/>
          </w:tcPr>
          <w:p>
            <w:pPr>
              <w:overflowPunct w:val="0"/>
              <w:autoSpaceDE w:val="0"/>
              <w:autoSpaceDN w:val="0"/>
              <w:adjustRightInd w:val="0"/>
              <w:snapToGrid w:val="0"/>
              <w:spacing w:before="0" w:after="0" w:line="240" w:lineRule="auto"/>
              <w:ind w:left="0" w:leftChars="0" w:right="0" w:firstLine="0" w:firstLineChars="0"/>
              <w:jc w:val="center"/>
              <w:rPr>
                <w:rFonts w:hint="default" w:ascii="Times New Roman" w:hAnsi="Times New Roman" w:eastAsia="宋体" w:cs="Times New Roman"/>
                <w:b/>
                <w:kern w:val="1"/>
                <w:sz w:val="32"/>
                <w:szCs w:val="32"/>
                <w:lang w:eastAsia="zh-CN"/>
              </w:rPr>
            </w:pPr>
            <w:r>
              <w:rPr>
                <w:rFonts w:hint="default" w:ascii="Times New Roman" w:hAnsi="Times New Roman" w:eastAsia="宋体" w:cs="Times New Roman"/>
                <w:b/>
                <w:kern w:val="1"/>
                <w:sz w:val="32"/>
                <w:szCs w:val="32"/>
                <w:lang w:eastAsia="zh-CN"/>
              </w:rPr>
              <w:drawing>
                <wp:inline distT="0" distB="0" distL="114300" distR="114300">
                  <wp:extent cx="2880995" cy="2160270"/>
                  <wp:effectExtent l="0" t="0" r="14605" b="11430"/>
                  <wp:docPr id="6" name="图片 6" descr="8c8523a8563024dc1121c89e1cc5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c8523a8563024dc1121c89e1cc520f"/>
                          <pic:cNvPicPr>
                            <a:picLocks noChangeAspect="1"/>
                          </pic:cNvPicPr>
                        </pic:nvPicPr>
                        <pic:blipFill>
                          <a:blip r:embed="rId12"/>
                          <a:stretch>
                            <a:fillRect/>
                          </a:stretch>
                        </pic:blipFill>
                        <pic:spPr>
                          <a:xfrm>
                            <a:off x="0" y="0"/>
                            <a:ext cx="2880995" cy="2160270"/>
                          </a:xfrm>
                          <a:prstGeom prst="rect">
                            <a:avLst/>
                          </a:prstGeom>
                        </pic:spPr>
                      </pic:pic>
                    </a:graphicData>
                  </a:graphic>
                </wp:inline>
              </w:drawing>
            </w:r>
          </w:p>
        </w:tc>
        <w:tc>
          <w:tcPr>
            <w:tcW w:w="4162" w:type="dxa"/>
            <w:tcBorders>
              <w:tl2br w:val="nil"/>
              <w:tr2bl w:val="nil"/>
            </w:tcBorders>
            <w:vAlign w:val="center"/>
          </w:tcPr>
          <w:p>
            <w:pPr>
              <w:overflowPunct w:val="0"/>
              <w:autoSpaceDE w:val="0"/>
              <w:autoSpaceDN w:val="0"/>
              <w:adjustRightInd w:val="0"/>
              <w:snapToGrid w:val="0"/>
              <w:spacing w:before="0" w:after="0" w:line="240" w:lineRule="auto"/>
              <w:ind w:left="0" w:leftChars="0" w:right="0" w:firstLine="0" w:firstLineChars="0"/>
              <w:jc w:val="center"/>
              <w:rPr>
                <w:rFonts w:hint="default" w:ascii="Times New Roman" w:hAnsi="Times New Roman" w:eastAsia="宋体" w:cs="Times New Roman"/>
                <w:b/>
                <w:kern w:val="1"/>
                <w:sz w:val="32"/>
                <w:szCs w:val="32"/>
                <w:lang w:eastAsia="zh-CN"/>
              </w:rPr>
            </w:pPr>
            <w:r>
              <w:rPr>
                <w:rFonts w:hint="default" w:ascii="Times New Roman" w:hAnsi="Times New Roman" w:eastAsia="宋体" w:cs="Times New Roman"/>
                <w:b/>
                <w:kern w:val="1"/>
                <w:sz w:val="32"/>
                <w:szCs w:val="32"/>
                <w:lang w:eastAsia="zh-CN"/>
              </w:rPr>
              <w:drawing>
                <wp:inline distT="0" distB="0" distL="114300" distR="114300">
                  <wp:extent cx="2880360" cy="2160270"/>
                  <wp:effectExtent l="0" t="0" r="15240" b="11430"/>
                  <wp:docPr id="3" name="图片 3" descr="a625a0607bcca87db8d45b7270f9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625a0607bcca87db8d45b7270f9f22"/>
                          <pic:cNvPicPr>
                            <a:picLocks noChangeAspect="1"/>
                          </pic:cNvPicPr>
                        </pic:nvPicPr>
                        <pic:blipFill>
                          <a:blip r:embed="rId13"/>
                          <a:stretch>
                            <a:fillRect/>
                          </a:stretch>
                        </pic:blipFill>
                        <pic:spPr>
                          <a:xfrm>
                            <a:off x="0" y="0"/>
                            <a:ext cx="2880360" cy="21602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kern w:val="1"/>
                <w:sz w:val="28"/>
                <w:szCs w:val="28"/>
                <w:lang w:val="en-US" w:eastAsia="zh-CN"/>
              </w:rPr>
            </w:pPr>
            <w:r>
              <w:rPr>
                <w:rFonts w:hint="default" w:ascii="Times New Roman" w:hAnsi="Times New Roman" w:eastAsia="宋体" w:cs="Times New Roman"/>
                <w:bCs/>
                <w:kern w:val="1"/>
                <w:sz w:val="28"/>
                <w:szCs w:val="28"/>
                <w:lang w:eastAsia="zh-CN"/>
              </w:rPr>
              <w:t>项目区</w:t>
            </w:r>
            <w:r>
              <w:rPr>
                <w:rFonts w:hint="eastAsia" w:eastAsia="宋体" w:cs="Times New Roman"/>
                <w:bCs/>
                <w:kern w:val="1"/>
                <w:sz w:val="28"/>
                <w:szCs w:val="28"/>
                <w:lang w:val="en-US" w:eastAsia="zh-CN"/>
              </w:rPr>
              <w:t>东侧</w:t>
            </w:r>
          </w:p>
        </w:tc>
        <w:tc>
          <w:tcPr>
            <w:tcW w:w="4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kern w:val="1"/>
                <w:sz w:val="28"/>
                <w:szCs w:val="28"/>
                <w:lang w:val="en-US" w:eastAsia="zh-CN"/>
              </w:rPr>
            </w:pPr>
            <w:r>
              <w:rPr>
                <w:rFonts w:hint="default" w:ascii="Times New Roman" w:hAnsi="Times New Roman" w:eastAsia="宋体" w:cs="Times New Roman"/>
                <w:bCs/>
                <w:kern w:val="1"/>
                <w:sz w:val="28"/>
                <w:szCs w:val="28"/>
                <w:lang w:eastAsia="zh-CN"/>
              </w:rPr>
              <w:t>项目区</w:t>
            </w:r>
            <w:r>
              <w:rPr>
                <w:rFonts w:hint="eastAsia" w:eastAsia="宋体" w:cs="Times New Roman"/>
                <w:bCs/>
                <w:kern w:val="1"/>
                <w:sz w:val="28"/>
                <w:szCs w:val="28"/>
                <w:lang w:val="en-US" w:eastAsia="zh-CN"/>
              </w:rPr>
              <w:t>西侧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3" w:hRule="atLeast"/>
        </w:trPr>
        <w:tc>
          <w:tcPr>
            <w:tcW w:w="4360" w:type="dxa"/>
            <w:tcBorders>
              <w:tl2br w:val="nil"/>
              <w:tr2bl w:val="nil"/>
            </w:tcBorders>
            <w:vAlign w:val="center"/>
          </w:tcPr>
          <w:p>
            <w:pPr>
              <w:overflowPunct w:val="0"/>
              <w:autoSpaceDE w:val="0"/>
              <w:autoSpaceDN w:val="0"/>
              <w:adjustRightInd w:val="0"/>
              <w:snapToGrid w:val="0"/>
              <w:spacing w:before="0" w:after="0" w:line="240" w:lineRule="auto"/>
              <w:ind w:left="0" w:leftChars="0" w:right="0" w:firstLine="0" w:firstLineChars="0"/>
              <w:jc w:val="center"/>
              <w:rPr>
                <w:rFonts w:hint="default" w:ascii="Times New Roman" w:hAnsi="Times New Roman" w:eastAsia="宋体" w:cs="Times New Roman"/>
                <w:bCs/>
                <w:kern w:val="1"/>
                <w:sz w:val="28"/>
                <w:szCs w:val="28"/>
                <w:lang w:eastAsia="zh-CN"/>
              </w:rPr>
            </w:pPr>
            <w:r>
              <w:rPr>
                <w:rFonts w:hint="default" w:ascii="Times New Roman" w:hAnsi="Times New Roman" w:eastAsia="宋体" w:cs="Times New Roman"/>
                <w:bCs/>
                <w:kern w:val="1"/>
                <w:sz w:val="28"/>
                <w:szCs w:val="28"/>
                <w:lang w:eastAsia="zh-CN"/>
              </w:rPr>
              <w:drawing>
                <wp:inline distT="0" distB="0" distL="114300" distR="114300">
                  <wp:extent cx="2880995" cy="2160270"/>
                  <wp:effectExtent l="0" t="0" r="14605" b="11430"/>
                  <wp:docPr id="2" name="图片 2" descr="5eda7fd0ba02b95d213f1d45fdc3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eda7fd0ba02b95d213f1d45fdc37e2"/>
                          <pic:cNvPicPr>
                            <a:picLocks noChangeAspect="1"/>
                          </pic:cNvPicPr>
                        </pic:nvPicPr>
                        <pic:blipFill>
                          <a:blip r:embed="rId14"/>
                          <a:stretch>
                            <a:fillRect/>
                          </a:stretch>
                        </pic:blipFill>
                        <pic:spPr>
                          <a:xfrm>
                            <a:off x="0" y="0"/>
                            <a:ext cx="2880995" cy="2160270"/>
                          </a:xfrm>
                          <a:prstGeom prst="rect">
                            <a:avLst/>
                          </a:prstGeom>
                        </pic:spPr>
                      </pic:pic>
                    </a:graphicData>
                  </a:graphic>
                </wp:inline>
              </w:drawing>
            </w:r>
          </w:p>
        </w:tc>
        <w:tc>
          <w:tcPr>
            <w:tcW w:w="4162" w:type="dxa"/>
            <w:tcBorders>
              <w:tl2br w:val="nil"/>
              <w:tr2bl w:val="nil"/>
            </w:tcBorders>
            <w:vAlign w:val="center"/>
          </w:tcPr>
          <w:p>
            <w:pPr>
              <w:overflowPunct w:val="0"/>
              <w:autoSpaceDE w:val="0"/>
              <w:autoSpaceDN w:val="0"/>
              <w:adjustRightInd w:val="0"/>
              <w:snapToGrid w:val="0"/>
              <w:spacing w:before="0" w:after="0" w:line="240" w:lineRule="auto"/>
              <w:ind w:left="0" w:leftChars="0" w:right="0" w:firstLine="0" w:firstLineChars="0"/>
              <w:jc w:val="center"/>
              <w:rPr>
                <w:rFonts w:hint="default" w:ascii="Times New Roman" w:hAnsi="Times New Roman" w:eastAsia="宋体" w:cs="Times New Roman"/>
                <w:bCs/>
                <w:kern w:val="1"/>
                <w:sz w:val="28"/>
                <w:szCs w:val="28"/>
                <w:lang w:eastAsia="zh-CN"/>
              </w:rPr>
            </w:pPr>
            <w:r>
              <w:rPr>
                <w:rFonts w:hint="default" w:ascii="Times New Roman" w:hAnsi="Times New Roman" w:eastAsia="宋体" w:cs="Times New Roman"/>
                <w:bCs/>
                <w:kern w:val="1"/>
                <w:sz w:val="28"/>
                <w:szCs w:val="28"/>
                <w:lang w:eastAsia="zh-CN"/>
              </w:rPr>
              <w:drawing>
                <wp:inline distT="0" distB="0" distL="114300" distR="114300">
                  <wp:extent cx="2880360" cy="2160270"/>
                  <wp:effectExtent l="0" t="0" r="15240" b="11430"/>
                  <wp:docPr id="4" name="图片 4" descr="287427abbe14475791035859638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87427abbe144757910358596388995"/>
                          <pic:cNvPicPr>
                            <a:picLocks noChangeAspect="1"/>
                          </pic:cNvPicPr>
                        </pic:nvPicPr>
                        <pic:blipFill>
                          <a:blip r:embed="rId15"/>
                          <a:stretch>
                            <a:fillRect/>
                          </a:stretch>
                        </pic:blipFill>
                        <pic:spPr>
                          <a:xfrm>
                            <a:off x="0" y="0"/>
                            <a:ext cx="2880360" cy="21602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kern w:val="1"/>
                <w:sz w:val="28"/>
                <w:szCs w:val="28"/>
                <w:lang w:val="en-US" w:eastAsia="zh-CN"/>
              </w:rPr>
            </w:pPr>
            <w:r>
              <w:rPr>
                <w:rFonts w:hint="default" w:ascii="Times New Roman" w:hAnsi="Times New Roman" w:eastAsia="宋体" w:cs="Times New Roman"/>
                <w:bCs/>
                <w:kern w:val="1"/>
                <w:sz w:val="28"/>
                <w:szCs w:val="28"/>
                <w:lang w:eastAsia="zh-CN"/>
              </w:rPr>
              <w:t>项目区</w:t>
            </w:r>
            <w:r>
              <w:rPr>
                <w:rFonts w:hint="eastAsia" w:eastAsia="宋体" w:cs="Times New Roman"/>
                <w:bCs/>
                <w:kern w:val="1"/>
                <w:sz w:val="28"/>
                <w:szCs w:val="28"/>
                <w:lang w:val="en-US" w:eastAsia="zh-CN"/>
              </w:rPr>
              <w:t>南侧</w:t>
            </w:r>
          </w:p>
        </w:tc>
        <w:tc>
          <w:tcPr>
            <w:tcW w:w="4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kern w:val="1"/>
                <w:sz w:val="28"/>
                <w:szCs w:val="28"/>
                <w:lang w:val="en-US" w:eastAsia="zh-CN"/>
              </w:rPr>
            </w:pPr>
            <w:r>
              <w:rPr>
                <w:rFonts w:hint="default" w:ascii="Times New Roman" w:hAnsi="Times New Roman" w:eastAsia="宋体" w:cs="Times New Roman"/>
                <w:bCs/>
                <w:kern w:val="1"/>
                <w:sz w:val="28"/>
                <w:szCs w:val="28"/>
                <w:lang w:eastAsia="zh-CN"/>
              </w:rPr>
              <w:t>项目区</w:t>
            </w:r>
            <w:r>
              <w:rPr>
                <w:rFonts w:hint="eastAsia" w:eastAsia="宋体" w:cs="Times New Roman"/>
                <w:bCs/>
                <w:kern w:val="1"/>
                <w:sz w:val="28"/>
                <w:szCs w:val="28"/>
                <w:lang w:val="en-US" w:eastAsia="zh-CN"/>
              </w:rPr>
              <w:t>北侧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8" w:hRule="atLeast"/>
        </w:trPr>
        <w:tc>
          <w:tcPr>
            <w:tcW w:w="4360" w:type="dxa"/>
            <w:tcBorders>
              <w:tl2br w:val="nil"/>
              <w:tr2bl w:val="nil"/>
            </w:tcBorders>
            <w:vAlign w:val="center"/>
          </w:tcPr>
          <w:p>
            <w:pPr>
              <w:overflowPunct w:val="0"/>
              <w:autoSpaceDE w:val="0"/>
              <w:autoSpaceDN w:val="0"/>
              <w:adjustRightInd w:val="0"/>
              <w:snapToGrid w:val="0"/>
              <w:spacing w:before="0" w:after="0" w:line="240" w:lineRule="auto"/>
              <w:ind w:left="0" w:leftChars="0" w:right="0" w:firstLine="0" w:firstLineChars="0"/>
              <w:jc w:val="center"/>
              <w:rPr>
                <w:rFonts w:hint="default" w:ascii="Times New Roman" w:hAnsi="Times New Roman" w:eastAsia="宋体" w:cs="Times New Roman"/>
                <w:bCs/>
                <w:kern w:val="1"/>
                <w:sz w:val="28"/>
                <w:szCs w:val="28"/>
                <w:lang w:eastAsia="zh-CN"/>
              </w:rPr>
            </w:pPr>
            <w:r>
              <w:rPr>
                <w:rFonts w:hint="default" w:ascii="Times New Roman" w:hAnsi="Times New Roman" w:eastAsia="宋体" w:cs="Times New Roman"/>
                <w:bCs/>
                <w:kern w:val="1"/>
                <w:sz w:val="28"/>
                <w:szCs w:val="28"/>
                <w:lang w:eastAsia="zh-CN"/>
              </w:rPr>
              <w:drawing>
                <wp:inline distT="0" distB="0" distL="114300" distR="114300">
                  <wp:extent cx="2880995" cy="2160270"/>
                  <wp:effectExtent l="0" t="0" r="14605" b="11430"/>
                  <wp:docPr id="1" name="图片 1" descr="3bf62425a3e1a57649a7168dc25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bf62425a3e1a57649a7168dc255715"/>
                          <pic:cNvPicPr>
                            <a:picLocks noChangeAspect="1"/>
                          </pic:cNvPicPr>
                        </pic:nvPicPr>
                        <pic:blipFill>
                          <a:blip r:embed="rId16"/>
                          <a:stretch>
                            <a:fillRect/>
                          </a:stretch>
                        </pic:blipFill>
                        <pic:spPr>
                          <a:xfrm>
                            <a:off x="0" y="0"/>
                            <a:ext cx="2880995" cy="2160270"/>
                          </a:xfrm>
                          <a:prstGeom prst="rect">
                            <a:avLst/>
                          </a:prstGeom>
                        </pic:spPr>
                      </pic:pic>
                    </a:graphicData>
                  </a:graphic>
                </wp:inline>
              </w:drawing>
            </w:r>
          </w:p>
        </w:tc>
        <w:tc>
          <w:tcPr>
            <w:tcW w:w="4162" w:type="dxa"/>
            <w:tcBorders>
              <w:tl2br w:val="nil"/>
              <w:tr2bl w:val="nil"/>
            </w:tcBorders>
            <w:vAlign w:val="center"/>
          </w:tcPr>
          <w:p>
            <w:pPr>
              <w:overflowPunct w:val="0"/>
              <w:autoSpaceDE w:val="0"/>
              <w:autoSpaceDN w:val="0"/>
              <w:adjustRightInd w:val="0"/>
              <w:snapToGrid w:val="0"/>
              <w:spacing w:before="0" w:after="0" w:line="240" w:lineRule="auto"/>
              <w:ind w:left="0" w:leftChars="0" w:right="0" w:firstLine="0" w:firstLineChars="0"/>
              <w:jc w:val="center"/>
              <w:rPr>
                <w:rFonts w:hint="default" w:ascii="Times New Roman" w:hAnsi="Times New Roman" w:eastAsia="宋体" w:cs="Times New Roman"/>
                <w:bCs/>
                <w:kern w:val="1"/>
                <w:sz w:val="28"/>
                <w:szCs w:val="28"/>
                <w:lang w:val="en-US" w:eastAsia="zh-CN"/>
              </w:rPr>
            </w:pPr>
            <w:r>
              <w:rPr>
                <w:rFonts w:hint="default" w:ascii="Times New Roman" w:hAnsi="Times New Roman" w:eastAsia="宋体" w:cs="Times New Roman"/>
                <w:bCs/>
                <w:kern w:val="1"/>
                <w:sz w:val="28"/>
                <w:szCs w:val="28"/>
                <w:lang w:val="en-US" w:eastAsia="zh-CN"/>
              </w:rPr>
              <w:drawing>
                <wp:inline distT="0" distB="0" distL="114300" distR="114300">
                  <wp:extent cx="2880360" cy="2160270"/>
                  <wp:effectExtent l="0" t="0" r="15240" b="11430"/>
                  <wp:docPr id="18" name="图片 18" descr="c06a444e88758bfa5dfb46123a6a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06a444e88758bfa5dfb46123a6afde"/>
                          <pic:cNvPicPr>
                            <a:picLocks noChangeAspect="1"/>
                          </pic:cNvPicPr>
                        </pic:nvPicPr>
                        <pic:blipFill>
                          <a:blip r:embed="rId17"/>
                          <a:stretch>
                            <a:fillRect/>
                          </a:stretch>
                        </pic:blipFill>
                        <pic:spPr>
                          <a:xfrm>
                            <a:off x="0" y="0"/>
                            <a:ext cx="2880360" cy="21602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kern w:val="1"/>
                <w:sz w:val="28"/>
                <w:szCs w:val="28"/>
                <w:lang w:val="en-US"/>
              </w:rPr>
            </w:pPr>
            <w:r>
              <w:rPr>
                <w:rFonts w:hint="eastAsia" w:cs="Times New Roman"/>
                <w:bCs/>
                <w:kern w:val="1"/>
                <w:sz w:val="28"/>
                <w:szCs w:val="28"/>
                <w:lang w:val="en-US" w:eastAsia="zh-CN"/>
              </w:rPr>
              <w:t>项目租赁生产车间</w:t>
            </w:r>
          </w:p>
        </w:tc>
        <w:tc>
          <w:tcPr>
            <w:tcW w:w="4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kern w:val="1"/>
                <w:sz w:val="28"/>
                <w:szCs w:val="28"/>
                <w:lang w:val="en-US"/>
              </w:rPr>
            </w:pPr>
            <w:r>
              <w:rPr>
                <w:rFonts w:hint="eastAsia" w:cs="Times New Roman"/>
                <w:bCs/>
                <w:kern w:val="1"/>
                <w:sz w:val="28"/>
                <w:szCs w:val="28"/>
                <w:lang w:val="en-US" w:eastAsia="zh-CN"/>
              </w:rPr>
              <w:t>项目租赁生产车间内部</w:t>
            </w:r>
          </w:p>
        </w:tc>
      </w:tr>
    </w:tbl>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宋体"/>
          <w:color w:val="auto"/>
          <w:sz w:val="21"/>
          <w:szCs w:val="22"/>
          <w:lang w:val="en-US" w:eastAsia="zh-CN" w:bidi="ar-SA"/>
        </w:rPr>
        <w:id w:val="147477407"/>
        <w15:color w:val="DBDBDB"/>
        <w:docPartObj>
          <w:docPartGallery w:val="Table of Contents"/>
          <w:docPartUnique/>
        </w:docPartObj>
      </w:sdtPr>
      <w:sdtEndPr>
        <w:rPr>
          <w:rFonts w:hint="eastAsia" w:ascii="Times New Roman" w:hAnsi="Times New Roman" w:eastAsia="宋体" w:cs="宋体"/>
          <w:color w:val="auto"/>
          <w:sz w:val="24"/>
          <w:szCs w:val="22"/>
          <w:lang w:val="en-US" w:eastAsia="zh-CN" w:bidi="ar-SA"/>
        </w:rPr>
      </w:sdtEndPr>
      <w:sdtContent>
        <w:p>
          <w:pPr>
            <w:spacing w:before="0" w:beforeLines="0" w:after="0" w:afterLines="0" w:line="240" w:lineRule="auto"/>
            <w:ind w:left="0" w:leftChars="0" w:right="0" w:rightChars="0" w:firstLine="0" w:firstLineChars="0"/>
            <w:jc w:val="center"/>
            <w:rPr>
              <w:sz w:val="28"/>
              <w:szCs w:val="28"/>
            </w:rPr>
          </w:pPr>
          <w:r>
            <w:rPr>
              <w:rFonts w:ascii="宋体" w:hAnsi="宋体" w:eastAsia="宋体"/>
              <w:sz w:val="28"/>
              <w:szCs w:val="28"/>
            </w:rPr>
            <w:t>目录</w:t>
          </w:r>
        </w:p>
        <w:p>
          <w:pPr>
            <w:pStyle w:val="11"/>
            <w:tabs>
              <w:tab w:val="right" w:leader="dot" w:pos="8306"/>
            </w:tabs>
            <w:spacing w:line="360" w:lineRule="auto"/>
          </w:pPr>
          <w:r>
            <w:rPr>
              <w:rFonts w:hint="eastAsia" w:ascii="Times New Roman" w:hAnsi="Times New Roman" w:eastAsia="宋体" w:cs="宋体"/>
              <w:color w:val="auto"/>
              <w:sz w:val="24"/>
              <w:szCs w:val="22"/>
              <w:lang w:val="en-US" w:eastAsia="zh-CN" w:bidi="ar-SA"/>
            </w:rPr>
            <w:fldChar w:fldCharType="begin"/>
          </w:r>
          <w:r>
            <w:rPr>
              <w:rFonts w:hint="eastAsia" w:ascii="Times New Roman" w:hAnsi="Times New Roman" w:eastAsia="宋体" w:cs="宋体"/>
              <w:color w:val="auto"/>
              <w:sz w:val="24"/>
              <w:szCs w:val="22"/>
              <w:lang w:val="en-US" w:eastAsia="zh-CN" w:bidi="ar-SA"/>
            </w:rPr>
            <w:instrText xml:space="preserve">TOC \o "1-1" \h \u </w:instrText>
          </w:r>
          <w:r>
            <w:rPr>
              <w:rFonts w:hint="eastAsia" w:ascii="Times New Roman" w:hAnsi="Times New Roman" w:eastAsia="宋体" w:cs="宋体"/>
              <w:color w:val="auto"/>
              <w:sz w:val="24"/>
              <w:szCs w:val="22"/>
              <w:lang w:val="en-US" w:eastAsia="zh-CN" w:bidi="ar-SA"/>
            </w:rPr>
            <w:fldChar w:fldCharType="separate"/>
          </w: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szCs w:val="22"/>
              <w:lang w:val="en-US" w:eastAsia="zh-CN" w:bidi="ar-SA"/>
            </w:rPr>
            <w:instrText xml:space="preserve"> HYPERLINK \l _Toc31350 </w:instrText>
          </w:r>
          <w:r>
            <w:rPr>
              <w:rFonts w:hint="eastAsia" w:ascii="Times New Roman" w:hAnsi="Times New Roman" w:eastAsia="宋体" w:cs="宋体"/>
              <w:szCs w:val="22"/>
              <w:lang w:val="en-US" w:eastAsia="zh-CN" w:bidi="ar-SA"/>
            </w:rPr>
            <w:fldChar w:fldCharType="separate"/>
          </w:r>
          <w:r>
            <w:rPr>
              <w:rFonts w:hint="eastAsia" w:ascii="Times New Roman" w:hAnsi="Times New Roman" w:eastAsia="宋体" w:cs="宋体"/>
              <w:kern w:val="44"/>
              <w:szCs w:val="22"/>
              <w:lang w:val="en-US" w:eastAsia="zh-CN" w:bidi="ar-SA"/>
            </w:rPr>
            <w:t>一、</w:t>
          </w:r>
          <w:r>
            <w:rPr>
              <w:rFonts w:ascii="Times New Roman" w:hAnsi="Times New Roman" w:eastAsia="宋体" w:cs="宋体"/>
              <w:kern w:val="44"/>
              <w:szCs w:val="22"/>
              <w:lang w:val="en-US" w:eastAsia="zh-CN" w:bidi="ar-SA"/>
            </w:rPr>
            <w:t>建设项目基本情况</w:t>
          </w:r>
          <w:r>
            <w:tab/>
          </w:r>
          <w:r>
            <w:fldChar w:fldCharType="begin"/>
          </w:r>
          <w:r>
            <w:instrText xml:space="preserve"> PAGEREF _Toc31350 \h </w:instrText>
          </w:r>
          <w:r>
            <w:fldChar w:fldCharType="separate"/>
          </w:r>
          <w:r>
            <w:t>1</w:t>
          </w:r>
          <w:r>
            <w:fldChar w:fldCharType="end"/>
          </w:r>
          <w:r>
            <w:rPr>
              <w:rFonts w:hint="eastAsia" w:ascii="Times New Roman" w:hAnsi="Times New Roman" w:eastAsia="宋体" w:cs="宋体"/>
              <w:color w:val="auto"/>
              <w:szCs w:val="22"/>
              <w:lang w:val="en-US" w:eastAsia="zh-CN" w:bidi="ar-SA"/>
            </w:rPr>
            <w:fldChar w:fldCharType="end"/>
          </w:r>
        </w:p>
        <w:p>
          <w:pPr>
            <w:pStyle w:val="11"/>
            <w:tabs>
              <w:tab w:val="right" w:leader="dot" w:pos="8306"/>
            </w:tabs>
            <w:spacing w:line="360" w:lineRule="auto"/>
          </w:pP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szCs w:val="22"/>
              <w:lang w:val="en-US" w:eastAsia="zh-CN" w:bidi="ar-SA"/>
            </w:rPr>
            <w:instrText xml:space="preserve"> HYPERLINK \l _Toc11983 </w:instrText>
          </w:r>
          <w:r>
            <w:rPr>
              <w:rFonts w:hint="eastAsia" w:ascii="Times New Roman" w:hAnsi="Times New Roman" w:eastAsia="宋体" w:cs="宋体"/>
              <w:szCs w:val="22"/>
              <w:lang w:val="en-US" w:eastAsia="zh-CN" w:bidi="ar-SA"/>
            </w:rPr>
            <w:fldChar w:fldCharType="separate"/>
          </w:r>
          <w:r>
            <w:rPr>
              <w:rFonts w:hint="eastAsia" w:ascii="Times New Roman" w:hAnsi="Times New Roman" w:eastAsia="宋体" w:cs="宋体"/>
              <w:kern w:val="44"/>
              <w:szCs w:val="22"/>
              <w:lang w:val="en-US" w:eastAsia="zh-CN" w:bidi="ar-SA"/>
            </w:rPr>
            <w:t>二、 建设项目工程分析</w:t>
          </w:r>
          <w:r>
            <w:tab/>
          </w:r>
          <w:r>
            <w:fldChar w:fldCharType="begin"/>
          </w:r>
          <w:r>
            <w:instrText xml:space="preserve"> PAGEREF _Toc11983 \h </w:instrText>
          </w:r>
          <w:r>
            <w:fldChar w:fldCharType="separate"/>
          </w:r>
          <w:r>
            <w:t>21</w:t>
          </w:r>
          <w:r>
            <w:fldChar w:fldCharType="end"/>
          </w:r>
          <w:r>
            <w:rPr>
              <w:rFonts w:hint="eastAsia" w:ascii="Times New Roman" w:hAnsi="Times New Roman" w:eastAsia="宋体" w:cs="宋体"/>
              <w:color w:val="auto"/>
              <w:szCs w:val="22"/>
              <w:lang w:val="en-US" w:eastAsia="zh-CN" w:bidi="ar-SA"/>
            </w:rPr>
            <w:fldChar w:fldCharType="end"/>
          </w:r>
        </w:p>
        <w:p>
          <w:pPr>
            <w:pStyle w:val="11"/>
            <w:tabs>
              <w:tab w:val="right" w:leader="dot" w:pos="8306"/>
            </w:tabs>
            <w:spacing w:line="360" w:lineRule="auto"/>
          </w:pP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szCs w:val="22"/>
              <w:lang w:val="en-US" w:eastAsia="zh-CN" w:bidi="ar-SA"/>
            </w:rPr>
            <w:instrText xml:space="preserve"> HYPERLINK \l _Toc11968 </w:instrText>
          </w:r>
          <w:r>
            <w:rPr>
              <w:rFonts w:hint="eastAsia" w:ascii="Times New Roman" w:hAnsi="Times New Roman" w:eastAsia="宋体" w:cs="宋体"/>
              <w:szCs w:val="22"/>
              <w:lang w:val="en-US" w:eastAsia="zh-CN" w:bidi="ar-SA"/>
            </w:rPr>
            <w:fldChar w:fldCharType="separate"/>
          </w:r>
          <w:r>
            <w:rPr>
              <w:rFonts w:hint="eastAsia" w:ascii="Times New Roman" w:hAnsi="Times New Roman" w:eastAsia="宋体" w:cs="宋体"/>
              <w:kern w:val="44"/>
            </w:rPr>
            <w:t xml:space="preserve">三、 </w:t>
          </w:r>
          <w:r>
            <w:rPr>
              <w:rFonts w:ascii="Times New Roman" w:hAnsi="Times New Roman" w:eastAsia="宋体" w:cs="宋体"/>
              <w:kern w:val="44"/>
            </w:rPr>
            <w:t>区域环境质量现状、环境保护目标及评价标准</w:t>
          </w:r>
          <w:r>
            <w:tab/>
          </w:r>
          <w:r>
            <w:fldChar w:fldCharType="begin"/>
          </w:r>
          <w:r>
            <w:instrText xml:space="preserve"> PAGEREF _Toc11968 \h </w:instrText>
          </w:r>
          <w:r>
            <w:fldChar w:fldCharType="separate"/>
          </w:r>
          <w:r>
            <w:t>47</w:t>
          </w:r>
          <w:r>
            <w:fldChar w:fldCharType="end"/>
          </w:r>
          <w:r>
            <w:rPr>
              <w:rFonts w:hint="eastAsia" w:ascii="Times New Roman" w:hAnsi="Times New Roman" w:eastAsia="宋体" w:cs="宋体"/>
              <w:color w:val="auto"/>
              <w:szCs w:val="22"/>
              <w:lang w:val="en-US" w:eastAsia="zh-CN" w:bidi="ar-SA"/>
            </w:rPr>
            <w:fldChar w:fldCharType="end"/>
          </w:r>
        </w:p>
        <w:p>
          <w:pPr>
            <w:pStyle w:val="11"/>
            <w:tabs>
              <w:tab w:val="right" w:leader="dot" w:pos="8306"/>
            </w:tabs>
            <w:spacing w:line="360" w:lineRule="auto"/>
          </w:pP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szCs w:val="22"/>
              <w:lang w:val="en-US" w:eastAsia="zh-CN" w:bidi="ar-SA"/>
            </w:rPr>
            <w:instrText xml:space="preserve"> HYPERLINK \l _Toc11198 </w:instrText>
          </w:r>
          <w:r>
            <w:rPr>
              <w:rFonts w:hint="eastAsia" w:ascii="Times New Roman" w:hAnsi="Times New Roman" w:eastAsia="宋体" w:cs="宋体"/>
              <w:szCs w:val="22"/>
              <w:lang w:val="en-US" w:eastAsia="zh-CN" w:bidi="ar-SA"/>
            </w:rPr>
            <w:fldChar w:fldCharType="separate"/>
          </w:r>
          <w:r>
            <w:rPr>
              <w:rFonts w:hint="eastAsia" w:ascii="Times New Roman" w:hAnsi="Times New Roman" w:eastAsia="宋体" w:cs="宋体"/>
              <w:kern w:val="44"/>
              <w:szCs w:val="22"/>
              <w:lang w:val="en-US" w:eastAsia="zh-CN" w:bidi="ar-SA"/>
            </w:rPr>
            <w:t>四、 主要环境影响和保护措施</w:t>
          </w:r>
          <w:r>
            <w:tab/>
          </w:r>
          <w:r>
            <w:fldChar w:fldCharType="begin"/>
          </w:r>
          <w:r>
            <w:instrText xml:space="preserve"> PAGEREF _Toc11198 \h </w:instrText>
          </w:r>
          <w:r>
            <w:fldChar w:fldCharType="separate"/>
          </w:r>
          <w:r>
            <w:t>57</w:t>
          </w:r>
          <w:r>
            <w:fldChar w:fldCharType="end"/>
          </w:r>
          <w:r>
            <w:rPr>
              <w:rFonts w:hint="eastAsia" w:ascii="Times New Roman" w:hAnsi="Times New Roman" w:eastAsia="宋体" w:cs="宋体"/>
              <w:color w:val="auto"/>
              <w:szCs w:val="22"/>
              <w:lang w:val="en-US" w:eastAsia="zh-CN" w:bidi="ar-SA"/>
            </w:rPr>
            <w:fldChar w:fldCharType="end"/>
          </w:r>
        </w:p>
        <w:p>
          <w:pPr>
            <w:pStyle w:val="11"/>
            <w:tabs>
              <w:tab w:val="right" w:leader="dot" w:pos="8306"/>
            </w:tabs>
            <w:spacing w:line="360" w:lineRule="auto"/>
          </w:pP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szCs w:val="22"/>
              <w:lang w:val="en-US" w:eastAsia="zh-CN" w:bidi="ar-SA"/>
            </w:rPr>
            <w:instrText xml:space="preserve"> HYPERLINK \l _Toc2125 </w:instrText>
          </w:r>
          <w:r>
            <w:rPr>
              <w:rFonts w:hint="eastAsia" w:ascii="Times New Roman" w:hAnsi="Times New Roman" w:eastAsia="宋体" w:cs="宋体"/>
              <w:szCs w:val="22"/>
              <w:lang w:val="en-US" w:eastAsia="zh-CN" w:bidi="ar-SA"/>
            </w:rPr>
            <w:fldChar w:fldCharType="separate"/>
          </w:r>
          <w:r>
            <w:rPr>
              <w:rFonts w:ascii="Times New Roman" w:hAnsi="Times New Roman" w:eastAsia="宋体" w:cs="宋体"/>
              <w:kern w:val="44"/>
              <w:szCs w:val="22"/>
              <w:lang w:val="en-US" w:eastAsia="zh-CN" w:bidi="ar-SA"/>
            </w:rPr>
            <w:t>五、环境保护措施监督检查清单</w:t>
          </w:r>
          <w:r>
            <w:tab/>
          </w:r>
          <w:r>
            <w:fldChar w:fldCharType="begin"/>
          </w:r>
          <w:r>
            <w:instrText xml:space="preserve"> PAGEREF _Toc2125 \h </w:instrText>
          </w:r>
          <w:r>
            <w:fldChar w:fldCharType="separate"/>
          </w:r>
          <w:r>
            <w:t>110</w:t>
          </w:r>
          <w:r>
            <w:fldChar w:fldCharType="end"/>
          </w:r>
          <w:r>
            <w:rPr>
              <w:rFonts w:hint="eastAsia" w:ascii="Times New Roman" w:hAnsi="Times New Roman" w:eastAsia="宋体" w:cs="宋体"/>
              <w:color w:val="auto"/>
              <w:szCs w:val="22"/>
              <w:lang w:val="en-US" w:eastAsia="zh-CN" w:bidi="ar-SA"/>
            </w:rPr>
            <w:fldChar w:fldCharType="end"/>
          </w:r>
        </w:p>
        <w:p>
          <w:pPr>
            <w:pStyle w:val="11"/>
            <w:tabs>
              <w:tab w:val="right" w:leader="dot" w:pos="8306"/>
            </w:tabs>
            <w:spacing w:line="360" w:lineRule="auto"/>
          </w:pP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szCs w:val="22"/>
              <w:lang w:val="en-US" w:eastAsia="zh-CN" w:bidi="ar-SA"/>
            </w:rPr>
            <w:instrText xml:space="preserve"> HYPERLINK \l _Toc4152 </w:instrText>
          </w:r>
          <w:r>
            <w:rPr>
              <w:rFonts w:hint="eastAsia" w:ascii="Times New Roman" w:hAnsi="Times New Roman" w:eastAsia="宋体" w:cs="宋体"/>
              <w:szCs w:val="22"/>
              <w:lang w:val="en-US" w:eastAsia="zh-CN" w:bidi="ar-SA"/>
            </w:rPr>
            <w:fldChar w:fldCharType="separate"/>
          </w:r>
          <w:r>
            <w:rPr>
              <w:rFonts w:hint="eastAsia" w:ascii="Times New Roman" w:hAnsi="Times New Roman" w:eastAsia="宋体" w:cs="宋体"/>
              <w:kern w:val="44"/>
              <w:szCs w:val="22"/>
              <w:lang w:val="en-US" w:eastAsia="zh-CN" w:bidi="ar-SA"/>
            </w:rPr>
            <w:t>六、结论</w:t>
          </w:r>
          <w:r>
            <w:tab/>
          </w:r>
          <w:r>
            <w:fldChar w:fldCharType="begin"/>
          </w:r>
          <w:r>
            <w:instrText xml:space="preserve"> PAGEREF _Toc4152 \h </w:instrText>
          </w:r>
          <w:r>
            <w:fldChar w:fldCharType="separate"/>
          </w:r>
          <w:r>
            <w:t>115</w:t>
          </w:r>
          <w:r>
            <w:fldChar w:fldCharType="end"/>
          </w:r>
          <w:r>
            <w:rPr>
              <w:rFonts w:hint="eastAsia" w:ascii="Times New Roman" w:hAnsi="Times New Roman" w:eastAsia="宋体" w:cs="宋体"/>
              <w:color w:val="auto"/>
              <w:szCs w:val="22"/>
              <w:lang w:val="en-US" w:eastAsia="zh-CN" w:bidi="ar-SA"/>
            </w:rPr>
            <w:fldChar w:fldCharType="end"/>
          </w:r>
        </w:p>
        <w:p>
          <w:pPr>
            <w:pStyle w:val="11"/>
            <w:tabs>
              <w:tab w:val="right" w:leader="dot" w:pos="8306"/>
            </w:tabs>
            <w:spacing w:line="360" w:lineRule="auto"/>
          </w:pP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szCs w:val="22"/>
              <w:lang w:val="en-US" w:eastAsia="zh-CN" w:bidi="ar-SA"/>
            </w:rPr>
            <w:instrText xml:space="preserve"> HYPERLINK \l _Toc5923 </w:instrText>
          </w:r>
          <w:r>
            <w:rPr>
              <w:rFonts w:hint="eastAsia" w:ascii="Times New Roman" w:hAnsi="Times New Roman" w:eastAsia="宋体" w:cs="宋体"/>
              <w:szCs w:val="22"/>
              <w:lang w:val="en-US" w:eastAsia="zh-CN" w:bidi="ar-SA"/>
            </w:rPr>
            <w:fldChar w:fldCharType="separate"/>
          </w:r>
          <w:r>
            <w:rPr>
              <w:rFonts w:hint="eastAsia" w:ascii="Times New Roman" w:hAnsi="Times New Roman" w:eastAsia="黑体" w:cs="Times New Roman"/>
              <w:snapToGrid w:val="0"/>
              <w:kern w:val="0"/>
              <w:szCs w:val="32"/>
              <w:highlight w:val="none"/>
              <w:lang w:val="en-US" w:eastAsia="zh-CN" w:bidi="ar-SA"/>
            </w:rPr>
            <w:t>附表</w:t>
          </w:r>
          <w:r>
            <w:tab/>
          </w:r>
          <w:r>
            <w:fldChar w:fldCharType="begin"/>
          </w:r>
          <w:r>
            <w:instrText xml:space="preserve"> PAGEREF _Toc5923 \h </w:instrText>
          </w:r>
          <w:r>
            <w:fldChar w:fldCharType="separate"/>
          </w:r>
          <w:r>
            <w:t>116</w:t>
          </w:r>
          <w:r>
            <w:fldChar w:fldCharType="end"/>
          </w:r>
          <w:r>
            <w:rPr>
              <w:rFonts w:hint="eastAsia" w:ascii="Times New Roman" w:hAnsi="Times New Roman" w:eastAsia="宋体" w:cs="宋体"/>
              <w:color w:val="auto"/>
              <w:szCs w:val="22"/>
              <w:lang w:val="en-US" w:eastAsia="zh-CN" w:bidi="ar-SA"/>
            </w:rPr>
            <w:fldChar w:fldCharType="end"/>
          </w:r>
        </w:p>
        <w:p>
          <w:pPr>
            <w:pStyle w:val="11"/>
            <w:tabs>
              <w:tab w:val="right" w:leader="dot" w:pos="8306"/>
            </w:tabs>
            <w:spacing w:line="360" w:lineRule="auto"/>
          </w:pP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szCs w:val="22"/>
              <w:lang w:val="en-US" w:eastAsia="zh-CN" w:bidi="ar-SA"/>
            </w:rPr>
            <w:instrText xml:space="preserve"> HYPERLINK \l _Toc17 </w:instrText>
          </w:r>
          <w:r>
            <w:rPr>
              <w:rFonts w:hint="eastAsia" w:ascii="Times New Roman" w:hAnsi="Times New Roman" w:eastAsia="宋体" w:cs="宋体"/>
              <w:szCs w:val="22"/>
              <w:lang w:val="en-US" w:eastAsia="zh-CN" w:bidi="ar-SA"/>
            </w:rPr>
            <w:fldChar w:fldCharType="separate"/>
          </w:r>
          <w:r>
            <w:rPr>
              <w:rFonts w:hint="eastAsia" w:ascii="Times New Roman" w:hAnsi="Times New Roman" w:eastAsia="宋体" w:cs="宋体"/>
              <w:bCs/>
              <w:szCs w:val="28"/>
              <w:lang w:val="en-US" w:eastAsia="zh-CN"/>
            </w:rPr>
            <w:t>建设项目污染物排放量汇总表</w:t>
          </w:r>
          <w:r>
            <w:tab/>
          </w:r>
          <w:r>
            <w:fldChar w:fldCharType="begin"/>
          </w:r>
          <w:r>
            <w:instrText xml:space="preserve"> PAGEREF _Toc17 \h </w:instrText>
          </w:r>
          <w:r>
            <w:fldChar w:fldCharType="separate"/>
          </w:r>
          <w:r>
            <w:t>116</w:t>
          </w:r>
          <w:r>
            <w:fldChar w:fldCharType="end"/>
          </w:r>
          <w:r>
            <w:rPr>
              <w:rFonts w:hint="eastAsia" w:ascii="Times New Roman" w:hAnsi="Times New Roman" w:eastAsia="宋体" w:cs="宋体"/>
              <w:color w:val="auto"/>
              <w:szCs w:val="22"/>
              <w:lang w:val="en-US" w:eastAsia="zh-CN" w:bidi="ar-SA"/>
            </w:rPr>
            <w:fldChar w:fldCharType="end"/>
          </w:r>
        </w:p>
        <w:p>
          <w:pPr>
            <w:bidi w:val="0"/>
            <w:spacing w:line="360" w:lineRule="auto"/>
            <w:rPr>
              <w:rFonts w:hint="eastAsia" w:ascii="Times New Roman" w:hAnsi="Times New Roman" w:eastAsia="宋体" w:cs="宋体"/>
              <w:color w:val="auto"/>
              <w:sz w:val="24"/>
              <w:szCs w:val="22"/>
              <w:lang w:val="en-US" w:eastAsia="zh-CN" w:bidi="ar-SA"/>
            </w:rPr>
          </w:pPr>
          <w:r>
            <w:rPr>
              <w:rFonts w:hint="eastAsia" w:ascii="Times New Roman" w:hAnsi="Times New Roman" w:eastAsia="宋体" w:cs="宋体"/>
              <w:color w:val="auto"/>
              <w:szCs w:val="22"/>
              <w:lang w:val="en-US" w:eastAsia="zh-CN" w:bidi="ar-SA"/>
            </w:rPr>
            <w:fldChar w:fldCharType="end"/>
          </w:r>
        </w:p>
      </w:sdtContent>
    </w:sdt>
    <w:p>
      <w:pPr>
        <w:bidi w:val="0"/>
        <w:rPr>
          <w:rFonts w:hint="eastAsia"/>
          <w:lang w:val="en-US" w:eastAsia="zh-CN"/>
        </w:rPr>
      </w:pPr>
    </w:p>
    <w:p>
      <w:pPr>
        <w:bidi w:val="0"/>
        <w:rPr>
          <w:rFonts w:hint="eastAsia"/>
          <w:lang w:val="en-US" w:eastAsia="zh-CN"/>
        </w:rPr>
      </w:pPr>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widowControl w:val="0"/>
        <w:numPr>
          <w:ilvl w:val="0"/>
          <w:numId w:val="0"/>
        </w:numPr>
        <w:overflowPunct w:val="0"/>
        <w:autoSpaceDE w:val="0"/>
        <w:autoSpaceDN w:val="0"/>
        <w:bidi w:val="0"/>
        <w:adjustRightInd w:val="0"/>
        <w:snapToGrid w:val="0"/>
        <w:spacing w:before="0" w:after="0" w:line="560" w:lineRule="exact"/>
        <w:ind w:left="0" w:leftChars="0" w:right="0" w:rightChars="0" w:firstLine="0" w:firstLineChars="0"/>
        <w:jc w:val="center"/>
        <w:outlineLvl w:val="0"/>
        <w:rPr>
          <w:rFonts w:ascii="Times New Roman" w:hAnsi="Times New Roman" w:eastAsia="宋体" w:cs="宋体"/>
          <w:b/>
          <w:kern w:val="44"/>
          <w:sz w:val="28"/>
          <w:szCs w:val="22"/>
          <w:lang w:val="en-US" w:eastAsia="zh-CN" w:bidi="ar-SA"/>
        </w:rPr>
      </w:pPr>
      <w:bookmarkStart w:id="2" w:name="_Toc14616"/>
      <w:bookmarkStart w:id="3" w:name="_Toc31350"/>
      <w:bookmarkStart w:id="4" w:name="_Toc28497"/>
      <w:r>
        <w:rPr>
          <w:rFonts w:hint="eastAsia" w:ascii="Times New Roman" w:hAnsi="Times New Roman" w:eastAsia="宋体" w:cs="宋体"/>
          <w:b/>
          <w:kern w:val="44"/>
          <w:sz w:val="28"/>
          <w:szCs w:val="22"/>
          <w:lang w:val="en-US" w:eastAsia="zh-CN" w:bidi="ar-SA"/>
        </w:rPr>
        <w:t>一、</w:t>
      </w:r>
      <w:r>
        <w:rPr>
          <w:rFonts w:ascii="Times New Roman" w:hAnsi="Times New Roman" w:eastAsia="宋体" w:cs="宋体"/>
          <w:b/>
          <w:kern w:val="44"/>
          <w:sz w:val="28"/>
          <w:szCs w:val="22"/>
          <w:lang w:val="en-US" w:eastAsia="zh-CN" w:bidi="ar-SA"/>
        </w:rPr>
        <w:t>建设项目基本情况</w:t>
      </w:r>
      <w:bookmarkEnd w:id="2"/>
      <w:bookmarkEnd w:id="3"/>
      <w:bookmarkEnd w:id="4"/>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2196"/>
        <w:gridCol w:w="1683"/>
        <w:gridCol w:w="3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建设项目名称</w:t>
            </w:r>
          </w:p>
        </w:tc>
        <w:tc>
          <w:tcPr>
            <w:tcW w:w="7175" w:type="dxa"/>
            <w:gridSpan w:val="3"/>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sz w:val="24"/>
                <w:szCs w:val="24"/>
                <w:lang w:val="en-US" w:eastAsia="zh-CN" w:bidi="ar-SA"/>
              </w:rPr>
            </w:pPr>
            <w:r>
              <w:rPr>
                <w:rFonts w:hint="eastAsia" w:cs="Times New Roman"/>
                <w:sz w:val="24"/>
                <w:szCs w:val="24"/>
                <w:lang w:val="en-US" w:eastAsia="zh-CN" w:bidi="ar-SA"/>
              </w:rPr>
              <w:t>新疆圣威线缆科技有限公司建设年产2000千米电线电缆项目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项目代码</w:t>
            </w:r>
          </w:p>
        </w:tc>
        <w:tc>
          <w:tcPr>
            <w:tcW w:w="7175" w:type="dxa"/>
            <w:gridSpan w:val="3"/>
            <w:vAlign w:val="center"/>
          </w:tcPr>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sz w:val="24"/>
                <w:szCs w:val="24"/>
                <w:lang w:val="en-US" w:eastAsia="zh-CN" w:bidi="ar-SA"/>
              </w:rPr>
            </w:pPr>
            <w:r>
              <w:rPr>
                <w:rFonts w:hint="eastAsia" w:cs="Times New Roman"/>
                <w:sz w:val="24"/>
                <w:szCs w:val="24"/>
                <w:lang w:val="en-US" w:eastAsia="zh-CN" w:bidi="ar-SA"/>
              </w:rPr>
              <w:t>2409-652302-04-01-166445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建设单位联系</w:t>
            </w:r>
            <w:r>
              <w:rPr>
                <w:rFonts w:hint="eastAsia" w:cs="Times New Roman"/>
                <w:sz w:val="24"/>
                <w:szCs w:val="24"/>
                <w:lang w:val="en-US" w:eastAsia="zh-CN" w:bidi="ar-SA"/>
              </w:rPr>
              <w:t>人</w:t>
            </w:r>
          </w:p>
        </w:tc>
        <w:tc>
          <w:tcPr>
            <w:tcW w:w="2196" w:type="dxa"/>
            <w:vAlign w:val="center"/>
          </w:tcPr>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sz w:val="24"/>
                <w:szCs w:val="24"/>
                <w:lang w:val="en-US" w:eastAsia="zh-CN" w:bidi="ar-SA"/>
              </w:rPr>
            </w:pPr>
            <w:r>
              <w:rPr>
                <w:rFonts w:hint="eastAsia" w:cs="Times New Roman"/>
                <w:sz w:val="24"/>
                <w:szCs w:val="24"/>
                <w:lang w:val="en-US" w:eastAsia="zh-CN" w:bidi="ar-SA"/>
              </w:rPr>
              <w:t>李润强</w:t>
            </w:r>
          </w:p>
        </w:tc>
        <w:tc>
          <w:tcPr>
            <w:tcW w:w="1683" w:type="dxa"/>
            <w:vAlign w:val="center"/>
          </w:tcPr>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联系方式</w:t>
            </w:r>
          </w:p>
        </w:tc>
        <w:tc>
          <w:tcPr>
            <w:tcW w:w="3296" w:type="dxa"/>
            <w:vAlign w:val="center"/>
          </w:tcPr>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15299987788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建设地点</w:t>
            </w:r>
          </w:p>
        </w:tc>
        <w:tc>
          <w:tcPr>
            <w:tcW w:w="7175" w:type="dxa"/>
            <w:gridSpan w:val="3"/>
            <w:vAlign w:val="center"/>
          </w:tcPr>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阜康市苏通小微创业园</w:t>
            </w:r>
            <w:r>
              <w:rPr>
                <w:rFonts w:hint="eastAsia" w:ascii="Times New Roman" w:hAnsi="Times New Roman" w:eastAsia="宋体" w:cs="Times New Roman"/>
                <w:sz w:val="24"/>
                <w:szCs w:val="24"/>
                <w:lang w:val="en-US" w:eastAsia="zh-CN" w:bidi="ar-SA"/>
              </w:rPr>
              <w:t>2-14地块新疆伟康高科管业有限公司</w:t>
            </w:r>
            <w:r>
              <w:rPr>
                <w:rFonts w:hint="eastAsia" w:cs="Times New Roman"/>
                <w:sz w:val="24"/>
                <w:szCs w:val="24"/>
                <w:lang w:val="en-US" w:eastAsia="zh-CN" w:bidi="ar-SA"/>
              </w:rPr>
              <w:t>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地理坐标</w:t>
            </w:r>
          </w:p>
        </w:tc>
        <w:tc>
          <w:tcPr>
            <w:tcW w:w="7175" w:type="dxa"/>
            <w:gridSpan w:val="3"/>
            <w:vAlign w:val="center"/>
          </w:tcPr>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lang w:val="en-US" w:eastAsia="zh-CN"/>
              </w:rPr>
            </w:pPr>
            <w:r>
              <w:rPr>
                <w:rFonts w:hint="default"/>
                <w:lang w:val="en-US" w:eastAsia="zh-CN"/>
              </w:rPr>
              <w:t>（87度</w:t>
            </w:r>
            <w:r>
              <w:rPr>
                <w:rFonts w:hint="eastAsia"/>
                <w:lang w:val="en-US" w:eastAsia="zh-CN"/>
              </w:rPr>
              <w:t>50</w:t>
            </w:r>
            <w:r>
              <w:rPr>
                <w:rFonts w:hint="eastAsia" w:ascii="Times New Roman" w:eastAsia="宋体"/>
                <w:lang w:val="en-US" w:eastAsia="zh-CN"/>
              </w:rPr>
              <w:t>分</w:t>
            </w:r>
            <w:r>
              <w:rPr>
                <w:rFonts w:hint="default"/>
                <w:lang w:val="en-US" w:eastAsia="zh-CN"/>
              </w:rPr>
              <w:t>27.520</w:t>
            </w:r>
            <w:r>
              <w:rPr>
                <w:rFonts w:hint="eastAsia" w:ascii="Times New Roman" w:eastAsia="宋体"/>
                <w:lang w:val="en-US" w:eastAsia="zh-CN"/>
              </w:rPr>
              <w:t>秒</w:t>
            </w:r>
            <w:r>
              <w:rPr>
                <w:rFonts w:hint="default"/>
                <w:lang w:val="en-US" w:eastAsia="zh-CN"/>
              </w:rPr>
              <w:t>，纬度：</w:t>
            </w:r>
            <w:r>
              <w:rPr>
                <w:rFonts w:hint="eastAsia"/>
                <w:lang w:val="en-US" w:eastAsia="zh-CN"/>
              </w:rPr>
              <w:t>44</w:t>
            </w:r>
            <w:r>
              <w:rPr>
                <w:rFonts w:hint="default"/>
                <w:lang w:val="en-US" w:eastAsia="zh-CN"/>
              </w:rPr>
              <w:t>度</w:t>
            </w:r>
            <w:r>
              <w:rPr>
                <w:rFonts w:hint="eastAsia"/>
                <w:lang w:val="en-US" w:eastAsia="zh-CN"/>
              </w:rPr>
              <w:t>9</w:t>
            </w:r>
            <w:r>
              <w:rPr>
                <w:rFonts w:hint="eastAsia" w:ascii="Times New Roman" w:eastAsia="宋体"/>
                <w:lang w:val="en-US" w:eastAsia="zh-CN"/>
              </w:rPr>
              <w:t>分</w:t>
            </w:r>
            <w:r>
              <w:rPr>
                <w:rFonts w:hint="default"/>
                <w:lang w:val="en-US" w:eastAsia="zh-CN"/>
              </w:rPr>
              <w:t>37.21</w:t>
            </w:r>
            <w:r>
              <w:rPr>
                <w:rFonts w:hint="eastAsia"/>
                <w:lang w:val="en-US" w:eastAsia="zh-CN"/>
              </w:rPr>
              <w:t>9</w:t>
            </w:r>
            <w:r>
              <w:rPr>
                <w:rFonts w:hint="eastAsia" w:ascii="Times New Roman" w:eastAsia="宋体"/>
                <w:lang w:val="en-US" w:eastAsia="zh-CN"/>
              </w:rPr>
              <w:t>秒</w:t>
            </w: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国民经济行业类别</w:t>
            </w:r>
          </w:p>
        </w:tc>
        <w:tc>
          <w:tcPr>
            <w:tcW w:w="21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eastAsia" w:ascii="Times New Roman" w:hAnsi="Times New Roman" w:eastAsia="宋体" w:cs="Times New Roman"/>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bidi="ar-SA"/>
              </w:rPr>
              <w:t>C3831电线、电缆制造</w:t>
            </w:r>
          </w:p>
        </w:tc>
        <w:tc>
          <w:tcPr>
            <w:tcW w:w="1683"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bidi="ar-SA"/>
              </w:rPr>
              <w:t>建设项目行业类别</w:t>
            </w:r>
          </w:p>
        </w:tc>
        <w:tc>
          <w:tcPr>
            <w:tcW w:w="32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bidi="ar-SA"/>
              </w:rPr>
              <w:t>35-77电线、电缆、光缆及电工器材制造383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vertAlign w:val="baseline"/>
                <w:lang w:val="en-US" w:eastAsia="zh-CN" w:bidi="ar-SA"/>
              </w:rPr>
            </w:pPr>
            <w:r>
              <w:rPr>
                <w:rFonts w:hint="default" w:ascii="Times New Roman" w:hAnsi="Times New Roman" w:eastAsia="宋体" w:cs="Times New Roman"/>
                <w:sz w:val="24"/>
                <w:szCs w:val="24"/>
                <w:lang w:val="en-US" w:eastAsia="zh-CN" w:bidi="ar-SA"/>
              </w:rPr>
              <w:t>建设性质</w:t>
            </w:r>
          </w:p>
        </w:tc>
        <w:tc>
          <w:tcPr>
            <w:tcW w:w="21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sz w:val="24"/>
                <w:szCs w:val="24"/>
                <w:lang w:val="en-US" w:eastAsia="zh-CN" w:bidi="ar-SA"/>
              </w:rPr>
            </w:pPr>
            <w:r>
              <w:rPr>
                <w:rFonts w:hint="eastAsia" w:cs="Times New Roman"/>
                <w:sz w:val="24"/>
                <w:szCs w:val="24"/>
                <w:lang w:val="en-US" w:eastAsia="zh-CN" w:bidi="ar-SA"/>
              </w:rPr>
              <w:t>☑</w:t>
            </w:r>
            <w:r>
              <w:rPr>
                <w:rFonts w:hint="default" w:ascii="Times New Roman" w:hAnsi="Times New Roman" w:eastAsia="宋体" w:cs="Times New Roman"/>
                <w:sz w:val="24"/>
                <w:szCs w:val="24"/>
                <w:lang w:val="en-US" w:eastAsia="zh-CN" w:bidi="ar-SA"/>
              </w:rPr>
              <w:t>新建</w:t>
            </w:r>
          </w:p>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w:t>
            </w:r>
            <w:r>
              <w:rPr>
                <w:rFonts w:hint="default" w:ascii="Times New Roman" w:hAnsi="Times New Roman" w:eastAsia="宋体" w:cs="Times New Roman"/>
                <w:sz w:val="24"/>
                <w:szCs w:val="24"/>
                <w:lang w:val="en-US" w:eastAsia="zh-CN" w:bidi="ar-SA"/>
              </w:rPr>
              <w:t>改建</w:t>
            </w:r>
          </w:p>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sz w:val="24"/>
                <w:szCs w:val="24"/>
                <w:lang w:val="en-US" w:eastAsia="zh-CN" w:bidi="ar-SA"/>
              </w:rPr>
            </w:pPr>
            <w:r>
              <w:rPr>
                <w:rFonts w:hint="eastAsia" w:cs="Times New Roman"/>
                <w:sz w:val="24"/>
                <w:szCs w:val="24"/>
                <w:lang w:val="en-US" w:eastAsia="zh-CN" w:bidi="ar-SA"/>
              </w:rPr>
              <w:t>□</w:t>
            </w:r>
            <w:r>
              <w:rPr>
                <w:rFonts w:hint="default" w:ascii="Times New Roman" w:hAnsi="Times New Roman" w:eastAsia="宋体" w:cs="Times New Roman"/>
                <w:sz w:val="24"/>
                <w:szCs w:val="24"/>
                <w:lang w:val="en-US" w:eastAsia="zh-CN" w:bidi="ar-SA"/>
              </w:rPr>
              <w:t>扩建</w:t>
            </w:r>
          </w:p>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vertAlign w:val="baseline"/>
                <w:lang w:val="en-US" w:eastAsia="zh-CN" w:bidi="ar-SA"/>
              </w:rPr>
            </w:pPr>
            <w:r>
              <w:rPr>
                <w:rFonts w:hint="eastAsia" w:ascii="Times New Roman" w:hAnsi="Times New Roman" w:eastAsia="宋体" w:cs="Times New Roman"/>
                <w:sz w:val="24"/>
                <w:szCs w:val="24"/>
                <w:lang w:val="en-US" w:eastAsia="zh-CN" w:bidi="ar-SA"/>
              </w:rPr>
              <w:t>□</w:t>
            </w:r>
            <w:r>
              <w:rPr>
                <w:rFonts w:hint="default" w:ascii="Times New Roman" w:hAnsi="Times New Roman" w:eastAsia="宋体" w:cs="Times New Roman"/>
                <w:sz w:val="24"/>
                <w:szCs w:val="24"/>
                <w:lang w:val="en-US" w:eastAsia="zh-CN" w:bidi="ar-SA"/>
              </w:rPr>
              <w:t>技术改造</w:t>
            </w:r>
          </w:p>
        </w:tc>
        <w:tc>
          <w:tcPr>
            <w:tcW w:w="1683"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vertAlign w:val="baseline"/>
                <w:lang w:val="en-US" w:eastAsia="zh-CN" w:bidi="ar-SA"/>
              </w:rPr>
            </w:pPr>
            <w:r>
              <w:rPr>
                <w:rFonts w:hint="default" w:ascii="Times New Roman" w:hAnsi="Times New Roman" w:eastAsia="宋体" w:cs="Times New Roman"/>
                <w:sz w:val="24"/>
                <w:szCs w:val="24"/>
                <w:lang w:val="en-US" w:eastAsia="zh-CN" w:bidi="ar-SA"/>
              </w:rPr>
              <w:t>建设项目申报情形</w:t>
            </w:r>
          </w:p>
        </w:tc>
        <w:tc>
          <w:tcPr>
            <w:tcW w:w="32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sz w:val="24"/>
                <w:szCs w:val="24"/>
                <w:lang w:val="en-US" w:eastAsia="zh-CN" w:bidi="ar-SA"/>
              </w:rPr>
            </w:pPr>
            <w:r>
              <w:rPr>
                <w:rFonts w:hint="eastAsia" w:cs="Times New Roman"/>
                <w:sz w:val="24"/>
                <w:szCs w:val="24"/>
                <w:lang w:val="en-US" w:eastAsia="zh-CN" w:bidi="ar-SA"/>
              </w:rPr>
              <w:t>☑</w:t>
            </w:r>
            <w:r>
              <w:rPr>
                <w:rFonts w:hint="default" w:ascii="Times New Roman" w:hAnsi="Times New Roman" w:eastAsia="宋体" w:cs="Times New Roman"/>
                <w:sz w:val="24"/>
                <w:szCs w:val="24"/>
                <w:lang w:val="en-US" w:eastAsia="zh-CN" w:bidi="ar-SA"/>
              </w:rPr>
              <w:t>首次申报项目</w:t>
            </w:r>
          </w:p>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w:t>
            </w:r>
            <w:r>
              <w:rPr>
                <w:rFonts w:hint="default" w:ascii="Times New Roman" w:hAnsi="Times New Roman" w:eastAsia="宋体" w:cs="Times New Roman"/>
                <w:sz w:val="24"/>
                <w:szCs w:val="24"/>
                <w:lang w:val="en-US" w:eastAsia="zh-CN" w:bidi="ar-SA"/>
              </w:rPr>
              <w:t>不予批准后再次申报项目</w:t>
            </w:r>
          </w:p>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sz w:val="24"/>
                <w:szCs w:val="24"/>
                <w:lang w:val="en-US" w:eastAsia="zh-CN" w:bidi="ar-SA"/>
              </w:rPr>
            </w:pPr>
            <w:r>
              <w:rPr>
                <w:rFonts w:hint="eastAsia" w:cs="Times New Roman"/>
                <w:sz w:val="24"/>
                <w:szCs w:val="24"/>
                <w:lang w:val="en-US" w:eastAsia="zh-CN" w:bidi="ar-SA"/>
              </w:rPr>
              <w:t>□</w:t>
            </w:r>
            <w:r>
              <w:rPr>
                <w:rFonts w:hint="default" w:ascii="Times New Roman" w:hAnsi="Times New Roman" w:eastAsia="宋体" w:cs="Times New Roman"/>
                <w:sz w:val="24"/>
                <w:szCs w:val="24"/>
                <w:lang w:val="en-US" w:eastAsia="zh-CN" w:bidi="ar-SA"/>
              </w:rPr>
              <w:t>超五年重新审核项目</w:t>
            </w:r>
          </w:p>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vertAlign w:val="baseline"/>
                <w:lang w:val="en-US" w:eastAsia="zh-CN" w:bidi="ar-SA"/>
              </w:rPr>
            </w:pPr>
            <w:r>
              <w:rPr>
                <w:rFonts w:hint="eastAsia" w:cs="Times New Roman"/>
                <w:sz w:val="24"/>
                <w:szCs w:val="24"/>
                <w:lang w:val="en-US" w:eastAsia="zh-CN" w:bidi="ar-SA"/>
              </w:rPr>
              <w:t>□</w:t>
            </w:r>
            <w:r>
              <w:rPr>
                <w:rFonts w:hint="default" w:ascii="Times New Roman" w:hAnsi="Times New Roman" w:eastAsia="宋体" w:cs="Times New Roman"/>
                <w:sz w:val="24"/>
                <w:szCs w:val="24"/>
                <w:lang w:val="en-US" w:eastAsia="zh-CN" w:bidi="ar-SA"/>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vertAlign w:val="baseline"/>
                <w:lang w:val="en-US" w:eastAsia="zh-CN" w:bidi="ar-SA"/>
              </w:rPr>
            </w:pPr>
            <w:r>
              <w:rPr>
                <w:rFonts w:hint="default" w:ascii="Times New Roman" w:hAnsi="Times New Roman" w:eastAsia="宋体" w:cs="Times New Roman"/>
                <w:sz w:val="24"/>
                <w:szCs w:val="24"/>
                <w:lang w:val="en-US" w:eastAsia="zh-CN" w:bidi="ar-SA"/>
              </w:rPr>
              <w:t>项目审批（核准/ 备案）部门（选填）</w:t>
            </w:r>
          </w:p>
        </w:tc>
        <w:tc>
          <w:tcPr>
            <w:tcW w:w="21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vertAlign w:val="baseline"/>
                <w:lang w:val="en-US" w:eastAsia="zh-CN" w:bidi="ar-SA"/>
              </w:rPr>
            </w:pPr>
            <w:r>
              <w:rPr>
                <w:rFonts w:hint="eastAsia" w:cs="Times New Roman"/>
                <w:sz w:val="24"/>
                <w:szCs w:val="24"/>
                <w:vertAlign w:val="baseline"/>
                <w:lang w:val="en-US" w:eastAsia="zh-CN" w:bidi="ar-SA"/>
              </w:rPr>
              <w:t>阜康市发展和改革委员会</w:t>
            </w:r>
          </w:p>
        </w:tc>
        <w:tc>
          <w:tcPr>
            <w:tcW w:w="1683"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vertAlign w:val="baseline"/>
                <w:lang w:val="en-US" w:eastAsia="zh-CN" w:bidi="ar-SA"/>
              </w:rPr>
            </w:pPr>
            <w:r>
              <w:rPr>
                <w:rFonts w:hint="default" w:ascii="Times New Roman" w:hAnsi="Times New Roman" w:eastAsia="宋体" w:cs="Times New Roman"/>
                <w:sz w:val="24"/>
                <w:szCs w:val="24"/>
                <w:lang w:val="en-US" w:eastAsia="zh-CN" w:bidi="ar-SA"/>
              </w:rPr>
              <w:t>项目审批（核准/ 备案）文号（选填）</w:t>
            </w:r>
          </w:p>
        </w:tc>
        <w:tc>
          <w:tcPr>
            <w:tcW w:w="32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vertAlign w:val="baseline"/>
                <w:lang w:val="en-US" w:eastAsia="zh-CN" w:bidi="ar-SA"/>
              </w:rPr>
            </w:pPr>
            <w:r>
              <w:rPr>
                <w:rFonts w:hint="eastAsia" w:cs="Times New Roman"/>
                <w:sz w:val="24"/>
                <w:szCs w:val="24"/>
                <w:vertAlign w:val="baseline"/>
                <w:lang w:val="en-US" w:eastAsia="zh-CN" w:bidi="ar-SA"/>
              </w:rPr>
              <w:t>2409181211652300000108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总投资（万元）</w:t>
            </w:r>
          </w:p>
        </w:tc>
        <w:tc>
          <w:tcPr>
            <w:tcW w:w="21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lang w:val="en-US" w:eastAsia="zh-CN" w:bidi="ar-SA"/>
              </w:rPr>
            </w:pPr>
            <w:r>
              <w:rPr>
                <w:rFonts w:hint="eastAsia" w:cs="Times New Roman"/>
                <w:sz w:val="24"/>
                <w:szCs w:val="24"/>
                <w:lang w:val="en-US" w:eastAsia="zh-CN" w:bidi="ar-SA"/>
              </w:rPr>
              <w:t>1000</w:t>
            </w:r>
          </w:p>
        </w:tc>
        <w:tc>
          <w:tcPr>
            <w:tcW w:w="1683"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环保投资（万元）</w:t>
            </w:r>
          </w:p>
        </w:tc>
        <w:tc>
          <w:tcPr>
            <w:tcW w:w="32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lang w:val="en-US" w:eastAsia="zh-CN" w:bidi="ar-SA"/>
              </w:rPr>
            </w:pPr>
            <w:r>
              <w:rPr>
                <w:rFonts w:hint="eastAsia" w:cs="Times New Roman"/>
                <w:sz w:val="24"/>
                <w:szCs w:val="24"/>
                <w:lang w:val="en-US" w:eastAsia="zh-CN" w:bidi="ar-S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环保投资占比（%）</w:t>
            </w:r>
          </w:p>
        </w:tc>
        <w:tc>
          <w:tcPr>
            <w:tcW w:w="21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lang w:val="en-US" w:eastAsia="zh-CN" w:bidi="ar-SA"/>
              </w:rPr>
            </w:pPr>
            <w:r>
              <w:rPr>
                <w:rFonts w:hint="eastAsia" w:cs="Times New Roman"/>
                <w:sz w:val="24"/>
                <w:szCs w:val="24"/>
                <w:lang w:val="en-US" w:eastAsia="zh-CN" w:bidi="ar-SA"/>
              </w:rPr>
              <w:t>6.5</w:t>
            </w:r>
          </w:p>
        </w:tc>
        <w:tc>
          <w:tcPr>
            <w:tcW w:w="1683"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施工工期</w:t>
            </w:r>
          </w:p>
        </w:tc>
        <w:tc>
          <w:tcPr>
            <w:tcW w:w="32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lang w:val="en-US" w:eastAsia="zh-CN" w:bidi="ar-SA"/>
              </w:rPr>
            </w:pPr>
            <w:r>
              <w:rPr>
                <w:rFonts w:hint="eastAsia" w:cs="Times New Roman"/>
                <w:sz w:val="24"/>
                <w:szCs w:val="24"/>
                <w:lang w:val="en-US" w:eastAsia="zh-CN" w:bidi="ar-SA"/>
              </w:rPr>
              <w:t>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是否开工建设</w:t>
            </w:r>
          </w:p>
        </w:tc>
        <w:tc>
          <w:tcPr>
            <w:tcW w:w="21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sz w:val="24"/>
                <w:szCs w:val="24"/>
                <w:lang w:val="en-US" w:eastAsia="zh-CN" w:bidi="ar-SA"/>
              </w:rPr>
            </w:pPr>
            <w:r>
              <w:rPr>
                <w:rFonts w:hint="eastAsia" w:cs="Times New Roman"/>
                <w:sz w:val="24"/>
                <w:szCs w:val="24"/>
                <w:lang w:val="en-US" w:eastAsia="zh-CN" w:bidi="ar-SA"/>
              </w:rPr>
              <w:t>☑</w:t>
            </w:r>
            <w:r>
              <w:rPr>
                <w:rFonts w:hint="default" w:ascii="Times New Roman" w:hAnsi="Times New Roman" w:eastAsia="宋体" w:cs="Times New Roman"/>
                <w:sz w:val="24"/>
                <w:szCs w:val="24"/>
                <w:lang w:val="en-US" w:eastAsia="zh-CN" w:bidi="ar-SA"/>
              </w:rPr>
              <w:t>否</w:t>
            </w:r>
            <w:r>
              <w:rPr>
                <w:rFonts w:hint="eastAsia" w:ascii="Times New Roman" w:hAnsi="Times New Roman" w:eastAsia="宋体" w:cs="Times New Roman"/>
                <w:sz w:val="24"/>
                <w:szCs w:val="24"/>
                <w:lang w:val="en-US" w:eastAsia="zh-CN" w:bidi="ar-SA"/>
              </w:rPr>
              <w:t xml:space="preserve"> </w:t>
            </w:r>
            <w:r>
              <w:rPr>
                <w:rFonts w:hint="eastAsia" w:cs="Times New Roman"/>
                <w:sz w:val="24"/>
                <w:szCs w:val="24"/>
                <w:lang w:val="en-US" w:eastAsia="zh-CN" w:bidi="ar-SA"/>
              </w:rPr>
              <w:t>□</w:t>
            </w:r>
            <w:r>
              <w:rPr>
                <w:rFonts w:hint="default" w:ascii="Times New Roman" w:hAnsi="Times New Roman" w:eastAsia="宋体" w:cs="Times New Roman"/>
                <w:sz w:val="24"/>
                <w:szCs w:val="24"/>
                <w:lang w:val="en-US" w:eastAsia="zh-CN" w:bidi="ar-SA"/>
              </w:rPr>
              <w:t>是：</w:t>
            </w:r>
          </w:p>
        </w:tc>
        <w:tc>
          <w:tcPr>
            <w:tcW w:w="1683"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用地（用海）面积（</w:t>
            </w:r>
            <w:r>
              <w:rPr>
                <w:rFonts w:hint="eastAsia" w:ascii="Times New Roman" w:hAnsi="Times New Roman" w:eastAsia="宋体" w:cs="Times New Roman"/>
                <w:sz w:val="24"/>
                <w:szCs w:val="24"/>
                <w:lang w:val="en-US" w:eastAsia="zh-CN" w:bidi="ar-SA"/>
              </w:rPr>
              <w:t>m</w:t>
            </w:r>
            <w:r>
              <w:rPr>
                <w:rFonts w:hint="eastAsia" w:ascii="Times New Roman" w:hAnsi="Times New Roman" w:eastAsia="宋体" w:cs="Times New Roman"/>
                <w:sz w:val="24"/>
                <w:szCs w:val="24"/>
                <w:vertAlign w:val="superscript"/>
                <w:lang w:val="en-US" w:eastAsia="zh-CN" w:bidi="ar-SA"/>
              </w:rPr>
              <w:t>2</w:t>
            </w:r>
            <w:r>
              <w:rPr>
                <w:rFonts w:hint="default" w:ascii="Times New Roman" w:hAnsi="Times New Roman" w:eastAsia="宋体" w:cs="Times New Roman"/>
                <w:sz w:val="24"/>
                <w:szCs w:val="24"/>
                <w:lang w:val="en-US" w:eastAsia="zh-CN" w:bidi="ar-SA"/>
              </w:rPr>
              <w:t>）</w:t>
            </w:r>
          </w:p>
        </w:tc>
        <w:tc>
          <w:tcPr>
            <w:tcW w:w="32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sz w:val="24"/>
                <w:szCs w:val="24"/>
                <w:lang w:val="en-US" w:eastAsia="zh-CN" w:bidi="ar-SA"/>
              </w:rPr>
            </w:pPr>
            <w:r>
              <w:rPr>
                <w:rFonts w:hint="eastAsia" w:cs="Times New Roman"/>
                <w:sz w:val="24"/>
                <w:szCs w:val="24"/>
                <w:lang w:val="en-US" w:eastAsia="zh-CN" w:bidi="ar-SA"/>
              </w:rPr>
              <w:t>13214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8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专项评价设置情况</w:t>
            </w:r>
          </w:p>
        </w:tc>
        <w:tc>
          <w:tcPr>
            <w:tcW w:w="7175" w:type="dxa"/>
            <w:gridSpan w:val="3"/>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pPr>
              <w:overflowPunct w:val="0"/>
              <w:autoSpaceDE w:val="0"/>
              <w:autoSpaceDN w:val="0"/>
              <w:adjustRightInd w:val="0"/>
              <w:snapToGrid w:val="0"/>
              <w:jc w:val="center"/>
              <w:rPr>
                <w:rFonts w:hint="eastAsia" w:ascii="宋体" w:hAnsi="宋体" w:eastAsia="宋体" w:cs="宋体"/>
                <w:sz w:val="24"/>
                <w:szCs w:val="24"/>
                <w:lang w:val="en-US" w:eastAsia="zh-CN" w:bidi="ar-SA"/>
              </w:rPr>
            </w:pPr>
            <w:r>
              <w:rPr>
                <w:rFonts w:hint="eastAsia" w:ascii="宋体" w:hAnsi="宋体"/>
                <w:szCs w:val="24"/>
              </w:rPr>
              <w:t>规划情况</w:t>
            </w:r>
          </w:p>
        </w:tc>
        <w:tc>
          <w:tcPr>
            <w:tcW w:w="7175" w:type="dxa"/>
            <w:gridSpan w:val="3"/>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（1）规划</w:t>
            </w:r>
            <w:r>
              <w:rPr>
                <w:rFonts w:hint="eastAsia"/>
                <w:color w:val="000000" w:themeColor="text1"/>
                <w:lang w:val="en-US" w:eastAsia="zh-CN"/>
                <w14:textFill>
                  <w14:solidFill>
                    <w14:schemeClr w14:val="tx1"/>
                  </w14:solidFill>
                </w14:textFill>
              </w:rPr>
              <w:t>名称</w:t>
            </w:r>
            <w:r>
              <w:rPr>
                <w:rFonts w:hint="eastAsia"/>
                <w:color w:val="000000" w:themeColor="text1"/>
                <w14:textFill>
                  <w14:solidFill>
                    <w14:schemeClr w14:val="tx1"/>
                  </w14:solidFill>
                </w14:textFill>
              </w:rPr>
              <w:t>：《甘泉堡工业园区总体规划（2016-2030）》；</w:t>
            </w:r>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（2）审批</w:t>
            </w:r>
            <w:r>
              <w:rPr>
                <w:rFonts w:hint="eastAsia"/>
                <w:color w:val="000000" w:themeColor="text1"/>
                <w:lang w:val="en-US" w:eastAsia="zh-CN"/>
                <w14:textFill>
                  <w14:solidFill>
                    <w14:schemeClr w14:val="tx1"/>
                  </w14:solidFill>
                </w14:textFill>
              </w:rPr>
              <w:t>单位</w:t>
            </w:r>
            <w:r>
              <w:rPr>
                <w:rFonts w:hint="eastAsia"/>
                <w:color w:val="000000" w:themeColor="text1"/>
                <w14:textFill>
                  <w14:solidFill>
                    <w14:schemeClr w14:val="tx1"/>
                  </w14:solidFill>
                </w14:textFill>
              </w:rPr>
              <w:t>：新疆维吾尔自治区人民政府；</w:t>
            </w:r>
          </w:p>
          <w:p>
            <w:pPr>
              <w:spacing w:line="360" w:lineRule="auto"/>
              <w:rPr>
                <w:rFonts w:hint="eastAsia"/>
                <w:lang w:val="en-US" w:eastAsia="zh-CN"/>
              </w:rPr>
            </w:pPr>
            <w:r>
              <w:rPr>
                <w:rFonts w:hint="eastAsia"/>
                <w:color w:val="000000" w:themeColor="text1"/>
                <w14:textFill>
                  <w14:solidFill>
                    <w14:schemeClr w14:val="tx1"/>
                  </w14:solidFill>
                </w14:textFill>
              </w:rPr>
              <w:t>（3）</w:t>
            </w:r>
            <w:r>
              <w:rPr>
                <w:rFonts w:hint="eastAsia" w:ascii="Times New Roman" w:hAnsi="Times New Roman" w:eastAsia="宋体" w:cs="Times New Roman"/>
                <w:sz w:val="24"/>
                <w:szCs w:val="24"/>
                <w:lang w:val="en-US" w:eastAsia="zh-CN" w:bidi="ar-SA"/>
              </w:rPr>
              <w:t>审批文件及文号</w:t>
            </w:r>
            <w:r>
              <w:rPr>
                <w:rFonts w:hint="eastAsia"/>
                <w:color w:val="000000" w:themeColor="text1"/>
                <w14:textFill>
                  <w14:solidFill>
                    <w14:schemeClr w14:val="tx1"/>
                  </w14:solidFill>
                </w14:textFill>
              </w:rPr>
              <w:t>：关于《甘泉堡工业园总体规划（2016-2030年）》的批复，新政函[2017]42号。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pPr>
              <w:overflowPunct w:val="0"/>
              <w:autoSpaceDE w:val="0"/>
              <w:autoSpaceDN w:val="0"/>
              <w:adjustRightInd w:val="0"/>
              <w:snapToGrid w:val="0"/>
              <w:jc w:val="center"/>
              <w:rPr>
                <w:rFonts w:hint="eastAsia" w:ascii="宋体" w:hAnsi="宋体" w:eastAsia="宋体" w:cs="宋体"/>
                <w:sz w:val="24"/>
                <w:szCs w:val="24"/>
                <w:lang w:val="en-US" w:eastAsia="zh-CN" w:bidi="ar-SA"/>
              </w:rPr>
            </w:pPr>
            <w:r>
              <w:rPr>
                <w:rFonts w:hint="eastAsia" w:ascii="宋体" w:hAnsi="宋体"/>
                <w:szCs w:val="24"/>
              </w:rPr>
              <w:t>规划环境影响评价情况</w:t>
            </w:r>
          </w:p>
        </w:tc>
        <w:tc>
          <w:tcPr>
            <w:tcW w:w="7175" w:type="dxa"/>
            <w:gridSpan w:val="3"/>
            <w:vAlign w:val="center"/>
          </w:tcPr>
          <w:p>
            <w:pPr>
              <w:spacing w:line="360" w:lineRule="auto"/>
            </w:pPr>
            <w:r>
              <w:rPr>
                <w:rFonts w:hint="eastAsia"/>
              </w:rPr>
              <w:t>（1）规划环评</w:t>
            </w:r>
            <w:r>
              <w:rPr>
                <w:rFonts w:hint="eastAsia"/>
                <w:lang w:val="en-US" w:eastAsia="zh-CN"/>
              </w:rPr>
              <w:t>名称</w:t>
            </w:r>
            <w:r>
              <w:rPr>
                <w:rFonts w:hint="eastAsia"/>
              </w:rPr>
              <w:t>：《甘泉堡工业园区总体规划（2016-2030）环境影响报告书》；</w:t>
            </w:r>
          </w:p>
          <w:p>
            <w:pPr>
              <w:spacing w:line="360" w:lineRule="auto"/>
            </w:pPr>
            <w:r>
              <w:rPr>
                <w:rFonts w:hint="eastAsia"/>
              </w:rPr>
              <w:t>（2）审批</w:t>
            </w:r>
            <w:r>
              <w:rPr>
                <w:rFonts w:hint="eastAsia"/>
                <w:lang w:val="en-US" w:eastAsia="zh-CN"/>
              </w:rPr>
              <w:t>单位</w:t>
            </w:r>
            <w:r>
              <w:rPr>
                <w:rFonts w:hint="eastAsia"/>
                <w:lang w:eastAsia="zh-CN"/>
              </w:rPr>
              <w:t>：</w:t>
            </w:r>
            <w:r>
              <w:rPr>
                <w:rFonts w:hint="eastAsia"/>
                <w:lang w:val="en-US" w:eastAsia="zh-CN"/>
              </w:rPr>
              <w:t>原</w:t>
            </w:r>
            <w:r>
              <w:rPr>
                <w:rFonts w:hint="eastAsia"/>
              </w:rPr>
              <w:t>新疆维吾尔自治区环境保护厅；</w:t>
            </w:r>
          </w:p>
          <w:p>
            <w:pPr>
              <w:spacing w:line="360" w:lineRule="auto"/>
              <w:rPr>
                <w:rFonts w:hint="default" w:ascii="Times New Roman" w:hAnsi="Times New Roman" w:eastAsia="宋体" w:cs="Times New Roman"/>
                <w:sz w:val="24"/>
                <w:szCs w:val="24"/>
                <w:lang w:val="en-US" w:eastAsia="zh-CN" w:bidi="ar-SA"/>
              </w:rPr>
            </w:pPr>
            <w:r>
              <w:rPr>
                <w:rFonts w:hint="eastAsia"/>
              </w:rPr>
              <w:t>（3）</w:t>
            </w:r>
            <w:r>
              <w:rPr>
                <w:rFonts w:hint="eastAsia" w:ascii="Times New Roman" w:hAnsi="Times New Roman" w:eastAsia="宋体" w:cs="Times New Roman"/>
                <w:sz w:val="24"/>
                <w:szCs w:val="24"/>
                <w:lang w:val="en-US" w:eastAsia="zh-CN" w:bidi="ar-SA"/>
              </w:rPr>
              <w:t>审批文件及文号</w:t>
            </w:r>
            <w:r>
              <w:rPr>
                <w:rFonts w:hint="eastAsia"/>
              </w:rPr>
              <w:t>：《关于甘泉堡工业园总体规划（2016-2030年）环境影响报告书的审查意见》，新环函[2018]368号。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89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规划及规划环境影响评价符合性分析</w:t>
            </w:r>
          </w:p>
        </w:tc>
        <w:tc>
          <w:tcPr>
            <w:tcW w:w="7175" w:type="dxa"/>
            <w:gridSpan w:val="3"/>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left"/>
              <w:textAlignment w:val="auto"/>
              <w:outlineLvl w:val="1"/>
              <w:rPr>
                <w:rFonts w:hint="default"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1.1</w:t>
            </w:r>
            <w:r>
              <w:rPr>
                <w:rFonts w:hint="default" w:ascii="Times New Roman" w:hAnsi="Times New Roman" w:eastAsia="宋体" w:cs="黑体"/>
                <w:b/>
                <w:sz w:val="28"/>
                <w:szCs w:val="30"/>
                <w:lang w:val="en-US" w:eastAsia="zh-CN" w:bidi="ar-SA"/>
              </w:rPr>
              <w:t>与甘泉堡工业园总体规划</w:t>
            </w:r>
            <w:r>
              <w:rPr>
                <w:rFonts w:hint="eastAsia" w:ascii="Times New Roman" w:hAnsi="Times New Roman" w:eastAsia="宋体" w:cs="黑体"/>
                <w:b/>
                <w:sz w:val="28"/>
                <w:szCs w:val="30"/>
                <w:lang w:val="en-US" w:eastAsia="zh-CN" w:bidi="ar-SA"/>
              </w:rPr>
              <w:t>修编</w:t>
            </w:r>
            <w:r>
              <w:rPr>
                <w:rFonts w:hint="default" w:ascii="Times New Roman" w:hAnsi="Times New Roman" w:eastAsia="宋体" w:cs="黑体"/>
                <w:b/>
                <w:sz w:val="28"/>
                <w:szCs w:val="30"/>
                <w:lang w:val="en-US" w:eastAsia="zh-CN" w:bidi="ar-SA"/>
              </w:rPr>
              <w:t>及规划环评符合性分析</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 xml:space="preserve">甘泉堡工业园地处乌鲁木齐市与昌吉州的交界地带，东接准东石油基地，南临小黄山铁路和216国道，西接乌鲁木齐米东区，北至兵团农六师102团（五家渠）。区域中心距乌鲁木齐市中心区45公里，米东新区中心区20公，阜康市中心15公里，准东石油基地5公里。东西跨长约21公里，南北约23公里，周围被五家渠、昌吉、乌鲁木齐、阜康等城市和准东石油基地、农六师102团包围。 </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Times New Roman"/>
                <w:color w:val="000000"/>
                <w:sz w:val="24"/>
                <w:szCs w:val="24"/>
                <w:highlight w:val="none"/>
                <w:shd w:val="clear" w:color="auto" w:fill="FFFFFF"/>
                <w:lang w:val="en-US" w:eastAsia="zh-CN" w:bidi="ar-SA"/>
              </w:rPr>
            </w:pPr>
            <w:r>
              <w:rPr>
                <w:rFonts w:hint="eastAsia" w:ascii="Times New Roman" w:hAnsi="Times New Roman" w:eastAsia="宋体" w:cs="Times New Roman"/>
                <w:color w:val="000000"/>
                <w:sz w:val="24"/>
                <w:szCs w:val="24"/>
                <w:lang w:val="en-US" w:eastAsia="zh-CN"/>
              </w:rPr>
              <w:t>甘泉堡工业园</w:t>
            </w:r>
            <w:r>
              <w:rPr>
                <w:rFonts w:hint="eastAsia" w:ascii="Times New Roman" w:hAnsi="Times New Roman" w:eastAsia="宋体" w:cs="Times New Roman"/>
                <w:color w:val="000000"/>
                <w:sz w:val="24"/>
                <w:szCs w:val="24"/>
                <w:lang w:eastAsia="zh-CN"/>
              </w:rPr>
              <w:t>（2012年9月国务院批复了《国务院办公厅关于设立新疆乌鲁木齐甘泉堡经济技术开发区的复函》（国办函</w:t>
            </w:r>
            <w:r>
              <w:rPr>
                <w:rFonts w:hint="eastAsia"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eastAsia="zh-CN"/>
              </w:rPr>
              <w:t>2012</w:t>
            </w:r>
            <w:r>
              <w:rPr>
                <w:rFonts w:hint="eastAsia"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eastAsia="zh-CN"/>
              </w:rPr>
              <w:t>163号），同意乌鲁木齐甘泉堡工业区更名为甘泉堡经济技术开发区，</w:t>
            </w:r>
            <w:r>
              <w:rPr>
                <w:rFonts w:hint="eastAsia" w:ascii="Times New Roman" w:hAnsi="Times New Roman" w:eastAsia="宋体" w:cs="Times New Roman"/>
                <w:color w:val="000000"/>
                <w:sz w:val="24"/>
                <w:szCs w:val="24"/>
                <w:lang w:val="en-US" w:eastAsia="zh-CN"/>
              </w:rPr>
              <w:t>以下简称甘泉堡工业园</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highlight w:val="none"/>
                <w:lang w:val="en-US" w:eastAsia="zh-CN" w:bidi="ar-SA"/>
              </w:rPr>
              <w:t>的工业用地</w:t>
            </w:r>
            <w:r>
              <w:rPr>
                <w:rFonts w:hint="default" w:ascii="Times New Roman" w:hAnsi="Times New Roman" w:eastAsia="宋体" w:cs="Times New Roman"/>
                <w:color w:val="000000"/>
                <w:sz w:val="24"/>
                <w:szCs w:val="24"/>
                <w:highlight w:val="none"/>
                <w:shd w:val="clear" w:color="auto" w:fill="FFFFFF"/>
                <w:lang w:val="en-US" w:eastAsia="zh-CN" w:bidi="ar-SA"/>
              </w:rPr>
              <w:t>；</w:t>
            </w:r>
            <w:r>
              <w:rPr>
                <w:rFonts w:hint="eastAsia" w:ascii="Times New Roman" w:hAnsi="Times New Roman" w:eastAsia="宋体" w:cs="Times New Roman"/>
                <w:color w:val="000000"/>
                <w:sz w:val="24"/>
                <w:szCs w:val="24"/>
                <w:highlight w:val="none"/>
                <w:shd w:val="clear" w:color="auto" w:fill="FFFFFF"/>
                <w:lang w:val="en-US" w:eastAsia="zh-CN" w:bidi="ar-SA"/>
              </w:rPr>
              <w:t xml:space="preserve">根据《甘泉堡工业园总体规划（2016-2030年）》，乌昌地区未来以实施优势资源转化战略为基础，以高新技术创新研发为先导的新兴战略产业基地，以新能源和优势资源深度开发利用为主，具有循环经济特色，面向中亚和东欧市场的出口加工基地，形成重点发展产业、补充发展产业和配套发展产业“7+3+2”的产业体系。 </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Times New Roman"/>
                <w:color w:val="000000"/>
                <w:sz w:val="24"/>
                <w:szCs w:val="24"/>
                <w:highlight w:val="none"/>
                <w:shd w:val="clear" w:color="auto" w:fill="FFFFFF"/>
                <w:lang w:val="en-US" w:eastAsia="zh-CN" w:bidi="ar-SA"/>
              </w:rPr>
            </w:pPr>
            <w:r>
              <w:rPr>
                <w:rFonts w:hint="eastAsia" w:ascii="Times New Roman" w:hAnsi="Times New Roman" w:eastAsia="宋体" w:cs="Times New Roman"/>
                <w:color w:val="000000"/>
                <w:sz w:val="24"/>
                <w:szCs w:val="24"/>
                <w:highlight w:val="none"/>
                <w:shd w:val="clear" w:color="auto" w:fill="FFFFFF"/>
                <w:lang w:val="en-US" w:eastAsia="zh-CN" w:bidi="ar-SA"/>
              </w:rPr>
              <w:t>（1）重点发展产业：确保现有煤电煤化工产业和精细化工业有序建设，重点发展新能源与新材料工业、先进装备制造业和机电工业（主要是电气设备和通讯设备），积极开拓生物医药、电子信息产业。</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Times New Roman"/>
                <w:color w:val="000000"/>
                <w:sz w:val="24"/>
                <w:szCs w:val="24"/>
                <w:highlight w:val="none"/>
                <w:shd w:val="clear" w:color="auto" w:fill="FFFFFF"/>
                <w:lang w:val="en-US" w:eastAsia="zh-CN" w:bidi="ar-SA"/>
              </w:rPr>
            </w:pPr>
            <w:r>
              <w:rPr>
                <w:rFonts w:hint="eastAsia" w:ascii="Times New Roman" w:hAnsi="Times New Roman" w:eastAsia="宋体" w:cs="Times New Roman"/>
                <w:color w:val="000000"/>
                <w:sz w:val="24"/>
                <w:szCs w:val="24"/>
                <w:highlight w:val="none"/>
                <w:shd w:val="clear" w:color="auto" w:fill="FFFFFF"/>
                <w:lang w:val="en-US" w:eastAsia="zh-CN" w:bidi="ar-SA"/>
              </w:rPr>
              <w:t>（2）补充发展产业：合理发展新型建材业和有色金属加工业， 鼓励发展众创众筹等小微产业。</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Times New Roman"/>
                <w:color w:val="000000"/>
                <w:sz w:val="24"/>
                <w:szCs w:val="24"/>
                <w:highlight w:val="none"/>
                <w:shd w:val="clear" w:color="auto" w:fill="FFFFFF"/>
                <w:lang w:val="en-US" w:eastAsia="zh-CN" w:bidi="ar-SA"/>
              </w:rPr>
            </w:pPr>
            <w:r>
              <w:rPr>
                <w:rFonts w:hint="eastAsia" w:ascii="Times New Roman" w:hAnsi="Times New Roman" w:eastAsia="宋体" w:cs="Times New Roman"/>
                <w:color w:val="000000"/>
                <w:sz w:val="24"/>
                <w:szCs w:val="24"/>
                <w:highlight w:val="none"/>
                <w:shd w:val="clear" w:color="auto" w:fill="FFFFFF"/>
                <w:lang w:val="en-US" w:eastAsia="zh-CN" w:bidi="ar-SA"/>
              </w:rPr>
              <w:t xml:space="preserve">（3）配套发展产业：包括为生产性服务业和消费性服务业。其中，生产性服务业指以铁路、高速公路为主动脉的物流运输产业，金融服务、信息技术、咨询、教育、产业研发、会展业等；生活性服务业指商业、文化、休闲、居住等。 </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Times New Roman"/>
                <w:color w:val="000000"/>
                <w:sz w:val="24"/>
                <w:szCs w:val="24"/>
                <w:highlight w:val="none"/>
                <w:shd w:val="clear" w:color="auto" w:fill="FFFFFF"/>
                <w:lang w:val="en-US" w:eastAsia="zh-CN" w:bidi="ar-SA"/>
              </w:rPr>
            </w:pPr>
            <w:r>
              <w:rPr>
                <w:rFonts w:hint="eastAsia" w:ascii="Times New Roman" w:hAnsi="Times New Roman" w:eastAsia="宋体" w:cs="Times New Roman"/>
                <w:color w:val="000000"/>
                <w:sz w:val="24"/>
                <w:szCs w:val="24"/>
                <w:highlight w:val="none"/>
                <w:shd w:val="clear" w:color="auto" w:fill="FFFFFF"/>
                <w:lang w:val="en-US" w:eastAsia="zh-CN" w:bidi="ar-SA"/>
              </w:rPr>
              <w:t>根据《甘泉堡工业园总体规划（2016-2030年）》</w:t>
            </w:r>
            <w:r>
              <w:rPr>
                <w:rFonts w:hint="eastAsia" w:cs="Times New Roman"/>
                <w:color w:val="000000"/>
                <w:sz w:val="24"/>
                <w:szCs w:val="24"/>
                <w:highlight w:val="none"/>
                <w:shd w:val="clear" w:color="auto" w:fill="FFFFFF"/>
                <w:lang w:val="en-US" w:eastAsia="zh-CN" w:bidi="ar-SA"/>
              </w:rPr>
              <w:t>，</w:t>
            </w:r>
            <w:r>
              <w:rPr>
                <w:rFonts w:hint="eastAsia" w:ascii="Times New Roman" w:hAnsi="Times New Roman" w:eastAsia="宋体" w:cs="Times New Roman"/>
                <w:color w:val="000000"/>
                <w:sz w:val="24"/>
                <w:szCs w:val="24"/>
                <w:lang w:val="en-US" w:eastAsia="zh-CN"/>
              </w:rPr>
              <w:t>甘泉堡工业园</w:t>
            </w:r>
            <w:r>
              <w:rPr>
                <w:rFonts w:hint="eastAsia" w:ascii="Times New Roman" w:hAnsi="Times New Roman" w:eastAsia="宋体" w:cs="Times New Roman"/>
                <w:color w:val="000000"/>
                <w:sz w:val="24"/>
                <w:szCs w:val="24"/>
                <w:highlight w:val="none"/>
                <w:shd w:val="clear" w:color="auto" w:fill="FFFFFF"/>
                <w:lang w:val="en-US" w:eastAsia="zh-CN" w:bidi="ar-SA"/>
              </w:rPr>
              <w:t>划分为十个功能区，即优势资源转化区、经济合作与产业孵化区、新能源工业区、高新技术产业区、科教综合服务新区、物流仓储区、小微企业创新区、商贸物流区、生态保育区和协调发展区。</w:t>
            </w:r>
            <w:r>
              <w:rPr>
                <w:rFonts w:hint="eastAsia" w:ascii="Times New Roman" w:hAnsi="Times New Roman" w:eastAsia="宋体" w:cs="宋体"/>
                <w:lang w:val="en-US" w:eastAsia="zh-CN"/>
              </w:rPr>
              <w:t>根据图1.1-1园区功能区划图，</w:t>
            </w:r>
            <w:r>
              <w:rPr>
                <w:rFonts w:hint="eastAsia" w:ascii="Times New Roman" w:hAnsi="Times New Roman" w:eastAsia="宋体" w:cs="Times New Roman"/>
                <w:color w:val="000000"/>
                <w:sz w:val="24"/>
                <w:szCs w:val="24"/>
                <w:highlight w:val="none"/>
                <w:shd w:val="clear" w:color="auto" w:fill="FFFFFF"/>
                <w:lang w:val="en-US" w:eastAsia="zh-CN" w:bidi="ar-SA"/>
              </w:rPr>
              <w:t>本项目位于甘泉堡工业园中小微企业创新区。</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宋体"/>
                <w:lang w:val="en-US" w:eastAsia="zh-CN"/>
              </w:rPr>
            </w:pPr>
            <w:r>
              <w:rPr>
                <w:rFonts w:hint="eastAsia" w:ascii="Times New Roman" w:hAnsi="Times New Roman" w:eastAsia="宋体" w:cs="Times New Roman"/>
                <w:color w:val="000000"/>
                <w:sz w:val="24"/>
                <w:szCs w:val="24"/>
                <w:highlight w:val="none"/>
                <w:shd w:val="clear" w:color="auto" w:fill="FFFFFF"/>
                <w:lang w:val="en-US" w:eastAsia="zh-CN" w:bidi="ar-SA"/>
              </w:rPr>
              <w:t>小微创新区属于阜康市城市总体规划中的阜西工业园区，阜西工业园区总体规划内容包含于《甘泉堡工业园区总体规划（2016- 2030年）》中。小微企业创新区以新型建材产业为主导的集研发孵化、生产加工、商贸交易、物流配送为一体的小微新兴产业企业园。</w:t>
            </w:r>
            <w:r>
              <w:rPr>
                <w:rFonts w:hint="eastAsia" w:ascii="Times New Roman" w:hAnsi="Times New Roman" w:eastAsia="宋体" w:cs="宋体"/>
                <w:lang w:val="en-US" w:eastAsia="zh-CN"/>
              </w:rPr>
              <w:t>本项目位于小微企业创新区，本项目属于电线电缆项目，属于小微产业，与园区产业布局相符。</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default" w:ascii="Times New Roman" w:hAnsi="Times New Roman" w:eastAsia="宋体" w:cs="Times New Roman"/>
                <w:color w:val="000000"/>
                <w:sz w:val="24"/>
                <w:szCs w:val="24"/>
                <w:highlight w:val="none"/>
                <w:shd w:val="clear" w:color="auto" w:fill="FFFFFF"/>
                <w:lang w:val="en-US" w:eastAsia="zh-CN" w:bidi="ar-SA"/>
              </w:rPr>
            </w:pPr>
            <w:r>
              <w:rPr>
                <w:rFonts w:hint="eastAsia" w:cs="宋体"/>
                <w:lang w:val="en-US" w:eastAsia="zh-CN"/>
              </w:rPr>
              <w:t>同时</w:t>
            </w:r>
            <w:r>
              <w:rPr>
                <w:rFonts w:hint="eastAsia" w:ascii="Times New Roman" w:hAnsi="Times New Roman" w:eastAsia="宋体" w:cs="宋体"/>
                <w:lang w:val="en-US" w:eastAsia="zh-CN"/>
              </w:rPr>
              <w:t>根据</w:t>
            </w:r>
            <w:r>
              <w:rPr>
                <w:rFonts w:hint="eastAsia" w:ascii="Times New Roman" w:hAnsi="Times New Roman" w:eastAsia="宋体" w:cs="Times New Roman"/>
                <w:kern w:val="2"/>
                <w:sz w:val="24"/>
                <w:szCs w:val="24"/>
                <w:lang w:val="en-US" w:eastAsia="zh-CN" w:bidi="ar-SA"/>
              </w:rPr>
              <w:t>《阜康阜西工业区规划设计》以阜西工业园重点产业，化工、传统建材、塑料制品为主导，优化升级产业结构，逐步向以新材料、新能源、绿色有机食品加工、精细化工及新型建材方向转化。同时以科教、旅游、会展、现代服务为辅助，以副产品交换为中心建立产业共生网络，构建产业生态系统雏形。本项目</w:t>
            </w:r>
            <w:r>
              <w:rPr>
                <w:rFonts w:hint="eastAsia"/>
                <w:color w:val="000000" w:themeColor="text1"/>
                <w14:textFill>
                  <w14:solidFill>
                    <w14:schemeClr w14:val="tx1"/>
                  </w14:solidFill>
                </w14:textFill>
              </w:rPr>
              <w:t>属于</w:t>
            </w:r>
            <w:r>
              <w:rPr>
                <w:rFonts w:hint="eastAsia"/>
                <w:color w:val="000000" w:themeColor="text1"/>
                <w:lang w:val="en-US" w:eastAsia="zh-CN"/>
                <w14:textFill>
                  <w14:solidFill>
                    <w14:schemeClr w14:val="tx1"/>
                  </w14:solidFill>
                </w14:textFill>
              </w:rPr>
              <w:t>生产加工小微</w:t>
            </w:r>
            <w:r>
              <w:rPr>
                <w:rFonts w:hint="eastAsia"/>
                <w:color w:val="000000" w:themeColor="text1"/>
                <w14:textFill>
                  <w14:solidFill>
                    <w14:schemeClr w14:val="tx1"/>
                  </w14:solidFill>
                </w14:textFill>
              </w:rPr>
              <w:t>企业，</w:t>
            </w:r>
            <w:r>
              <w:rPr>
                <w:rFonts w:hint="eastAsia"/>
                <w:color w:val="000000" w:themeColor="text1"/>
                <w:lang w:val="en-US" w:eastAsia="zh-CN"/>
                <w14:textFill>
                  <w14:solidFill>
                    <w14:schemeClr w14:val="tx1"/>
                  </w14:solidFill>
                </w14:textFill>
              </w:rPr>
              <w:t>生产高品质、高性能电线电缆产品，为园区的优化升级产业结构提供支持</w:t>
            </w:r>
            <w:r>
              <w:rPr>
                <w:rFonts w:hint="eastAsia" w:ascii="Times New Roman" w:hAnsi="Times New Roman" w:eastAsia="宋体" w:cs="Times New Roman"/>
                <w:kern w:val="2"/>
                <w:sz w:val="24"/>
                <w:szCs w:val="24"/>
                <w:lang w:val="en-US" w:eastAsia="zh-CN" w:bidi="ar-SA"/>
              </w:rPr>
              <w:t>，因此符合园区产业布局。</w:t>
            </w:r>
          </w:p>
          <w:p>
            <w:pPr>
              <w:widowControl w:val="0"/>
              <w:numPr>
                <w:ilvl w:val="0"/>
                <w:numId w:val="0"/>
              </w:numPr>
              <w:spacing w:line="360" w:lineRule="auto"/>
              <w:ind w:firstLine="480" w:firstLineChars="200"/>
              <w:jc w:val="both"/>
              <w:rPr>
                <w:rFonts w:hint="default" w:ascii="Times New Roman" w:hAnsi="Times New Roman" w:eastAsia="宋体" w:cs="宋体"/>
                <w:lang w:val="en-US" w:eastAsia="zh-CN"/>
              </w:rPr>
            </w:pPr>
            <w:r>
              <w:rPr>
                <w:rFonts w:hint="eastAsia" w:ascii="Times New Roman" w:hAnsi="Times New Roman" w:eastAsia="宋体" w:cs="Times New Roman"/>
                <w:color w:val="000000"/>
                <w:sz w:val="24"/>
                <w:szCs w:val="24"/>
                <w:highlight w:val="none"/>
                <w:shd w:val="clear" w:color="auto" w:fill="FFFFFF"/>
                <w:lang w:val="en-US" w:eastAsia="zh-CN" w:bidi="ar-SA"/>
              </w:rPr>
              <w:t>根据《关于甘泉堡工业园总体规划（2016-2030年）环境影响报告书的审查意见》（新环函[2018]368号）：“园区位于乌鲁木齐、昌吉、石河子、五家渠区域环境同防同治区的重点区域，不宜布局建设煤化工、电解铝、燃煤纯发电机组、金属硅、碳化硅、聚氯乙烯（电石法）、焦炭（含半焦）等行业的新增产能项目，加快钢铁、水泥、焦炭、玻璃、煤炭等行业落后产能淘汰力度”，本项目为电线电缆制造项目，不属于钢铁、水泥、焦炭、玻璃、煤炭等行业落后产能，</w:t>
            </w:r>
            <w:r>
              <w:rPr>
                <w:rFonts w:hint="default" w:ascii="Times New Roman" w:hAnsi="Times New Roman" w:eastAsia="宋体" w:cs="Times New Roman"/>
                <w:color w:val="000000"/>
                <w:sz w:val="24"/>
                <w:szCs w:val="24"/>
                <w:highlight w:val="none"/>
                <w:shd w:val="clear" w:color="auto" w:fill="FFFFFF"/>
                <w:lang w:val="en-US" w:eastAsia="zh-CN" w:bidi="ar-SA"/>
              </w:rPr>
              <w:t>符合产业政策、相关规划、规划环境影响评价结论及审查意见要求。</w:t>
            </w:r>
          </w:p>
          <w:p>
            <w:pPr>
              <w:widowControl w:val="0"/>
              <w:autoSpaceDE w:val="0"/>
              <w:autoSpaceDN w:val="0"/>
              <w:adjustRightInd w:val="0"/>
              <w:spacing w:line="360" w:lineRule="auto"/>
              <w:ind w:firstLine="480" w:firstLineChars="200"/>
              <w:rPr>
                <w:rFonts w:hint="default" w:ascii="Times New Roman" w:hAnsi="Times New Roman" w:eastAsia="宋体" w:cs="宋体"/>
                <w:highlight w:val="yellow"/>
                <w:lang w:val="en-US" w:eastAsia="zh-CN"/>
              </w:rPr>
            </w:pPr>
            <w:r>
              <w:rPr>
                <w:rFonts w:hint="eastAsia" w:ascii="Times New Roman" w:hAnsi="Times New Roman" w:eastAsia="宋体" w:cs="宋体"/>
                <w:lang w:val="en-US" w:eastAsia="zh-CN"/>
              </w:rPr>
              <w:t>《关于甘泉堡工业园总体规划（2016-2030年）环境影响报告书的审查意见》（新环函[2018]368号）提出“严守生态保护红线，优化园区产业结构、空间布局，促进园区产业集约与绿色发展。规划空间管制区划定的禁建区和500水库坝外延1500米范围，以及规划范围内西延干渠两侧250米范围内划定为生态保护红线，禁止开发。结合区域发展方向、人口分布及环境保护等要求，按照《报告书》提出的空间管控距离控制园区和功能分区规划边界．制定并落实园区内现有不符合园区规划功能布局的企业搬迁、关停或转型改造计划。</w:t>
            </w:r>
            <w:r>
              <w:rPr>
                <w:rFonts w:hint="eastAsia" w:ascii="Times New Roman" w:hAnsi="Times New Roman" w:eastAsia="宋体" w:cs="宋体"/>
                <w:highlight w:val="none"/>
                <w:lang w:val="en-US" w:eastAsia="zh-CN"/>
              </w:rPr>
              <w:t>本项目距离500水库2560米，距离西延干渠2410米，不位于生态红线范围内。</w:t>
            </w:r>
          </w:p>
          <w:p>
            <w:pPr>
              <w:overflowPunct w:val="0"/>
              <w:autoSpaceDE w:val="0"/>
              <w:autoSpaceDN w:val="0"/>
              <w:bidi w:val="0"/>
              <w:adjustRightInd w:val="0"/>
              <w:snapToGrid w:val="0"/>
              <w:spacing w:before="0" w:after="0" w:line="360" w:lineRule="auto"/>
              <w:ind w:left="0" w:right="0" w:firstLine="480" w:firstLineChars="200"/>
              <w:jc w:val="both"/>
              <w:rPr>
                <w:rFonts w:hint="eastAsia" w:ascii="Times New Roman" w:hAnsi="Times New Roman" w:eastAsia="宋体" w:cs="宋体"/>
                <w:b w:val="0"/>
                <w:color w:val="000000"/>
                <w:highlight w:val="none"/>
                <w:lang w:val="en-US" w:eastAsia="zh-CN"/>
              </w:rPr>
            </w:pPr>
            <w:r>
              <w:rPr>
                <w:rFonts w:hint="eastAsia" w:ascii="Times New Roman" w:hAnsi="Times New Roman" w:eastAsia="宋体" w:cs="宋体"/>
                <w:lang w:val="en-US" w:eastAsia="zh-CN"/>
              </w:rPr>
              <w:t>《关于甘泉堡工业园总体规划（2016-2030年）环境影响报告书的审查意见》（新环函[2018]368号）提出“坚守环境质量底线，产格污染物总量管控。根据规划区域及周边环境质量现状和目标，确定区域污染物排放总量上限，落实园区煤炭及其他颗粒状物料储运全封闭防尘措施，采取有效措施减少二氧化硫、氮氧化物、挥发性有机物、颗粒物、化学需氧量、氨氮、重金属等污染物的排放量，落实国家和自治区重点区域污染物特别排放限值。本项目生产均在封闭厂房内进行，同时在</w:t>
            </w:r>
            <w:r>
              <w:rPr>
                <w:rFonts w:hint="eastAsia" w:cs="宋体"/>
                <w:lang w:val="en-US" w:eastAsia="zh-CN"/>
              </w:rPr>
              <w:t>拉丝、</w:t>
            </w:r>
            <w:r>
              <w:rPr>
                <w:rFonts w:hint="eastAsia" w:ascii="Times New Roman" w:hAnsi="Times New Roman" w:eastAsia="宋体" w:cs="宋体"/>
                <w:lang w:val="en-US" w:eastAsia="zh-CN"/>
              </w:rPr>
              <w:t>挤塑</w:t>
            </w:r>
            <w:r>
              <w:rPr>
                <w:rFonts w:hint="eastAsia" w:cs="宋体"/>
                <w:lang w:val="en-US" w:eastAsia="zh-CN"/>
              </w:rPr>
              <w:t>、紫外光交联</w:t>
            </w:r>
            <w:r>
              <w:rPr>
                <w:rFonts w:hint="eastAsia" w:ascii="Times New Roman" w:hAnsi="Times New Roman" w:eastAsia="宋体" w:cs="宋体"/>
                <w:lang w:val="en-US" w:eastAsia="zh-CN"/>
              </w:rPr>
              <w:t>、挤护外套、喷码工段等易产生非甲烷总烃的环节均设置集气罩收集后由</w:t>
            </w:r>
            <w:r>
              <w:rPr>
                <w:rFonts w:hint="eastAsia" w:cs="宋体"/>
                <w:lang w:val="en-US" w:eastAsia="zh-CN"/>
              </w:rPr>
              <w:t>水洗填料塔+</w:t>
            </w:r>
            <w:r>
              <w:rPr>
                <w:rFonts w:hint="eastAsia" w:ascii="Times New Roman" w:hAnsi="Times New Roman" w:eastAsia="宋体" w:cs="宋体"/>
                <w:lang w:val="en-US" w:eastAsia="zh-CN"/>
              </w:rPr>
              <w:t>活性炭吸附+脱附+催化燃烧装置处理后满足</w:t>
            </w:r>
            <w:r>
              <w:rPr>
                <w:rFonts w:hint="eastAsia" w:cs="宋体"/>
                <w:highlight w:val="none"/>
                <w:lang w:val="en-US" w:eastAsia="zh-CN"/>
              </w:rPr>
              <w:t>《合成树脂工业污染物排放标准》（GB31572-2015）（含2024年修改单）</w:t>
            </w:r>
            <w:r>
              <w:rPr>
                <w:rFonts w:hint="eastAsia" w:ascii="Times New Roman" w:hAnsi="Times New Roman" w:eastAsia="宋体" w:cs="宋体"/>
                <w:highlight w:val="none"/>
                <w:lang w:val="en-US" w:eastAsia="zh-CN"/>
              </w:rPr>
              <w:t>表5 大气污染物特别排放限值</w:t>
            </w:r>
            <w:r>
              <w:rPr>
                <w:rFonts w:hint="eastAsia" w:cs="宋体"/>
                <w:highlight w:val="none"/>
                <w:lang w:val="en-US" w:eastAsia="zh-CN"/>
              </w:rPr>
              <w:t>。</w:t>
            </w:r>
            <w:r>
              <w:rPr>
                <w:rFonts w:hint="eastAsia" w:ascii="Times New Roman" w:hAnsi="Times New Roman" w:eastAsia="宋体" w:cs="宋体"/>
                <w:b w:val="0"/>
                <w:color w:val="000000"/>
                <w:highlight w:val="none"/>
                <w:lang w:val="en-US" w:eastAsia="zh-CN"/>
              </w:rPr>
              <w:t>厂界无组织排放的</w:t>
            </w:r>
            <w:r>
              <w:rPr>
                <w:rFonts w:hint="eastAsia" w:cs="宋体"/>
                <w:highlight w:val="none"/>
                <w:lang w:val="en-US" w:eastAsia="zh-CN"/>
              </w:rPr>
              <w:t>非甲烷总烃</w:t>
            </w:r>
            <w:r>
              <w:rPr>
                <w:rFonts w:hint="eastAsia" w:cs="宋体"/>
                <w:b w:val="0"/>
                <w:color w:val="000000"/>
                <w:highlight w:val="none"/>
                <w:lang w:val="en-US" w:eastAsia="zh-CN"/>
              </w:rPr>
              <w:t>满足</w:t>
            </w:r>
            <w:r>
              <w:rPr>
                <w:rFonts w:hint="eastAsia" w:cs="宋体"/>
                <w:highlight w:val="none"/>
                <w:lang w:val="en-US" w:eastAsia="zh-CN"/>
              </w:rPr>
              <w:t>《合成树脂工业污染物排放标准》（GB31572-2015）（含2024年修改单）</w:t>
            </w:r>
            <w:r>
              <w:rPr>
                <w:rFonts w:hint="eastAsia" w:ascii="Times New Roman" w:hAnsi="Times New Roman" w:eastAsia="宋体" w:cs="宋体"/>
                <w:b w:val="0"/>
                <w:color w:val="000000"/>
                <w:highlight w:val="none"/>
                <w:lang w:val="en-US" w:eastAsia="zh-CN"/>
              </w:rPr>
              <w:t>表9 企业边界大气污染物浓度限值</w:t>
            </w:r>
            <w:r>
              <w:rPr>
                <w:rFonts w:hint="eastAsia" w:cs="宋体"/>
                <w:b w:val="0"/>
                <w:color w:val="000000"/>
                <w:highlight w:val="none"/>
                <w:lang w:val="en-US" w:eastAsia="zh-CN"/>
              </w:rPr>
              <w:t>，</w:t>
            </w:r>
            <w:r>
              <w:rPr>
                <w:rFonts w:hint="eastAsia" w:ascii="Times New Roman" w:hAnsi="Times New Roman" w:eastAsia="宋体" w:cs="宋体"/>
                <w:b w:val="0"/>
                <w:color w:val="000000"/>
                <w:highlight w:val="none"/>
                <w:lang w:val="en-US" w:eastAsia="zh-CN"/>
              </w:rPr>
              <w:t>厂区内无组织</w:t>
            </w:r>
            <w:r>
              <w:rPr>
                <w:rFonts w:hint="eastAsia" w:cs="宋体"/>
                <w:highlight w:val="none"/>
                <w:lang w:val="en-US" w:eastAsia="zh-CN"/>
              </w:rPr>
              <w:t>非甲烷总烃</w:t>
            </w:r>
            <w:r>
              <w:rPr>
                <w:rFonts w:hint="eastAsia" w:ascii="Times New Roman" w:hAnsi="Times New Roman" w:eastAsia="宋体" w:cs="宋体"/>
                <w:b w:val="0"/>
                <w:color w:val="000000"/>
                <w:highlight w:val="none"/>
                <w:lang w:val="en-US" w:eastAsia="zh-CN"/>
              </w:rPr>
              <w:t>执行《挥发性有机物无组织排放控制标准》（GB37822-2019）表A.1厂区内VOCs无组织</w:t>
            </w:r>
            <w:r>
              <w:rPr>
                <w:rFonts w:hint="eastAsia" w:cs="宋体"/>
                <w:b w:val="0"/>
                <w:color w:val="000000"/>
                <w:highlight w:val="none"/>
                <w:lang w:val="en-US" w:eastAsia="zh-CN"/>
              </w:rPr>
              <w:t>特别</w:t>
            </w:r>
            <w:r>
              <w:rPr>
                <w:rFonts w:hint="eastAsia" w:ascii="Times New Roman" w:hAnsi="Times New Roman" w:eastAsia="宋体" w:cs="宋体"/>
                <w:b w:val="0"/>
                <w:color w:val="000000"/>
                <w:highlight w:val="none"/>
                <w:lang w:val="en-US" w:eastAsia="zh-CN"/>
              </w:rPr>
              <w:t>排放限值。</w:t>
            </w:r>
          </w:p>
          <w:p>
            <w:pPr>
              <w:widowControl w:val="0"/>
              <w:autoSpaceDE w:val="0"/>
              <w:autoSpaceDN w:val="0"/>
              <w:adjustRightInd w:val="0"/>
              <w:spacing w:line="360" w:lineRule="auto"/>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本项目严格控制用水量，新鲜水仅用于生活用水以及少量生产用水，符合《关于甘泉堡工业园总体规划（2016-2030年）环境影响报告书的审查意见》（新环函[2018]368号）提出“严格控制用水总量，提高用水效率，合理控制排污，严守水资源‘三条红线’”等要求。</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因此，本项目符合甘泉堡工业园产业布局、园区规划以及规划环评审查意见。</w:t>
            </w:r>
          </w:p>
          <w:p>
            <w:pPr>
              <w:pStyle w:val="18"/>
              <w:jc w:val="both"/>
              <w:rPr>
                <w:rFonts w:hint="eastAsia" w:ascii="宋体" w:eastAsia="宋体"/>
                <w:color w:val="000000"/>
                <w:highlight w:val="none"/>
                <w:lang w:val="en-US" w:eastAsia="zh-CN"/>
              </w:rPr>
            </w:pPr>
          </w:p>
          <w:p>
            <w:pPr>
              <w:pStyle w:val="18"/>
              <w:jc w:val="both"/>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96"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Hans" w:bidi="ar-SA"/>
              </w:rPr>
              <w:t>其他符合性分析</w:t>
            </w:r>
          </w:p>
        </w:tc>
        <w:tc>
          <w:tcPr>
            <w:tcW w:w="7175" w:type="dxa"/>
            <w:gridSpan w:val="3"/>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both"/>
              <w:textAlignment w:val="auto"/>
              <w:outlineLvl w:val="1"/>
              <w:rPr>
                <w:rFonts w:hint="eastAsia"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1.</w:t>
            </w:r>
            <w:r>
              <w:rPr>
                <w:rFonts w:hint="eastAsia" w:cs="黑体"/>
                <w:b/>
                <w:sz w:val="28"/>
                <w:szCs w:val="30"/>
                <w:lang w:val="en-US" w:eastAsia="zh-CN" w:bidi="ar-SA"/>
              </w:rPr>
              <w:t>2</w:t>
            </w:r>
            <w:r>
              <w:rPr>
                <w:rFonts w:hint="eastAsia" w:ascii="Times New Roman" w:hAnsi="Times New Roman" w:eastAsia="宋体" w:cs="黑体"/>
                <w:b/>
                <w:sz w:val="28"/>
                <w:szCs w:val="30"/>
                <w:lang w:val="en-US" w:eastAsia="zh-CN" w:bidi="ar-SA"/>
              </w:rPr>
              <w:t>产业政策相符性分析</w:t>
            </w:r>
          </w:p>
          <w:p>
            <w:pPr>
              <w:overflowPunct w:val="0"/>
              <w:autoSpaceDE w:val="0"/>
              <w:autoSpaceDN w:val="0"/>
              <w:bidi w:val="0"/>
              <w:adjustRightInd w:val="0"/>
              <w:snapToGrid w:val="0"/>
              <w:spacing w:before="0" w:after="0" w:line="360" w:lineRule="auto"/>
              <w:ind w:left="0" w:right="0" w:firstLine="480" w:firstLineChars="200"/>
              <w:jc w:val="both"/>
              <w:rPr>
                <w:rFonts w:hint="default" w:ascii="Times New Roman" w:hAnsi="Times New Roman" w:eastAsia="宋体" w:cs="宋体"/>
                <w:lang w:val="en-US"/>
              </w:rPr>
            </w:pPr>
            <w:r>
              <w:rPr>
                <w:rFonts w:hint="eastAsia" w:ascii="Times New Roman" w:hAnsi="Times New Roman" w:eastAsia="宋体" w:cs="宋体"/>
                <w:lang w:val="en-US" w:eastAsia="zh-CN"/>
              </w:rPr>
              <w:t>本项目属于电线电缆制造项目</w:t>
            </w:r>
            <w:r>
              <w:rPr>
                <w:rFonts w:hint="eastAsia" w:cs="宋体"/>
                <w:lang w:val="en-US" w:eastAsia="zh-CN"/>
              </w:rPr>
              <w:t>，生产电缆成品为聚氯乙烯护套 阻燃电力电缆，涵盖市场需求的绝大部分型号，不生产6千伏及以上干法交联电力电缆（陆上用）。</w:t>
            </w:r>
            <w:r>
              <w:rPr>
                <w:rFonts w:hint="eastAsia" w:ascii="Times New Roman" w:hAnsi="Times New Roman" w:eastAsia="宋体" w:cs="宋体"/>
                <w:lang w:val="en-US" w:eastAsia="zh-CN"/>
              </w:rPr>
              <w:t>根据</w:t>
            </w:r>
            <w:r>
              <w:rPr>
                <w:rFonts w:hint="eastAsia" w:ascii="Times New Roman" w:eastAsia="宋体" w:cs="宋体"/>
                <w:lang w:val="en-US" w:eastAsia="zh-CN"/>
              </w:rPr>
              <w:t>《产业结构调整指导目录（</w:t>
            </w:r>
            <w:r>
              <w:rPr>
                <w:rFonts w:hint="eastAsia" w:cs="宋体"/>
                <w:lang w:val="en-US" w:eastAsia="zh-CN"/>
              </w:rPr>
              <w:t>2024</w:t>
            </w:r>
            <w:r>
              <w:rPr>
                <w:rFonts w:hint="eastAsia" w:ascii="Times New Roman" w:eastAsia="宋体" w:cs="宋体"/>
                <w:lang w:val="en-US" w:eastAsia="zh-CN"/>
              </w:rPr>
              <w:t>年本）》</w:t>
            </w:r>
            <w:r>
              <w:rPr>
                <w:rFonts w:hint="eastAsia" w:ascii="Times New Roman" w:hAnsi="Times New Roman" w:eastAsia="宋体" w:cs="宋体"/>
                <w:lang w:val="en-US" w:eastAsia="zh-CN"/>
              </w:rPr>
              <w:t>，本项目不属于鼓励类、限制类和淘汰类项目。</w:t>
            </w:r>
            <w:r>
              <w:rPr>
                <w:rFonts w:hint="eastAsia" w:cs="宋体"/>
                <w:lang w:val="en-US" w:eastAsia="zh-CN"/>
              </w:rPr>
              <w:t>根据国务院关于发布实施《促进产业结构调整暂行规定》第三章产业结构调整指导目录第十三条“不属于鼓励类、限制类和淘汰类，且符合国家有关法律、法规和政策规定的，为允许类”，因此本项目符合国家产业政策。</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both"/>
              <w:textAlignment w:val="auto"/>
              <w:outlineLvl w:val="1"/>
              <w:rPr>
                <w:rFonts w:hint="eastAsia"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1.</w:t>
            </w:r>
            <w:r>
              <w:rPr>
                <w:rFonts w:hint="eastAsia" w:cs="黑体"/>
                <w:b/>
                <w:sz w:val="28"/>
                <w:szCs w:val="30"/>
                <w:lang w:val="en-US" w:eastAsia="zh-CN" w:bidi="ar-SA"/>
              </w:rPr>
              <w:t>3</w:t>
            </w:r>
            <w:r>
              <w:rPr>
                <w:rFonts w:hint="eastAsia" w:ascii="Times New Roman" w:hAnsi="Times New Roman" w:eastAsia="宋体" w:cs="黑体"/>
                <w:b/>
                <w:sz w:val="28"/>
                <w:szCs w:val="30"/>
                <w:lang w:val="en-US" w:eastAsia="zh-CN" w:bidi="ar-SA"/>
              </w:rPr>
              <w:t>“三线一单”控制要求的相符性</w:t>
            </w:r>
          </w:p>
          <w:p>
            <w:pPr>
              <w:widowControl/>
              <w:overflowPunct w:val="0"/>
              <w:autoSpaceDE w:val="0"/>
              <w:autoSpaceDN w:val="0"/>
              <w:bidi w:val="0"/>
              <w:adjustRightInd w:val="0"/>
              <w:snapToGrid w:val="0"/>
              <w:spacing w:after="0" w:line="360" w:lineRule="auto"/>
              <w:ind w:firstLine="480" w:firstLineChars="200"/>
              <w:jc w:val="both"/>
              <w:rPr>
                <w:rFonts w:hint="default" w:ascii="Times New Roman" w:hAnsi="Times New Roman" w:eastAsia="宋体" w:cs="Times New Roman"/>
                <w:kern w:val="0"/>
                <w:sz w:val="24"/>
                <w:szCs w:val="24"/>
                <w:lang w:val="en-US" w:eastAsia="zh-CN" w:bidi="en-US"/>
              </w:rPr>
            </w:pPr>
            <w:r>
              <w:rPr>
                <w:rFonts w:hint="eastAsia" w:ascii="Times New Roman" w:hAnsi="Times New Roman" w:eastAsia="宋体" w:cs="宋体"/>
                <w:lang w:val="en-US" w:eastAsia="zh-CN"/>
              </w:rPr>
              <w:t>（1）</w:t>
            </w:r>
            <w:r>
              <w:rPr>
                <w:rFonts w:hint="default" w:ascii="Times New Roman" w:hAnsi="Times New Roman" w:eastAsia="宋体" w:cs="宋体"/>
                <w:lang w:val="en-US" w:eastAsia="zh-CN"/>
              </w:rPr>
              <w:t>《新疆维吾尔自治区</w:t>
            </w:r>
            <w:r>
              <w:rPr>
                <w:rFonts w:hint="eastAsia" w:ascii="Times New Roman" w:hAnsi="Times New Roman" w:eastAsia="宋体" w:cs="宋体"/>
                <w:lang w:val="en-US" w:eastAsia="zh-CN"/>
              </w:rPr>
              <w:t>“</w:t>
            </w:r>
            <w:r>
              <w:rPr>
                <w:rFonts w:hint="default" w:ascii="Times New Roman" w:hAnsi="Times New Roman" w:eastAsia="宋体" w:cs="宋体"/>
                <w:lang w:val="en-US" w:eastAsia="zh-CN"/>
              </w:rPr>
              <w:t>三线一单</w:t>
            </w:r>
            <w:r>
              <w:rPr>
                <w:rFonts w:hint="eastAsia" w:ascii="Times New Roman" w:hAnsi="Times New Roman" w:eastAsia="宋体" w:cs="宋体"/>
                <w:lang w:val="en-US" w:eastAsia="zh-CN"/>
              </w:rPr>
              <w:t>”</w:t>
            </w:r>
            <w:r>
              <w:rPr>
                <w:rFonts w:hint="default" w:ascii="Times New Roman" w:hAnsi="Times New Roman" w:eastAsia="宋体" w:cs="宋体"/>
                <w:lang w:val="en-US" w:eastAsia="zh-CN"/>
              </w:rPr>
              <w:t>生态环境分区管控方案》</w:t>
            </w:r>
            <w:r>
              <w:rPr>
                <w:rFonts w:hint="default" w:ascii="Times New Roman" w:hAnsi="Times New Roman" w:eastAsia="宋体" w:cs="Times New Roman"/>
                <w:kern w:val="0"/>
                <w:sz w:val="24"/>
                <w:szCs w:val="24"/>
                <w:lang w:val="en-US" w:eastAsia="zh-CN" w:bidi="en-US"/>
              </w:rPr>
              <w:t>符合性分析</w:t>
            </w:r>
          </w:p>
          <w:p>
            <w:pPr>
              <w:overflowPunct w:val="0"/>
              <w:autoSpaceDE w:val="0"/>
              <w:autoSpaceDN w:val="0"/>
              <w:bidi w:val="0"/>
              <w:adjustRightInd w:val="0"/>
              <w:snapToGrid w:val="0"/>
              <w:spacing w:line="360" w:lineRule="auto"/>
              <w:ind w:firstLine="480" w:firstLineChars="200"/>
              <w:jc w:val="both"/>
              <w:rPr>
                <w:rFonts w:hint="default" w:ascii="Times New Roman" w:hAnsi="Times New Roman" w:eastAsia="宋体" w:cs="宋体"/>
                <w:lang w:val="en-US" w:eastAsia="zh-CN"/>
              </w:rPr>
            </w:pPr>
            <w:r>
              <w:rPr>
                <w:rFonts w:hint="default" w:ascii="Times New Roman" w:hAnsi="Times New Roman" w:eastAsia="宋体" w:cs="宋体"/>
                <w:lang w:val="en-US" w:eastAsia="zh-CN"/>
              </w:rPr>
              <w:t>为贯彻落实《中共中央 国务院关于全面加强生态环境保护坚决打好污染防治攻坚战的意见》、《自治区党委 自治区人民政府关于全面加强生态环境保护坚决打好污染防治攻坚战实施方案》和《自治州党委 自治州人民政府关于全面加强生态环境保护坚决打好污染防治攻坚战实施方案》，落实《新疆维吾尔自治区</w:t>
            </w:r>
            <w:r>
              <w:rPr>
                <w:rFonts w:hint="eastAsia" w:ascii="Times New Roman" w:hAnsi="Times New Roman" w:eastAsia="宋体" w:cs="宋体"/>
                <w:lang w:val="en-US" w:eastAsia="zh-CN"/>
              </w:rPr>
              <w:t>“</w:t>
            </w:r>
            <w:r>
              <w:rPr>
                <w:rFonts w:hint="default" w:ascii="Times New Roman" w:hAnsi="Times New Roman" w:eastAsia="宋体" w:cs="宋体"/>
                <w:lang w:val="en-US" w:eastAsia="zh-CN"/>
              </w:rPr>
              <w:t>三线一单</w:t>
            </w:r>
            <w:r>
              <w:rPr>
                <w:rFonts w:hint="eastAsia" w:ascii="Times New Roman" w:hAnsi="Times New Roman" w:eastAsia="宋体" w:cs="宋体"/>
                <w:lang w:val="en-US" w:eastAsia="zh-CN"/>
              </w:rPr>
              <w:t>”</w:t>
            </w:r>
            <w:r>
              <w:rPr>
                <w:rFonts w:hint="default" w:ascii="Times New Roman" w:hAnsi="Times New Roman" w:eastAsia="宋体" w:cs="宋体"/>
                <w:lang w:val="en-US" w:eastAsia="zh-CN"/>
              </w:rPr>
              <w:t>生态环境分区管控方案》，按照生态环境部和自治区生态环境厅统一部署，自治州组织编制了</w:t>
            </w:r>
            <w:r>
              <w:rPr>
                <w:rFonts w:hint="eastAsia" w:ascii="Times New Roman" w:hAnsi="Times New Roman" w:eastAsia="宋体" w:cs="宋体"/>
                <w:lang w:val="en-US" w:eastAsia="zh-CN"/>
              </w:rPr>
              <w:t>“</w:t>
            </w:r>
            <w:r>
              <w:rPr>
                <w:rFonts w:hint="default" w:ascii="Times New Roman" w:hAnsi="Times New Roman" w:eastAsia="宋体" w:cs="宋体"/>
                <w:lang w:val="en-US" w:eastAsia="zh-CN"/>
              </w:rPr>
              <w:t>生态保护红线、环境质量底线、资源利用上线和生态环境准入清单</w:t>
            </w:r>
            <w:r>
              <w:rPr>
                <w:rFonts w:hint="eastAsia" w:ascii="Times New Roman" w:hAnsi="Times New Roman" w:eastAsia="宋体" w:cs="宋体"/>
                <w:lang w:val="en-US" w:eastAsia="zh-CN"/>
              </w:rPr>
              <w:t>”</w:t>
            </w:r>
            <w:r>
              <w:rPr>
                <w:rFonts w:hint="default" w:ascii="Times New Roman" w:hAnsi="Times New Roman" w:eastAsia="宋体" w:cs="宋体"/>
                <w:lang w:val="en-US" w:eastAsia="zh-CN"/>
              </w:rPr>
              <w:t>，</w:t>
            </w:r>
            <w:r>
              <w:rPr>
                <w:rFonts w:hint="eastAsia" w:ascii="Times New Roman" w:hAnsi="Times New Roman" w:eastAsia="宋体" w:cs="宋体"/>
                <w:lang w:val="en-US" w:eastAsia="zh-CN"/>
              </w:rPr>
              <w:t>本项目与</w:t>
            </w:r>
            <w:r>
              <w:rPr>
                <w:rFonts w:hint="default" w:ascii="Times New Roman" w:hAnsi="Times New Roman" w:eastAsia="宋体" w:cs="宋体"/>
                <w:lang w:val="en-US" w:eastAsia="zh-CN"/>
              </w:rPr>
              <w:t>《新疆维吾尔自治区</w:t>
            </w:r>
            <w:r>
              <w:rPr>
                <w:rFonts w:hint="eastAsia" w:ascii="Times New Roman" w:hAnsi="Times New Roman" w:eastAsia="宋体" w:cs="宋体"/>
                <w:lang w:val="en-US" w:eastAsia="zh-CN"/>
              </w:rPr>
              <w:t>“</w:t>
            </w:r>
            <w:r>
              <w:rPr>
                <w:rFonts w:hint="default" w:ascii="Times New Roman" w:hAnsi="Times New Roman" w:eastAsia="宋体" w:cs="宋体"/>
                <w:lang w:val="en-US" w:eastAsia="zh-CN"/>
              </w:rPr>
              <w:t>三线一单</w:t>
            </w:r>
            <w:r>
              <w:rPr>
                <w:rFonts w:hint="eastAsia" w:ascii="Times New Roman" w:hAnsi="Times New Roman" w:eastAsia="宋体" w:cs="宋体"/>
                <w:lang w:val="en-US" w:eastAsia="zh-CN"/>
              </w:rPr>
              <w:t>”</w:t>
            </w:r>
            <w:r>
              <w:rPr>
                <w:rFonts w:hint="default" w:ascii="Times New Roman" w:hAnsi="Times New Roman" w:eastAsia="宋体" w:cs="宋体"/>
                <w:lang w:val="en-US" w:eastAsia="zh-CN"/>
              </w:rPr>
              <w:t>生态环境分区管控方案》</w:t>
            </w:r>
            <w:r>
              <w:rPr>
                <w:rFonts w:hint="eastAsia" w:ascii="Times New Roman" w:hAnsi="Times New Roman" w:eastAsia="宋体" w:cs="宋体"/>
                <w:lang w:val="en-US" w:eastAsia="zh-CN"/>
              </w:rPr>
              <w:t>符合性分析见表1.</w:t>
            </w:r>
            <w:r>
              <w:rPr>
                <w:rFonts w:hint="eastAsia" w:cs="宋体"/>
                <w:lang w:val="en-US" w:eastAsia="zh-CN"/>
              </w:rPr>
              <w:t>3</w:t>
            </w:r>
            <w:r>
              <w:rPr>
                <w:rFonts w:hint="eastAsia" w:ascii="Times New Roman" w:hAnsi="Times New Roman" w:eastAsia="宋体" w:cs="宋体"/>
                <w:lang w:val="en-US" w:eastAsia="zh-CN"/>
              </w:rPr>
              <w:t>-1。</w:t>
            </w:r>
          </w:p>
          <w:p>
            <w:pPr>
              <w:widowControl w:val="0"/>
              <w:overflowPunct w:val="0"/>
              <w:autoSpaceDE w:val="0"/>
              <w:autoSpaceDN w:val="0"/>
              <w:bidi w:val="0"/>
              <w:adjustRightInd w:val="0"/>
              <w:snapToGrid w:val="0"/>
              <w:spacing w:line="360" w:lineRule="auto"/>
              <w:ind w:firstLine="0" w:firstLineChars="0"/>
              <w:jc w:val="center"/>
              <w:rPr>
                <w:rFonts w:hint="eastAsia" w:ascii="Times New Roman" w:hAnsi="Times New Roman" w:eastAsia="宋体" w:cs="宋体"/>
                <w:b/>
                <w:color w:val="000000"/>
                <w:sz w:val="24"/>
                <w:szCs w:val="24"/>
                <w:lang w:val="en-US" w:eastAsia="zh-CN" w:bidi="ar-SA"/>
              </w:rPr>
            </w:pPr>
            <w:r>
              <w:rPr>
                <w:rFonts w:hint="eastAsia" w:ascii="Times New Roman" w:hAnsi="Times New Roman" w:eastAsia="宋体" w:cs="宋体"/>
                <w:b/>
                <w:color w:val="000000"/>
                <w:sz w:val="24"/>
                <w:szCs w:val="24"/>
                <w:lang w:val="en-US" w:eastAsia="zh-CN" w:bidi="ar-SA"/>
              </w:rPr>
              <w:t>表1.</w:t>
            </w:r>
            <w:r>
              <w:rPr>
                <w:rFonts w:hint="eastAsia" w:cs="宋体"/>
                <w:b/>
                <w:color w:val="000000"/>
                <w:sz w:val="24"/>
                <w:szCs w:val="24"/>
                <w:lang w:val="en-US" w:eastAsia="zh-CN" w:bidi="ar-SA"/>
              </w:rPr>
              <w:t>3</w:t>
            </w:r>
            <w:r>
              <w:rPr>
                <w:rFonts w:hint="eastAsia" w:ascii="Times New Roman" w:hAnsi="Times New Roman" w:eastAsia="宋体" w:cs="宋体"/>
                <w:b/>
                <w:color w:val="000000"/>
                <w:sz w:val="24"/>
                <w:szCs w:val="24"/>
                <w:lang w:val="en-US" w:eastAsia="zh-CN" w:bidi="ar-SA"/>
              </w:rPr>
              <w:t>-1与《新疆维吾尔自治区“三线一单”生态环境分区管控方案》符合性分析</w:t>
            </w:r>
          </w:p>
          <w:tbl>
            <w:tblPr>
              <w:tblStyle w:val="13"/>
              <w:tblW w:w="70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06"/>
              <w:gridCol w:w="3938"/>
              <w:gridCol w:w="1917"/>
              <w:gridCol w:w="7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9" w:hRule="atLeast"/>
                <w:tblHeader/>
                <w:jc w:val="center"/>
              </w:trPr>
              <w:tc>
                <w:tcPr>
                  <w:tcW w:w="3135" w:type="pct"/>
                  <w:gridSpan w:val="2"/>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管控要求</w:t>
                  </w:r>
                </w:p>
              </w:tc>
              <w:tc>
                <w:tcPr>
                  <w:tcW w:w="1352"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hint="default"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项目建设内容</w:t>
                  </w:r>
                </w:p>
              </w:tc>
              <w:tc>
                <w:tcPr>
                  <w:tcW w:w="512"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356"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空间布局约束</w:t>
                  </w:r>
                </w:p>
              </w:tc>
              <w:tc>
                <w:tcPr>
                  <w:tcW w:w="2778"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hint="eastAsia"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A6.1-1】根据产业集聚区块的功能定位，建立分区差别化的产业准入条件。严格控制重要水系源头地区和重要生态功能区“高污染、高环境风险产品”工业项目准入。优化完善区域产业布局，合理规划布局“高污染、高环境风险产品”工业项目，鼓励对“高污染、高环境风险产品”工业项目进行淘汰和提升改造。合理规划居住区与工业功能区，在居住区和工业区、工业企业之间设置防护绿化隔离带。</w:t>
                  </w:r>
                </w:p>
                <w:p>
                  <w:pPr>
                    <w:widowControl w:val="0"/>
                    <w:overflowPunct w:val="0"/>
                    <w:autoSpaceDE w:val="0"/>
                    <w:autoSpaceDN w:val="0"/>
                    <w:adjustRightInd w:val="0"/>
                    <w:snapToGrid w:val="0"/>
                    <w:spacing w:line="320" w:lineRule="exact"/>
                    <w:ind w:firstLine="0" w:firstLineChars="0"/>
                    <w:jc w:val="center"/>
                    <w:rPr>
                      <w:rFonts w:hint="eastAsia"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A6.1-2】大气环境重点管控区内：禁止引进国家和自治区明令禁止或淘汰的产业及工艺、园区规划的项目；引进符合国家产业政策和清洁生产要求的、采用先进生产工艺和设备的、自动化程度高的、具有可靠先进的污染治理技术的生产项目。</w:t>
                  </w:r>
                </w:p>
                <w:p>
                  <w:pPr>
                    <w:widowControl w:val="0"/>
                    <w:overflowPunct w:val="0"/>
                    <w:autoSpaceDE w:val="0"/>
                    <w:autoSpaceDN w:val="0"/>
                    <w:adjustRightInd w:val="0"/>
                    <w:snapToGrid w:val="0"/>
                    <w:spacing w:line="320" w:lineRule="exact"/>
                    <w:ind w:firstLine="0" w:firstLineChars="0"/>
                    <w:jc w:val="center"/>
                    <w:rPr>
                      <w:rFonts w:hint="eastAsia"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A6.1-3】水环境重点管控区内：制定产业准入对污染排放不达标的企业限期整改，确保水污染物达标排放；加快推进生态园区建设和循环化改造，完善污水集中处理设施及再生水回用系统，加强配套管网建设，并确保稳定运行，工业废水必须经预处理达到集中处理要求后，方可进入污水集中处理设施，不断提高污水集中处理中水回用率。加强城镇配套管网建设，提高城镇生活污水出水排放标准，推进城镇生活污水深度治理，提高污水厂脱氮除磷效率。对农业污染重点管控区，推进畜禽养殖禁养区、限养区的划定，限期依法关闭或搬迁禁养区内的畜禽养殖场，对现有规模化畜禽养殖配套建设粪便污水贮存、处理、利用设施，鼓励设施农业循环发展模式，推进养殖废弃物资源化利用。控制化肥农药使用量，推进农膜回收及加工再利用，农药化肥等包装废弃物的安全收集处置设施建设，降低农业污染负荷。</w:t>
                  </w:r>
                </w:p>
                <w:p>
                  <w:pPr>
                    <w:widowControl w:val="0"/>
                    <w:overflowPunct w:val="0"/>
                    <w:autoSpaceDE w:val="0"/>
                    <w:autoSpaceDN w:val="0"/>
                    <w:adjustRightInd w:val="0"/>
                    <w:snapToGrid w:val="0"/>
                    <w:spacing w:line="320" w:lineRule="exact"/>
                    <w:ind w:firstLine="0" w:firstLineChars="0"/>
                    <w:jc w:val="center"/>
                    <w:rPr>
                      <w:rFonts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A6.1-4】土壤环境重点管控区内：引入新建产业或企业时，应结合产业发展规划，充分考虑企业类型、污染物排放特征以及外环境情况等因素，避免企业形成交叉污染；涉重金属、持久性有机物等有毒有害污染物工业企业退出用地，须经评估、治理，满足后续相应用地土壤环境质量要求。</w:t>
                  </w:r>
                </w:p>
              </w:tc>
              <w:tc>
                <w:tcPr>
                  <w:tcW w:w="1352"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hint="eastAsia" w:ascii="Times New Roman" w:hAnsi="Times New Roman" w:eastAsia="宋体" w:cs="宋体"/>
                      <w:color w:val="000000"/>
                      <w:sz w:val="21"/>
                      <w:szCs w:val="24"/>
                      <w:lang w:val="en-US" w:eastAsia="zh-CN" w:bidi="ar-SA"/>
                    </w:rPr>
                  </w:pPr>
                  <w:r>
                    <w:rPr>
                      <w:rFonts w:hint="eastAsia" w:ascii="Times New Roman" w:hAnsi="Times New Roman" w:eastAsia="宋体" w:cs="宋体"/>
                      <w:color w:val="000000"/>
                      <w:sz w:val="21"/>
                      <w:szCs w:val="24"/>
                      <w:lang w:val="en-US" w:eastAsia="zh-CN" w:bidi="ar-SA"/>
                    </w:rPr>
                    <w:t>本项目不属于高污染、高环境风险项目；</w:t>
                  </w:r>
                  <w:r>
                    <w:rPr>
                      <w:rFonts w:hint="eastAsia" w:cs="宋体"/>
                      <w:color w:val="000000"/>
                      <w:sz w:val="21"/>
                      <w:szCs w:val="24"/>
                      <w:lang w:val="en-US" w:eastAsia="zh-CN" w:bidi="ar-SA"/>
                    </w:rPr>
                    <w:t>项目区周边500m范围内主要为工业区，无居民区</w:t>
                  </w:r>
                  <w:r>
                    <w:rPr>
                      <w:rFonts w:hint="eastAsia" w:ascii="Times New Roman" w:hAnsi="Times New Roman" w:eastAsia="宋体" w:cs="宋体"/>
                      <w:color w:val="000000"/>
                      <w:sz w:val="21"/>
                      <w:szCs w:val="24"/>
                      <w:lang w:val="en-US" w:eastAsia="zh-CN" w:bidi="ar-SA"/>
                    </w:rPr>
                    <w:t>；项目未引进国家和自治区明令禁止或淘汰的产业及工艺；已采用符合国家产业政策和清洁生产要求的、先进生产工艺和设备的、自动化程度高的、具有可靠先进的污染治理技术；本项目生产废水</w:t>
                  </w:r>
                  <w:r>
                    <w:rPr>
                      <w:rFonts w:hint="eastAsia" w:cs="宋体"/>
                      <w:color w:val="000000"/>
                      <w:sz w:val="21"/>
                      <w:szCs w:val="24"/>
                      <w:lang w:val="en-US" w:eastAsia="zh-CN" w:bidi="ar-SA"/>
                    </w:rPr>
                    <w:t>回用于生产，不外排</w:t>
                  </w:r>
                  <w:r>
                    <w:rPr>
                      <w:rFonts w:hint="eastAsia" w:ascii="Times New Roman" w:hAnsi="Times New Roman" w:eastAsia="宋体" w:cs="宋体"/>
                      <w:color w:val="000000"/>
                      <w:sz w:val="21"/>
                      <w:szCs w:val="24"/>
                      <w:lang w:val="en-US" w:eastAsia="zh-CN" w:bidi="ar-SA"/>
                    </w:rPr>
                    <w:t>，</w:t>
                  </w:r>
                  <w:r>
                    <w:rPr>
                      <w:rFonts w:hint="eastAsia" w:ascii="Times New Roman" w:hAnsi="Times New Roman" w:eastAsia="宋体" w:cs="宋体"/>
                      <w:color w:val="000000"/>
                      <w:sz w:val="21"/>
                      <w:szCs w:val="24"/>
                      <w:highlight w:val="none"/>
                      <w:lang w:val="en-US" w:eastAsia="zh-CN" w:bidi="ar-SA"/>
                    </w:rPr>
                    <w:t>生活污水排入</w:t>
                  </w:r>
                  <w:r>
                    <w:rPr>
                      <w:rFonts w:hint="eastAsia" w:cs="宋体"/>
                      <w:color w:val="000000"/>
                      <w:sz w:val="21"/>
                      <w:szCs w:val="24"/>
                      <w:highlight w:val="none"/>
                      <w:lang w:val="en-US" w:eastAsia="zh-CN" w:bidi="ar-SA"/>
                    </w:rPr>
                    <w:t>园区</w:t>
                  </w:r>
                  <w:r>
                    <w:rPr>
                      <w:rFonts w:hint="eastAsia" w:ascii="Times New Roman" w:hAnsi="Times New Roman" w:eastAsia="宋体" w:cs="宋体"/>
                      <w:color w:val="000000"/>
                      <w:sz w:val="21"/>
                      <w:szCs w:val="24"/>
                      <w:highlight w:val="none"/>
                      <w:lang w:val="en-US" w:eastAsia="zh-CN" w:bidi="ar-SA"/>
                    </w:rPr>
                    <w:t>管网；</w:t>
                  </w:r>
                  <w:r>
                    <w:rPr>
                      <w:rFonts w:hint="eastAsia" w:ascii="Times New Roman" w:hAnsi="Times New Roman" w:eastAsia="宋体" w:cs="宋体"/>
                      <w:color w:val="000000"/>
                      <w:sz w:val="21"/>
                      <w:szCs w:val="24"/>
                      <w:lang w:val="en-US" w:eastAsia="zh-CN" w:bidi="ar-SA"/>
                    </w:rPr>
                    <w:t>项目为新建项目，符合产业发展规划，经对照企业类型、污染物排放特征以及外环境情况确定，本项目不会形成交叉污染。不属于涉重金属、持久性有机物等有毒有害污染物工业企业</w:t>
                  </w:r>
                  <w:r>
                    <w:rPr>
                      <w:rFonts w:hint="eastAsia" w:cs="宋体"/>
                      <w:color w:val="000000"/>
                      <w:sz w:val="21"/>
                      <w:szCs w:val="24"/>
                      <w:lang w:val="en-US" w:eastAsia="zh-CN" w:bidi="ar-SA"/>
                    </w:rPr>
                    <w:t>，租赁生产车间已建成20cm厚P4等级混凝土防渗措施，本项目在已有的防渗基础上，危废暂存间补充重点防渗措施</w:t>
                  </w:r>
                  <w:r>
                    <w:rPr>
                      <w:rFonts w:hint="eastAsia" w:ascii="Times New Roman" w:hAnsi="Times New Roman" w:eastAsia="宋体" w:cs="宋体"/>
                      <w:color w:val="000000"/>
                      <w:sz w:val="21"/>
                      <w:szCs w:val="24"/>
                      <w:lang w:val="en-US" w:eastAsia="zh-CN" w:bidi="ar-SA"/>
                    </w:rPr>
                    <w:t>，</w:t>
                  </w:r>
                  <w:r>
                    <w:rPr>
                      <w:rFonts w:hint="eastAsia" w:cs="宋体"/>
                      <w:color w:val="000000"/>
                      <w:sz w:val="21"/>
                      <w:szCs w:val="24"/>
                      <w:lang w:val="en-US" w:eastAsia="zh-CN" w:bidi="ar-SA"/>
                    </w:rPr>
                    <w:t>因此</w:t>
                  </w:r>
                  <w:r>
                    <w:rPr>
                      <w:rFonts w:hint="eastAsia" w:ascii="Times New Roman" w:hAnsi="Times New Roman" w:eastAsia="宋体" w:cs="宋体"/>
                      <w:color w:val="000000"/>
                      <w:sz w:val="21"/>
                      <w:szCs w:val="24"/>
                      <w:lang w:val="en-US" w:eastAsia="zh-CN" w:bidi="ar-SA"/>
                    </w:rPr>
                    <w:t>污染土壤可能性很小。</w:t>
                  </w:r>
                </w:p>
              </w:tc>
              <w:tc>
                <w:tcPr>
                  <w:tcW w:w="512"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8" w:hRule="atLeast"/>
                <w:jc w:val="center"/>
              </w:trPr>
              <w:tc>
                <w:tcPr>
                  <w:tcW w:w="356"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污染物排放管控</w:t>
                  </w:r>
                </w:p>
              </w:tc>
              <w:tc>
                <w:tcPr>
                  <w:tcW w:w="2778"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ascii="Times New Roman" w:hAnsi="Times New Roman" w:eastAsia="宋体" w:cs="宋体"/>
                      <w:sz w:val="21"/>
                      <w:szCs w:val="24"/>
                      <w:lang w:val="en-US" w:eastAsia="zh-CN" w:bidi="ar-SA"/>
                    </w:rPr>
                  </w:pPr>
                  <w:r>
                    <w:rPr>
                      <w:rFonts w:ascii="Times New Roman" w:hAnsi="Times New Roman" w:eastAsia="宋体" w:cs="宋体"/>
                      <w:sz w:val="21"/>
                      <w:szCs w:val="24"/>
                      <w:lang w:val="en-US" w:eastAsia="zh-CN" w:bidi="ar-SA"/>
                    </w:rPr>
                    <w:t>【</w:t>
                  </w:r>
                  <w:r>
                    <w:rPr>
                      <w:rFonts w:hint="default" w:ascii="Times New Roman" w:hAnsi="Times New Roman" w:eastAsia="宋体" w:cs="宋体"/>
                      <w:sz w:val="21"/>
                      <w:szCs w:val="24"/>
                      <w:lang w:val="en-US" w:eastAsia="zh-CN" w:bidi="ar-SA"/>
                    </w:rPr>
                    <w:t>A6.2-1】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加强土壤和地下水污染防治与修复。</w:t>
                  </w:r>
                </w:p>
              </w:tc>
              <w:tc>
                <w:tcPr>
                  <w:tcW w:w="1352"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hint="eastAsia" w:ascii="Times New Roman" w:hAnsi="Times New Roman" w:eastAsia="宋体" w:cs="宋体"/>
                      <w:color w:val="000000"/>
                      <w:sz w:val="21"/>
                      <w:szCs w:val="24"/>
                      <w:lang w:val="en-US" w:eastAsia="zh-CN" w:bidi="ar-SA"/>
                    </w:rPr>
                  </w:pPr>
                  <w:r>
                    <w:rPr>
                      <w:rFonts w:hint="eastAsia" w:ascii="Times New Roman" w:hAnsi="Times New Roman" w:eastAsia="宋体" w:cs="宋体"/>
                      <w:color w:val="000000"/>
                      <w:sz w:val="21"/>
                      <w:szCs w:val="24"/>
                      <w:lang w:val="en-US" w:eastAsia="zh-CN" w:bidi="ar-SA"/>
                    </w:rPr>
                    <w:t>本项目按照污染物总量控制制度执行总量指标申请，采取污染物治理措施后，可减少污染物排放总量。</w:t>
                  </w:r>
                  <w:r>
                    <w:rPr>
                      <w:rFonts w:hint="default" w:ascii="Times New Roman" w:hAnsi="Times New Roman" w:eastAsia="宋体" w:cs="宋体"/>
                      <w:color w:val="000000"/>
                      <w:sz w:val="21"/>
                      <w:szCs w:val="24"/>
                      <w:lang w:val="en-US" w:eastAsia="zh-CN" w:bidi="ar-SA"/>
                    </w:rPr>
                    <w:t>污染物排放水平</w:t>
                  </w:r>
                  <w:r>
                    <w:rPr>
                      <w:rFonts w:hint="eastAsia" w:ascii="Times New Roman" w:hAnsi="Times New Roman" w:eastAsia="宋体" w:cs="宋体"/>
                      <w:color w:val="000000"/>
                      <w:sz w:val="21"/>
                      <w:szCs w:val="24"/>
                      <w:lang w:val="en-US" w:eastAsia="zh-CN" w:bidi="ar-SA"/>
                    </w:rPr>
                    <w:t>可</w:t>
                  </w:r>
                  <w:r>
                    <w:rPr>
                      <w:rFonts w:hint="default" w:ascii="Times New Roman" w:hAnsi="Times New Roman" w:eastAsia="宋体" w:cs="宋体"/>
                      <w:color w:val="000000"/>
                      <w:sz w:val="21"/>
                      <w:szCs w:val="24"/>
                      <w:lang w:val="en-US" w:eastAsia="zh-CN" w:bidi="ar-SA"/>
                    </w:rPr>
                    <w:t>达到同行业国内先进水平。</w:t>
                  </w:r>
                  <w:r>
                    <w:rPr>
                      <w:rFonts w:hint="eastAsia" w:ascii="Times New Roman" w:hAnsi="Times New Roman" w:eastAsia="宋体" w:cs="宋体"/>
                      <w:color w:val="000000"/>
                      <w:sz w:val="21"/>
                      <w:szCs w:val="24"/>
                      <w:lang w:val="en-US" w:eastAsia="zh-CN" w:bidi="ar-SA"/>
                    </w:rPr>
                    <w:t>生产过程中</w:t>
                  </w:r>
                  <w:r>
                    <w:rPr>
                      <w:rFonts w:hint="eastAsia" w:cs="宋体"/>
                      <w:color w:val="000000"/>
                      <w:sz w:val="21"/>
                      <w:szCs w:val="24"/>
                      <w:lang w:val="en-US" w:eastAsia="zh-CN" w:bidi="ar-SA"/>
                    </w:rPr>
                    <w:t>生产废水不外排</w:t>
                  </w:r>
                  <w:r>
                    <w:rPr>
                      <w:rFonts w:hint="eastAsia" w:ascii="Times New Roman" w:hAnsi="Times New Roman" w:eastAsia="宋体" w:cs="宋体"/>
                      <w:color w:val="000000"/>
                      <w:sz w:val="21"/>
                      <w:szCs w:val="24"/>
                      <w:lang w:val="en-US" w:eastAsia="zh-CN" w:bidi="ar-SA"/>
                    </w:rPr>
                    <w:t>，</w:t>
                  </w:r>
                  <w:r>
                    <w:rPr>
                      <w:rFonts w:hint="eastAsia" w:ascii="Times New Roman" w:hAnsi="Times New Roman" w:eastAsia="宋体" w:cs="宋体"/>
                      <w:color w:val="000000"/>
                      <w:sz w:val="21"/>
                      <w:szCs w:val="24"/>
                      <w:highlight w:val="none"/>
                      <w:lang w:val="en-US" w:eastAsia="zh-CN" w:bidi="ar-SA"/>
                    </w:rPr>
                    <w:t>生活污水排入</w:t>
                  </w:r>
                  <w:r>
                    <w:rPr>
                      <w:rFonts w:hint="eastAsia" w:cs="宋体"/>
                      <w:color w:val="000000"/>
                      <w:sz w:val="21"/>
                      <w:szCs w:val="24"/>
                      <w:highlight w:val="none"/>
                      <w:lang w:val="en-US" w:eastAsia="zh-CN" w:bidi="ar-SA"/>
                    </w:rPr>
                    <w:t>园区</w:t>
                  </w:r>
                  <w:r>
                    <w:rPr>
                      <w:rFonts w:hint="eastAsia" w:ascii="Times New Roman" w:hAnsi="Times New Roman" w:eastAsia="宋体" w:cs="宋体"/>
                      <w:color w:val="000000"/>
                      <w:sz w:val="21"/>
                      <w:szCs w:val="24"/>
                      <w:highlight w:val="none"/>
                      <w:lang w:val="en-US" w:eastAsia="zh-CN" w:bidi="ar-SA"/>
                    </w:rPr>
                    <w:t>管网</w:t>
                  </w:r>
                  <w:r>
                    <w:rPr>
                      <w:rFonts w:hint="eastAsia" w:ascii="Times New Roman" w:hAnsi="Times New Roman" w:eastAsia="宋体" w:cs="宋体"/>
                      <w:color w:val="000000"/>
                      <w:sz w:val="21"/>
                      <w:szCs w:val="24"/>
                      <w:lang w:val="en-US" w:eastAsia="zh-CN" w:bidi="ar-SA"/>
                    </w:rPr>
                    <w:t>；在采取分区防渗措施后，可加强土壤和地下水污染防治。</w:t>
                  </w:r>
                </w:p>
              </w:tc>
              <w:tc>
                <w:tcPr>
                  <w:tcW w:w="512"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hint="eastAsia"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04" w:hRule="atLeast"/>
                <w:jc w:val="center"/>
              </w:trPr>
              <w:tc>
                <w:tcPr>
                  <w:tcW w:w="356"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环境风险防控</w:t>
                  </w:r>
                </w:p>
              </w:tc>
              <w:tc>
                <w:tcPr>
                  <w:tcW w:w="2778"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ascii="Times New Roman" w:hAnsi="Times New Roman" w:eastAsia="宋体" w:cs="宋体"/>
                      <w:sz w:val="21"/>
                      <w:szCs w:val="24"/>
                      <w:lang w:val="en-US" w:eastAsia="zh-CN" w:bidi="ar-SA"/>
                    </w:rPr>
                  </w:pPr>
                  <w:r>
                    <w:rPr>
                      <w:rFonts w:ascii="Times New Roman" w:hAnsi="Times New Roman" w:eastAsia="宋体" w:cs="宋体"/>
                      <w:sz w:val="21"/>
                      <w:szCs w:val="24"/>
                      <w:lang w:val="en-US" w:eastAsia="zh-CN" w:bidi="ar-SA"/>
                    </w:rPr>
                    <w:t>【</w:t>
                  </w:r>
                  <w:r>
                    <w:rPr>
                      <w:rFonts w:hint="default" w:ascii="Times New Roman" w:hAnsi="Times New Roman" w:eastAsia="宋体" w:cs="宋体"/>
                      <w:sz w:val="21"/>
                      <w:szCs w:val="24"/>
                      <w:lang w:val="en-US" w:eastAsia="zh-CN" w:bidi="ar-SA"/>
                    </w:rPr>
                    <w:t>A6.3-1】定期评估邻近环境敏感区的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tc>
              <w:tc>
                <w:tcPr>
                  <w:tcW w:w="1352"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hint="eastAsia" w:ascii="Times New Roman" w:hAnsi="Times New Roman" w:eastAsia="宋体" w:cs="宋体"/>
                      <w:color w:val="000000"/>
                      <w:sz w:val="21"/>
                      <w:szCs w:val="24"/>
                      <w:lang w:val="en-US" w:eastAsia="zh-CN" w:bidi="ar-SA"/>
                    </w:rPr>
                  </w:pPr>
                  <w:r>
                    <w:rPr>
                      <w:rFonts w:hint="eastAsia" w:ascii="Times New Roman" w:hAnsi="Times New Roman" w:eastAsia="宋体" w:cs="宋体"/>
                      <w:color w:val="000000"/>
                      <w:sz w:val="21"/>
                      <w:szCs w:val="24"/>
                      <w:lang w:val="en-US" w:eastAsia="zh-CN" w:bidi="ar-SA"/>
                    </w:rPr>
                    <w:t>开展突发环境事件应急预案编制工作</w:t>
                  </w:r>
                  <w:r>
                    <w:rPr>
                      <w:rFonts w:hint="eastAsia" w:cs="宋体"/>
                      <w:color w:val="000000"/>
                      <w:sz w:val="21"/>
                      <w:szCs w:val="24"/>
                      <w:lang w:val="en-US" w:eastAsia="zh-CN" w:bidi="ar-SA"/>
                    </w:rPr>
                    <w:t>，并在昌吉州生态环境局阜康市分局进行备案</w:t>
                  </w:r>
                  <w:r>
                    <w:rPr>
                      <w:rFonts w:hint="eastAsia" w:ascii="Times New Roman" w:hAnsi="Times New Roman" w:eastAsia="宋体" w:cs="宋体"/>
                      <w:color w:val="000000"/>
                      <w:sz w:val="21"/>
                      <w:szCs w:val="24"/>
                      <w:lang w:val="en-US" w:eastAsia="zh-CN" w:bidi="ar-SA"/>
                    </w:rPr>
                    <w:t>，定期</w:t>
                  </w:r>
                  <w:r>
                    <w:rPr>
                      <w:rFonts w:hint="eastAsia" w:cs="宋体"/>
                      <w:color w:val="000000"/>
                      <w:sz w:val="21"/>
                      <w:szCs w:val="24"/>
                      <w:lang w:val="en-US" w:eastAsia="zh-CN" w:bidi="ar-SA"/>
                    </w:rPr>
                    <w:t>开展突发环境事件应急</w:t>
                  </w:r>
                  <w:r>
                    <w:rPr>
                      <w:rFonts w:hint="eastAsia" w:ascii="Times New Roman" w:hAnsi="Times New Roman" w:eastAsia="宋体" w:cs="宋体"/>
                      <w:color w:val="000000"/>
                      <w:sz w:val="21"/>
                      <w:szCs w:val="24"/>
                      <w:lang w:val="en-US" w:eastAsia="zh-CN" w:bidi="ar-SA"/>
                    </w:rPr>
                    <w:t>演练，加强风险防控体系建设。</w:t>
                  </w:r>
                </w:p>
              </w:tc>
              <w:tc>
                <w:tcPr>
                  <w:tcW w:w="512"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hint="eastAsia"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6"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资源利用要求</w:t>
                  </w:r>
                </w:p>
              </w:tc>
              <w:tc>
                <w:tcPr>
                  <w:tcW w:w="2778"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ascii="Times New Roman" w:hAnsi="Times New Roman" w:eastAsia="宋体" w:cs="宋体"/>
                      <w:sz w:val="21"/>
                      <w:szCs w:val="24"/>
                      <w:lang w:val="en-US" w:eastAsia="zh-CN" w:bidi="ar-SA"/>
                    </w:rPr>
                  </w:pPr>
                  <w:r>
                    <w:rPr>
                      <w:rFonts w:ascii="Times New Roman" w:hAnsi="Times New Roman" w:eastAsia="宋体" w:cs="宋体"/>
                      <w:sz w:val="21"/>
                      <w:szCs w:val="24"/>
                      <w:lang w:val="en-US" w:eastAsia="zh-CN" w:bidi="ar-SA"/>
                    </w:rPr>
                    <w:t>【</w:t>
                  </w:r>
                  <w:r>
                    <w:rPr>
                      <w:rFonts w:hint="default" w:ascii="Times New Roman" w:hAnsi="Times New Roman" w:eastAsia="宋体" w:cs="宋体"/>
                      <w:sz w:val="21"/>
                      <w:szCs w:val="24"/>
                      <w:lang w:val="en-US" w:eastAsia="zh-CN" w:bidi="ar-SA"/>
                    </w:rPr>
                    <w:t>A6.4-1】推进工业集聚区生态化改造，强化企业清洁生产改造，推进节水型企业、节水型工业园区建设，提高资源能源利用效率。</w:t>
                  </w:r>
                </w:p>
              </w:tc>
              <w:tc>
                <w:tcPr>
                  <w:tcW w:w="1352"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hint="eastAsia"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项目生产过程中</w:t>
                  </w:r>
                  <w:r>
                    <w:rPr>
                      <w:rFonts w:hint="eastAsia" w:cs="宋体"/>
                      <w:sz w:val="21"/>
                      <w:szCs w:val="24"/>
                      <w:lang w:val="en-US" w:eastAsia="zh-CN" w:bidi="ar-SA"/>
                    </w:rPr>
                    <w:t>仅少量生产用水以及生活污水，对区域水资源影响较小</w:t>
                  </w:r>
                  <w:r>
                    <w:rPr>
                      <w:rFonts w:hint="eastAsia" w:ascii="Times New Roman" w:hAnsi="Times New Roman" w:eastAsia="宋体" w:cs="宋体"/>
                      <w:sz w:val="21"/>
                      <w:szCs w:val="24"/>
                      <w:lang w:val="en-US" w:eastAsia="zh-CN" w:bidi="ar-SA"/>
                    </w:rPr>
                    <w:t>，符合资源利用要求。</w:t>
                  </w:r>
                </w:p>
              </w:tc>
              <w:tc>
                <w:tcPr>
                  <w:tcW w:w="512" w:type="pct"/>
                  <w:tcBorders>
                    <w:tl2br w:val="nil"/>
                    <w:tr2bl w:val="nil"/>
                  </w:tcBorders>
                  <w:shd w:val="clear" w:color="auto" w:fill="auto"/>
                  <w:vAlign w:val="center"/>
                </w:tcPr>
                <w:p>
                  <w:pPr>
                    <w:widowControl w:val="0"/>
                    <w:overflowPunct w:val="0"/>
                    <w:autoSpaceDE w:val="0"/>
                    <w:autoSpaceDN w:val="0"/>
                    <w:adjustRightInd w:val="0"/>
                    <w:snapToGrid w:val="0"/>
                    <w:spacing w:line="320" w:lineRule="exact"/>
                    <w:ind w:firstLine="0" w:firstLineChars="0"/>
                    <w:jc w:val="center"/>
                    <w:rPr>
                      <w:rFonts w:ascii="Times New Roman" w:hAnsi="Times New Roman" w:eastAsia="宋体" w:cs="宋体"/>
                      <w:sz w:val="21"/>
                      <w:szCs w:val="24"/>
                      <w:lang w:val="en-US" w:eastAsia="zh-CN" w:bidi="ar-SA"/>
                    </w:rPr>
                  </w:pPr>
                  <w:r>
                    <w:rPr>
                      <w:rFonts w:hint="eastAsia" w:ascii="Times New Roman" w:hAnsi="Times New Roman" w:eastAsia="宋体" w:cs="宋体"/>
                      <w:sz w:val="21"/>
                      <w:szCs w:val="24"/>
                      <w:lang w:val="en-US" w:eastAsia="zh-CN" w:bidi="ar-SA"/>
                    </w:rPr>
                    <w:t>符合</w:t>
                  </w:r>
                </w:p>
              </w:tc>
            </w:tr>
          </w:tbl>
          <w:p>
            <w:pPr>
              <w:overflowPunct w:val="0"/>
              <w:autoSpaceDE w:val="0"/>
              <w:autoSpaceDN w:val="0"/>
              <w:bidi w:val="0"/>
              <w:adjustRightInd w:val="0"/>
              <w:snapToGrid w:val="0"/>
              <w:spacing w:line="360" w:lineRule="auto"/>
              <w:ind w:firstLine="480" w:firstLineChars="200"/>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综上所述，本项目符合</w:t>
            </w:r>
            <w:r>
              <w:rPr>
                <w:rFonts w:hint="default" w:ascii="Times New Roman" w:hAnsi="Times New Roman" w:eastAsia="宋体" w:cs="宋体"/>
                <w:lang w:val="en-US" w:eastAsia="zh-CN"/>
              </w:rPr>
              <w:t>《新疆维吾尔自治区</w:t>
            </w:r>
            <w:r>
              <w:rPr>
                <w:rFonts w:hint="eastAsia" w:ascii="Times New Roman" w:hAnsi="Times New Roman" w:eastAsia="宋体" w:cs="宋体"/>
                <w:lang w:val="en-US" w:eastAsia="zh-CN"/>
              </w:rPr>
              <w:t>“</w:t>
            </w:r>
            <w:r>
              <w:rPr>
                <w:rFonts w:hint="default" w:ascii="Times New Roman" w:hAnsi="Times New Roman" w:eastAsia="宋体" w:cs="宋体"/>
                <w:lang w:val="en-US" w:eastAsia="zh-CN"/>
              </w:rPr>
              <w:t>三线一单</w:t>
            </w:r>
            <w:r>
              <w:rPr>
                <w:rFonts w:hint="eastAsia" w:ascii="Times New Roman" w:hAnsi="Times New Roman" w:eastAsia="宋体" w:cs="宋体"/>
                <w:lang w:val="en-US" w:eastAsia="zh-CN"/>
              </w:rPr>
              <w:t>”</w:t>
            </w:r>
            <w:r>
              <w:rPr>
                <w:rFonts w:hint="default" w:ascii="Times New Roman" w:hAnsi="Times New Roman" w:eastAsia="宋体" w:cs="宋体"/>
                <w:lang w:val="en-US" w:eastAsia="zh-CN"/>
              </w:rPr>
              <w:t>生态环境分区管控方案》</w:t>
            </w:r>
            <w:r>
              <w:rPr>
                <w:rFonts w:hint="eastAsia" w:ascii="Times New Roman" w:hAnsi="Times New Roman" w:eastAsia="宋体" w:cs="宋体"/>
                <w:lang w:val="en-US" w:eastAsia="zh-CN"/>
              </w:rPr>
              <w:t>。</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（2）《昌吉回族自治州“三线一单”生态环境分区管控方案及生态环境准入清单》</w:t>
            </w:r>
            <w:r>
              <w:rPr>
                <w:rFonts w:hint="eastAsia" w:cs="宋体"/>
                <w:lang w:val="en-US" w:eastAsia="zh-CN"/>
              </w:rPr>
              <w:t>符合性分析</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经核实，目前《昌吉回族自治州</w:t>
            </w:r>
            <w:r>
              <w:rPr>
                <w:rFonts w:hint="eastAsia" w:ascii="Times New Roman" w:hAnsi="Times New Roman" w:eastAsia="宋体" w:cs="Times New Roman"/>
                <w:color w:val="auto"/>
                <w:kern w:val="0"/>
                <w:sz w:val="24"/>
                <w:szCs w:val="24"/>
                <w:lang w:val="en-US" w:eastAsia="zh-CN" w:bidi="en-US"/>
              </w:rPr>
              <w:t>“</w:t>
            </w:r>
            <w:r>
              <w:rPr>
                <w:rFonts w:hint="default" w:ascii="Times New Roman" w:hAnsi="Times New Roman" w:eastAsia="宋体" w:cs="Times New Roman"/>
                <w:color w:val="auto"/>
                <w:kern w:val="0"/>
                <w:sz w:val="24"/>
                <w:szCs w:val="24"/>
                <w:lang w:val="en-US" w:eastAsia="zh-CN" w:bidi="en-US"/>
              </w:rPr>
              <w:t>三线一单</w:t>
            </w:r>
            <w:r>
              <w:rPr>
                <w:rFonts w:hint="eastAsia" w:ascii="Times New Roman" w:hAnsi="Times New Roman" w:eastAsia="宋体" w:cs="Times New Roman"/>
                <w:color w:val="auto"/>
                <w:kern w:val="0"/>
                <w:sz w:val="24"/>
                <w:szCs w:val="24"/>
                <w:lang w:val="en-US" w:eastAsia="zh-CN" w:bidi="en-US"/>
              </w:rPr>
              <w:t>”</w:t>
            </w:r>
            <w:r>
              <w:rPr>
                <w:rFonts w:hint="eastAsia" w:ascii="Times New Roman" w:hAnsi="Times New Roman" w:eastAsia="宋体" w:cs="Times New Roman"/>
                <w:color w:val="auto"/>
                <w:sz w:val="24"/>
                <w:szCs w:val="24"/>
                <w:lang w:val="en-US" w:eastAsia="zh-CN"/>
              </w:rPr>
              <w:t>2023年度动态更新成果》未发布</w:t>
            </w:r>
            <w:r>
              <w:rPr>
                <w:rFonts w:hint="eastAsia" w:cs="Times New Roman"/>
                <w:color w:val="auto"/>
                <w:sz w:val="24"/>
                <w:szCs w:val="24"/>
                <w:lang w:val="en-US" w:eastAsia="zh-CN"/>
              </w:rPr>
              <w:t>，在</w:t>
            </w:r>
            <w:r>
              <w:rPr>
                <w:rFonts w:hint="eastAsia" w:ascii="Times New Roman" w:hAnsi="Times New Roman" w:eastAsia="宋体" w:cs="Times New Roman"/>
                <w:color w:val="auto"/>
                <w:sz w:val="24"/>
                <w:szCs w:val="24"/>
                <w:lang w:val="en-US" w:eastAsia="zh-CN"/>
              </w:rPr>
              <w:t>《昌吉回族自治州</w:t>
            </w:r>
            <w:r>
              <w:rPr>
                <w:rFonts w:hint="eastAsia" w:ascii="Times New Roman" w:hAnsi="Times New Roman" w:eastAsia="宋体" w:cs="Times New Roman"/>
                <w:color w:val="auto"/>
                <w:kern w:val="0"/>
                <w:sz w:val="24"/>
                <w:szCs w:val="24"/>
                <w:lang w:val="en-US" w:eastAsia="zh-CN" w:bidi="en-US"/>
              </w:rPr>
              <w:t>“</w:t>
            </w:r>
            <w:r>
              <w:rPr>
                <w:rFonts w:hint="default" w:ascii="Times New Roman" w:hAnsi="Times New Roman" w:eastAsia="宋体" w:cs="Times New Roman"/>
                <w:color w:val="auto"/>
                <w:kern w:val="0"/>
                <w:sz w:val="24"/>
                <w:szCs w:val="24"/>
                <w:lang w:val="en-US" w:eastAsia="zh-CN" w:bidi="en-US"/>
              </w:rPr>
              <w:t>三线一单</w:t>
            </w:r>
            <w:r>
              <w:rPr>
                <w:rFonts w:hint="eastAsia" w:ascii="Times New Roman" w:hAnsi="Times New Roman" w:eastAsia="宋体" w:cs="Times New Roman"/>
                <w:color w:val="auto"/>
                <w:kern w:val="0"/>
                <w:sz w:val="24"/>
                <w:szCs w:val="24"/>
                <w:lang w:val="en-US" w:eastAsia="zh-CN" w:bidi="en-US"/>
              </w:rPr>
              <w:t>”</w:t>
            </w:r>
            <w:r>
              <w:rPr>
                <w:rFonts w:hint="eastAsia" w:ascii="Times New Roman" w:hAnsi="Times New Roman" w:eastAsia="宋体" w:cs="Times New Roman"/>
                <w:color w:val="auto"/>
                <w:sz w:val="24"/>
                <w:szCs w:val="24"/>
                <w:lang w:val="en-US" w:eastAsia="zh-CN"/>
              </w:rPr>
              <w:t>2023年度动态更新成果》</w:t>
            </w:r>
            <w:r>
              <w:rPr>
                <w:rFonts w:hint="eastAsia" w:cs="Times New Roman"/>
                <w:color w:val="auto"/>
                <w:sz w:val="24"/>
                <w:szCs w:val="24"/>
                <w:lang w:val="en-US" w:eastAsia="zh-CN"/>
              </w:rPr>
              <w:t>（上报稿）中，项目所在</w:t>
            </w:r>
            <w:r>
              <w:rPr>
                <w:rFonts w:hint="default" w:ascii="Times New Roman" w:hAnsi="Times New Roman" w:eastAsia="宋体" w:cs="Times New Roman"/>
                <w:sz w:val="24"/>
                <w:szCs w:val="24"/>
                <w:lang w:val="en-US" w:eastAsia="zh-CN" w:bidi="ar-SA"/>
              </w:rPr>
              <w:t>苏通小微创业园</w:t>
            </w:r>
            <w:r>
              <w:rPr>
                <w:rFonts w:hint="eastAsia" w:cs="Times New Roman"/>
                <w:sz w:val="24"/>
                <w:szCs w:val="24"/>
                <w:lang w:val="en-US" w:eastAsia="zh-CN" w:bidi="ar-SA"/>
              </w:rPr>
              <w:t>相关管控要求未发生变化</w:t>
            </w:r>
            <w:r>
              <w:rPr>
                <w:rFonts w:hint="eastAsia" w:ascii="Times New Roman" w:hAnsi="Times New Roman" w:eastAsia="宋体" w:cs="Times New Roman"/>
                <w:color w:val="auto"/>
                <w:sz w:val="24"/>
                <w:szCs w:val="24"/>
                <w:lang w:val="en-US" w:eastAsia="zh-CN"/>
              </w:rPr>
              <w:t>，因此仍按照</w:t>
            </w:r>
            <w:r>
              <w:rPr>
                <w:rFonts w:hint="default" w:ascii="Times New Roman" w:hAnsi="Times New Roman" w:eastAsia="宋体" w:cs="Times New Roman"/>
                <w:color w:val="auto"/>
                <w:kern w:val="0"/>
                <w:sz w:val="24"/>
                <w:szCs w:val="24"/>
                <w:lang w:val="en-US" w:eastAsia="zh-CN" w:bidi="en-US"/>
              </w:rPr>
              <w:t>《</w:t>
            </w:r>
            <w:r>
              <w:rPr>
                <w:rFonts w:hint="eastAsia" w:ascii="Times New Roman" w:hAnsi="Times New Roman" w:eastAsia="宋体" w:cs="Times New Roman"/>
                <w:color w:val="000000"/>
                <w:kern w:val="2"/>
                <w:sz w:val="24"/>
                <w:szCs w:val="24"/>
                <w:highlight w:val="none"/>
                <w:lang w:val="en-US" w:eastAsia="zh-CN" w:bidi="ar-SA"/>
              </w:rPr>
              <w:t>昌吉回族自治州“三线一单”生态环境分区管控方案及生态环境准入清单</w:t>
            </w:r>
            <w:r>
              <w:rPr>
                <w:rFonts w:hint="default" w:ascii="Times New Roman" w:hAnsi="Times New Roman" w:eastAsia="宋体" w:cs="Times New Roman"/>
                <w:color w:val="auto"/>
                <w:kern w:val="0"/>
                <w:sz w:val="24"/>
                <w:szCs w:val="24"/>
                <w:lang w:val="en-US" w:eastAsia="zh-CN" w:bidi="en-US"/>
              </w:rPr>
              <w:t>》</w:t>
            </w:r>
            <w:r>
              <w:rPr>
                <w:rFonts w:hint="eastAsia" w:cs="Times New Roman"/>
                <w:color w:val="auto"/>
                <w:kern w:val="2"/>
                <w:sz w:val="24"/>
                <w:szCs w:val="24"/>
                <w:lang w:val="en-US" w:eastAsia="zh-CN" w:bidi="ar-SA"/>
              </w:rPr>
              <w:t>进行符合性分析。</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为贯彻落实《中共中央 国务院关于</w:t>
            </w:r>
            <w:bookmarkStart w:id="122" w:name="_GoBack"/>
            <w:bookmarkEnd w:id="122"/>
            <w:r>
              <w:rPr>
                <w:rFonts w:hint="default" w:ascii="Times New Roman" w:hAnsi="Times New Roman" w:eastAsia="宋体" w:cs="Times New Roman"/>
                <w:color w:val="000000"/>
                <w:kern w:val="2"/>
                <w:sz w:val="24"/>
                <w:szCs w:val="24"/>
                <w:highlight w:val="none"/>
                <w:lang w:val="en-US" w:eastAsia="zh-CN" w:bidi="ar-SA"/>
              </w:rPr>
              <w:t>全面加强生态环境保护坚决打好污染防治攻坚战的意见》、《自治区党委 自治区人民政府关于全面加强生态环境保护坚决打好污染防治攻坚战实施方案》和《自治州党委 自治州人民政府关于全面加强生态环境保护坚决打好污染防治攻坚战实施方案》，落实《新疆维吾尔自治区</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三线一单</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生态环境分区管控方案》，按照生态环境部和自治区生态环境厅统一部署，自治州组织编制了</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生态保护红线、环境质量底线、资源利用上线和生态环境准入清单</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（以下简称</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三线一单</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），现就实施</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三线一单</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生态环境分区管控，制定</w:t>
            </w:r>
            <w:r>
              <w:rPr>
                <w:rFonts w:hint="eastAsia" w:ascii="Times New Roman" w:hAnsi="Times New Roman" w:eastAsia="宋体" w:cs="Times New Roman"/>
                <w:color w:val="000000"/>
                <w:kern w:val="2"/>
                <w:sz w:val="24"/>
                <w:szCs w:val="24"/>
                <w:highlight w:val="none"/>
                <w:lang w:val="en-US" w:eastAsia="zh-CN" w:bidi="ar-SA"/>
              </w:rPr>
              <w:t>《昌吉回族自治州“三线一单”生态环境分区管控方案及生态环境准入清单》</w:t>
            </w:r>
            <w:r>
              <w:rPr>
                <w:rFonts w:hint="default" w:ascii="Times New Roman" w:hAnsi="Times New Roman" w:eastAsia="宋体" w:cs="Times New Roman"/>
                <w:color w:val="000000"/>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（1）生态保护红线</w:t>
            </w:r>
          </w:p>
          <w:p>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按照</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生态功能不降低、面积不减少、性质不改变</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的基本要求，生态空间得到优化和保护，生态保护红线得到严格管控。生态功能保持稳定，生物多样性水平稳步提升，生态空间保护体系基本建立。</w:t>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shd w:val="clear" w:color="auto" w:fill="FFFFFF"/>
                <w:lang w:val="en-US" w:eastAsia="zh-CN" w:bidi="ar-SA"/>
              </w:rPr>
              <w:t>本项目位于</w:t>
            </w:r>
            <w:r>
              <w:rPr>
                <w:rFonts w:hint="default" w:ascii="Times New Roman" w:hAnsi="Times New Roman" w:eastAsia="宋体" w:cs="Times New Roman"/>
                <w:sz w:val="24"/>
                <w:szCs w:val="24"/>
                <w:lang w:val="en-US" w:eastAsia="zh-CN" w:bidi="ar-SA"/>
              </w:rPr>
              <w:t>苏通小微创业园</w:t>
            </w:r>
            <w:r>
              <w:rPr>
                <w:rFonts w:hint="eastAsia" w:ascii="Times New Roman" w:hAnsi="Times New Roman" w:eastAsia="宋体" w:cs="Times New Roman"/>
                <w:b w:val="0"/>
                <w:bCs w:val="0"/>
                <w:kern w:val="2"/>
                <w:sz w:val="24"/>
                <w:szCs w:val="24"/>
                <w:shd w:val="clear" w:color="auto" w:fill="FFFFFF"/>
                <w:lang w:val="en-US" w:eastAsia="zh-CN" w:bidi="ar-SA"/>
              </w:rPr>
              <w:t>，属于</w:t>
            </w:r>
            <w:r>
              <w:rPr>
                <w:rFonts w:hint="eastAsia" w:ascii="Times New Roman" w:hAnsi="Times New Roman" w:eastAsia="宋体" w:cs="Times New Roman"/>
                <w:color w:val="000000"/>
                <w:kern w:val="2"/>
                <w:sz w:val="24"/>
                <w:szCs w:val="24"/>
                <w:highlight w:val="none"/>
                <w:lang w:val="en-US" w:eastAsia="zh-CN" w:bidi="ar-SA"/>
              </w:rPr>
              <w:t>《昌吉回族自治州“三线一单”生态环境分区管控方案及生态环境准入清单》</w:t>
            </w:r>
            <w:r>
              <w:rPr>
                <w:rFonts w:hint="eastAsia" w:cs="Times New Roman"/>
                <w:color w:val="000000"/>
                <w:kern w:val="2"/>
                <w:sz w:val="24"/>
                <w:szCs w:val="24"/>
                <w:highlight w:val="none"/>
                <w:lang w:val="en-US" w:eastAsia="zh-CN" w:bidi="ar-SA"/>
              </w:rPr>
              <w:t>划定的</w:t>
            </w:r>
            <w:r>
              <w:rPr>
                <w:rFonts w:hint="eastAsia" w:ascii="Times New Roman" w:hAnsi="Times New Roman" w:eastAsia="宋体" w:cs="Times New Roman"/>
                <w:b w:val="0"/>
                <w:bCs w:val="0"/>
                <w:kern w:val="2"/>
                <w:sz w:val="24"/>
                <w:szCs w:val="24"/>
                <w:shd w:val="clear" w:color="auto" w:fill="FFFFFF"/>
                <w:lang w:val="en-US" w:eastAsia="zh-CN" w:bidi="ar-SA"/>
              </w:rPr>
              <w:t>阜康高新技术产业开发区重点管控单元，环境管控单元编码为ZH65230220002，</w:t>
            </w:r>
            <w:r>
              <w:rPr>
                <w:rFonts w:hint="eastAsia" w:ascii="Times New Roman" w:hAnsi="Times New Roman" w:eastAsia="宋体" w:cs="Times New Roman"/>
                <w:bCs/>
                <w:color w:val="auto"/>
                <w:sz w:val="24"/>
                <w:lang w:val="en-US" w:eastAsia="zh-CN"/>
              </w:rPr>
              <w:t>不涉及生态保护红线，项目所在区域不存在自然保护区、风景名胜区、饮用水水源保护区等需要特别保护的区域，不属于禁止建设开发区和限制建设开发区，符合生态保护红线的要求</w:t>
            </w:r>
            <w:r>
              <w:rPr>
                <w:rFonts w:hint="eastAsia" w:ascii="Times New Roman" w:hAnsi="Times New Roman" w:eastAsia="宋体" w:cs="Times New Roman"/>
                <w:kern w:val="2"/>
                <w:sz w:val="24"/>
                <w:szCs w:val="24"/>
                <w:shd w:val="clear" w:color="auto" w:fill="FFFFFF"/>
                <w:lang w:val="en-US" w:eastAsia="zh-CN" w:bidi="ar-SA"/>
              </w:rPr>
              <w:t>，</w:t>
            </w:r>
            <w:r>
              <w:rPr>
                <w:rFonts w:ascii="Times New Roman" w:hAnsi="Times New Roman" w:eastAsia="宋体" w:cs="宋体"/>
              </w:rPr>
              <w:t>不会影响所在区域内生态功能</w:t>
            </w:r>
            <w:r>
              <w:rPr>
                <w:rFonts w:hint="eastAsia" w:ascii="Times New Roman" w:hAnsi="Times New Roman" w:eastAsia="宋体" w:cs="宋体"/>
                <w:lang w:val="en-US" w:eastAsia="zh-CN"/>
              </w:rPr>
              <w:t>和性质</w:t>
            </w:r>
            <w:r>
              <w:rPr>
                <w:rFonts w:hint="default"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本项目环境单元分区图见图1.3-1。</w:t>
            </w:r>
          </w:p>
          <w:p>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（2）环境质量底线</w:t>
            </w:r>
          </w:p>
          <w:p>
            <w:pPr>
              <w:widowControl w:val="0"/>
              <w:overflowPunct w:val="0"/>
              <w:autoSpaceDE w:val="0"/>
              <w:autoSpaceDN w:val="0"/>
              <w:adjustRightInd w:val="0"/>
              <w:snapToGrid w:val="0"/>
              <w:spacing w:before="0" w:after="0" w:line="360" w:lineRule="auto"/>
              <w:ind w:left="0" w:right="0" w:firstLine="480" w:firstLineChars="200"/>
              <w:jc w:val="both"/>
              <w:rPr>
                <w:rFonts w:ascii="Times New Roman" w:hAnsi="Times New Roman" w:eastAsia="宋体" w:cs="宋体"/>
              </w:rPr>
            </w:pPr>
            <w:r>
              <w:rPr>
                <w:rFonts w:hint="eastAsia" w:ascii="Times New Roman" w:hAnsi="Times New Roman" w:eastAsia="宋体" w:cs="宋体"/>
              </w:rPr>
              <w:t>全州环境空气质量有所提升，重污染天数持续减少，已达标城市环境空气质量保持稳定，未达标城市环境空气质量持续改善；</w:t>
            </w:r>
            <w:r>
              <w:rPr>
                <w:rFonts w:ascii="Times New Roman" w:hAnsi="Times New Roman" w:eastAsia="宋体" w:cs="宋体"/>
              </w:rPr>
              <w:t>全州河流、湖库及城镇集中式饮用水水源地水质稳中向好。地下水质量考核点位水质级别保持稳定，地下水污染风险得到有效控制</w:t>
            </w:r>
            <w:r>
              <w:rPr>
                <w:rFonts w:hint="eastAsia" w:ascii="Times New Roman" w:hAnsi="Times New Roman" w:eastAsia="宋体" w:cs="宋体"/>
              </w:rPr>
              <w:t>，地下水超采得到严格控制；全州土壤环境质量保持稳定，污染地块安全利用水平稳中有升，土壤环境风险得到进一步管控。</w:t>
            </w:r>
          </w:p>
          <w:p>
            <w:pPr>
              <w:widowControl w:val="0"/>
              <w:overflowPunct w:val="0"/>
              <w:autoSpaceDE w:val="0"/>
              <w:autoSpaceDN w:val="0"/>
              <w:adjustRightInd w:val="0"/>
              <w:snapToGrid w:val="0"/>
              <w:spacing w:before="0" w:after="0" w:line="360" w:lineRule="auto"/>
              <w:ind w:left="0" w:right="0" w:firstLine="480" w:firstLineChars="200"/>
              <w:jc w:val="both"/>
              <w:rPr>
                <w:rFonts w:hint="eastAsia" w:ascii="Times New Roman" w:hAnsi="Times New Roman" w:eastAsia="宋体" w:cs="宋体"/>
                <w:lang w:eastAsia="zh-CN"/>
              </w:rPr>
            </w:pPr>
            <w:r>
              <w:rPr>
                <w:rFonts w:ascii="Times New Roman" w:hAnsi="Times New Roman" w:eastAsia="宋体" w:cs="宋体"/>
              </w:rPr>
              <w:t>本项目施工期产生的废气、废水、固体废物、噪声对区域环境影响较小，且随施工结束而消失；营运期项目</w:t>
            </w:r>
            <w:r>
              <w:rPr>
                <w:rFonts w:hint="eastAsia" w:ascii="Times New Roman" w:hAnsi="Times New Roman" w:eastAsia="宋体" w:cs="宋体"/>
                <w:lang w:val="en-US" w:eastAsia="zh-CN"/>
              </w:rPr>
              <w:t>新增生活污水排入园区管网，不排入地表水体，对周边环境影响较小，</w:t>
            </w:r>
            <w:r>
              <w:rPr>
                <w:rFonts w:hint="default" w:ascii="Times New Roman" w:hAnsi="Times New Roman" w:eastAsia="宋体" w:cs="宋体"/>
                <w:lang w:val="en-US" w:eastAsia="zh-CN"/>
              </w:rPr>
              <w:t>项目厂区</w:t>
            </w:r>
            <w:r>
              <w:rPr>
                <w:rFonts w:hint="eastAsia" w:ascii="Times New Roman" w:hAnsi="Times New Roman" w:eastAsia="宋体" w:cs="宋体"/>
                <w:lang w:val="en-US" w:eastAsia="zh-CN"/>
              </w:rPr>
              <w:t>已</w:t>
            </w:r>
            <w:r>
              <w:rPr>
                <w:rFonts w:hint="default" w:ascii="Times New Roman" w:hAnsi="Times New Roman" w:eastAsia="宋体" w:cs="宋体"/>
                <w:lang w:val="en-US" w:eastAsia="zh-CN"/>
              </w:rPr>
              <w:t>采取防渗措施，可确保不对地下水</w:t>
            </w:r>
            <w:r>
              <w:rPr>
                <w:rFonts w:hint="eastAsia" w:ascii="Times New Roman" w:hAnsi="Times New Roman" w:eastAsia="宋体" w:cs="宋体"/>
                <w:lang w:val="en-US" w:eastAsia="zh-CN"/>
              </w:rPr>
              <w:t>、土壤</w:t>
            </w:r>
            <w:r>
              <w:rPr>
                <w:rFonts w:hint="default" w:ascii="Times New Roman" w:hAnsi="Times New Roman" w:eastAsia="宋体" w:cs="宋体"/>
                <w:lang w:val="en-US" w:eastAsia="zh-CN"/>
              </w:rPr>
              <w:t>造成污染。</w:t>
            </w:r>
            <w:r>
              <w:rPr>
                <w:rFonts w:hint="eastAsia" w:ascii="Times New Roman" w:hAnsi="Times New Roman" w:eastAsia="宋体" w:cs="宋体"/>
                <w:lang w:val="en-US" w:eastAsia="zh-CN"/>
              </w:rPr>
              <w:t>本项目产生的废气经处理后可实现达标排放，不会对区域环境质量造成破坏影响。根据本次评价大气环境影响估算结果，本项目排放的污染物最大落地浓度最大值满足环境质量标准要求。本项目生活垃圾集中收集后，委托园区环卫部门定期清运。工业固废均得到合理处置。</w:t>
            </w:r>
          </w:p>
          <w:p>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宋体"/>
                <w:lang w:val="en-US" w:eastAsia="zh-CN"/>
              </w:rPr>
              <w:t>本项目废水对地下水影响较小；项目废气污染物产生量较小，经合理处置后对区域环境空气质量影响较小；项目建设对周边生态、土壤影响较小，不会突破环境质量底线。</w:t>
            </w:r>
          </w:p>
          <w:p>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（3）资源利用上线</w:t>
            </w:r>
          </w:p>
          <w:p>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宋体"/>
                <w:lang w:val="en-US" w:eastAsia="zh-CN"/>
              </w:rPr>
            </w:pPr>
            <w:r>
              <w:rPr>
                <w:rFonts w:hint="default" w:ascii="Times New Roman" w:hAnsi="Times New Roman" w:eastAsia="宋体" w:cs="宋体"/>
                <w:lang w:val="en-US" w:eastAsia="zh-CN"/>
              </w:rPr>
              <w:t>强化节约集约利用，持续提升资源能源利用效率，水资源、土地资源、能源消耗等达到自治区、自治州下达的总量和强度控制目标。加快区域低碳发展，积极推动昌吉市国家级低碳试点城市发挥低碳试点示范和引领作用。</w:t>
            </w:r>
          </w:p>
          <w:p>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本项目</w:t>
            </w:r>
            <w:r>
              <w:rPr>
                <w:rFonts w:hint="eastAsia" w:ascii="Times New Roman" w:hAnsi="Times New Roman" w:eastAsia="宋体" w:cs="Times New Roman"/>
                <w:b w:val="0"/>
                <w:bCs w:val="0"/>
                <w:color w:val="auto"/>
                <w:kern w:val="2"/>
                <w:sz w:val="24"/>
                <w:szCs w:val="24"/>
                <w:lang w:val="en-US" w:eastAsia="zh-CN" w:bidi="ar-SA"/>
              </w:rPr>
              <w:t>挤塑、挤护外套工段均采用电加热，因此本项目不消耗煤炭、燃气等资源</w:t>
            </w:r>
            <w:r>
              <w:rPr>
                <w:rFonts w:hint="default" w:ascii="Times New Roman" w:hAnsi="Times New Roman" w:eastAsia="宋体" w:cs="Times New Roman"/>
                <w:b w:val="0"/>
                <w:bCs w:val="0"/>
                <w:color w:val="auto"/>
                <w:kern w:val="2"/>
                <w:sz w:val="24"/>
                <w:szCs w:val="24"/>
                <w:lang w:val="en-US" w:eastAsia="zh-CN" w:bidi="ar-SA"/>
              </w:rPr>
              <w:t>；建设项目用水主要为</w:t>
            </w:r>
            <w:r>
              <w:rPr>
                <w:rFonts w:hint="eastAsia" w:ascii="Times New Roman" w:hAnsi="Times New Roman" w:eastAsia="宋体" w:cs="Times New Roman"/>
                <w:b w:val="0"/>
                <w:bCs w:val="0"/>
                <w:color w:val="auto"/>
                <w:kern w:val="2"/>
                <w:sz w:val="24"/>
                <w:szCs w:val="24"/>
                <w:lang w:val="en-US" w:eastAsia="zh-CN" w:bidi="ar-SA"/>
              </w:rPr>
              <w:t>少量生产用水</w:t>
            </w:r>
            <w:r>
              <w:rPr>
                <w:rFonts w:hint="default" w:ascii="Times New Roman" w:hAnsi="Times New Roman" w:eastAsia="宋体" w:cs="Times New Roman"/>
                <w:b w:val="0"/>
                <w:bCs w:val="0"/>
                <w:color w:val="auto"/>
                <w:kern w:val="2"/>
                <w:sz w:val="24"/>
                <w:szCs w:val="24"/>
                <w:lang w:val="en-US" w:eastAsia="zh-CN" w:bidi="ar-SA"/>
              </w:rPr>
              <w:t>和生活用水，项目用水</w:t>
            </w:r>
            <w:r>
              <w:rPr>
                <w:rFonts w:hint="eastAsia" w:ascii="Times New Roman" w:hAnsi="Times New Roman" w:eastAsia="宋体" w:cs="Times New Roman"/>
                <w:b w:val="0"/>
                <w:bCs w:val="0"/>
                <w:color w:val="auto"/>
                <w:kern w:val="2"/>
                <w:sz w:val="24"/>
                <w:szCs w:val="24"/>
                <w:lang w:val="en-US" w:eastAsia="zh-CN" w:bidi="ar-SA"/>
              </w:rPr>
              <w:t>来自园区供</w:t>
            </w:r>
            <w:r>
              <w:rPr>
                <w:rFonts w:hint="default" w:ascii="Times New Roman" w:hAnsi="Times New Roman" w:eastAsia="宋体" w:cs="Times New Roman"/>
                <w:b w:val="0"/>
                <w:bCs w:val="0"/>
                <w:color w:val="auto"/>
                <w:kern w:val="2"/>
                <w:sz w:val="24"/>
                <w:szCs w:val="24"/>
                <w:lang w:val="en-US" w:eastAsia="zh-CN" w:bidi="ar-SA"/>
              </w:rPr>
              <w:t>水管网，</w:t>
            </w:r>
            <w:r>
              <w:rPr>
                <w:rFonts w:hint="eastAsia" w:ascii="Times New Roman" w:hAnsi="Times New Roman" w:eastAsia="宋体" w:cs="Times New Roman"/>
                <w:b w:val="0"/>
                <w:bCs w:val="0"/>
                <w:color w:val="auto"/>
                <w:kern w:val="2"/>
                <w:sz w:val="24"/>
                <w:szCs w:val="24"/>
                <w:lang w:val="en-US" w:eastAsia="zh-CN" w:bidi="ar-SA"/>
              </w:rPr>
              <w:t>规划</w:t>
            </w:r>
            <w:r>
              <w:rPr>
                <w:rFonts w:hint="default" w:ascii="Times New Roman" w:hAnsi="Times New Roman" w:eastAsia="宋体" w:cs="Times New Roman"/>
                <w:b w:val="0"/>
                <w:bCs w:val="0"/>
                <w:color w:val="auto"/>
                <w:kern w:val="2"/>
                <w:sz w:val="24"/>
                <w:szCs w:val="24"/>
                <w:lang w:val="en-US" w:eastAsia="zh-CN" w:bidi="ar-SA"/>
              </w:rPr>
              <w:t>水量充足，不会达到资源利用上限；项目每年用电</w:t>
            </w:r>
            <w:r>
              <w:rPr>
                <w:rFonts w:hint="eastAsia" w:ascii="Times New Roman" w:hAnsi="Times New Roman" w:eastAsia="宋体" w:cs="Times New Roman"/>
                <w:b w:val="0"/>
                <w:bCs w:val="0"/>
                <w:color w:val="auto"/>
                <w:kern w:val="2"/>
                <w:sz w:val="24"/>
                <w:szCs w:val="24"/>
                <w:highlight w:val="none"/>
                <w:lang w:val="en-US" w:eastAsia="zh-CN" w:bidi="ar-SA"/>
              </w:rPr>
              <w:t>30</w:t>
            </w:r>
            <w:r>
              <w:rPr>
                <w:rFonts w:hint="default" w:ascii="Times New Roman" w:hAnsi="Times New Roman" w:eastAsia="宋体" w:cs="Times New Roman"/>
                <w:b w:val="0"/>
                <w:bCs w:val="0"/>
                <w:color w:val="auto"/>
                <w:kern w:val="2"/>
                <w:sz w:val="24"/>
                <w:szCs w:val="24"/>
                <w:lang w:val="en-US" w:eastAsia="zh-CN" w:bidi="ar-SA"/>
              </w:rPr>
              <w:t>万度，不会达到供电量使用上限；项目</w:t>
            </w:r>
            <w:r>
              <w:rPr>
                <w:rFonts w:hint="eastAsia" w:ascii="Times New Roman" w:hAnsi="Times New Roman" w:eastAsia="宋体" w:cs="Times New Roman"/>
                <w:b w:val="0"/>
                <w:bCs w:val="0"/>
                <w:color w:val="auto"/>
                <w:kern w:val="2"/>
                <w:sz w:val="24"/>
                <w:szCs w:val="24"/>
                <w:lang w:val="en-US" w:eastAsia="zh-CN" w:bidi="ar-SA"/>
              </w:rPr>
              <w:t>用地</w:t>
            </w:r>
            <w:r>
              <w:rPr>
                <w:rFonts w:hint="default" w:ascii="Times New Roman" w:hAnsi="Times New Roman" w:eastAsia="宋体" w:cs="Times New Roman"/>
                <w:b w:val="0"/>
                <w:bCs w:val="0"/>
                <w:color w:val="auto"/>
                <w:kern w:val="2"/>
                <w:sz w:val="24"/>
                <w:szCs w:val="24"/>
                <w:lang w:val="en-US" w:eastAsia="zh-CN" w:bidi="ar-SA"/>
              </w:rPr>
              <w:t>为租赁新疆伟康高科管业有限公司</w:t>
            </w:r>
            <w:r>
              <w:rPr>
                <w:rFonts w:hint="eastAsia" w:ascii="Times New Roman" w:hAnsi="Times New Roman" w:eastAsia="宋体" w:cs="Times New Roman"/>
                <w:b w:val="0"/>
                <w:bCs w:val="0"/>
                <w:color w:val="auto"/>
                <w:kern w:val="2"/>
                <w:sz w:val="24"/>
                <w:szCs w:val="24"/>
                <w:lang w:val="en-US" w:eastAsia="zh-CN" w:bidi="ar-SA"/>
              </w:rPr>
              <w:t>现有厂房，未新增建设用地</w:t>
            </w:r>
            <w:r>
              <w:rPr>
                <w:rFonts w:hint="default" w:ascii="Times New Roman" w:hAnsi="Times New Roman" w:eastAsia="宋体" w:cs="Times New Roman"/>
                <w:b w:val="0"/>
                <w:bCs w:val="0"/>
                <w:color w:val="auto"/>
                <w:kern w:val="2"/>
                <w:sz w:val="24"/>
                <w:szCs w:val="24"/>
                <w:lang w:val="en-US" w:eastAsia="zh-CN" w:bidi="ar-SA"/>
              </w:rPr>
              <w:t>，土地利用不会突破区域土地资源上限。满足能源利用上线的要求。</w:t>
            </w:r>
          </w:p>
          <w:p>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生态环境准入</w:t>
            </w:r>
            <w:r>
              <w:rPr>
                <w:rFonts w:hint="default" w:ascii="Times New Roman" w:hAnsi="Times New Roman" w:eastAsia="宋体" w:cs="Times New Roman"/>
                <w:kern w:val="2"/>
                <w:sz w:val="24"/>
                <w:szCs w:val="24"/>
                <w:lang w:val="en-US" w:eastAsia="zh-CN" w:bidi="ar-SA"/>
              </w:rPr>
              <w:t>清单</w:t>
            </w:r>
          </w:p>
          <w:p>
            <w:pPr>
              <w:keepNext w:val="0"/>
              <w:keepLines w:val="0"/>
              <w:pageBreakBefore w:val="0"/>
              <w:widowControl w:val="0"/>
              <w:kinsoku/>
              <w:wordWrap/>
              <w:overflowPunct/>
              <w:topLinePunct w:val="0"/>
              <w:autoSpaceDE/>
              <w:autoSpaceDN/>
              <w:bidi w:val="0"/>
              <w:adjustRightInd/>
              <w:snapToGrid/>
              <w:spacing w:line="360" w:lineRule="auto"/>
              <w:ind w:firstLine="51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位于阜康市划定的重点管控单元内，位于阜康高新技术产业开发区重点管控单元，本项目符合《昌吉回族自治州区域空间生态环境评价暨“三线一单”生态环境准入清单》阜康市重点管控单元空间布局约束，不属于新、改、扩建“两高”（高污染、高耗能）行业项目，符合园区产业发展定位，执行自治区、乌昌石片区总体准入要求中关于重点管控单元空间布局约束的准入要求。</w:t>
            </w:r>
          </w:p>
          <w:p>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本项目与阜康高新技术产业开发区管控单元要求符合性见表1.3-1。</w:t>
            </w:r>
          </w:p>
          <w:p>
            <w:pPr>
              <w:overflowPunct w:val="0"/>
              <w:autoSpaceDE w:val="0"/>
              <w:autoSpaceDN w:val="0"/>
              <w:adjustRightInd w:val="0"/>
              <w:snapToGrid w:val="0"/>
              <w:spacing w:before="0" w:after="0" w:line="360" w:lineRule="auto"/>
              <w:ind w:right="0"/>
              <w:jc w:val="center"/>
              <w:rPr>
                <w:rFonts w:hint="default" w:ascii="Times New Roman" w:hAnsi="Times New Roman" w:eastAsia="宋体" w:cs="宋体"/>
                <w:b/>
                <w:bCs/>
                <w:lang w:val="en-US" w:eastAsia="zh-CN"/>
              </w:rPr>
            </w:pPr>
            <w:r>
              <w:rPr>
                <w:rFonts w:hint="eastAsia" w:ascii="Times New Roman" w:hAnsi="Times New Roman" w:eastAsia="宋体" w:cs="宋体"/>
                <w:b/>
                <w:bCs/>
                <w:lang w:val="en-US" w:eastAsia="zh-CN"/>
              </w:rPr>
              <w:t>表1.3-1 本项目与阜康高新技术产业开发区重点管控单元要求符合性分析表</w:t>
            </w:r>
          </w:p>
          <w:tbl>
            <w:tblPr>
              <w:tblStyle w:val="14"/>
              <w:tblW w:w="71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7"/>
              <w:gridCol w:w="540"/>
              <w:gridCol w:w="855"/>
              <w:gridCol w:w="2745"/>
              <w:gridCol w:w="24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环境管控单元编码</w:t>
                  </w:r>
                </w:p>
              </w:tc>
              <w:tc>
                <w:tcPr>
                  <w:tcW w:w="540" w:type="dxa"/>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环境管控单元名称</w:t>
                  </w:r>
                </w:p>
              </w:tc>
              <w:tc>
                <w:tcPr>
                  <w:tcW w:w="3600" w:type="dxa"/>
                  <w:gridSpan w:val="2"/>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管控要求</w:t>
                  </w:r>
                </w:p>
              </w:tc>
              <w:tc>
                <w:tcPr>
                  <w:tcW w:w="2488" w:type="dxa"/>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本项目符合性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eastAsia" w:ascii="Times New Roman" w:hAnsi="Times New Roman" w:eastAsia="宋体" w:cs="宋体"/>
                      <w:color w:val="auto"/>
                      <w:kern w:val="0"/>
                      <w:sz w:val="21"/>
                      <w:szCs w:val="21"/>
                      <w:lang w:val="en-US" w:eastAsia="zh-CN" w:bidi="en-US"/>
                    </w:rPr>
                    <w:t>Z</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eastAsia" w:ascii="Times New Roman" w:hAnsi="Times New Roman" w:eastAsia="宋体" w:cs="宋体"/>
                      <w:color w:val="auto"/>
                      <w:kern w:val="0"/>
                      <w:sz w:val="21"/>
                      <w:szCs w:val="21"/>
                      <w:lang w:val="en-US" w:eastAsia="zh-CN" w:bidi="en-US"/>
                    </w:rPr>
                    <w:t>H</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eastAsia" w:ascii="Times New Roman" w:hAnsi="Times New Roman" w:eastAsia="宋体" w:cs="宋体"/>
                      <w:color w:val="auto"/>
                      <w:kern w:val="0"/>
                      <w:sz w:val="21"/>
                      <w:szCs w:val="21"/>
                      <w:lang w:val="en-US" w:eastAsia="zh-CN" w:bidi="en-US"/>
                    </w:rPr>
                    <w:t>6</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eastAsia" w:ascii="Times New Roman" w:hAnsi="Times New Roman" w:eastAsia="宋体" w:cs="宋体"/>
                      <w:color w:val="auto"/>
                      <w:kern w:val="0"/>
                      <w:sz w:val="21"/>
                      <w:szCs w:val="21"/>
                      <w:lang w:val="en-US" w:eastAsia="zh-CN" w:bidi="en-US"/>
                    </w:rPr>
                    <w:t>5</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eastAsia" w:ascii="Times New Roman" w:hAnsi="Times New Roman" w:eastAsia="宋体" w:cs="宋体"/>
                      <w:color w:val="auto"/>
                      <w:kern w:val="0"/>
                      <w:sz w:val="21"/>
                      <w:szCs w:val="21"/>
                      <w:lang w:val="en-US" w:eastAsia="zh-CN" w:bidi="en-US"/>
                    </w:rPr>
                    <w:t>2</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eastAsia" w:ascii="Times New Roman" w:hAnsi="Times New Roman" w:eastAsia="宋体" w:cs="宋体"/>
                      <w:color w:val="auto"/>
                      <w:kern w:val="0"/>
                      <w:sz w:val="21"/>
                      <w:szCs w:val="21"/>
                      <w:lang w:val="en-US" w:eastAsia="zh-CN" w:bidi="en-US"/>
                    </w:rPr>
                    <w:t>3</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eastAsia" w:ascii="Times New Roman" w:hAnsi="Times New Roman" w:eastAsia="宋体" w:cs="宋体"/>
                      <w:color w:val="auto"/>
                      <w:kern w:val="0"/>
                      <w:sz w:val="21"/>
                      <w:szCs w:val="21"/>
                      <w:lang w:val="en-US" w:eastAsia="zh-CN" w:bidi="en-US"/>
                    </w:rPr>
                    <w:t>0</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eastAsia" w:ascii="Times New Roman" w:hAnsi="Times New Roman" w:eastAsia="宋体" w:cs="宋体"/>
                      <w:color w:val="auto"/>
                      <w:kern w:val="0"/>
                      <w:sz w:val="21"/>
                      <w:szCs w:val="21"/>
                      <w:lang w:val="en-US" w:eastAsia="zh-CN" w:bidi="en-US"/>
                    </w:rPr>
                    <w:t>2</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eastAsia" w:ascii="Times New Roman" w:hAnsi="Times New Roman" w:eastAsia="宋体" w:cs="宋体"/>
                      <w:color w:val="auto"/>
                      <w:kern w:val="0"/>
                      <w:sz w:val="21"/>
                      <w:szCs w:val="21"/>
                      <w:lang w:val="en-US" w:eastAsia="zh-CN" w:bidi="en-US"/>
                    </w:rPr>
                    <w:t>2</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eastAsia" w:ascii="Times New Roman" w:hAnsi="Times New Roman" w:eastAsia="宋体" w:cs="宋体"/>
                      <w:color w:val="auto"/>
                      <w:kern w:val="0"/>
                      <w:sz w:val="21"/>
                      <w:szCs w:val="21"/>
                      <w:lang w:val="en-US" w:eastAsia="zh-CN" w:bidi="en-US"/>
                    </w:rPr>
                    <w:t>0</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eastAsia" w:ascii="Times New Roman" w:hAnsi="Times New Roman" w:eastAsia="宋体" w:cs="宋体"/>
                      <w:color w:val="auto"/>
                      <w:kern w:val="0"/>
                      <w:sz w:val="21"/>
                      <w:szCs w:val="21"/>
                      <w:lang w:val="en-US" w:eastAsia="zh-CN" w:bidi="en-US"/>
                    </w:rPr>
                    <w:t>0</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eastAsia" w:ascii="Times New Roman" w:hAnsi="Times New Roman" w:eastAsia="宋体" w:cs="宋体"/>
                      <w:color w:val="auto"/>
                      <w:kern w:val="0"/>
                      <w:sz w:val="21"/>
                      <w:szCs w:val="21"/>
                      <w:lang w:val="en-US" w:eastAsia="zh-CN" w:bidi="en-US"/>
                    </w:rPr>
                    <w:t>0</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eastAsia" w:ascii="Times New Roman" w:hAnsi="Times New Roman" w:eastAsia="宋体" w:cs="宋体"/>
                      <w:color w:val="auto"/>
                      <w:kern w:val="0"/>
                      <w:sz w:val="21"/>
                      <w:szCs w:val="21"/>
                      <w:lang w:val="en-US" w:eastAsia="zh-CN" w:bidi="en-US"/>
                    </w:rPr>
                    <w:t>1</w:t>
                  </w:r>
                </w:p>
              </w:tc>
              <w:tc>
                <w:tcPr>
                  <w:tcW w:w="5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阜</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康</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高</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新</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技</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术</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产</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业</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开</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发</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default" w:ascii="Times New Roman" w:hAnsi="Times New Roman" w:eastAsia="宋体" w:cs="宋体"/>
                      <w:color w:val="auto"/>
                      <w:kern w:val="0"/>
                      <w:sz w:val="21"/>
                      <w:szCs w:val="21"/>
                      <w:lang w:val="en-US" w:eastAsia="en-US" w:bidi="en-US"/>
                    </w:rPr>
                    <w:t>区</w:t>
                  </w:r>
                </w:p>
              </w:tc>
              <w:tc>
                <w:tcPr>
                  <w:tcW w:w="855" w:type="dxa"/>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空间布局约束</w:t>
                  </w:r>
                </w:p>
              </w:tc>
              <w:tc>
                <w:tcPr>
                  <w:tcW w:w="2745" w:type="dxa"/>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1、执行自治区、乌昌石片区总体准入要求中关于重点管控单元空间布局约束的准入要求。</w:t>
                  </w:r>
                </w:p>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2、入园企业需符合园区产业发展定位，产业发展以新型建材、优势果品及包装货运配送产业为主导。</w:t>
                  </w:r>
                </w:p>
              </w:tc>
              <w:tc>
                <w:tcPr>
                  <w:tcW w:w="2488" w:type="dxa"/>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本项目位于新疆昌吉回族自治州阜康市，为小微企业，生产电线电缆，符合产业政策以及园区产业要求，不属于焦化产业以及严重污染水环境项目。本项目新鲜水仅用于生活用水以及少量生产用水，严格控制新鲜水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continue"/>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p>
              </w:tc>
              <w:tc>
                <w:tcPr>
                  <w:tcW w:w="540" w:type="dxa"/>
                  <w:vMerge w:val="continue"/>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p>
              </w:tc>
              <w:tc>
                <w:tcPr>
                  <w:tcW w:w="855" w:type="dxa"/>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污染物排放管控</w:t>
                  </w:r>
                </w:p>
              </w:tc>
              <w:tc>
                <w:tcPr>
                  <w:tcW w:w="2745" w:type="dxa"/>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1、执行自治区、乌昌石片区总体准入要求中关于重点管控单元污染物排放管控的准入要求。</w:t>
                  </w:r>
                </w:p>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2、新（改、扩）建项目应执行最严格的大气污染物排放标准。</w:t>
                  </w:r>
                </w:p>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3、PM2.5年平均浓度不达标县市（园区），禁止新（改、扩）建未落实SO2、NOx、烟粉尘、挥发性有机物（VOCs）等四项大气污染物总量指标昌吉州区域内内倍量替代的项目。</w:t>
                  </w:r>
                </w:p>
              </w:tc>
              <w:tc>
                <w:tcPr>
                  <w:tcW w:w="2488" w:type="dxa"/>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本项目</w:t>
                  </w:r>
                  <w:r>
                    <w:rPr>
                      <w:rFonts w:hint="eastAsia" w:cs="Times New Roman"/>
                      <w:color w:val="auto"/>
                      <w:kern w:val="2"/>
                      <w:sz w:val="21"/>
                      <w:szCs w:val="24"/>
                      <w:vertAlign w:val="baseline"/>
                      <w:lang w:val="en-US" w:eastAsia="zh-CN" w:bidi="ar-SA"/>
                    </w:rPr>
                    <w:t>有组织</w:t>
                  </w:r>
                  <w:r>
                    <w:rPr>
                      <w:rFonts w:hint="eastAsia" w:ascii="Times New Roman" w:hAnsi="Times New Roman" w:eastAsia="宋体" w:cs="Times New Roman"/>
                      <w:color w:val="auto"/>
                      <w:kern w:val="2"/>
                      <w:sz w:val="21"/>
                      <w:szCs w:val="24"/>
                      <w:vertAlign w:val="baseline"/>
                      <w:lang w:val="en-US" w:eastAsia="zh-CN" w:bidi="ar-SA"/>
                    </w:rPr>
                    <w:t>废气</w:t>
                  </w:r>
                  <w:r>
                    <w:rPr>
                      <w:rFonts w:hint="eastAsia" w:cs="Times New Roman"/>
                      <w:color w:val="auto"/>
                      <w:kern w:val="2"/>
                      <w:sz w:val="21"/>
                      <w:szCs w:val="24"/>
                      <w:vertAlign w:val="baseline"/>
                      <w:lang w:val="en-US" w:eastAsia="zh-CN" w:bidi="ar-SA"/>
                    </w:rPr>
                    <w:t>污染物非甲烷总经均满足《合成树脂工业污染物排放标准》（GB31572-2015）（含2024年修改单）中表5大气污染物特别排放限值，氯化氢满足</w:t>
                  </w:r>
                  <w:r>
                    <w:rPr>
                      <w:rFonts w:hint="eastAsia" w:cs="宋体"/>
                      <w:color w:val="000000"/>
                      <w:sz w:val="21"/>
                      <w:szCs w:val="24"/>
                      <w:lang w:val="en-US" w:eastAsia="zh-CN" w:bidi="ar-SA"/>
                    </w:rPr>
                    <w:t>《大气污染物综合排放标准》（GB 16297-1996）表2 新污染源大气污染物排放限值，臭气浓度排放满足《恶臭污染物排放标准》（GB14554-93）表2 恶臭污染物排放标准值</w:t>
                  </w:r>
                  <w:r>
                    <w:rPr>
                      <w:rFonts w:hint="eastAsia" w:cs="Times New Roman"/>
                      <w:color w:val="auto"/>
                      <w:kern w:val="2"/>
                      <w:sz w:val="21"/>
                      <w:szCs w:val="24"/>
                      <w:vertAlign w:val="baseline"/>
                      <w:lang w:val="en-US" w:eastAsia="zh-CN" w:bidi="ar-SA"/>
                    </w:rPr>
                    <w:t>，无组织非甲烷总烃、氯化氢、臭气浓度通过加强封闭式作业进行控制，无组织颗粒物设置移动式焊烟净化器进行控制，厂界非甲烷总烃满足《合成树脂工业污染物排放标准》（GB31572-2015）（含2024年修改单）中表9企业边界大气污染物浓度限值要求，厂界氯化氢、颗粒物满足</w:t>
                  </w:r>
                  <w:r>
                    <w:rPr>
                      <w:rFonts w:hint="eastAsia" w:cs="宋体"/>
                      <w:color w:val="000000"/>
                      <w:sz w:val="21"/>
                      <w:szCs w:val="24"/>
                      <w:lang w:val="en-US" w:eastAsia="zh-CN" w:bidi="ar-SA"/>
                    </w:rPr>
                    <w:t>《大气污染物综合排放标准》（GB 16297-1996）表2 新污染源大气污染物排放限值，臭气浓度满足</w:t>
                  </w:r>
                  <w:r>
                    <w:rPr>
                      <w:rFonts w:hint="eastAsia" w:ascii="Times New Roman" w:hAnsi="Times New Roman" w:eastAsia="宋体" w:cs="Times New Roman"/>
                      <w:kern w:val="2"/>
                      <w:sz w:val="21"/>
                      <w:szCs w:val="21"/>
                      <w:lang w:val="en-US" w:eastAsia="zh-CN" w:bidi="ar-SA"/>
                    </w:rPr>
                    <w:t>《恶臭污染物排放标准》（GB14554-93）表1 恶臭污染物厂界标准值中二级标准限值</w:t>
                  </w:r>
                  <w:r>
                    <w:rPr>
                      <w:rFonts w:hint="eastAsia" w:cs="Times New Roman"/>
                      <w:color w:val="auto"/>
                      <w:kern w:val="2"/>
                      <w:sz w:val="21"/>
                      <w:szCs w:val="24"/>
                      <w:vertAlign w:val="baseline"/>
                      <w:lang w:val="en-US" w:eastAsia="zh-CN" w:bidi="ar-SA"/>
                    </w:rPr>
                    <w:t>，厂区内非甲烷总烃执行《挥发性有机物无组织排放控制标准》（GB37822-2019）表A.1厂区内VOCs无组织特别排放限值，均落实最严格排放标准限值要求</w:t>
                  </w:r>
                  <w:r>
                    <w:rPr>
                      <w:rFonts w:hint="eastAsia" w:ascii="Times New Roman" w:hAnsi="Times New Roman" w:eastAsia="宋体" w:cs="Times New Roman"/>
                      <w:color w:val="auto"/>
                      <w:kern w:val="2"/>
                      <w:sz w:val="21"/>
                      <w:szCs w:val="24"/>
                      <w:vertAlign w:val="baseli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continue"/>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p>
              </w:tc>
              <w:tc>
                <w:tcPr>
                  <w:tcW w:w="540" w:type="dxa"/>
                  <w:vMerge w:val="continue"/>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p>
              </w:tc>
              <w:tc>
                <w:tcPr>
                  <w:tcW w:w="855" w:type="dxa"/>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环境风险防控</w:t>
                  </w:r>
                </w:p>
              </w:tc>
              <w:tc>
                <w:tcPr>
                  <w:tcW w:w="2745" w:type="dxa"/>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1、执行自治区、乌昌石片区总体准入要求中关于重点管控单元环境风险防控的准入要求</w:t>
                  </w:r>
                  <w:r>
                    <w:rPr>
                      <w:rFonts w:hint="eastAsia" w:ascii="Times New Roman" w:hAnsi="Times New Roman" w:eastAsia="宋体" w:cs="Times New Roman"/>
                      <w:color w:val="auto"/>
                      <w:kern w:val="2"/>
                      <w:sz w:val="21"/>
                      <w:szCs w:val="24"/>
                      <w:vertAlign w:val="baseline"/>
                      <w:lang w:val="en-US" w:eastAsia="zh-CN" w:bidi="ar-SA"/>
                    </w:rPr>
                    <w:t>。</w:t>
                  </w:r>
                </w:p>
              </w:tc>
              <w:tc>
                <w:tcPr>
                  <w:tcW w:w="2488" w:type="dxa"/>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本项目新增后应及时更新</w:t>
                  </w:r>
                  <w:r>
                    <w:rPr>
                      <w:rFonts w:hint="default" w:ascii="Times New Roman" w:hAnsi="Times New Roman" w:eastAsia="宋体" w:cs="Times New Roman"/>
                      <w:color w:val="auto"/>
                      <w:kern w:val="2"/>
                      <w:sz w:val="21"/>
                      <w:szCs w:val="24"/>
                      <w:vertAlign w:val="baseline"/>
                      <w:lang w:val="en-US" w:eastAsia="zh-CN" w:bidi="ar-SA"/>
                    </w:rPr>
                    <w:t>突发事件环境应急预案并定期演练；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continue"/>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p>
              </w:tc>
              <w:tc>
                <w:tcPr>
                  <w:tcW w:w="540" w:type="dxa"/>
                  <w:vMerge w:val="continue"/>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p>
              </w:tc>
              <w:tc>
                <w:tcPr>
                  <w:tcW w:w="855" w:type="dxa"/>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资源利用效率</w:t>
                  </w:r>
                </w:p>
              </w:tc>
              <w:tc>
                <w:tcPr>
                  <w:tcW w:w="2745" w:type="dxa"/>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1、执行自治区、乌昌石片区总体准入要求中关于重点管控单元资源利用效率的准入要求。</w:t>
                  </w:r>
                </w:p>
              </w:tc>
              <w:tc>
                <w:tcPr>
                  <w:tcW w:w="2488" w:type="dxa"/>
                  <w:tcBorders>
                    <w:tl2br w:val="nil"/>
                    <w:tr2bl w:val="nil"/>
                  </w:tcBorders>
                  <w:vAlign w:val="center"/>
                </w:tcPr>
                <w:p>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本项目落实</w:t>
                  </w:r>
                  <w:r>
                    <w:rPr>
                      <w:rFonts w:hint="default" w:ascii="Times New Roman" w:hAnsi="Times New Roman" w:eastAsia="宋体" w:cs="Times New Roman"/>
                      <w:color w:val="auto"/>
                      <w:kern w:val="2"/>
                      <w:sz w:val="21"/>
                      <w:szCs w:val="24"/>
                      <w:vertAlign w:val="baseline"/>
                      <w:lang w:val="en-US" w:eastAsia="zh-CN" w:bidi="ar-SA"/>
                    </w:rPr>
                    <w:t>自治区、乌昌石片区总体准入要求中关于重点管控单元资源利用效率的准入要求</w:t>
                  </w:r>
                  <w:r>
                    <w:rPr>
                      <w:rFonts w:hint="eastAsia" w:ascii="Times New Roman" w:hAnsi="Times New Roman" w:eastAsia="宋体" w:cs="Times New Roman"/>
                      <w:color w:val="auto"/>
                      <w:kern w:val="2"/>
                      <w:sz w:val="21"/>
                      <w:szCs w:val="24"/>
                      <w:vertAlign w:val="baseline"/>
                      <w:lang w:val="en-US" w:eastAsia="zh-CN" w:bidi="ar-SA"/>
                    </w:rPr>
                    <w:t>，租赁新疆伟康高科管业有限公司已建厂房，不新增工业用地，尽可能在工艺需求范围内严格把控用水，生产不使用化石燃料。</w:t>
                  </w:r>
                </w:p>
              </w:tc>
            </w:tr>
          </w:tbl>
          <w:p>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由上述分析结果可知，本项目符合《昌吉回族自治州“三线一单”生态环境分区管控方案及生态环境准入清单》的要求。</w:t>
            </w:r>
          </w:p>
          <w:p>
            <w:pPr>
              <w:overflowPunct w:val="0"/>
              <w:autoSpaceDE w:val="0"/>
              <w:autoSpaceDN w:val="0"/>
              <w:adjustRightInd w:val="0"/>
              <w:snapToGrid w:val="0"/>
              <w:spacing w:before="0" w:after="0" w:line="360" w:lineRule="auto"/>
              <w:ind w:left="0" w:right="0" w:firstLine="480" w:firstLineChars="200"/>
              <w:jc w:val="left"/>
              <w:rPr>
                <w:rFonts w:hint="default" w:ascii="Times New Roman" w:hAnsi="Times New Roman" w:eastAsia="宋体" w:cs="宋体"/>
                <w:lang w:val="en-US" w:eastAsia="zh-CN"/>
              </w:rPr>
            </w:pPr>
            <w:r>
              <w:rPr>
                <w:rFonts w:hint="eastAsia" w:ascii="Times New Roman" w:hAnsi="Times New Roman" w:eastAsia="宋体" w:cs="宋体"/>
                <w:lang w:val="en-US" w:eastAsia="zh-CN"/>
              </w:rPr>
              <w:t>（3）《新疆维吾尔自治区七大片区“三线一单”生态环境分区管控要求》（2021年版）符合性分析</w:t>
            </w:r>
          </w:p>
          <w:p>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eastAsia" w:eastAsia="宋体" w:cs="宋体"/>
                <w:lang w:val="en-US" w:eastAsia="zh-CN"/>
              </w:rPr>
            </w:pPr>
            <w:r>
              <w:rPr>
                <w:rFonts w:hint="eastAsia" w:eastAsia="宋体" w:cs="宋体"/>
                <w:lang w:val="en-US" w:eastAsia="zh-CN"/>
              </w:rPr>
              <w:t>按照《新疆维吾尔自治区“三线一单”生态环境分区管控方案》，全区划分为七大片区，包括北疆北部（塔城地区、阿勒泰地区）、伊犁河谷、克奎</w:t>
            </w:r>
            <w:r>
              <w:rPr>
                <w:rFonts w:hint="eastAsia" w:cs="宋体"/>
                <w:lang w:val="en-US" w:eastAsia="zh-CN"/>
              </w:rPr>
              <w:t>乌</w:t>
            </w:r>
            <w:r>
              <w:rPr>
                <w:rFonts w:hint="eastAsia" w:eastAsia="宋体" w:cs="宋体"/>
                <w:lang w:val="en-US" w:eastAsia="zh-CN"/>
              </w:rPr>
              <w:t>-博州、乌昌石、吐哈、天山南坡（巴州、阿克苏地区）和南疆三地州片区，新疆维吾尔自治区生态环境厅制定《新疆维吾尔自治区七大片区“三线一单”生态环境分区管控要求》。本项目位于乌昌石片区，本项目在七大片区范围图位置见图1.</w:t>
            </w:r>
            <w:r>
              <w:rPr>
                <w:rFonts w:hint="eastAsia" w:cs="宋体"/>
                <w:lang w:val="en-US" w:eastAsia="zh-CN"/>
              </w:rPr>
              <w:t>3</w:t>
            </w:r>
            <w:r>
              <w:rPr>
                <w:rFonts w:hint="eastAsia" w:eastAsia="宋体" w:cs="宋体"/>
                <w:lang w:val="en-US" w:eastAsia="zh-CN"/>
              </w:rPr>
              <w:t>-</w:t>
            </w:r>
            <w:r>
              <w:rPr>
                <w:rFonts w:hint="eastAsia" w:cs="宋体"/>
                <w:lang w:val="en-US" w:eastAsia="zh-CN"/>
              </w:rPr>
              <w:t>2</w:t>
            </w:r>
            <w:r>
              <w:rPr>
                <w:rFonts w:hint="eastAsia" w:eastAsia="宋体" w:cs="宋体"/>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eastAsia="宋体" w:cs="宋体"/>
                <w:lang w:val="en-US" w:eastAsia="zh-CN"/>
              </w:rPr>
            </w:pPr>
            <w:r>
              <w:rPr>
                <w:rFonts w:hint="default" w:eastAsia="宋体" w:cs="宋体"/>
                <w:lang w:val="en-US" w:eastAsia="zh-CN"/>
              </w:rPr>
              <w:t>乌昌石片区包括乌鲁木齐市、昌吉回族自治州和沙湾市。除国家规划项目外，乌鲁木齐市七区一县、昌吉市、阜康市、玛纳斯县、呼图壁县、沙湾市建成区及周边敏感区域内不再布局建设煤化工、电解铝、燃煤纯发电机组、金属硅、碳化硅、聚氯乙烯（电石法</w:t>
            </w:r>
            <w:r>
              <w:rPr>
                <w:rFonts w:hint="eastAsia" w:eastAsia="宋体" w:cs="宋体"/>
                <w:lang w:val="en-US" w:eastAsia="zh-CN"/>
              </w:rPr>
              <w:t>）</w:t>
            </w:r>
            <w:r>
              <w:rPr>
                <w:rFonts w:hint="default" w:eastAsia="宋体" w:cs="宋体"/>
                <w:lang w:val="en-US" w:eastAsia="zh-CN"/>
              </w:rPr>
              <w:t>、焦炭（含半焦）等新增产能项目。具备风光电清洁供暖建设条件的区域原则上不新批热电联产项目。坚持属地负责与区域大气污染联防联控相结合，以明显降低细颗粒物浓度为重点，协同推进</w:t>
            </w:r>
            <w:r>
              <w:rPr>
                <w:rFonts w:hint="eastAsia" w:eastAsia="宋体" w:cs="宋体"/>
                <w:lang w:val="en-US" w:eastAsia="zh-CN"/>
              </w:rPr>
              <w:t>“乌</w:t>
            </w:r>
            <w:r>
              <w:rPr>
                <w:rFonts w:hint="default" w:eastAsia="宋体" w:cs="宋体"/>
                <w:lang w:val="en-US" w:eastAsia="zh-CN"/>
              </w:rPr>
              <w:t>-昌-石</w:t>
            </w:r>
            <w:r>
              <w:rPr>
                <w:rFonts w:hint="eastAsia" w:eastAsia="宋体" w:cs="宋体"/>
                <w:lang w:val="en-US" w:eastAsia="zh-CN"/>
              </w:rPr>
              <w:t>”</w:t>
            </w:r>
            <w:r>
              <w:rPr>
                <w:rFonts w:hint="default" w:eastAsia="宋体" w:cs="宋体"/>
                <w:lang w:val="en-US" w:eastAsia="zh-CN"/>
              </w:rPr>
              <w:t>同防同治区域大气环境治理。强化与生产建设兵团第六师、第八师、第十一师、第十二师的同防同治，所有新建、改建、扩建工业项目执行最严格的大气污染物排放标准</w:t>
            </w:r>
            <w:r>
              <w:rPr>
                <w:rFonts w:hint="eastAsia" w:eastAsia="宋体" w:cs="宋体"/>
                <w:lang w:val="en-US" w:eastAsia="zh-CN"/>
              </w:rPr>
              <w:t>，</w:t>
            </w:r>
            <w:r>
              <w:rPr>
                <w:rFonts w:hint="default" w:eastAsia="宋体" w:cs="宋体"/>
                <w:lang w:val="en-US" w:eastAsia="zh-CN"/>
              </w:rPr>
              <w:t>强化氮氧化物深度治理</w:t>
            </w:r>
            <w:r>
              <w:rPr>
                <w:rFonts w:hint="eastAsia" w:eastAsia="宋体" w:cs="宋体"/>
                <w:lang w:val="en-US" w:eastAsia="zh-CN"/>
              </w:rPr>
              <w:t>，</w:t>
            </w:r>
            <w:r>
              <w:rPr>
                <w:rFonts w:hint="default" w:eastAsia="宋体" w:cs="宋体"/>
                <w:lang w:val="en-US" w:eastAsia="zh-CN"/>
              </w:rPr>
              <w:t>确保区域环境空气质量持续改善。</w:t>
            </w:r>
          </w:p>
          <w:p>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eastAsia="宋体" w:cs="宋体"/>
                <w:lang w:val="en-US" w:eastAsia="zh-CN"/>
              </w:rPr>
            </w:pPr>
            <w:r>
              <w:rPr>
                <w:rFonts w:hint="default" w:eastAsia="宋体" w:cs="宋体"/>
                <w:lang w:val="en-US" w:eastAsia="zh-CN"/>
              </w:rPr>
              <w:t>强化挥发性有机物污染防治措施。推广使用低挥发性有机物原辅料，推动有条件的园区（工业集聚区）建设集中喷涂工程中心，配备高效治污设施，替代企业独立喷涂工序。</w:t>
            </w:r>
          </w:p>
          <w:p>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eastAsia="宋体" w:cs="宋体"/>
                <w:lang w:val="en-US" w:eastAsia="zh-CN"/>
              </w:rPr>
            </w:pPr>
            <w:r>
              <w:rPr>
                <w:rFonts w:hint="default" w:eastAsia="宋体" w:cs="宋体"/>
                <w:lang w:val="en-US" w:eastAsia="zh-CN"/>
              </w:rPr>
              <w:t>强化企业清洁生产改造，推进节水型企业、节水型工业园区建设，提高资源集约节约利用水平。积极推进地下水超采治理，逐步压减地下水超采量，实现地下水采补平衡。</w:t>
            </w:r>
          </w:p>
          <w:p>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eastAsia="宋体" w:cs="宋体"/>
                <w:lang w:val="en-US" w:eastAsia="zh-CN"/>
              </w:rPr>
            </w:pPr>
            <w:r>
              <w:rPr>
                <w:rFonts w:hint="default" w:eastAsia="宋体" w:cs="宋体"/>
                <w:lang w:val="en-US" w:eastAsia="zh-CN"/>
              </w:rPr>
              <w:t>强化油（气）资源开发区土壤环境污染综合整治。加强涉重金属行业污染防控与工业废物处理处置。</w:t>
            </w:r>
          </w:p>
          <w:p>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eastAsia="宋体" w:cs="宋体"/>
                <w:lang w:val="en-US" w:eastAsia="zh-CN"/>
              </w:rPr>
            </w:pPr>
            <w:r>
              <w:rPr>
                <w:rFonts w:hint="default" w:eastAsia="宋体" w:cs="宋体"/>
                <w:lang w:val="en-US" w:eastAsia="zh-CN"/>
              </w:rPr>
              <w:t>煤炭、石油、天然气开发单位应当制定生态保护和恢复治理方案，并予以实施。生态保护和恢复治理方案内容应当向社会公布，接受社会监督。</w:t>
            </w:r>
          </w:p>
          <w:p>
            <w:pPr>
              <w:keepNext w:val="0"/>
              <w:keepLines w:val="0"/>
              <w:pageBreakBefore w:val="0"/>
              <w:widowControl w:val="0"/>
              <w:kinsoku/>
              <w:wordWrap/>
              <w:overflowPunct/>
              <w:topLinePunct w:val="0"/>
              <w:autoSpaceDE/>
              <w:autoSpaceDN/>
              <w:bidi w:val="0"/>
              <w:adjustRightInd/>
              <w:snapToGrid/>
              <w:spacing w:line="360" w:lineRule="auto"/>
              <w:ind w:firstLine="510"/>
              <w:jc w:val="both"/>
              <w:textAlignment w:val="auto"/>
              <w:rPr>
                <w:rFonts w:hint="default" w:ascii="Times New Roman" w:hAnsi="Times New Roman" w:eastAsia="宋体" w:cs="宋体"/>
                <w:color w:val="auto"/>
                <w:highlight w:val="none"/>
                <w:lang w:val="en-US" w:eastAsia="zh-CN"/>
              </w:rPr>
            </w:pPr>
            <w:r>
              <w:rPr>
                <w:rFonts w:hint="eastAsia" w:eastAsia="宋体" w:cs="宋体"/>
                <w:lang w:val="en-US" w:eastAsia="zh-CN"/>
              </w:rPr>
              <w:t>本项目位于苏通小微创业园</w:t>
            </w:r>
            <w:r>
              <w:rPr>
                <w:rFonts w:hint="eastAsia" w:cs="宋体"/>
                <w:lang w:val="en-US" w:eastAsia="zh-CN"/>
              </w:rPr>
              <w:t>，</w:t>
            </w:r>
            <w:r>
              <w:rPr>
                <w:rFonts w:hint="eastAsia" w:eastAsia="宋体" w:cs="宋体"/>
                <w:lang w:val="en-US" w:eastAsia="zh-CN"/>
              </w:rPr>
              <w:t>属于“乌-昌-石”联防联控区，本项目</w:t>
            </w:r>
            <w:r>
              <w:rPr>
                <w:rFonts w:hint="eastAsia" w:cs="宋体"/>
                <w:lang w:val="en-US" w:eastAsia="zh-CN"/>
              </w:rPr>
              <w:t>生产</w:t>
            </w:r>
            <w:r>
              <w:rPr>
                <w:rFonts w:hint="eastAsia" w:eastAsia="宋体" w:cs="宋体"/>
                <w:lang w:val="en-US" w:eastAsia="zh-CN"/>
              </w:rPr>
              <w:t>不涉及地下水</w:t>
            </w:r>
            <w:r>
              <w:rPr>
                <w:rFonts w:hint="eastAsia" w:cs="宋体"/>
                <w:lang w:val="en-US" w:eastAsia="zh-CN"/>
              </w:rPr>
              <w:t>开采</w:t>
            </w:r>
            <w:r>
              <w:rPr>
                <w:rFonts w:hint="eastAsia" w:eastAsia="宋体" w:cs="宋体"/>
                <w:lang w:val="en-US" w:eastAsia="zh-CN"/>
              </w:rPr>
              <w:t>，</w:t>
            </w:r>
            <w:r>
              <w:rPr>
                <w:rFonts w:hint="eastAsia" w:eastAsia="宋体" w:cs="宋体"/>
                <w:highlight w:val="none"/>
                <w:lang w:val="en-US" w:eastAsia="zh-CN"/>
              </w:rPr>
              <w:t>项目用水</w:t>
            </w:r>
            <w:r>
              <w:rPr>
                <w:rFonts w:hint="eastAsia" w:cs="宋体"/>
                <w:highlight w:val="none"/>
                <w:lang w:val="en-US" w:eastAsia="zh-CN"/>
              </w:rPr>
              <w:t>均</w:t>
            </w:r>
            <w:r>
              <w:rPr>
                <w:rFonts w:hint="eastAsia" w:eastAsia="宋体" w:cs="宋体"/>
                <w:highlight w:val="none"/>
                <w:lang w:val="en-US" w:eastAsia="zh-CN"/>
              </w:rPr>
              <w:t>由</w:t>
            </w:r>
            <w:r>
              <w:rPr>
                <w:rFonts w:hint="eastAsia" w:cs="宋体"/>
                <w:highlight w:val="none"/>
                <w:lang w:val="en-US" w:eastAsia="zh-CN"/>
              </w:rPr>
              <w:t>园区供水管网</w:t>
            </w:r>
            <w:r>
              <w:rPr>
                <w:rFonts w:hint="eastAsia" w:eastAsia="宋体" w:cs="宋体"/>
                <w:highlight w:val="none"/>
                <w:lang w:val="en-US" w:eastAsia="zh-CN"/>
              </w:rPr>
              <w:t>提供</w:t>
            </w:r>
            <w:r>
              <w:rPr>
                <w:rFonts w:hint="eastAsia" w:cs="宋体"/>
                <w:highlight w:val="none"/>
                <w:lang w:val="en-US" w:eastAsia="zh-CN"/>
              </w:rPr>
              <w:t>；本项目</w:t>
            </w:r>
            <w:r>
              <w:rPr>
                <w:rFonts w:hint="eastAsia" w:cs="宋体"/>
                <w:lang w:val="en-US" w:eastAsia="zh-CN"/>
              </w:rPr>
              <w:t>不属于</w:t>
            </w:r>
            <w:r>
              <w:rPr>
                <w:rFonts w:hint="default" w:eastAsia="宋体" w:cs="宋体"/>
                <w:lang w:val="en-US" w:eastAsia="zh-CN"/>
              </w:rPr>
              <w:t>煤化工、电解铝、燃煤纯发电机组、金属硅、碳化硅、聚氯乙烯（电石法</w:t>
            </w:r>
            <w:r>
              <w:rPr>
                <w:rFonts w:hint="eastAsia" w:eastAsia="宋体" w:cs="宋体"/>
                <w:lang w:val="en-US" w:eastAsia="zh-CN"/>
              </w:rPr>
              <w:t>）</w:t>
            </w:r>
            <w:r>
              <w:rPr>
                <w:rFonts w:hint="default" w:eastAsia="宋体" w:cs="宋体"/>
                <w:lang w:val="en-US" w:eastAsia="zh-CN"/>
              </w:rPr>
              <w:t>、焦炭（含半焦）等新增产能项目</w:t>
            </w:r>
            <w:r>
              <w:rPr>
                <w:rFonts w:hint="eastAsia" w:eastAsia="宋体" w:cs="宋体"/>
                <w:lang w:val="en-US" w:eastAsia="zh-CN"/>
              </w:rPr>
              <w:t>，不属于油气资源开发项目，</w:t>
            </w:r>
            <w:r>
              <w:rPr>
                <w:rFonts w:hint="eastAsia" w:eastAsia="宋体" w:cs="宋体"/>
                <w:highlight w:val="none"/>
                <w:lang w:val="en-US" w:eastAsia="zh-CN"/>
              </w:rPr>
              <w:t>本项目</w:t>
            </w:r>
            <w:r>
              <w:rPr>
                <w:rFonts w:hint="eastAsia" w:ascii="Times New Roman" w:hAnsi="Times New Roman" w:eastAsia="宋体" w:cs="宋体"/>
                <w:highlight w:val="none"/>
              </w:rPr>
              <w:t>运营期</w:t>
            </w:r>
            <w:r>
              <w:rPr>
                <w:rFonts w:hint="eastAsia" w:ascii="Times New Roman" w:hAnsi="Times New Roman" w:eastAsia="宋体" w:cs="宋体"/>
                <w:highlight w:val="none"/>
                <w:lang w:val="en-US" w:eastAsia="zh-CN"/>
              </w:rPr>
              <w:t>生产车间</w:t>
            </w:r>
            <w:r>
              <w:rPr>
                <w:rFonts w:hint="eastAsia" w:cs="宋体"/>
                <w:highlight w:val="none"/>
                <w:lang w:val="en-US" w:eastAsia="zh-CN"/>
              </w:rPr>
              <w:t>拉丝、</w:t>
            </w:r>
            <w:r>
              <w:rPr>
                <w:rFonts w:hint="eastAsia" w:ascii="Times New Roman" w:hAnsi="Times New Roman" w:eastAsia="宋体" w:cs="宋体"/>
                <w:highlight w:val="none"/>
                <w:lang w:val="en-US" w:eastAsia="zh-CN"/>
              </w:rPr>
              <w:t>挤塑</w:t>
            </w:r>
            <w:r>
              <w:rPr>
                <w:rFonts w:hint="eastAsia" w:cs="宋体"/>
                <w:highlight w:val="none"/>
                <w:lang w:val="en-US" w:eastAsia="zh-CN"/>
              </w:rPr>
              <w:t>、</w:t>
            </w:r>
            <w:r>
              <w:rPr>
                <w:rFonts w:hint="eastAsia" w:cs="宋体"/>
                <w:lang w:val="en-US" w:eastAsia="zh-CN"/>
              </w:rPr>
              <w:t>紫外光交联</w:t>
            </w:r>
            <w:r>
              <w:rPr>
                <w:rFonts w:hint="eastAsia" w:ascii="Times New Roman" w:hAnsi="Times New Roman" w:eastAsia="宋体" w:cs="宋体"/>
                <w:highlight w:val="none"/>
                <w:lang w:val="en-US" w:eastAsia="zh-CN"/>
              </w:rPr>
              <w:t>、挤护外套、喷码工段非甲烷总烃</w:t>
            </w:r>
            <w:r>
              <w:rPr>
                <w:rFonts w:hint="eastAsia" w:cs="宋体"/>
                <w:highlight w:val="none"/>
                <w:lang w:val="en-US" w:eastAsia="zh-CN"/>
              </w:rPr>
              <w:t>、臭气浓度以及挤塑、</w:t>
            </w:r>
            <w:r>
              <w:rPr>
                <w:rFonts w:hint="eastAsia" w:ascii="Times New Roman" w:hAnsi="Times New Roman" w:eastAsia="宋体" w:cs="宋体"/>
                <w:highlight w:val="none"/>
                <w:lang w:val="en-US" w:eastAsia="zh-CN"/>
              </w:rPr>
              <w:t>挤护外套</w:t>
            </w:r>
            <w:r>
              <w:rPr>
                <w:rFonts w:hint="eastAsia" w:ascii="Times New Roman" w:hAnsi="Times New Roman" w:cs="宋体"/>
                <w:highlight w:val="none"/>
                <w:lang w:val="en-US" w:eastAsia="zh-CN"/>
              </w:rPr>
              <w:t>工段氯化氢</w:t>
            </w:r>
            <w:r>
              <w:rPr>
                <w:rFonts w:hint="eastAsia" w:ascii="Times New Roman" w:hAnsi="Times New Roman" w:eastAsia="宋体" w:cs="宋体"/>
                <w:highlight w:val="none"/>
                <w:lang w:val="en-US" w:eastAsia="zh-CN"/>
              </w:rPr>
              <w:t>分别设置集气罩收集后</w:t>
            </w:r>
            <w:r>
              <w:rPr>
                <w:rFonts w:hint="eastAsia" w:eastAsia="宋体" w:cs="宋体"/>
                <w:highlight w:val="none"/>
                <w:lang w:val="en-US" w:eastAsia="zh-CN"/>
              </w:rPr>
              <w:t>，共同由一套</w:t>
            </w:r>
            <w:r>
              <w:rPr>
                <w:rFonts w:hint="eastAsia" w:cs="宋体"/>
                <w:highlight w:val="none"/>
                <w:lang w:val="en-US" w:eastAsia="zh-CN"/>
              </w:rPr>
              <w:t>水洗填料塔+活性炭吸附+脱附+催化燃烧装置+20m排气筒</w:t>
            </w:r>
            <w:r>
              <w:rPr>
                <w:rFonts w:hint="eastAsia" w:eastAsia="宋体" w:cs="宋体"/>
                <w:highlight w:val="none"/>
                <w:lang w:val="en-US" w:eastAsia="zh-CN"/>
              </w:rPr>
              <w:t>处理</w:t>
            </w:r>
            <w:r>
              <w:rPr>
                <w:rFonts w:hint="eastAsia" w:cs="宋体"/>
                <w:highlight w:val="none"/>
                <w:lang w:eastAsia="zh-CN"/>
              </w:rPr>
              <w:t>；</w:t>
            </w:r>
            <w:r>
              <w:rPr>
                <w:rFonts w:hint="eastAsia" w:cs="宋体"/>
                <w:lang w:val="en-US" w:eastAsia="zh-CN"/>
              </w:rPr>
              <w:t>少量无组织废气通过加强封闭式作业控制</w:t>
            </w:r>
            <w:r>
              <w:rPr>
                <w:rFonts w:hint="eastAsia" w:ascii="Times New Roman" w:hAnsi="Times New Roman" w:eastAsia="宋体" w:cs="宋体"/>
                <w:lang w:eastAsia="zh-CN"/>
              </w:rPr>
              <w:t>，</w:t>
            </w:r>
            <w:r>
              <w:rPr>
                <w:rFonts w:hint="eastAsia" w:cs="宋体"/>
                <w:snapToGrid w:val="0"/>
                <w:color w:val="auto"/>
                <w:sz w:val="24"/>
                <w:szCs w:val="21"/>
                <w:highlight w:val="none"/>
                <w:lang w:val="en-US" w:eastAsia="zh-CN" w:bidi="ar-SA"/>
              </w:rPr>
              <w:t>有组织非甲烷总烃以及厂界无组织非甲烷总烃</w:t>
            </w:r>
            <w:r>
              <w:rPr>
                <w:rFonts w:hint="eastAsia" w:ascii="Times New Roman" w:hAnsi="Times New Roman" w:eastAsia="宋体" w:cs="宋体"/>
                <w:lang w:val="en-US" w:eastAsia="zh-CN"/>
              </w:rPr>
              <w:t>均</w:t>
            </w:r>
            <w:r>
              <w:rPr>
                <w:rFonts w:hint="eastAsia" w:cs="宋体"/>
                <w:highlight w:val="none"/>
                <w:lang w:val="en-US" w:eastAsia="zh-CN"/>
              </w:rPr>
              <w:t>满足《合成树脂工业污染物排放标准》（GB31572-2015）（含2024年修改单）标准限值，厂区内非甲烷总烃执行《挥发性有机物无组织排放控制标准》（GB37822-2019）表A.1厂区内VOCs无组织特别排放限值。</w:t>
            </w:r>
            <w:r>
              <w:rPr>
                <w:rFonts w:hint="eastAsia" w:eastAsia="宋体" w:cs="宋体"/>
                <w:highlight w:val="none"/>
                <w:lang w:val="en-US" w:eastAsia="zh-CN"/>
              </w:rPr>
              <w:t>因此本项目符合《新疆维吾尔自治区七大片区“三线一单”生态环境分区管控要求》（2021年版）乌昌石片区管控要求</w:t>
            </w:r>
            <w:r>
              <w:rPr>
                <w:rFonts w:hint="eastAsia" w:ascii="Times New Roman" w:hAnsi="Times New Roman" w:eastAsia="宋体" w:cs="宋体"/>
                <w:highlight w:val="none"/>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left"/>
              <w:textAlignment w:val="auto"/>
              <w:outlineLvl w:val="1"/>
              <w:rPr>
                <w:rFonts w:hint="eastAsia"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1.</w:t>
            </w:r>
            <w:r>
              <w:rPr>
                <w:rFonts w:hint="eastAsia" w:cs="黑体"/>
                <w:b/>
                <w:sz w:val="28"/>
                <w:szCs w:val="30"/>
                <w:lang w:val="en-US" w:eastAsia="zh-CN" w:bidi="ar-SA"/>
              </w:rPr>
              <w:t>4</w:t>
            </w:r>
            <w:r>
              <w:rPr>
                <w:rFonts w:hint="eastAsia" w:ascii="Times New Roman" w:hAnsi="Times New Roman" w:eastAsia="宋体" w:cs="黑体"/>
                <w:b/>
                <w:sz w:val="28"/>
                <w:szCs w:val="30"/>
                <w:lang w:val="en-US" w:eastAsia="zh-CN" w:bidi="ar-SA"/>
              </w:rPr>
              <w:t>选址符合性</w:t>
            </w:r>
          </w:p>
          <w:p>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（1）选址合理性</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Times New Roman"/>
                <w:color w:val="000000"/>
                <w:sz w:val="24"/>
                <w:szCs w:val="24"/>
                <w:highlight w:val="none"/>
                <w:shd w:val="clear" w:color="auto" w:fill="FFFFFF"/>
                <w:lang w:val="en-US" w:eastAsia="zh-CN" w:bidi="ar-SA"/>
              </w:rPr>
            </w:pPr>
            <w:r>
              <w:rPr>
                <w:rFonts w:hint="eastAsia" w:ascii="Times New Roman" w:hAnsi="Times New Roman" w:eastAsia="宋体" w:cs="宋体"/>
                <w:color w:val="auto"/>
                <w:lang w:val="en-US" w:eastAsia="zh-CN"/>
              </w:rPr>
              <w:t>本项目选址位于苏通小微创业园2-14地块新疆伟康高科管业有限公司院内</w:t>
            </w:r>
            <w:r>
              <w:rPr>
                <w:rFonts w:hint="eastAsia" w:ascii="Times New Roman" w:hAnsi="Times New Roman" w:eastAsia="宋体" w:cs="Times New Roman"/>
                <w:sz w:val="24"/>
                <w:szCs w:val="24"/>
                <w:lang w:val="en-US" w:eastAsia="zh-CN" w:bidi="ar-SA"/>
              </w:rPr>
              <w:t>，</w:t>
            </w:r>
            <w:r>
              <w:rPr>
                <w:rFonts w:hint="eastAsia" w:ascii="Times New Roman" w:hAnsi="Times New Roman" w:eastAsia="宋体" w:cs="宋体"/>
                <w:color w:val="auto"/>
                <w:lang w:val="en-US" w:eastAsia="zh-CN"/>
              </w:rPr>
              <w:t>占地面积为13214m</w:t>
            </w:r>
            <w:r>
              <w:rPr>
                <w:rFonts w:hint="eastAsia" w:ascii="Times New Roman" w:hAnsi="Times New Roman" w:eastAsia="宋体" w:cs="宋体"/>
                <w:color w:val="auto"/>
                <w:vertAlign w:val="superscript"/>
                <w:lang w:val="en-US" w:eastAsia="zh-CN"/>
              </w:rPr>
              <w:t>2</w:t>
            </w:r>
            <w:r>
              <w:rPr>
                <w:rFonts w:hint="eastAsia" w:ascii="Times New Roman" w:hAnsi="Times New Roman" w:eastAsia="宋体" w:cs="宋体"/>
                <w:color w:val="auto"/>
                <w:lang w:val="en-US" w:eastAsia="zh-CN"/>
              </w:rPr>
              <w:t>。</w:t>
            </w:r>
            <w:r>
              <w:rPr>
                <w:rFonts w:hint="eastAsia" w:ascii="Times New Roman" w:hAnsi="Times New Roman" w:eastAsia="宋体" w:cs="Times New Roman"/>
                <w:color w:val="000000"/>
                <w:sz w:val="24"/>
                <w:szCs w:val="24"/>
                <w:highlight w:val="none"/>
                <w:shd w:val="clear" w:color="auto" w:fill="FFFFFF"/>
                <w:lang w:val="en-US" w:eastAsia="zh-CN" w:bidi="ar-SA"/>
              </w:rPr>
              <w:t>根据《甘泉堡工业园总体规划（2016-2030年）》，</w:t>
            </w:r>
            <w:r>
              <w:rPr>
                <w:rFonts w:hint="eastAsia" w:ascii="Times New Roman" w:hAnsi="Times New Roman" w:eastAsia="宋体" w:cs="Times New Roman"/>
                <w:color w:val="000000"/>
                <w:sz w:val="24"/>
                <w:szCs w:val="24"/>
                <w:lang w:val="en-US" w:eastAsia="zh-CN"/>
              </w:rPr>
              <w:t>甘泉堡工业园</w:t>
            </w:r>
            <w:r>
              <w:rPr>
                <w:rFonts w:hint="eastAsia" w:ascii="Times New Roman" w:hAnsi="Times New Roman" w:eastAsia="宋体" w:cs="Times New Roman"/>
                <w:color w:val="000000"/>
                <w:sz w:val="24"/>
                <w:szCs w:val="24"/>
                <w:highlight w:val="none"/>
                <w:shd w:val="clear" w:color="auto" w:fill="FFFFFF"/>
                <w:lang w:val="en-US" w:eastAsia="zh-CN" w:bidi="ar-SA"/>
              </w:rPr>
              <w:t>划分为十个功能区，即优势资源转化区、经济合作与产业孵化区、新能源工业区、高新技术产业区、科教综合服务新区、物流仓储区、小微企业创新区、商贸物流区、生态保育区和协调发展区。</w:t>
            </w:r>
            <w:r>
              <w:rPr>
                <w:rFonts w:hint="eastAsia" w:ascii="Times New Roman" w:hAnsi="Times New Roman" w:eastAsia="宋体" w:cs="宋体"/>
                <w:color w:val="auto"/>
                <w:lang w:val="en-US" w:eastAsia="zh-CN"/>
              </w:rPr>
              <w:t>苏通小微创业园</w:t>
            </w:r>
            <w:r>
              <w:rPr>
                <w:rFonts w:hint="eastAsia" w:ascii="Times New Roman" w:hAnsi="Times New Roman" w:eastAsia="宋体" w:cs="Times New Roman"/>
                <w:color w:val="000000"/>
                <w:sz w:val="24"/>
                <w:szCs w:val="24"/>
                <w:highlight w:val="none"/>
                <w:shd w:val="clear" w:color="auto" w:fill="FFFFFF"/>
                <w:lang w:val="en-US" w:eastAsia="zh-CN" w:bidi="ar-SA"/>
              </w:rPr>
              <w:t>位于甘泉堡工业园小微企业创新区。</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宋体"/>
                <w:lang w:val="en-US" w:eastAsia="zh-CN"/>
              </w:rPr>
            </w:pPr>
            <w:r>
              <w:rPr>
                <w:rFonts w:hint="eastAsia" w:ascii="Times New Roman" w:hAnsi="Times New Roman" w:eastAsia="宋体" w:cs="Times New Roman"/>
                <w:color w:val="000000"/>
                <w:sz w:val="24"/>
                <w:szCs w:val="24"/>
                <w:highlight w:val="none"/>
                <w:shd w:val="clear" w:color="auto" w:fill="FFFFFF"/>
                <w:lang w:val="en-US" w:eastAsia="zh-CN" w:bidi="ar-SA"/>
              </w:rPr>
              <w:t>小微创新区同时属于阜康市城市总体规划中的阜西工业园区，阜西工业园区总体规划内容包含于《甘泉堡工业园区总体规划（2016- 2030年）》中。小微企业创新区以新型建材产业为主导的集研发孵化、生产加工、商贸交易、物流配送为一体的小微新兴产业企业园。</w:t>
            </w:r>
            <w:r>
              <w:rPr>
                <w:rFonts w:hint="eastAsia" w:ascii="Times New Roman" w:hAnsi="Times New Roman" w:eastAsia="宋体" w:cs="宋体"/>
                <w:lang w:val="en-US" w:eastAsia="zh-CN"/>
              </w:rPr>
              <w:t>本项目位于小微企业创新区，本项目属于电线电缆项目，属于小微产业，因此选址与园区产业布局相符。</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宋体"/>
                <w:color w:val="auto"/>
                <w:lang w:val="en-US" w:eastAsia="zh-CN"/>
              </w:rPr>
            </w:pPr>
            <w:r>
              <w:rPr>
                <w:rFonts w:hint="eastAsia" w:cs="宋体"/>
                <w:color w:val="auto"/>
                <w:lang w:val="en-US" w:eastAsia="zh-CN"/>
              </w:rPr>
              <w:t>根据</w:t>
            </w:r>
            <w:r>
              <w:rPr>
                <w:rFonts w:hint="eastAsia" w:cs="宋体"/>
                <w:color w:val="auto"/>
                <w:lang w:val="en-US" w:eastAsia="zh-CN"/>
              </w:rPr>
              <w:fldChar w:fldCharType="begin"/>
            </w:r>
            <w:r>
              <w:rPr>
                <w:rFonts w:hint="eastAsia" w:cs="宋体"/>
                <w:color w:val="auto"/>
                <w:lang w:val="en-US" w:eastAsia="zh-CN"/>
              </w:rPr>
              <w:instrText xml:space="preserve"> HYPERLINK "http://www.fk.gov.cn/gk/cdjc/899930.htm" \t "https://www.fk.gov.cn/search/_blank" </w:instrText>
            </w:r>
            <w:r>
              <w:rPr>
                <w:rFonts w:hint="eastAsia" w:cs="宋体"/>
                <w:color w:val="auto"/>
                <w:lang w:val="en-US" w:eastAsia="zh-CN"/>
              </w:rPr>
              <w:fldChar w:fldCharType="separate"/>
            </w:r>
            <w:r>
              <w:rPr>
                <w:rFonts w:hint="eastAsia" w:cs="宋体"/>
                <w:color w:val="auto"/>
                <w:lang w:val="en-US" w:eastAsia="zh-CN"/>
              </w:rPr>
              <w:t>《阜康市国土空间总体规划（2021-2035年）》</w:t>
            </w:r>
            <w:r>
              <w:rPr>
                <w:rFonts w:hint="eastAsia" w:cs="宋体"/>
                <w:color w:val="auto"/>
                <w:lang w:val="en-US" w:eastAsia="zh-CN"/>
              </w:rPr>
              <w:fldChar w:fldCharType="end"/>
            </w:r>
            <w:r>
              <w:rPr>
                <w:rFonts w:hint="eastAsia" w:cs="宋体"/>
                <w:color w:val="auto"/>
                <w:lang w:val="en-US" w:eastAsia="zh-CN"/>
              </w:rPr>
              <w:t>，本项目位于城市集聚发展轴，用地为工业用地，不涉及永久基本农田以及生态保护红线。用地</w:t>
            </w:r>
            <w:r>
              <w:rPr>
                <w:rFonts w:hint="eastAsia" w:ascii="Times New Roman" w:hAnsi="Times New Roman" w:eastAsia="宋体" w:cs="宋体"/>
                <w:color w:val="auto"/>
                <w:lang w:val="en-US" w:eastAsia="zh-CN"/>
              </w:rPr>
              <w:t>符合国土空间规划和用途管制要求。本项目在</w:t>
            </w:r>
            <w:r>
              <w:rPr>
                <w:rFonts w:hint="eastAsia" w:cs="宋体"/>
                <w:color w:val="auto"/>
                <w:lang w:val="en-US" w:eastAsia="zh-CN"/>
              </w:rPr>
              <w:t>阜康市</w:t>
            </w:r>
            <w:r>
              <w:rPr>
                <w:rFonts w:hint="eastAsia" w:ascii="Times New Roman" w:hAnsi="Times New Roman" w:eastAsia="宋体" w:cs="宋体"/>
                <w:color w:val="auto"/>
                <w:lang w:val="en-US" w:eastAsia="zh-CN"/>
              </w:rPr>
              <w:t>国土空间总体规划位置图见图1.</w:t>
            </w:r>
            <w:r>
              <w:rPr>
                <w:rFonts w:hint="eastAsia" w:cs="宋体"/>
                <w:color w:val="auto"/>
                <w:lang w:val="en-US" w:eastAsia="zh-CN"/>
              </w:rPr>
              <w:t>4</w:t>
            </w:r>
            <w:r>
              <w:rPr>
                <w:rFonts w:hint="eastAsia" w:ascii="Times New Roman" w:hAnsi="Times New Roman" w:eastAsia="宋体" w:cs="宋体"/>
                <w:color w:val="auto"/>
                <w:lang w:val="en-US" w:eastAsia="zh-CN"/>
              </w:rPr>
              <w:t>-1。</w:t>
            </w:r>
          </w:p>
          <w:p>
            <w:pPr>
              <w:overflowPunct w:val="0"/>
              <w:autoSpaceDE w:val="0"/>
              <w:autoSpaceDN w:val="0"/>
              <w:adjustRightInd w:val="0"/>
              <w:snapToGrid w:val="0"/>
              <w:spacing w:before="0" w:after="0" w:line="360" w:lineRule="auto"/>
              <w:ind w:left="0" w:right="0" w:firstLine="480" w:firstLineChars="200"/>
              <w:jc w:val="left"/>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本项目东侧</w:t>
            </w:r>
            <w:r>
              <w:rPr>
                <w:rFonts w:hint="eastAsia" w:cs="宋体"/>
                <w:color w:val="auto"/>
                <w:highlight w:val="none"/>
                <w:lang w:val="en-US" w:eastAsia="zh-CN"/>
              </w:rPr>
              <w:t>为新疆鑫古龙建材有限责任公司</w:t>
            </w:r>
            <w:r>
              <w:rPr>
                <w:rFonts w:hint="eastAsia" w:ascii="Times New Roman" w:hAnsi="Times New Roman" w:eastAsia="宋体" w:cs="宋体"/>
                <w:color w:val="auto"/>
                <w:highlight w:val="none"/>
                <w:lang w:val="en-US" w:eastAsia="zh-CN"/>
              </w:rPr>
              <w:t>，西侧为</w:t>
            </w:r>
            <w:r>
              <w:rPr>
                <w:rFonts w:hint="eastAsia" w:cs="宋体"/>
                <w:color w:val="auto"/>
                <w:highlight w:val="none"/>
                <w:lang w:val="en-US" w:eastAsia="zh-CN"/>
              </w:rPr>
              <w:t>阜康市美居乐建材有限责任公司</w:t>
            </w:r>
            <w:r>
              <w:rPr>
                <w:rFonts w:hint="eastAsia" w:ascii="Times New Roman" w:hAnsi="Times New Roman" w:eastAsia="宋体" w:cs="宋体"/>
                <w:color w:val="auto"/>
                <w:highlight w:val="none"/>
                <w:lang w:val="en-US" w:eastAsia="zh-CN"/>
              </w:rPr>
              <w:t>，南侧为</w:t>
            </w:r>
            <w:r>
              <w:rPr>
                <w:rFonts w:hint="eastAsia" w:cs="宋体"/>
                <w:color w:val="auto"/>
                <w:highlight w:val="none"/>
                <w:lang w:val="en-US" w:eastAsia="zh-CN"/>
              </w:rPr>
              <w:t>新疆东方启辰工贸有限公司、新疆锦程昊宇针织品有限公司</w:t>
            </w:r>
            <w:r>
              <w:rPr>
                <w:rFonts w:hint="eastAsia" w:ascii="Times New Roman" w:hAnsi="Times New Roman" w:eastAsia="宋体" w:cs="宋体"/>
                <w:color w:val="auto"/>
                <w:highlight w:val="none"/>
                <w:lang w:val="en-US" w:eastAsia="zh-CN"/>
              </w:rPr>
              <w:t>，北侧为</w:t>
            </w:r>
            <w:r>
              <w:rPr>
                <w:rFonts w:hint="eastAsia" w:cs="宋体"/>
                <w:color w:val="auto"/>
                <w:highlight w:val="none"/>
                <w:lang w:val="en-US" w:eastAsia="zh-CN"/>
              </w:rPr>
              <w:t>新疆超美世纪安全玻璃制造有限公司、新疆山石盛达办公家具有限公司</w:t>
            </w:r>
            <w:r>
              <w:rPr>
                <w:rFonts w:hint="eastAsia" w:ascii="Times New Roman" w:hAnsi="Times New Roman" w:eastAsia="宋体" w:cs="宋体"/>
                <w:color w:val="auto"/>
                <w:highlight w:val="none"/>
                <w:lang w:val="en-US" w:eastAsia="zh-CN"/>
              </w:rPr>
              <w:t>。本项目与周边关系图</w:t>
            </w:r>
            <w:r>
              <w:rPr>
                <w:rFonts w:hint="eastAsia" w:cs="宋体"/>
                <w:color w:val="auto"/>
                <w:highlight w:val="none"/>
                <w:lang w:val="en-US" w:eastAsia="zh-CN"/>
              </w:rPr>
              <w:t>见1.4-2。</w:t>
            </w:r>
          </w:p>
          <w:p>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本项目不在自然保护区、饮用水源保护区和其他需要特殊保护的区域，本项目所产生的污染物经相关措施处理后均能达标排放，不会对周边环境产生较大影响。野生动物数量较少且种类单一，无国家和自治区级珍稀濒危保护动植物，项目区及所在区域环境质量现状较好。区域内无珍稀动植物、敏感目标，项目营运期的生产对生态环境不会产生明显影响。本项目没有明显的外环境制约因素，且与区域环境具有相容性。因此，本项目选址基本可行。</w:t>
            </w:r>
          </w:p>
          <w:p>
            <w:pPr>
              <w:overflowPunct w:val="0"/>
              <w:autoSpaceDE w:val="0"/>
              <w:autoSpaceDN w:val="0"/>
              <w:adjustRightInd w:val="0"/>
              <w:snapToGrid w:val="0"/>
              <w:spacing w:before="0" w:after="0" w:line="360" w:lineRule="auto"/>
              <w:ind w:left="0" w:right="0" w:firstLine="480" w:firstLineChars="200"/>
              <w:jc w:val="left"/>
              <w:rPr>
                <w:rFonts w:hint="default" w:ascii="Times New Roman" w:hAnsi="Times New Roman" w:eastAsia="宋体" w:cs="Times New Roman"/>
                <w:color w:val="000000"/>
                <w:sz w:val="24"/>
                <w:szCs w:val="24"/>
                <w:highlight w:val="none"/>
                <w:shd w:val="clear" w:color="auto" w:fill="FFFFFF"/>
                <w:lang w:val="en-US" w:eastAsia="zh-CN" w:bidi="ar-SA"/>
              </w:rPr>
            </w:pPr>
            <w:r>
              <w:rPr>
                <w:rFonts w:hint="default" w:ascii="Times New Roman" w:hAnsi="Times New Roman" w:eastAsia="宋体" w:cs="Times New Roman"/>
                <w:color w:val="000000"/>
                <w:sz w:val="24"/>
                <w:szCs w:val="24"/>
                <w:highlight w:val="none"/>
                <w:shd w:val="clear" w:color="auto" w:fill="FFFFFF"/>
                <w:lang w:val="en-US" w:eastAsia="zh-CN" w:bidi="ar-SA"/>
              </w:rPr>
              <w:t>（2）环境容量</w:t>
            </w:r>
          </w:p>
          <w:p>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宋体"/>
                <w:color w:val="auto"/>
                <w:lang w:val="en-US" w:eastAsia="zh-CN"/>
              </w:rPr>
            </w:pPr>
            <w:r>
              <w:rPr>
                <w:rFonts w:hint="default" w:ascii="Times New Roman" w:hAnsi="Times New Roman" w:eastAsia="宋体" w:cs="Times New Roman"/>
                <w:color w:val="000000"/>
                <w:sz w:val="24"/>
                <w:szCs w:val="24"/>
                <w:highlight w:val="none"/>
                <w:shd w:val="clear" w:color="auto" w:fill="FFFFFF"/>
                <w:lang w:val="en-US" w:eastAsia="zh-CN" w:bidi="ar-SA"/>
              </w:rPr>
              <w:t>项目评价区内现状环境空气评价因子年评价指标达标，为达标区，环境空气质量现状良好；</w:t>
            </w:r>
            <w:r>
              <w:rPr>
                <w:rFonts w:hint="eastAsia" w:ascii="Times New Roman" w:hAnsi="Times New Roman" w:eastAsia="宋体" w:cs="宋体"/>
                <w:color w:val="auto"/>
                <w:lang w:val="en-US" w:eastAsia="zh-CN"/>
              </w:rPr>
              <w:t>本项目不产生生产废水，生活污水排入园区管网，与周围地表水体无直接水力联系，本项目的建设不会对区域地表水环境产生影响；在采取声环境治理措施情况下，对周边声环境保护目标影响较小；</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本项目</w:t>
            </w:r>
            <w:r>
              <w:rPr>
                <w:rFonts w:hint="eastAsia" w:ascii="Times New Roman" w:hAnsi="Times New Roman" w:eastAsia="宋体" w:cs="Times New Roman"/>
                <w:sz w:val="24"/>
                <w:szCs w:val="24"/>
                <w:lang w:val="en-US" w:eastAsia="zh-CN" w:bidi="ar-SA"/>
              </w:rPr>
              <w:t>采取严格的分区防渗，对周边地下水、土壤环境影响较小。</w:t>
            </w:r>
          </w:p>
          <w:p>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000000"/>
                <w:sz w:val="24"/>
                <w:szCs w:val="24"/>
                <w:highlight w:val="none"/>
                <w:shd w:val="clear" w:color="auto" w:fill="FFFFFF"/>
                <w:lang w:val="en-US" w:eastAsia="zh-CN" w:bidi="ar-SA"/>
              </w:rPr>
            </w:pPr>
            <w:r>
              <w:rPr>
                <w:rFonts w:hint="eastAsia" w:ascii="Times New Roman" w:hAnsi="Times New Roman" w:eastAsia="宋体" w:cs="宋体"/>
                <w:color w:val="000000"/>
                <w:sz w:val="24"/>
                <w:szCs w:val="24"/>
                <w:highlight w:val="none"/>
              </w:rPr>
              <w:t>本项目投产后，</w:t>
            </w:r>
            <w:r>
              <w:rPr>
                <w:rFonts w:hint="eastAsia" w:ascii="Times New Roman" w:hAnsi="Times New Roman" w:eastAsia="宋体" w:cs="宋体"/>
                <w:color w:val="000000"/>
                <w:sz w:val="24"/>
                <w:szCs w:val="24"/>
                <w:highlight w:val="none"/>
                <w:lang w:val="en-US" w:eastAsia="zh-CN"/>
              </w:rPr>
              <w:t>能够保持</w:t>
            </w:r>
            <w:r>
              <w:rPr>
                <w:rFonts w:hint="eastAsia" w:ascii="Times New Roman" w:hAnsi="Times New Roman" w:eastAsia="宋体" w:cs="宋体"/>
                <w:color w:val="000000"/>
                <w:sz w:val="24"/>
                <w:szCs w:val="24"/>
                <w:highlight w:val="none"/>
              </w:rPr>
              <w:t>水、气、声</w:t>
            </w:r>
            <w:r>
              <w:rPr>
                <w:rFonts w:hint="eastAsia" w:ascii="Times New Roman" w:hAnsi="Times New Roman" w:eastAsia="宋体" w:cs="宋体"/>
                <w:color w:val="000000"/>
                <w:sz w:val="24"/>
                <w:szCs w:val="24"/>
                <w:highlight w:val="none"/>
                <w:lang w:eastAsia="zh-CN"/>
              </w:rPr>
              <w:t>、</w:t>
            </w:r>
            <w:r>
              <w:rPr>
                <w:rFonts w:hint="eastAsia" w:ascii="Times New Roman" w:hAnsi="Times New Roman" w:eastAsia="宋体" w:cs="宋体"/>
                <w:color w:val="000000"/>
                <w:sz w:val="24"/>
                <w:szCs w:val="24"/>
                <w:highlight w:val="none"/>
                <w:lang w:val="en-US" w:eastAsia="zh-CN"/>
              </w:rPr>
              <w:t>土壤等</w:t>
            </w:r>
            <w:r>
              <w:rPr>
                <w:rFonts w:hint="eastAsia" w:ascii="Times New Roman" w:hAnsi="Times New Roman" w:eastAsia="宋体" w:cs="宋体"/>
                <w:color w:val="000000"/>
                <w:sz w:val="24"/>
                <w:szCs w:val="24"/>
                <w:highlight w:val="none"/>
              </w:rPr>
              <w:t>环境质量现状</w:t>
            </w:r>
            <w:r>
              <w:rPr>
                <w:rFonts w:hint="eastAsia" w:ascii="Times New Roman" w:hAnsi="Times New Roman" w:eastAsia="宋体" w:cs="宋体"/>
                <w:color w:val="000000"/>
                <w:sz w:val="24"/>
                <w:szCs w:val="24"/>
                <w:highlight w:val="none"/>
                <w:lang w:val="en-US" w:eastAsia="zh-CN"/>
              </w:rPr>
              <w:t>不降低</w:t>
            </w:r>
            <w:r>
              <w:rPr>
                <w:rFonts w:hint="eastAsia" w:ascii="Times New Roman" w:hAnsi="Times New Roman" w:eastAsia="宋体" w:cs="宋体"/>
                <w:color w:val="000000"/>
                <w:sz w:val="24"/>
                <w:szCs w:val="24"/>
                <w:highlight w:val="none"/>
              </w:rPr>
              <w:t>，污染物达标排放，对区域环境影响不大，区域环境仍可保持现有功能水平。因此，项目选址从环境容量角度分析是可行的</w:t>
            </w:r>
            <w:r>
              <w:rPr>
                <w:rFonts w:hint="eastAsia" w:ascii="Times New Roman" w:hAnsi="Times New Roman" w:eastAsia="宋体" w:cs="宋体"/>
                <w:color w:val="000000"/>
                <w:sz w:val="24"/>
                <w:szCs w:val="24"/>
                <w:highlight w:val="none"/>
                <w:lang w:eastAsia="zh-CN"/>
              </w:rPr>
              <w:t>。</w:t>
            </w:r>
          </w:p>
          <w:p>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000000"/>
                <w:sz w:val="24"/>
                <w:szCs w:val="24"/>
                <w:highlight w:val="none"/>
                <w:shd w:val="clear" w:color="auto" w:fill="FFFFFF"/>
                <w:lang w:val="en-US" w:eastAsia="zh-CN" w:bidi="ar-SA"/>
              </w:rPr>
            </w:pPr>
            <w:r>
              <w:rPr>
                <w:rFonts w:hint="eastAsia" w:ascii="Times New Roman" w:hAnsi="Times New Roman" w:eastAsia="宋体" w:cs="Times New Roman"/>
                <w:color w:val="000000"/>
                <w:sz w:val="24"/>
                <w:szCs w:val="24"/>
                <w:highlight w:val="none"/>
                <w:shd w:val="clear" w:color="auto" w:fill="FFFFFF"/>
                <w:lang w:val="en-US" w:eastAsia="zh-CN" w:bidi="ar-SA"/>
              </w:rPr>
              <w:t>（3）区域主导风向</w:t>
            </w:r>
          </w:p>
          <w:p>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000000"/>
                <w:sz w:val="24"/>
                <w:szCs w:val="24"/>
                <w:highlight w:val="none"/>
                <w:shd w:val="clear" w:color="auto" w:fill="FFFFFF"/>
                <w:lang w:val="en-US" w:eastAsia="zh-CN" w:bidi="ar-SA"/>
              </w:rPr>
            </w:pPr>
            <w:r>
              <w:rPr>
                <w:rFonts w:hint="eastAsia" w:ascii="Times New Roman" w:hAnsi="Times New Roman" w:eastAsia="宋体" w:cs="Times New Roman"/>
                <w:color w:val="000000"/>
                <w:sz w:val="24"/>
                <w:szCs w:val="24"/>
                <w:highlight w:val="none"/>
                <w:shd w:val="clear" w:color="auto" w:fill="FFFFFF"/>
                <w:lang w:val="en-US" w:eastAsia="zh-CN" w:bidi="ar-SA"/>
              </w:rPr>
              <w:t>区域年主导风向为西北风，500m范围内无大气环境敏感目标，根据估算结果，</w:t>
            </w:r>
            <w:r>
              <w:rPr>
                <w:rFonts w:hint="eastAsia" w:cs="Times New Roman"/>
                <w:color w:val="000000"/>
                <w:sz w:val="24"/>
                <w:szCs w:val="24"/>
                <w:highlight w:val="none"/>
                <w:shd w:val="clear" w:color="auto" w:fill="FFFFFF"/>
                <w:lang w:val="en-US" w:eastAsia="zh-CN" w:bidi="ar-SA"/>
              </w:rPr>
              <w:t>厂界无组织</w:t>
            </w:r>
            <w:r>
              <w:rPr>
                <w:rFonts w:hint="eastAsia" w:ascii="Times New Roman" w:hAnsi="Times New Roman" w:eastAsia="宋体" w:cs="Times New Roman"/>
                <w:color w:val="000000"/>
                <w:sz w:val="24"/>
                <w:szCs w:val="24"/>
                <w:highlight w:val="none"/>
                <w:shd w:val="clear" w:color="auto" w:fill="FFFFFF"/>
                <w:lang w:val="en-US" w:eastAsia="zh-CN" w:bidi="ar-SA"/>
              </w:rPr>
              <w:t>污染物最大浓度落地距离为</w:t>
            </w:r>
            <w:r>
              <w:rPr>
                <w:rFonts w:hint="eastAsia" w:cs="Times New Roman"/>
                <w:color w:val="000000"/>
                <w:sz w:val="24"/>
                <w:szCs w:val="24"/>
                <w:highlight w:val="none"/>
                <w:shd w:val="clear" w:color="auto" w:fill="FFFFFF"/>
                <w:lang w:val="en-US" w:eastAsia="zh-CN" w:bidi="ar-SA"/>
              </w:rPr>
              <w:t>108</w:t>
            </w:r>
            <w:r>
              <w:rPr>
                <w:rFonts w:hint="eastAsia" w:ascii="Times New Roman" w:hAnsi="Times New Roman" w:eastAsia="宋体" w:cs="Times New Roman"/>
                <w:color w:val="000000"/>
                <w:sz w:val="24"/>
                <w:szCs w:val="24"/>
                <w:highlight w:val="none"/>
                <w:shd w:val="clear" w:color="auto" w:fill="FFFFFF"/>
                <w:lang w:val="en-US" w:eastAsia="zh-CN" w:bidi="ar-SA"/>
              </w:rPr>
              <w:t>m，对区域大气环境影响较小。</w:t>
            </w:r>
          </w:p>
          <w:p>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000000"/>
                <w:sz w:val="24"/>
                <w:szCs w:val="24"/>
                <w:highlight w:val="none"/>
                <w:shd w:val="clear" w:color="auto" w:fill="FFFFFF"/>
                <w:lang w:val="en-US" w:eastAsia="zh-CN" w:bidi="ar-SA"/>
              </w:rPr>
            </w:pPr>
            <w:r>
              <w:rPr>
                <w:rFonts w:hint="eastAsia" w:ascii="Times New Roman" w:hAnsi="Times New Roman" w:eastAsia="宋体" w:cs="Times New Roman"/>
                <w:color w:val="000000"/>
                <w:sz w:val="24"/>
                <w:szCs w:val="24"/>
                <w:highlight w:val="none"/>
                <w:shd w:val="clear" w:color="auto" w:fill="FFFFFF"/>
                <w:lang w:val="en-US" w:eastAsia="zh-CN" w:bidi="ar-SA"/>
              </w:rPr>
              <w:t>（4）防护距离</w:t>
            </w:r>
          </w:p>
          <w:p>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000000"/>
                <w:sz w:val="24"/>
                <w:szCs w:val="24"/>
                <w:highlight w:val="none"/>
                <w:shd w:val="clear" w:color="auto" w:fill="FFFFFF"/>
                <w:lang w:val="en-US" w:eastAsia="zh-CN" w:bidi="ar-SA"/>
              </w:rPr>
            </w:pPr>
            <w:r>
              <w:rPr>
                <w:rFonts w:hint="eastAsia" w:ascii="Times New Roman" w:hAnsi="Times New Roman" w:eastAsia="宋体" w:cs="Times New Roman"/>
                <w:color w:val="000000"/>
                <w:sz w:val="24"/>
                <w:szCs w:val="24"/>
                <w:highlight w:val="none"/>
                <w:shd w:val="clear" w:color="auto" w:fill="FFFFFF"/>
                <w:lang w:val="en-US" w:eastAsia="zh-CN" w:bidi="ar-SA"/>
              </w:rPr>
              <w:t>根据《环境影响评价技术导则 大气环境》（HJ2.2-2018）中的大气环境防护距离的要求，本项目厂界浓度满足大气污染物厂界浓度限值，因此本项目不设置大气环境防护距离。</w:t>
            </w:r>
          </w:p>
          <w:p>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000000"/>
                <w:sz w:val="24"/>
                <w:szCs w:val="24"/>
                <w:highlight w:val="none"/>
                <w:shd w:val="clear" w:color="auto" w:fill="FFFFFF"/>
                <w:lang w:val="en-US" w:eastAsia="zh-CN" w:bidi="ar-SA"/>
              </w:rPr>
            </w:pPr>
            <w:r>
              <w:rPr>
                <w:rFonts w:hint="eastAsia" w:ascii="Times New Roman" w:hAnsi="Times New Roman" w:eastAsia="宋体" w:cs="Times New Roman"/>
                <w:color w:val="000000"/>
                <w:sz w:val="24"/>
                <w:szCs w:val="24"/>
                <w:highlight w:val="none"/>
                <w:shd w:val="clear" w:color="auto" w:fill="FFFFFF"/>
                <w:lang w:val="en-US" w:eastAsia="zh-CN" w:bidi="ar-SA"/>
              </w:rPr>
              <w:t>（5）环境敏感性分析</w:t>
            </w:r>
          </w:p>
          <w:p>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000000"/>
                <w:sz w:val="24"/>
                <w:szCs w:val="24"/>
                <w:highlight w:val="none"/>
                <w:shd w:val="clear" w:color="auto" w:fill="FFFFFF"/>
                <w:lang w:val="en-US" w:eastAsia="zh-CN" w:bidi="ar-SA"/>
              </w:rPr>
            </w:pPr>
            <w:r>
              <w:rPr>
                <w:rFonts w:hint="eastAsia" w:ascii="Times New Roman" w:hAnsi="Times New Roman" w:eastAsia="宋体" w:cs="Times New Roman"/>
                <w:color w:val="000000"/>
                <w:sz w:val="24"/>
                <w:szCs w:val="24"/>
                <w:highlight w:val="none"/>
                <w:shd w:val="clear" w:color="auto" w:fill="FFFFFF"/>
                <w:lang w:val="en-US" w:eastAsia="zh-CN" w:bidi="ar-SA"/>
              </w:rPr>
              <w:t>从环境敏感性看，评价区无国家及省级确定的风景名胜、历史遗迹等保护区；无饮用水水源保护区；厂区内无特殊自然观赏价值较高的景观。</w:t>
            </w:r>
          </w:p>
          <w:p>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宋体"/>
                <w:color w:val="auto"/>
                <w:lang w:val="en-US" w:eastAsia="zh-CN"/>
              </w:rPr>
            </w:pPr>
            <w:r>
              <w:rPr>
                <w:rFonts w:hint="eastAsia" w:ascii="Times New Roman" w:hAnsi="Times New Roman" w:eastAsia="宋体" w:cs="Times New Roman"/>
                <w:color w:val="000000"/>
                <w:sz w:val="24"/>
                <w:szCs w:val="24"/>
                <w:highlight w:val="none"/>
                <w:shd w:val="clear" w:color="auto" w:fill="FFFFFF"/>
                <w:lang w:val="en-US" w:eastAsia="zh-CN" w:bidi="ar-SA"/>
              </w:rPr>
              <w:t>综上所述，本项目选址地区不属于特殊保护地区、社会关注区和特殊地貌景观区，也无重点保护生态品种及濒危生物物种，文物古迹等，区域环境敏感因素较少，因此选址可行。</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left"/>
              <w:textAlignment w:val="auto"/>
              <w:outlineLvl w:val="1"/>
              <w:rPr>
                <w:rFonts w:hint="eastAsia" w:ascii="Times New Roman" w:hAnsi="Times New Roman" w:eastAsia="宋体" w:cs="黑体"/>
                <w:b/>
                <w:color w:val="auto"/>
                <w:sz w:val="28"/>
                <w:szCs w:val="30"/>
                <w:highlight w:val="yellow"/>
                <w:lang w:val="en-US" w:eastAsia="zh-CN" w:bidi="ar-SA"/>
              </w:rPr>
            </w:pPr>
            <w:r>
              <w:rPr>
                <w:rFonts w:hint="eastAsia" w:ascii="Times New Roman" w:hAnsi="Times New Roman" w:eastAsia="宋体" w:cs="黑体"/>
                <w:b/>
                <w:color w:val="auto"/>
                <w:sz w:val="28"/>
                <w:szCs w:val="30"/>
                <w:highlight w:val="none"/>
                <w:lang w:val="en-US" w:eastAsia="zh-CN" w:bidi="ar-SA"/>
              </w:rPr>
              <w:t>1.</w:t>
            </w:r>
            <w:r>
              <w:rPr>
                <w:rFonts w:hint="eastAsia" w:cs="黑体"/>
                <w:b/>
                <w:color w:val="auto"/>
                <w:sz w:val="28"/>
                <w:szCs w:val="30"/>
                <w:highlight w:val="none"/>
                <w:lang w:val="en-US" w:eastAsia="zh-CN" w:bidi="ar-SA"/>
              </w:rPr>
              <w:t>5</w:t>
            </w:r>
            <w:r>
              <w:rPr>
                <w:rFonts w:hint="eastAsia" w:ascii="Times New Roman" w:hAnsi="Times New Roman" w:eastAsia="宋体" w:cs="黑体"/>
                <w:b/>
                <w:color w:val="auto"/>
                <w:sz w:val="28"/>
                <w:szCs w:val="30"/>
                <w:highlight w:val="none"/>
                <w:lang w:val="en-US" w:eastAsia="zh-CN" w:bidi="ar-SA"/>
              </w:rPr>
              <w:t>《新疆生态环境保护“十四五”规划》符合性分析</w:t>
            </w:r>
          </w:p>
          <w:p>
            <w:pPr>
              <w:widowControl w:val="0"/>
              <w:spacing w:line="360" w:lineRule="auto"/>
              <w:ind w:firstLine="480" w:firstLineChars="200"/>
              <w:jc w:val="both"/>
              <w:rPr>
                <w:rFonts w:hint="eastAsia" w:ascii="Times New Roman" w:hAnsi="Times New Roman" w:eastAsia="宋体" w:cs="宋体"/>
                <w:snapToGrid w:val="0"/>
                <w:color w:val="auto"/>
                <w:sz w:val="24"/>
                <w:szCs w:val="21"/>
                <w:highlight w:val="none"/>
                <w:lang w:val="en-US" w:eastAsia="zh-CN" w:bidi="ar-SA"/>
              </w:rPr>
            </w:pPr>
            <w:r>
              <w:rPr>
                <w:rFonts w:hint="eastAsia" w:ascii="Times New Roman" w:hAnsi="Times New Roman" w:eastAsia="宋体" w:cs="宋体"/>
                <w:snapToGrid w:val="0"/>
                <w:color w:val="auto"/>
                <w:sz w:val="24"/>
                <w:szCs w:val="21"/>
                <w:highlight w:val="none"/>
                <w:lang w:val="en-US" w:eastAsia="zh-CN" w:bidi="ar-SA"/>
              </w:rPr>
              <w:t>加强重点行业VOCs治理。实施VOCs排放总量控制，重点推进石油天然气开采、石化、化工、包装印刷、工业涂装、油品储运销等重点行业排放源以及机动车等移动源VOCs污染防治，加强重点行业、重点企业的精细化管控；全面推进使用低VOCs含量涂料、油墨、胶粘剂、清洗剂等；加强汽修行业VOCs综合治理，加大餐饮油烟污染治理力度，持续削减VOCs排放量。</w:t>
            </w:r>
          </w:p>
          <w:p>
            <w:pPr>
              <w:widowControl w:val="0"/>
              <w:spacing w:line="360" w:lineRule="auto"/>
              <w:ind w:firstLine="480" w:firstLineChars="200"/>
              <w:jc w:val="both"/>
              <w:rPr>
                <w:rFonts w:hint="eastAsia" w:ascii="Times New Roman" w:hAnsi="Times New Roman" w:eastAsia="宋体" w:cs="宋体"/>
                <w:snapToGrid w:val="0"/>
                <w:color w:val="auto"/>
                <w:sz w:val="24"/>
                <w:szCs w:val="21"/>
                <w:highlight w:val="none"/>
                <w:lang w:val="en-US" w:eastAsia="zh-CN" w:bidi="ar-SA"/>
              </w:rPr>
            </w:pPr>
            <w:r>
              <w:rPr>
                <w:rFonts w:hint="eastAsia" w:ascii="Times New Roman" w:hAnsi="Times New Roman" w:eastAsia="宋体" w:cs="宋体"/>
                <w:snapToGrid w:val="0"/>
                <w:color w:val="auto"/>
                <w:sz w:val="24"/>
                <w:szCs w:val="21"/>
                <w:highlight w:val="none"/>
                <w:lang w:val="en-US" w:eastAsia="zh-CN" w:bidi="ar-SA"/>
              </w:rPr>
              <w:t>加强环境噪声污染防控。加强噪声污染源监管，继续强化和深入推进交通运输噪声、建筑施工噪声、社会生活噪声、工业企业、机场周边噪声污染防治，推进工业企业噪声纳入排污许可管理。优化重点区域声环境质量监测点位，加强城市环境噪声、道路交通噪声、功能区噪声例行监测与评价，推动功能区声环境质量自动监测，强化声环境功能区管理，适时调整完善声环境功能区。继续强化噪声信访处置，畅通噪声污染投诉渠道，完善生态环境与相关部门的噪声污染投诉信息共享处理机制。</w:t>
            </w:r>
          </w:p>
          <w:p>
            <w:pPr>
              <w:widowControl w:val="0"/>
              <w:spacing w:line="360" w:lineRule="auto"/>
              <w:ind w:firstLine="480" w:firstLineChars="200"/>
              <w:jc w:val="both"/>
              <w:rPr>
                <w:rFonts w:hint="default" w:ascii="Times New Roman" w:hAnsi="Times New Roman" w:eastAsia="宋体" w:cs="宋体"/>
                <w:snapToGrid w:val="0"/>
                <w:color w:val="auto"/>
                <w:sz w:val="24"/>
                <w:szCs w:val="21"/>
                <w:highlight w:val="none"/>
                <w:lang w:val="en-US" w:eastAsia="zh-CN" w:bidi="ar-SA"/>
              </w:rPr>
            </w:pPr>
            <w:r>
              <w:rPr>
                <w:rFonts w:hint="eastAsia" w:ascii="Times New Roman" w:hAnsi="Times New Roman" w:eastAsia="宋体" w:cs="宋体"/>
                <w:snapToGrid w:val="0"/>
                <w:color w:val="auto"/>
                <w:sz w:val="24"/>
                <w:szCs w:val="21"/>
                <w:highlight w:val="none"/>
                <w:lang w:val="en-US" w:eastAsia="zh-CN" w:bidi="ar-SA"/>
              </w:rPr>
              <w:t>本项目</w:t>
            </w:r>
            <w:r>
              <w:rPr>
                <w:rFonts w:hint="eastAsia" w:cs="宋体"/>
                <w:snapToGrid w:val="0"/>
                <w:color w:val="auto"/>
                <w:sz w:val="24"/>
                <w:szCs w:val="21"/>
                <w:highlight w:val="none"/>
                <w:lang w:val="en-US" w:eastAsia="zh-CN" w:bidi="ar-SA"/>
              </w:rPr>
              <w:t>为电线电缆制造，不属于</w:t>
            </w:r>
            <w:r>
              <w:rPr>
                <w:rFonts w:hint="eastAsia" w:ascii="Times New Roman" w:hAnsi="Times New Roman" w:eastAsia="宋体" w:cs="宋体"/>
                <w:snapToGrid w:val="0"/>
                <w:color w:val="auto"/>
                <w:sz w:val="24"/>
                <w:szCs w:val="21"/>
                <w:highlight w:val="none"/>
                <w:lang w:val="en-US" w:eastAsia="zh-CN" w:bidi="ar-SA"/>
              </w:rPr>
              <w:t>石油天然气开采、石化、化工、包装印刷、工业涂装、油品储运销等重点行业排放源</w:t>
            </w:r>
            <w:r>
              <w:rPr>
                <w:rFonts w:hint="eastAsia" w:cs="宋体"/>
                <w:snapToGrid w:val="0"/>
                <w:color w:val="auto"/>
                <w:sz w:val="24"/>
                <w:szCs w:val="21"/>
                <w:highlight w:val="none"/>
                <w:lang w:val="en-US" w:eastAsia="zh-CN" w:bidi="ar-SA"/>
              </w:rPr>
              <w:t>，本项目运营期</w:t>
            </w:r>
            <w:r>
              <w:rPr>
                <w:rFonts w:hint="eastAsia" w:cs="宋体"/>
                <w:color w:val="000000" w:themeColor="text1"/>
                <w:lang w:val="en-US" w:eastAsia="zh-CN"/>
                <w14:textFill>
                  <w14:solidFill>
                    <w14:schemeClr w14:val="tx1"/>
                  </w14:solidFill>
                </w14:textFill>
              </w:rPr>
              <w:t>生产车间内拉丝、挤塑、</w:t>
            </w:r>
            <w:r>
              <w:rPr>
                <w:rFonts w:hint="eastAsia" w:cs="宋体"/>
                <w:lang w:val="en-US" w:eastAsia="zh-CN"/>
              </w:rPr>
              <w:t>紫外光交联</w:t>
            </w:r>
            <w:r>
              <w:rPr>
                <w:rFonts w:hint="eastAsia" w:cs="宋体"/>
                <w:color w:val="000000" w:themeColor="text1"/>
                <w:lang w:val="en-US" w:eastAsia="zh-CN"/>
                <w14:textFill>
                  <w14:solidFill>
                    <w14:schemeClr w14:val="tx1"/>
                  </w14:solidFill>
                </w14:textFill>
              </w:rPr>
              <w:t>、挤护外套以及喷码工段非甲烷总烃、臭气浓度以及挤塑、挤护外套工段氯化氢分别设置集气罩收集后，共同由一套水洗填料塔+活性炭吸附+脱附+催化燃烧装置+20m排气筒处理</w:t>
            </w:r>
            <w:r>
              <w:rPr>
                <w:rFonts w:hint="eastAsia" w:cs="宋体"/>
                <w:snapToGrid w:val="0"/>
                <w:color w:val="auto"/>
                <w:sz w:val="24"/>
                <w:szCs w:val="21"/>
                <w:highlight w:val="none"/>
                <w:lang w:val="en-US" w:eastAsia="zh-CN" w:bidi="ar-SA"/>
              </w:rPr>
              <w:t>；少量无组织非甲烷总烃、臭气浓度、氯化氢通过加强封闭式作业控制，颗粒物设置移动式焊烟净化器控制，有组织以及厂界无组织非甲烷总烃均能</w:t>
            </w:r>
            <w:r>
              <w:rPr>
                <w:rFonts w:hint="eastAsia" w:cs="宋体"/>
                <w:highlight w:val="none"/>
                <w:lang w:val="en-US" w:eastAsia="zh-CN"/>
              </w:rPr>
              <w:t>满足《合成树脂工业污染物排放标准》（GB31572-2015）（含2024年修改单）排放限值，厂区内非甲烷总烃满足《挥发性有机物无组织排放控制标准》（GB37822-2019）表A.1厂区内VOCs无组织特别排放限值要求，有组织、厂界无组织氯化氢以及厂界无组织颗粒物均满足《大气污染物综合排放标准》（GB 16297-1996）表2 新污染源大气污染物排放限值，有组织以及厂界无组织臭气浓度均满足《恶臭污染物排放标准》（GB14554-93），</w:t>
            </w:r>
            <w:r>
              <w:rPr>
                <w:rFonts w:hint="eastAsia" w:ascii="Times New Roman" w:hAnsi="Times New Roman" w:eastAsia="宋体" w:cs="宋体"/>
                <w:snapToGrid w:val="0"/>
                <w:color w:val="auto"/>
                <w:sz w:val="24"/>
                <w:szCs w:val="21"/>
                <w:highlight w:val="none"/>
                <w:lang w:val="en-US" w:eastAsia="zh-CN" w:bidi="ar-SA"/>
              </w:rPr>
              <w:t>本项目</w:t>
            </w:r>
            <w:r>
              <w:rPr>
                <w:rFonts w:hint="eastAsia" w:cs="宋体"/>
                <w:snapToGrid w:val="0"/>
                <w:color w:val="auto"/>
                <w:sz w:val="24"/>
                <w:szCs w:val="21"/>
                <w:highlight w:val="none"/>
                <w:lang w:val="en-US" w:eastAsia="zh-CN" w:bidi="ar-SA"/>
              </w:rPr>
              <w:t>噪声采取源头控制、消声减振等措施处理后，运营期定期监测，对周边敏感目标影响较小</w:t>
            </w:r>
            <w:r>
              <w:rPr>
                <w:rFonts w:hint="eastAsia" w:ascii="Times New Roman" w:hAnsi="Times New Roman" w:eastAsia="宋体" w:cs="宋体"/>
                <w:snapToGrid w:val="0"/>
                <w:color w:val="auto"/>
                <w:sz w:val="24"/>
                <w:szCs w:val="21"/>
                <w:highlight w:val="none"/>
                <w:lang w:val="en-US" w:eastAsia="zh-CN" w:bidi="ar-SA"/>
              </w:rPr>
              <w:t>；因此本项目符合《新疆生态环境保护“十四五”规划》。</w:t>
            </w:r>
          </w:p>
          <w:p>
            <w:pPr>
              <w:numPr>
                <w:ilvl w:val="0"/>
                <w:numId w:val="0"/>
              </w:numPr>
              <w:overflowPunct w:val="0"/>
              <w:autoSpaceDE w:val="0"/>
              <w:autoSpaceDN w:val="0"/>
              <w:adjustRightInd w:val="0"/>
              <w:snapToGrid w:val="0"/>
              <w:spacing w:before="0" w:after="0" w:line="360" w:lineRule="auto"/>
              <w:ind w:left="0" w:right="0" w:rightChars="0" w:firstLine="562" w:firstLineChars="200"/>
              <w:jc w:val="both"/>
              <w:rPr>
                <w:rFonts w:hint="eastAsia" w:ascii="Times New Roman" w:hAnsi="Times New Roman" w:eastAsia="宋体" w:cs="黑体"/>
                <w:b/>
                <w:snapToGrid w:val="0"/>
                <w:color w:val="auto"/>
                <w:sz w:val="28"/>
                <w:szCs w:val="30"/>
                <w:highlight w:val="none"/>
                <w:lang w:val="en-US" w:eastAsia="zh-CN" w:bidi="ar-SA"/>
              </w:rPr>
            </w:pPr>
            <w:r>
              <w:rPr>
                <w:rFonts w:hint="eastAsia" w:cs="黑体"/>
                <w:b/>
                <w:color w:val="auto"/>
                <w:sz w:val="28"/>
                <w:szCs w:val="30"/>
                <w:highlight w:val="none"/>
                <w:lang w:val="en-US" w:eastAsia="zh-CN" w:bidi="ar-SA"/>
              </w:rPr>
              <w:t>1.6</w:t>
            </w:r>
            <w:r>
              <w:rPr>
                <w:rFonts w:hint="eastAsia" w:cs="黑体"/>
                <w:b/>
                <w:snapToGrid w:val="0"/>
                <w:color w:val="auto"/>
                <w:sz w:val="28"/>
                <w:szCs w:val="30"/>
                <w:highlight w:val="none"/>
                <w:lang w:val="en-US" w:eastAsia="zh-CN" w:bidi="ar-SA"/>
              </w:rPr>
              <w:t>《新疆维吾尔自治区环境保护条例》</w:t>
            </w:r>
            <w:r>
              <w:rPr>
                <w:rFonts w:hint="eastAsia" w:ascii="Times New Roman" w:hAnsi="Times New Roman" w:eastAsia="宋体" w:cs="黑体"/>
                <w:b/>
                <w:snapToGrid w:val="0"/>
                <w:color w:val="auto"/>
                <w:sz w:val="28"/>
                <w:szCs w:val="30"/>
                <w:highlight w:val="none"/>
                <w:lang w:val="en-US" w:eastAsia="zh-CN" w:bidi="ar-SA"/>
              </w:rPr>
              <w:t>符合性分析</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各级人民政府应当采取措施，调整能源结构，淘汰落后产能，加强煤炭清洁高效利用，实施燃煤电厂超低排放和节能改造，鼓励开发利用低污染、无污染的清洁能源。</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各级人民政府应当优先保护饮用水水源，加强重点流域、区域、近岸水域水污染防治和湖泊生态环境保护，严格控制缺水地区、水污染严重区域和敏感区域高耗水、高污染行业发展，改善水环境质量。</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城市建成区内不得建设高污染的火电、化工、冶金、造纸、钢铁、建材等工业项目</w:t>
            </w:r>
            <w:r>
              <w:rPr>
                <w:rFonts w:hint="eastAsia" w:ascii="Times New Roman" w:eastAsia="宋体"/>
                <w:color w:val="auto"/>
                <w:sz w:val="24"/>
                <w:szCs w:val="24"/>
                <w:highlight w:val="none"/>
                <w:lang w:val="en-US" w:eastAsia="zh-CN"/>
              </w:rPr>
              <w:t>；</w:t>
            </w:r>
            <w:r>
              <w:rPr>
                <w:rFonts w:hint="eastAsia" w:ascii="Times New Roman" w:hAnsi="Times New Roman"/>
                <w:color w:val="auto"/>
                <w:sz w:val="24"/>
                <w:szCs w:val="24"/>
                <w:highlight w:val="none"/>
                <w:lang w:val="en-US" w:eastAsia="zh-CN"/>
              </w:rPr>
              <w:t>已经建成的，应当逐步搬迁。</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cs="黑体"/>
                <w:b/>
                <w:snapToGrid w:val="0"/>
                <w:color w:val="auto"/>
                <w:sz w:val="28"/>
                <w:szCs w:val="30"/>
                <w:highlight w:val="none"/>
                <w:lang w:val="en-US" w:eastAsia="zh-CN" w:bidi="ar-SA"/>
              </w:rPr>
            </w:pPr>
            <w:r>
              <w:rPr>
                <w:rFonts w:hint="eastAsia" w:ascii="Times New Roman" w:hAnsi="Times New Roman"/>
                <w:color w:val="auto"/>
                <w:sz w:val="24"/>
                <w:szCs w:val="24"/>
                <w:highlight w:val="none"/>
                <w:lang w:val="en-US" w:eastAsia="zh-CN"/>
              </w:rPr>
              <w:t>本项目</w:t>
            </w:r>
            <w:r>
              <w:rPr>
                <w:rFonts w:hint="eastAsia" w:ascii="Times New Roman" w:eastAsia="宋体"/>
                <w:color w:val="auto"/>
                <w:sz w:val="24"/>
                <w:szCs w:val="24"/>
                <w:highlight w:val="none"/>
                <w:lang w:val="en-US" w:eastAsia="zh-CN"/>
              </w:rPr>
              <w:t>位于工业园区内，不属于</w:t>
            </w:r>
            <w:r>
              <w:rPr>
                <w:rFonts w:hint="eastAsia" w:ascii="Times New Roman" w:hAnsi="Times New Roman"/>
                <w:color w:val="auto"/>
                <w:sz w:val="24"/>
                <w:szCs w:val="24"/>
                <w:highlight w:val="none"/>
                <w:lang w:val="en-US" w:eastAsia="zh-CN"/>
              </w:rPr>
              <w:t>火电、化工、冶金、造纸、钢铁、建材等高污染项目，</w:t>
            </w:r>
            <w:r>
              <w:rPr>
                <w:rFonts w:hint="eastAsia" w:ascii="Times New Roman" w:eastAsia="宋体"/>
                <w:color w:val="auto"/>
                <w:sz w:val="24"/>
                <w:szCs w:val="24"/>
                <w:highlight w:val="none"/>
                <w:lang w:val="en-US" w:eastAsia="zh-CN"/>
              </w:rPr>
              <w:t>生产仅使用电能，不消耗燃煤，</w:t>
            </w:r>
            <w:r>
              <w:rPr>
                <w:rFonts w:hint="eastAsia" w:cs="Times New Roman"/>
                <w:color w:val="000000"/>
                <w:sz w:val="24"/>
                <w:szCs w:val="24"/>
                <w:highlight w:val="none"/>
                <w:shd w:val="clear" w:color="auto" w:fill="FFFFFF"/>
                <w:lang w:val="en-US" w:eastAsia="zh-CN" w:bidi="ar-SA"/>
              </w:rPr>
              <w:t>本项目</w:t>
            </w:r>
            <w:r>
              <w:rPr>
                <w:rFonts w:hint="eastAsia" w:ascii="Times New Roman" w:eastAsia="宋体"/>
                <w:color w:val="auto"/>
                <w:sz w:val="24"/>
                <w:szCs w:val="24"/>
                <w:highlight w:val="none"/>
                <w:lang w:val="en-US" w:eastAsia="zh-CN"/>
              </w:rPr>
              <w:t>不属于</w:t>
            </w:r>
            <w:r>
              <w:rPr>
                <w:rFonts w:hint="eastAsia" w:ascii="Times New Roman" w:hAnsi="Times New Roman"/>
                <w:color w:val="auto"/>
                <w:sz w:val="24"/>
                <w:szCs w:val="24"/>
                <w:highlight w:val="none"/>
                <w:lang w:val="en-US" w:eastAsia="zh-CN"/>
              </w:rPr>
              <w:t>高耗水、高污染行业，用水仅为生活用水以及少量</w:t>
            </w:r>
            <w:r>
              <w:rPr>
                <w:rFonts w:hint="eastAsia" w:ascii="Times New Roman" w:eastAsia="宋体"/>
                <w:color w:val="auto"/>
                <w:sz w:val="24"/>
                <w:szCs w:val="24"/>
                <w:highlight w:val="none"/>
                <w:lang w:val="en-US" w:eastAsia="zh-CN"/>
              </w:rPr>
              <w:t>生产用水</w:t>
            </w:r>
            <w:r>
              <w:rPr>
                <w:rFonts w:hint="eastAsia" w:ascii="Times New Roman" w:hAnsi="Times New Roman"/>
                <w:color w:val="auto"/>
                <w:sz w:val="24"/>
                <w:szCs w:val="24"/>
                <w:highlight w:val="none"/>
                <w:lang w:val="en-US" w:eastAsia="zh-CN"/>
              </w:rPr>
              <w:t>；本项目生产废水</w:t>
            </w:r>
            <w:r>
              <w:rPr>
                <w:rFonts w:hint="eastAsia" w:ascii="Times New Roman" w:eastAsia="宋体"/>
                <w:color w:val="auto"/>
                <w:sz w:val="24"/>
                <w:szCs w:val="24"/>
                <w:highlight w:val="none"/>
                <w:lang w:val="en-US" w:eastAsia="zh-CN"/>
              </w:rPr>
              <w:t>循环使用不外排，</w:t>
            </w:r>
            <w:r>
              <w:rPr>
                <w:rFonts w:hint="eastAsia" w:ascii="Times New Roman" w:hAnsi="Times New Roman"/>
                <w:color w:val="auto"/>
                <w:sz w:val="24"/>
                <w:szCs w:val="24"/>
                <w:highlight w:val="none"/>
                <w:lang w:val="en-US" w:eastAsia="zh-CN"/>
              </w:rPr>
              <w:t>生活污水排入</w:t>
            </w:r>
            <w:r>
              <w:rPr>
                <w:rFonts w:hint="eastAsia" w:ascii="Times New Roman" w:eastAsia="宋体"/>
                <w:color w:val="auto"/>
                <w:sz w:val="24"/>
                <w:szCs w:val="24"/>
                <w:highlight w:val="none"/>
                <w:lang w:val="en-US" w:eastAsia="zh-CN"/>
              </w:rPr>
              <w:t>园区</w:t>
            </w:r>
            <w:r>
              <w:rPr>
                <w:rFonts w:hint="eastAsia" w:ascii="Times New Roman" w:hAnsi="Times New Roman"/>
                <w:color w:val="auto"/>
                <w:sz w:val="24"/>
                <w:szCs w:val="24"/>
                <w:highlight w:val="none"/>
                <w:lang w:val="en-US" w:eastAsia="zh-CN"/>
              </w:rPr>
              <w:t>管网，满足《污水排入城镇下水道水质标准》（GB/T 31962-2015）表1 污水排入城镇下水道水质控制项目限值B级标准</w:t>
            </w:r>
            <w:r>
              <w:rPr>
                <w:rFonts w:hint="eastAsia" w:cs="宋体"/>
                <w:snapToGrid w:val="0"/>
                <w:color w:val="auto"/>
                <w:sz w:val="24"/>
                <w:szCs w:val="21"/>
                <w:highlight w:val="none"/>
                <w:lang w:val="en-US" w:eastAsia="zh-CN" w:bidi="ar-SA"/>
              </w:rPr>
              <w:t>，</w:t>
            </w:r>
            <w:r>
              <w:rPr>
                <w:rFonts w:hint="eastAsia" w:ascii="Times New Roman" w:hAnsi="Times New Roman"/>
                <w:color w:val="auto"/>
                <w:sz w:val="24"/>
                <w:szCs w:val="24"/>
                <w:highlight w:val="none"/>
                <w:lang w:val="en-US" w:eastAsia="zh-CN"/>
              </w:rPr>
              <w:t>符合《新疆维吾尔自治区环境保护条例》相关要求。</w:t>
            </w:r>
          </w:p>
          <w:p>
            <w:pPr>
              <w:numPr>
                <w:ilvl w:val="0"/>
                <w:numId w:val="0"/>
              </w:numPr>
              <w:overflowPunct w:val="0"/>
              <w:autoSpaceDE w:val="0"/>
              <w:autoSpaceDN w:val="0"/>
              <w:adjustRightInd w:val="0"/>
              <w:snapToGrid w:val="0"/>
              <w:spacing w:before="0" w:after="0" w:line="360" w:lineRule="auto"/>
              <w:ind w:right="0" w:rightChars="0" w:firstLine="562" w:firstLineChars="200"/>
              <w:jc w:val="both"/>
              <w:rPr>
                <w:rFonts w:hint="eastAsia" w:ascii="Times New Roman" w:hAnsi="Times New Roman" w:eastAsia="宋体" w:cs="黑体"/>
                <w:b/>
                <w:color w:val="auto"/>
                <w:sz w:val="28"/>
                <w:szCs w:val="30"/>
                <w:highlight w:val="none"/>
                <w:lang w:val="en-US" w:eastAsia="zh-CN" w:bidi="ar-SA"/>
              </w:rPr>
            </w:pPr>
            <w:r>
              <w:rPr>
                <w:rFonts w:hint="eastAsia" w:ascii="Times New Roman" w:hAnsi="Times New Roman" w:eastAsia="宋体" w:cs="黑体"/>
                <w:b/>
                <w:color w:val="auto"/>
                <w:sz w:val="28"/>
                <w:szCs w:val="30"/>
                <w:highlight w:val="none"/>
                <w:lang w:val="en-US" w:eastAsia="zh-CN" w:bidi="ar-SA"/>
              </w:rPr>
              <w:t>1.</w:t>
            </w:r>
            <w:r>
              <w:rPr>
                <w:rFonts w:hint="eastAsia" w:cs="黑体"/>
                <w:b/>
                <w:color w:val="auto"/>
                <w:sz w:val="28"/>
                <w:szCs w:val="30"/>
                <w:highlight w:val="none"/>
                <w:lang w:val="en-US" w:eastAsia="zh-CN" w:bidi="ar-SA"/>
              </w:rPr>
              <w:t>7</w:t>
            </w:r>
            <w:r>
              <w:rPr>
                <w:rFonts w:hint="eastAsia" w:ascii="Times New Roman" w:hAnsi="Times New Roman" w:eastAsia="宋体" w:cs="黑体"/>
                <w:b/>
                <w:color w:val="auto"/>
                <w:sz w:val="28"/>
                <w:szCs w:val="30"/>
                <w:highlight w:val="none"/>
                <w:lang w:val="en-US" w:eastAsia="zh-CN" w:bidi="ar-SA"/>
              </w:rPr>
              <w:t>《关于开展自治区2022年度夏秋季大气污染防治“冬病夏治”工作的通知》（新环大气发[2022]483号）符合性分析</w:t>
            </w:r>
          </w:p>
          <w:p>
            <w:pPr>
              <w:widowControl w:val="0"/>
              <w:autoSpaceDE/>
              <w:autoSpaceDN/>
              <w:adjustRightInd/>
              <w:spacing w:after="120" w:line="360" w:lineRule="auto"/>
              <w:ind w:left="0" w:leftChars="0" w:firstLine="0" w:firstLineChars="0"/>
              <w:jc w:val="both"/>
              <w:textAlignment w:val="auto"/>
              <w:rPr>
                <w:rFonts w:hint="eastAsia" w:ascii="Times New Roman" w:hAnsi="Times New Roman" w:eastAsia="宋体" w:cs="宋体"/>
                <w:color w:val="auto"/>
                <w:kern w:val="0"/>
                <w:sz w:val="24"/>
                <w:szCs w:val="22"/>
                <w:highlight w:val="none"/>
                <w:lang w:val="en-US" w:eastAsia="zh-CN" w:bidi="ar-SA"/>
              </w:rPr>
            </w:pPr>
            <w:r>
              <w:rPr>
                <w:rFonts w:hint="eastAsia" w:ascii="Times New Roman" w:hAnsi="Times New Roman" w:eastAsia="宋体" w:cs="黑体"/>
                <w:b/>
                <w:color w:val="auto"/>
                <w:kern w:val="2"/>
                <w:sz w:val="28"/>
                <w:szCs w:val="30"/>
                <w:highlight w:val="none"/>
                <w:lang w:val="en-US" w:eastAsia="zh-CN" w:bidi="ar-SA"/>
              </w:rPr>
              <w:t xml:space="preserve">  </w:t>
            </w:r>
            <w:r>
              <w:rPr>
                <w:rFonts w:hint="eastAsia" w:ascii="Times New Roman" w:hAnsi="Times New Roman" w:eastAsia="宋体" w:cs="宋体"/>
                <w:color w:val="auto"/>
                <w:kern w:val="0"/>
                <w:sz w:val="24"/>
                <w:szCs w:val="22"/>
                <w:highlight w:val="none"/>
                <w:lang w:val="en-US" w:eastAsia="zh-CN" w:bidi="ar-SA"/>
              </w:rPr>
              <w:t xml:space="preserve"> 有序推动水泥、焦化行业超低排放改造，推进燃煤自备电厂、平板玻璃、耐火材料、金属冶炼、砖瓦窑、陶瓷、碳素、石灰等行业全面稳定达标排放。针对铸造、铁合金、焦化、水泥、砖瓦、石灰、耐火材料、金属冶炼以及煤化工、石油化工等行业，严格控制物料储存、输送及生产工艺过程无组织排放。</w:t>
            </w:r>
          </w:p>
          <w:p>
            <w:pPr>
              <w:widowControl w:val="0"/>
              <w:autoSpaceDE/>
              <w:autoSpaceDN/>
              <w:adjustRightInd/>
              <w:spacing w:after="120" w:line="360" w:lineRule="auto"/>
              <w:ind w:left="0" w:leftChars="0" w:firstLine="480" w:firstLineChars="200"/>
              <w:jc w:val="both"/>
              <w:textAlignment w:val="auto"/>
              <w:rPr>
                <w:rFonts w:hint="eastAsia" w:ascii="Times New Roman" w:hAnsi="Times New Roman" w:eastAsia="宋体" w:cs="宋体"/>
                <w:color w:val="auto"/>
                <w:kern w:val="0"/>
                <w:sz w:val="24"/>
                <w:szCs w:val="22"/>
                <w:highlight w:val="none"/>
                <w:lang w:val="en-US" w:eastAsia="zh-CN" w:bidi="ar-SA"/>
              </w:rPr>
            </w:pPr>
            <w:r>
              <w:rPr>
                <w:rFonts w:hint="eastAsia" w:ascii="Times New Roman" w:hAnsi="Times New Roman" w:eastAsia="宋体" w:cs="宋体"/>
                <w:color w:val="auto"/>
                <w:kern w:val="0"/>
                <w:sz w:val="24"/>
                <w:szCs w:val="22"/>
                <w:highlight w:val="none"/>
                <w:lang w:val="en-US" w:eastAsia="zh-CN" w:bidi="ar-SA"/>
              </w:rPr>
              <w:t>开展大气污染物排放标准实施情况排查，重点区域全面实施大气污染物特别排放限值，已完成超低排放改造的应达到超低排放限值要求。</w:t>
            </w:r>
          </w:p>
          <w:p>
            <w:pPr>
              <w:widowControl w:val="0"/>
              <w:spacing w:line="360" w:lineRule="auto"/>
              <w:ind w:left="0" w:leftChars="0" w:firstLine="480" w:firstLineChars="0"/>
              <w:jc w:val="both"/>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kern w:val="0"/>
                <w:sz w:val="24"/>
                <w:szCs w:val="22"/>
                <w:highlight w:val="none"/>
                <w:lang w:val="en-US" w:eastAsia="zh-CN" w:bidi="ar-SA"/>
              </w:rPr>
              <w:t>本项目位于苏通小微创业园，</w:t>
            </w:r>
            <w:r>
              <w:rPr>
                <w:rFonts w:hint="default" w:ascii="Times New Roman" w:hAnsi="Times New Roman" w:eastAsia="宋体" w:cs="Times New Roman"/>
                <w:color w:val="auto"/>
                <w:sz w:val="24"/>
                <w:szCs w:val="24"/>
                <w:highlight w:val="none"/>
                <w:lang w:val="en-US" w:eastAsia="zh-CN" w:bidi="ar-SA"/>
              </w:rPr>
              <w:t>属于重点控制区域，同时本项目属于</w:t>
            </w:r>
            <w:r>
              <w:rPr>
                <w:rFonts w:hint="eastAsia" w:cs="Times New Roman"/>
                <w:color w:val="auto"/>
                <w:sz w:val="24"/>
                <w:szCs w:val="24"/>
                <w:highlight w:val="none"/>
                <w:lang w:val="en-US" w:eastAsia="zh-CN" w:bidi="ar-SA"/>
              </w:rPr>
              <w:t>电线电缆制造</w:t>
            </w:r>
            <w:r>
              <w:rPr>
                <w:rFonts w:hint="default" w:ascii="Times New Roman" w:hAnsi="Times New Roman" w:eastAsia="宋体" w:cs="Times New Roman"/>
                <w:color w:val="auto"/>
                <w:sz w:val="24"/>
                <w:szCs w:val="24"/>
                <w:highlight w:val="none"/>
                <w:lang w:val="en-US" w:eastAsia="zh-CN" w:bidi="ar-SA"/>
              </w:rPr>
              <w:t>，不属于</w:t>
            </w:r>
            <w:r>
              <w:rPr>
                <w:rFonts w:hint="default" w:ascii="Times New Roman" w:hAnsi="Times New Roman" w:eastAsia="宋体" w:cs="Times New Roman"/>
                <w:color w:val="auto"/>
                <w:kern w:val="0"/>
                <w:sz w:val="24"/>
                <w:szCs w:val="22"/>
                <w:highlight w:val="none"/>
                <w:lang w:val="en-US" w:eastAsia="zh-CN" w:bidi="ar-SA"/>
              </w:rPr>
              <w:t>钢铁、有色金属、化工等重点行业。</w:t>
            </w:r>
            <w:r>
              <w:rPr>
                <w:rFonts w:hint="eastAsia" w:cs="宋体"/>
                <w:snapToGrid w:val="0"/>
                <w:color w:val="auto"/>
                <w:sz w:val="24"/>
                <w:szCs w:val="21"/>
                <w:highlight w:val="none"/>
                <w:lang w:val="en-US" w:eastAsia="zh-CN" w:bidi="ar-SA"/>
              </w:rPr>
              <w:t>本项目运营期</w:t>
            </w:r>
            <w:r>
              <w:rPr>
                <w:rFonts w:hint="eastAsia" w:cs="宋体"/>
                <w:color w:val="000000" w:themeColor="text1"/>
                <w:lang w:val="en-US" w:eastAsia="zh-CN"/>
                <w14:textFill>
                  <w14:solidFill>
                    <w14:schemeClr w14:val="tx1"/>
                  </w14:solidFill>
                </w14:textFill>
              </w:rPr>
              <w:t>生产车间内拉丝、挤塑、紫外光交联、挤护外套、喷码工段非甲烷总烃共同由一套水洗填料塔+活性炭吸附+脱附+催化燃烧装置+20m排气筒处理，</w:t>
            </w:r>
            <w:r>
              <w:rPr>
                <w:rFonts w:hint="eastAsia" w:cs="宋体"/>
                <w:snapToGrid w:val="0"/>
                <w:color w:val="auto"/>
                <w:sz w:val="24"/>
                <w:szCs w:val="21"/>
                <w:highlight w:val="none"/>
                <w:lang w:val="en-US" w:eastAsia="zh-CN" w:bidi="ar-SA"/>
              </w:rPr>
              <w:t>有组织非甲烷总烃</w:t>
            </w:r>
            <w:r>
              <w:rPr>
                <w:rFonts w:hint="eastAsia" w:cs="宋体"/>
                <w:highlight w:val="none"/>
                <w:lang w:val="en-US" w:eastAsia="zh-CN"/>
              </w:rPr>
              <w:t>满足《非甲烷总烃排放满足《合成树脂工业污染物排放标准》（GB31572-2015）（含2024年修改单）表5 大气污染物特别排放限值，</w:t>
            </w:r>
            <w:r>
              <w:rPr>
                <w:rFonts w:hint="eastAsia" w:cs="宋体"/>
                <w:snapToGrid w:val="0"/>
                <w:color w:val="auto"/>
                <w:sz w:val="24"/>
                <w:szCs w:val="21"/>
                <w:highlight w:val="none"/>
                <w:lang w:val="en-US" w:eastAsia="zh-CN" w:bidi="ar-SA"/>
              </w:rPr>
              <w:t>少量无组织非甲烷总烃通过加强封闭式作业控制，</w:t>
            </w:r>
            <w:r>
              <w:rPr>
                <w:rFonts w:hint="eastAsia" w:cs="宋体"/>
                <w:highlight w:val="none"/>
                <w:lang w:val="en-US" w:eastAsia="zh-CN"/>
              </w:rPr>
              <w:t>厂区内非甲烷总烃满足《挥发性有机物无组织排放控制标准》（GB37822-2019）表A.1厂区内VOCs无组织特别排放限值要求，落实</w:t>
            </w:r>
            <w:r>
              <w:rPr>
                <w:rFonts w:hint="eastAsia" w:ascii="Times New Roman" w:hAnsi="Times New Roman" w:eastAsia="宋体" w:cs="宋体"/>
                <w:color w:val="auto"/>
                <w:kern w:val="0"/>
                <w:sz w:val="24"/>
                <w:szCs w:val="22"/>
                <w:highlight w:val="none"/>
                <w:lang w:val="en-US" w:eastAsia="zh-CN" w:bidi="ar-SA"/>
              </w:rPr>
              <w:t>大气污染物特别排放限值</w:t>
            </w:r>
            <w:r>
              <w:rPr>
                <w:rFonts w:hint="eastAsia" w:cs="宋体"/>
                <w:highlight w:val="none"/>
                <w:lang w:val="en-US" w:eastAsia="zh-CN"/>
              </w:rPr>
              <w:t>，</w:t>
            </w:r>
            <w:r>
              <w:rPr>
                <w:rFonts w:hint="default" w:ascii="Times New Roman" w:hAnsi="Times New Roman" w:eastAsia="宋体" w:cs="Times New Roman"/>
                <w:color w:val="auto"/>
                <w:sz w:val="24"/>
                <w:szCs w:val="24"/>
                <w:highlight w:val="none"/>
                <w:lang w:val="en-US" w:eastAsia="zh-CN" w:bidi="ar-SA"/>
              </w:rPr>
              <w:t>对周边大气环境影响较小。</w:t>
            </w:r>
            <w:r>
              <w:rPr>
                <w:rFonts w:hint="default" w:ascii="Times New Roman" w:hAnsi="Times New Roman" w:eastAsia="宋体" w:cs="Times New Roman"/>
                <w:color w:val="auto"/>
                <w:kern w:val="0"/>
                <w:sz w:val="24"/>
                <w:szCs w:val="22"/>
                <w:highlight w:val="none"/>
                <w:lang w:val="en-US" w:eastAsia="zh-CN" w:bidi="ar-SA"/>
              </w:rPr>
              <w:t>因此本项目满足《关于开展自治区2022年度夏秋季大气污染防治</w:t>
            </w:r>
            <w:r>
              <w:rPr>
                <w:rFonts w:hint="eastAsia" w:ascii="Times New Roman" w:hAnsi="Times New Roman" w:eastAsia="宋体" w:cs="Times New Roman"/>
                <w:color w:val="auto"/>
                <w:kern w:val="0"/>
                <w:sz w:val="24"/>
                <w:szCs w:val="22"/>
                <w:highlight w:val="none"/>
                <w:lang w:val="en-US" w:eastAsia="zh-CN" w:bidi="ar-SA"/>
              </w:rPr>
              <w:t>“</w:t>
            </w:r>
            <w:r>
              <w:rPr>
                <w:rFonts w:hint="default" w:ascii="Times New Roman" w:hAnsi="Times New Roman" w:eastAsia="宋体" w:cs="Times New Roman"/>
                <w:color w:val="auto"/>
                <w:kern w:val="0"/>
                <w:sz w:val="24"/>
                <w:szCs w:val="22"/>
                <w:highlight w:val="none"/>
                <w:lang w:val="en-US" w:eastAsia="zh-CN" w:bidi="ar-SA"/>
              </w:rPr>
              <w:t>冬病夏治</w:t>
            </w:r>
            <w:r>
              <w:rPr>
                <w:rFonts w:hint="eastAsia" w:ascii="Times New Roman" w:hAnsi="Times New Roman" w:eastAsia="宋体" w:cs="Times New Roman"/>
                <w:color w:val="auto"/>
                <w:kern w:val="0"/>
                <w:sz w:val="24"/>
                <w:szCs w:val="22"/>
                <w:highlight w:val="none"/>
                <w:lang w:val="en-US" w:eastAsia="zh-CN" w:bidi="ar-SA"/>
              </w:rPr>
              <w:t>”</w:t>
            </w:r>
            <w:r>
              <w:rPr>
                <w:rFonts w:hint="default" w:ascii="Times New Roman" w:hAnsi="Times New Roman" w:eastAsia="宋体" w:cs="Times New Roman"/>
                <w:color w:val="auto"/>
                <w:kern w:val="0"/>
                <w:sz w:val="24"/>
                <w:szCs w:val="22"/>
                <w:highlight w:val="none"/>
                <w:lang w:val="en-US" w:eastAsia="zh-CN" w:bidi="ar-SA"/>
              </w:rPr>
              <w:t>工作的通知》（新环大气发[2022]483号）要求。</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left"/>
              <w:textAlignment w:val="auto"/>
              <w:outlineLvl w:val="1"/>
              <w:rPr>
                <w:rFonts w:hint="default" w:ascii="Times New Roman" w:hAnsi="Times New Roman" w:eastAsia="宋体" w:cs="黑体"/>
                <w:b/>
                <w:sz w:val="28"/>
                <w:szCs w:val="30"/>
                <w:lang w:val="en-US" w:eastAsia="zh-CN" w:bidi="ar-SA"/>
              </w:rPr>
            </w:pPr>
            <w:r>
              <w:rPr>
                <w:rFonts w:hint="eastAsia" w:ascii="Times New Roman" w:hAnsi="Times New Roman" w:eastAsia="宋体" w:cs="黑体"/>
                <w:b/>
                <w:color w:val="auto"/>
                <w:sz w:val="28"/>
                <w:szCs w:val="30"/>
                <w:highlight w:val="none"/>
                <w:lang w:val="en-US" w:eastAsia="zh-CN" w:bidi="ar-SA"/>
              </w:rPr>
              <w:t>1.</w:t>
            </w:r>
            <w:r>
              <w:rPr>
                <w:rFonts w:hint="eastAsia" w:cs="黑体"/>
                <w:b/>
                <w:color w:val="auto"/>
                <w:sz w:val="28"/>
                <w:szCs w:val="30"/>
                <w:highlight w:val="none"/>
                <w:lang w:val="en-US" w:eastAsia="zh-CN" w:bidi="ar-SA"/>
              </w:rPr>
              <w:t>8</w:t>
            </w:r>
            <w:r>
              <w:rPr>
                <w:rFonts w:hint="eastAsia" w:ascii="Times New Roman" w:hAnsi="Times New Roman" w:eastAsia="宋体" w:cs="黑体"/>
                <w:b/>
                <w:sz w:val="28"/>
                <w:szCs w:val="30"/>
                <w:lang w:val="en-US" w:eastAsia="zh-CN" w:bidi="ar-SA"/>
              </w:rPr>
              <w:t>与《新疆维吾尔自治区大气污染防治条例》符合性分析</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下列产生含挥发性有机物废气的生产和服务活动，应当按照国家规定在密闭空间或者设备中进行，并安装、使用污染防治设施；无法密闭的，应当采取措施减少废气排放： </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（一）石油、化工等含挥发性有机物原料的生产； </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（二）燃油、溶剂的储存、运输和销售； </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（三）涂料、油墨、胶粘剂、农药等以挥发性有机物为原料的生产； </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（四）涂装、印刷、粘合、工业清洗等含挥发性有机物的产品使用； </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（五）其他产生挥发性有机物的生产和服务活动。 </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石油、化工等排放挥发性有机物的企业事业单位和其他生产经营者在维修、检修时，应当按照技术规范，对生产装置系统的停运、倒空、清洗等环节实施挥发性有机物排放控制。</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highlight w:val="none"/>
                <w:lang w:val="en-US" w:eastAsia="zh-CN"/>
              </w:rPr>
              <w:t>本项目</w:t>
            </w:r>
            <w:r>
              <w:rPr>
                <w:rFonts w:hint="eastAsia" w:cs="宋体"/>
                <w:highlight w:val="none"/>
                <w:lang w:val="en-US" w:eastAsia="zh-CN"/>
              </w:rPr>
              <w:t>运营期</w:t>
            </w:r>
            <w:r>
              <w:rPr>
                <w:rFonts w:hint="eastAsia" w:cs="宋体"/>
                <w:color w:val="000000" w:themeColor="text1"/>
                <w:lang w:val="en-US" w:eastAsia="zh-CN"/>
                <w14:textFill>
                  <w14:solidFill>
                    <w14:schemeClr w14:val="tx1"/>
                  </w14:solidFill>
                </w14:textFill>
              </w:rPr>
              <w:t>生产车间拉丝、挤塑、</w:t>
            </w:r>
            <w:r>
              <w:rPr>
                <w:rFonts w:hint="eastAsia" w:cs="宋体"/>
                <w:lang w:val="en-US" w:eastAsia="zh-CN"/>
              </w:rPr>
              <w:t>紫外光交联</w:t>
            </w:r>
            <w:r>
              <w:rPr>
                <w:rFonts w:hint="eastAsia" w:cs="宋体"/>
                <w:color w:val="000000" w:themeColor="text1"/>
                <w:lang w:val="en-US" w:eastAsia="zh-CN"/>
                <w14:textFill>
                  <w14:solidFill>
                    <w14:schemeClr w14:val="tx1"/>
                  </w14:solidFill>
                </w14:textFill>
              </w:rPr>
              <w:t>、挤护外套、喷码工段非甲烷总烃分别设置集气罩收集后，共同由一套水洗填料塔+活性炭吸附+脱附+催化燃烧装置+20m排气筒处理</w:t>
            </w:r>
            <w:r>
              <w:rPr>
                <w:rFonts w:hint="eastAsia" w:cs="宋体"/>
                <w:snapToGrid w:val="0"/>
                <w:color w:val="auto"/>
                <w:sz w:val="24"/>
                <w:szCs w:val="21"/>
                <w:highlight w:val="none"/>
                <w:lang w:val="en-US" w:eastAsia="zh-CN" w:bidi="ar-SA"/>
              </w:rPr>
              <w:t>，少量无组织非甲烷总烃通过加强封闭式作业控制，有组织污染物以及厂界无组织污染物均能</w:t>
            </w:r>
            <w:r>
              <w:rPr>
                <w:rFonts w:hint="eastAsia" w:cs="宋体"/>
                <w:highlight w:val="none"/>
                <w:lang w:val="en-US" w:eastAsia="zh-CN"/>
              </w:rPr>
              <w:t>满足《合成树脂工业污染物排放标准》（GB31572-2015）（含2024年修改单）排放限值，厂区内非甲烷总烃满足《挥发性有机物无组织排放控制标准》（GB37822-2019）表A.1厂区内VOCs无组织特别排放限值要求</w:t>
            </w:r>
            <w:r>
              <w:rPr>
                <w:rFonts w:hint="eastAsia" w:cs="宋体"/>
                <w:snapToGrid w:val="0"/>
                <w:color w:val="auto"/>
                <w:sz w:val="24"/>
                <w:szCs w:val="21"/>
                <w:highlight w:val="none"/>
                <w:lang w:val="en-US" w:eastAsia="zh-CN" w:bidi="ar-SA"/>
              </w:rPr>
              <w:t>，</w:t>
            </w:r>
            <w:r>
              <w:rPr>
                <w:rFonts w:hint="eastAsia" w:ascii="Times New Roman" w:hAnsi="Times New Roman" w:eastAsia="宋体" w:cs="宋体"/>
                <w:lang w:val="en-US" w:eastAsia="zh-CN"/>
              </w:rPr>
              <w:t>能够有效降低有机废气排放，因此本项目符合《新疆维吾尔自治区大气污染防治条例》相关要求。</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both"/>
              <w:textAlignment w:val="auto"/>
              <w:outlineLvl w:val="1"/>
              <w:rPr>
                <w:rFonts w:hint="eastAsia"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1.</w:t>
            </w:r>
            <w:r>
              <w:rPr>
                <w:rFonts w:hint="eastAsia" w:cs="黑体"/>
                <w:b/>
                <w:sz w:val="28"/>
                <w:szCs w:val="30"/>
                <w:lang w:val="en-US" w:eastAsia="zh-CN" w:bidi="ar-SA"/>
              </w:rPr>
              <w:t>9</w:t>
            </w:r>
            <w:r>
              <w:rPr>
                <w:rFonts w:hint="eastAsia" w:ascii="Times New Roman" w:hAnsi="Times New Roman" w:eastAsia="宋体" w:cs="黑体"/>
                <w:b/>
                <w:sz w:val="28"/>
                <w:szCs w:val="30"/>
                <w:lang w:val="en-US" w:eastAsia="zh-CN" w:bidi="ar-SA"/>
              </w:rPr>
              <w:t>《关于</w:t>
            </w:r>
            <w:r>
              <w:rPr>
                <w:rFonts w:hint="eastAsia" w:cs="黑体"/>
                <w:b/>
                <w:sz w:val="28"/>
                <w:szCs w:val="30"/>
                <w:lang w:val="en-US" w:eastAsia="zh-CN" w:bidi="ar-SA"/>
              </w:rPr>
              <w:t>进一步</w:t>
            </w:r>
            <w:r>
              <w:rPr>
                <w:rFonts w:hint="eastAsia" w:ascii="Times New Roman" w:hAnsi="Times New Roman" w:eastAsia="宋体" w:cs="黑体"/>
                <w:b/>
                <w:sz w:val="28"/>
                <w:szCs w:val="30"/>
                <w:lang w:val="en-US" w:eastAsia="zh-CN" w:bidi="ar-SA"/>
              </w:rPr>
              <w:t>加强乌鲁木齐、昌吉、石河子、五家渠区域环境同防同治区的意见》（新政</w:t>
            </w:r>
            <w:r>
              <w:rPr>
                <w:rFonts w:hint="eastAsia" w:cs="黑体"/>
                <w:b/>
                <w:sz w:val="28"/>
                <w:szCs w:val="30"/>
                <w:lang w:val="en-US" w:eastAsia="zh-CN" w:bidi="ar-SA"/>
              </w:rPr>
              <w:t>办</w:t>
            </w:r>
            <w:r>
              <w:rPr>
                <w:rFonts w:hint="eastAsia" w:ascii="Times New Roman" w:hAnsi="Times New Roman" w:eastAsia="宋体" w:cs="黑体"/>
                <w:b/>
                <w:sz w:val="28"/>
                <w:szCs w:val="30"/>
                <w:lang w:val="en-US" w:eastAsia="zh-CN" w:bidi="ar-SA"/>
              </w:rPr>
              <w:t>发[20</w:t>
            </w:r>
            <w:r>
              <w:rPr>
                <w:rFonts w:hint="eastAsia" w:cs="黑体"/>
                <w:b/>
                <w:sz w:val="28"/>
                <w:szCs w:val="30"/>
                <w:lang w:val="en-US" w:eastAsia="zh-CN" w:bidi="ar-SA"/>
              </w:rPr>
              <w:t>23</w:t>
            </w:r>
            <w:r>
              <w:rPr>
                <w:rFonts w:hint="eastAsia" w:ascii="Times New Roman" w:hAnsi="Times New Roman" w:eastAsia="宋体" w:cs="黑体"/>
                <w:b/>
                <w:sz w:val="28"/>
                <w:szCs w:val="30"/>
                <w:lang w:val="en-US" w:eastAsia="zh-CN" w:bidi="ar-SA"/>
              </w:rPr>
              <w:t>]</w:t>
            </w:r>
            <w:r>
              <w:rPr>
                <w:rFonts w:hint="eastAsia" w:cs="黑体"/>
                <w:b/>
                <w:sz w:val="28"/>
                <w:szCs w:val="30"/>
                <w:lang w:val="en-US" w:eastAsia="zh-CN" w:bidi="ar-SA"/>
              </w:rPr>
              <w:t>29</w:t>
            </w:r>
            <w:r>
              <w:rPr>
                <w:rFonts w:hint="eastAsia" w:ascii="Times New Roman" w:hAnsi="Times New Roman" w:eastAsia="宋体" w:cs="黑体"/>
                <w:b/>
                <w:sz w:val="28"/>
                <w:szCs w:val="30"/>
                <w:lang w:val="en-US" w:eastAsia="zh-CN" w:bidi="ar-SA"/>
              </w:rPr>
              <w:t>号）符合性分析</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加快淘汰重点行业不符合环保要求的落后产能。严格执行节能、环保、质量、安全技术等相关法律法规和《产业结构调整指导目录》等政策</w:t>
            </w:r>
            <w:r>
              <w:rPr>
                <w:rFonts w:hint="eastAsia" w:cs="宋体"/>
                <w:lang w:val="en-US" w:eastAsia="zh-CN"/>
              </w:rPr>
              <w:t>，</w:t>
            </w:r>
            <w:r>
              <w:rPr>
                <w:rFonts w:hint="eastAsia" w:ascii="Times New Roman" w:hAnsi="Times New Roman" w:eastAsia="宋体" w:cs="宋体"/>
                <w:lang w:val="en-US" w:eastAsia="zh-CN"/>
              </w:rPr>
              <w:t>依法依规淘汰不符合绿色低碳转型发展要求的落后工艺技术和生产装置。对能效在基准水平以下，且难以在规定时限通过改造升级达到基准水平以上的产能，通过市场化方式、法治化手段推动其加快退出。加大钢铁、水泥、焦化、玻璃</w:t>
            </w:r>
            <w:r>
              <w:rPr>
                <w:rFonts w:hint="eastAsia" w:cs="宋体"/>
                <w:lang w:val="en-US" w:eastAsia="zh-CN"/>
              </w:rPr>
              <w:t>（</w:t>
            </w:r>
            <w:r>
              <w:rPr>
                <w:rFonts w:hint="eastAsia" w:ascii="Times New Roman" w:hAnsi="Times New Roman" w:eastAsia="宋体" w:cs="宋体"/>
                <w:lang w:val="en-US" w:eastAsia="zh-CN"/>
              </w:rPr>
              <w:t>光伏压延玻璃除外</w:t>
            </w:r>
            <w:r>
              <w:rPr>
                <w:rFonts w:hint="eastAsia" w:cs="宋体"/>
                <w:lang w:val="en-US" w:eastAsia="zh-CN"/>
              </w:rPr>
              <w:t>）、</w:t>
            </w:r>
            <w:r>
              <w:rPr>
                <w:rFonts w:hint="eastAsia" w:ascii="Times New Roman" w:hAnsi="Times New Roman" w:eastAsia="宋体" w:cs="宋体"/>
                <w:lang w:val="en-US" w:eastAsia="zh-CN"/>
              </w:rPr>
              <w:t>煤炭等行业落后产能淘汰力度。分类实施治理、搬迁、淘汰，取缔不符合国家产业政策的严重污染项目。</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严格污染物排放标准。全面执行《关于“</w:t>
            </w:r>
            <w:r>
              <w:rPr>
                <w:rFonts w:hint="eastAsia" w:cs="宋体"/>
                <w:lang w:val="en-US" w:eastAsia="zh-CN"/>
              </w:rPr>
              <w:t>乌-</w:t>
            </w:r>
            <w:r>
              <w:rPr>
                <w:rFonts w:hint="eastAsia" w:ascii="Times New Roman" w:hAnsi="Times New Roman" w:eastAsia="宋体" w:cs="宋体"/>
                <w:lang w:val="en-US" w:eastAsia="zh-CN"/>
              </w:rPr>
              <w:t>昌</w:t>
            </w:r>
            <w:r>
              <w:rPr>
                <w:rFonts w:hint="eastAsia" w:cs="宋体"/>
                <w:lang w:val="en-US" w:eastAsia="zh-CN"/>
              </w:rPr>
              <w:t>-</w:t>
            </w:r>
            <w:r>
              <w:rPr>
                <w:rFonts w:hint="eastAsia" w:ascii="Times New Roman" w:hAnsi="Times New Roman" w:eastAsia="宋体" w:cs="宋体"/>
                <w:lang w:val="en-US" w:eastAsia="zh-CN"/>
              </w:rPr>
              <w:t>石”区域执行大气污染物特别排放标准限值的公告》。</w:t>
            </w:r>
          </w:p>
          <w:p>
            <w:pPr>
              <w:pageBreakBefore w:val="0"/>
              <w:widowControl w:val="0"/>
              <w:kinsoku/>
              <w:wordWrap/>
              <w:overflowPunct/>
              <w:topLinePunct w:val="0"/>
              <w:autoSpaceDE/>
              <w:autoSpaceDN/>
              <w:bidi w:val="0"/>
              <w:adjustRightInd w:val="0"/>
              <w:snapToGrid w:val="0"/>
              <w:spacing w:before="0" w:after="0" w:line="360" w:lineRule="auto"/>
              <w:ind w:left="0" w:right="0" w:firstLine="480" w:firstLineChars="200"/>
              <w:jc w:val="both"/>
              <w:textAlignment w:val="auto"/>
              <w:rPr>
                <w:rFonts w:hint="eastAsia" w:cs="宋体"/>
                <w:snapToGrid w:val="0"/>
                <w:sz w:val="24"/>
                <w:szCs w:val="21"/>
                <w:lang w:val="en-US" w:eastAsia="zh-CN" w:bidi="ar-SA"/>
              </w:rPr>
            </w:pPr>
            <w:r>
              <w:rPr>
                <w:rFonts w:hint="eastAsia" w:cs="宋体"/>
                <w:snapToGrid w:val="0"/>
                <w:color w:val="auto"/>
                <w:sz w:val="24"/>
                <w:szCs w:val="21"/>
                <w:highlight w:val="none"/>
                <w:lang w:val="en-US" w:eastAsia="zh-CN" w:bidi="ar-SA"/>
              </w:rPr>
              <w:t>本项目不属于产业结构限制类、淘汰类项目，不属于钢铁、水泥、焦化、玻璃（光伏压延玻璃除外）、煤炭</w:t>
            </w:r>
            <w:r>
              <w:rPr>
                <w:rFonts w:hint="eastAsia" w:ascii="Times New Roman" w:hAnsi="Times New Roman" w:eastAsia="宋体" w:cs="宋体"/>
                <w:lang w:val="en-US" w:eastAsia="zh-CN"/>
              </w:rPr>
              <w:t>等行业。</w:t>
            </w:r>
            <w:r>
              <w:rPr>
                <w:rFonts w:hint="eastAsia" w:eastAsia="宋体" w:cs="宋体"/>
                <w:highlight w:val="none"/>
                <w:lang w:val="en-US" w:eastAsia="zh-CN"/>
              </w:rPr>
              <w:t>本项目</w:t>
            </w:r>
            <w:r>
              <w:rPr>
                <w:rFonts w:hint="eastAsia" w:cs="宋体"/>
                <w:color w:val="000000" w:themeColor="text1"/>
                <w:lang w:val="en-US" w:eastAsia="zh-CN"/>
                <w14:textFill>
                  <w14:solidFill>
                    <w14:schemeClr w14:val="tx1"/>
                  </w14:solidFill>
                </w14:textFill>
              </w:rPr>
              <w:t>生产车间拉丝、挤塑、</w:t>
            </w:r>
            <w:r>
              <w:rPr>
                <w:rFonts w:hint="eastAsia" w:cs="宋体"/>
                <w:lang w:val="en-US" w:eastAsia="zh-CN"/>
              </w:rPr>
              <w:t>紫外光交联</w:t>
            </w:r>
            <w:r>
              <w:rPr>
                <w:rFonts w:hint="eastAsia" w:cs="宋体"/>
                <w:color w:val="000000" w:themeColor="text1"/>
                <w:lang w:val="en-US" w:eastAsia="zh-CN"/>
                <w14:textFill>
                  <w14:solidFill>
                    <w14:schemeClr w14:val="tx1"/>
                  </w14:solidFill>
                </w14:textFill>
              </w:rPr>
              <w:t>、挤护外套、喷码工段非甲烷总烃分别设置集气罩收集后，共同由一套水洗填料塔+活性炭吸附+脱附+催化燃烧装置+20m排气筒处理</w:t>
            </w:r>
            <w:r>
              <w:rPr>
                <w:rFonts w:hint="eastAsia" w:cs="宋体"/>
                <w:highlight w:val="none"/>
                <w:lang w:eastAsia="zh-CN"/>
              </w:rPr>
              <w:t>；</w:t>
            </w:r>
            <w:r>
              <w:rPr>
                <w:rFonts w:hint="eastAsia" w:cs="宋体"/>
                <w:highlight w:val="none"/>
                <w:lang w:val="en-US" w:eastAsia="zh-CN"/>
              </w:rPr>
              <w:t>排放满足《合成树脂工业污染物排放标准》（GB31572-2015）（含2024年修改单）表5 大气污染物特别排放限值，少量无组织非甲烷总烃设置封闭式作业进行控制，厂界满足《合成树脂工业污染物排放标准》（GB31572-2015）（含2024年修改单）表9 企业边界大气污染物浓度限值，厂区内满足《挥发性有机物无组织排放控制标准》（GB37822-2019）表A.1厂区内VOCs无组织特别排放限值，均落实国家最新污染物排放标准，执行特别排放限值。</w:t>
            </w:r>
            <w:r>
              <w:rPr>
                <w:rFonts w:hint="eastAsia" w:ascii="Times New Roman" w:hAnsi="Times New Roman" w:eastAsia="宋体" w:cs="宋体"/>
                <w:lang w:val="en-US" w:eastAsia="zh-CN"/>
              </w:rPr>
              <w:t>因此符合《关于进一步加强乌鲁木齐、昌吉、石河子、五家渠区域环境同防同治区的意见》（新政办发[2023]29号）。</w:t>
            </w:r>
          </w:p>
          <w:p>
            <w:pPr>
              <w:pageBreakBefore w:val="0"/>
              <w:widowControl w:val="0"/>
              <w:kinsoku/>
              <w:wordWrap/>
              <w:overflowPunct/>
              <w:topLinePunct w:val="0"/>
              <w:autoSpaceDE/>
              <w:autoSpaceDN/>
              <w:bidi w:val="0"/>
              <w:adjustRightInd w:val="0"/>
              <w:snapToGrid w:val="0"/>
              <w:spacing w:before="0" w:after="0" w:line="360" w:lineRule="auto"/>
              <w:ind w:right="0" w:firstLine="562" w:firstLineChars="200"/>
              <w:jc w:val="both"/>
              <w:textAlignment w:val="auto"/>
              <w:rPr>
                <w:rFonts w:hint="eastAsia"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1.10《国务院关于印发&lt;空气质量持续改善行动计划&gt;的通知》（国发[2023]24号）符合性分析</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p>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p>
            <w:pPr>
              <w:pageBreakBefore w:val="0"/>
              <w:widowControl w:val="0"/>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cs="宋体"/>
                <w:snapToGrid w:val="0"/>
                <w:sz w:val="24"/>
                <w:szCs w:val="21"/>
                <w:lang w:val="en-US" w:eastAsia="zh-CN" w:bidi="ar-SA"/>
              </w:rPr>
            </w:pPr>
            <w:r>
              <w:rPr>
                <w:rFonts w:hint="eastAsia" w:cs="宋体"/>
                <w:snapToGrid w:val="0"/>
                <w:color w:val="auto"/>
                <w:sz w:val="24"/>
                <w:szCs w:val="21"/>
                <w:highlight w:val="none"/>
                <w:lang w:val="en-US" w:eastAsia="zh-CN" w:bidi="ar-SA"/>
              </w:rPr>
              <w:t>本项目不属于产业结构限制类、淘汰类项目，不属于高耗能、高排放、低水平项目，不属于</w:t>
            </w:r>
            <w:r>
              <w:rPr>
                <w:rFonts w:hint="eastAsia" w:ascii="Times New Roman" w:hAnsi="Times New Roman" w:eastAsia="宋体" w:cs="宋体"/>
                <w:lang w:val="en-US" w:eastAsia="zh-CN"/>
              </w:rPr>
              <w:t>钢铁、焦化、电解铝等产业。</w:t>
            </w:r>
            <w:r>
              <w:rPr>
                <w:rFonts w:hint="eastAsia" w:cs="宋体"/>
                <w:snapToGrid w:val="0"/>
                <w:color w:val="auto"/>
                <w:sz w:val="24"/>
                <w:szCs w:val="21"/>
                <w:highlight w:val="none"/>
                <w:lang w:val="en-US" w:eastAsia="zh-CN" w:bidi="ar-SA"/>
              </w:rPr>
              <w:t>本项目运营期喷码使用的油墨低于《油墨中可挥发性有机化合物（VOCs）含量的限值》（GB/T38507-2020），属于低</w:t>
            </w:r>
            <w:r>
              <w:rPr>
                <w:rFonts w:hint="eastAsia" w:ascii="Times New Roman" w:hAnsi="Times New Roman" w:eastAsia="宋体" w:cs="宋体"/>
                <w:lang w:val="en-US" w:eastAsia="zh-CN"/>
              </w:rPr>
              <w:t>VOCs含量油墨</w:t>
            </w:r>
            <w:r>
              <w:rPr>
                <w:rFonts w:hint="eastAsia" w:cs="宋体"/>
                <w:lang w:val="en-US" w:eastAsia="zh-CN"/>
              </w:rPr>
              <w:t>。</w:t>
            </w:r>
            <w:r>
              <w:rPr>
                <w:rFonts w:hint="eastAsia" w:cs="宋体"/>
                <w:color w:val="000000" w:themeColor="text1"/>
                <w:lang w:val="en-US" w:eastAsia="zh-CN"/>
                <w14:textFill>
                  <w14:solidFill>
                    <w14:schemeClr w14:val="tx1"/>
                  </w14:solidFill>
                </w14:textFill>
              </w:rPr>
              <w:t>生产车间内拉丝、挤塑、</w:t>
            </w:r>
            <w:r>
              <w:rPr>
                <w:rFonts w:hint="eastAsia" w:cs="宋体"/>
                <w:lang w:val="en-US" w:eastAsia="zh-CN"/>
              </w:rPr>
              <w:t>紫外光交联</w:t>
            </w:r>
            <w:r>
              <w:rPr>
                <w:rFonts w:hint="eastAsia" w:cs="宋体"/>
                <w:color w:val="000000" w:themeColor="text1"/>
                <w:lang w:val="en-US" w:eastAsia="zh-CN"/>
                <w14:textFill>
                  <w14:solidFill>
                    <w14:schemeClr w14:val="tx1"/>
                  </w14:solidFill>
                </w14:textFill>
              </w:rPr>
              <w:t>、挤护外套、喷码工段非甲烷总烃共同由一套水洗填料塔+活性炭吸附+脱附+催化燃烧装置+20m排气筒处理，</w:t>
            </w:r>
            <w:r>
              <w:rPr>
                <w:rFonts w:hint="eastAsia" w:cs="宋体"/>
                <w:snapToGrid w:val="0"/>
                <w:color w:val="auto"/>
                <w:sz w:val="24"/>
                <w:szCs w:val="21"/>
                <w:highlight w:val="none"/>
                <w:lang w:val="en-US" w:eastAsia="zh-CN" w:bidi="ar-SA"/>
              </w:rPr>
              <w:t>有组织非甲烷总烃</w:t>
            </w:r>
            <w:r>
              <w:rPr>
                <w:rFonts w:hint="eastAsia" w:cs="宋体"/>
                <w:highlight w:val="none"/>
                <w:lang w:val="en-US" w:eastAsia="zh-CN"/>
              </w:rPr>
              <w:t>满足《非甲烷总烃排放满足《合成树脂工业污染物排放标准》（GB31572-2015）（含2024年修改单）表5 大气污染物特别排放限值，</w:t>
            </w:r>
            <w:r>
              <w:rPr>
                <w:rFonts w:hint="eastAsia" w:cs="宋体"/>
                <w:snapToGrid w:val="0"/>
                <w:color w:val="auto"/>
                <w:sz w:val="24"/>
                <w:szCs w:val="21"/>
                <w:highlight w:val="none"/>
                <w:lang w:val="en-US" w:eastAsia="zh-CN" w:bidi="ar-SA"/>
              </w:rPr>
              <w:t>少量无组织非甲烷总烃通过加强封闭式作业控制，</w:t>
            </w:r>
            <w:r>
              <w:rPr>
                <w:rFonts w:hint="eastAsia" w:cs="宋体"/>
                <w:highlight w:val="none"/>
                <w:lang w:val="en-US" w:eastAsia="zh-CN"/>
              </w:rPr>
              <w:t>厂区内非甲烷总烃满足《挥发性有机物无组织排放控制标准》（GB37822-2019）表A.1厂区内VOCs无组织特别排放限值要求，落实</w:t>
            </w:r>
            <w:r>
              <w:rPr>
                <w:rFonts w:hint="eastAsia" w:ascii="Times New Roman" w:hAnsi="Times New Roman" w:eastAsia="宋体" w:cs="宋体"/>
                <w:color w:val="auto"/>
                <w:kern w:val="0"/>
                <w:sz w:val="24"/>
                <w:szCs w:val="22"/>
                <w:highlight w:val="none"/>
                <w:lang w:val="en-US" w:eastAsia="zh-CN" w:bidi="ar-SA"/>
              </w:rPr>
              <w:t>大气污染物特别排放限值</w:t>
            </w:r>
            <w:r>
              <w:rPr>
                <w:rFonts w:hint="eastAsia" w:cs="宋体"/>
                <w:highlight w:val="none"/>
                <w:lang w:val="en-US" w:eastAsia="zh-CN"/>
              </w:rPr>
              <w:t>，</w:t>
            </w:r>
            <w:r>
              <w:rPr>
                <w:rFonts w:hint="default" w:ascii="Times New Roman" w:hAnsi="Times New Roman" w:eastAsia="宋体" w:cs="Times New Roman"/>
                <w:color w:val="auto"/>
                <w:sz w:val="24"/>
                <w:szCs w:val="24"/>
                <w:highlight w:val="none"/>
                <w:lang w:val="en-US" w:eastAsia="zh-CN" w:bidi="ar-SA"/>
              </w:rPr>
              <w:t>对周边大气环境影响较小。</w:t>
            </w:r>
            <w:r>
              <w:rPr>
                <w:rFonts w:hint="eastAsia" w:cs="Times New Roman"/>
                <w:color w:val="auto"/>
                <w:sz w:val="24"/>
                <w:szCs w:val="24"/>
                <w:highlight w:val="none"/>
                <w:lang w:val="en-US" w:eastAsia="zh-CN" w:bidi="ar-SA"/>
              </w:rPr>
              <w:t>因此满足《国务院关于印发&lt;空气质量持续改善行动计划&gt;的通知》（国发[2023]24号）要求。</w:t>
            </w:r>
          </w:p>
          <w:p>
            <w:pPr>
              <w:pageBreakBefore w:val="0"/>
              <w:widowControl w:val="0"/>
              <w:kinsoku/>
              <w:wordWrap/>
              <w:overflowPunct/>
              <w:topLinePunct w:val="0"/>
              <w:autoSpaceDE/>
              <w:autoSpaceDN/>
              <w:bidi w:val="0"/>
              <w:adjustRightInd w:val="0"/>
              <w:snapToGrid w:val="0"/>
              <w:spacing w:before="0" w:after="0" w:line="360" w:lineRule="auto"/>
              <w:ind w:right="0"/>
              <w:jc w:val="both"/>
              <w:textAlignment w:val="auto"/>
              <w:rPr>
                <w:rFonts w:hint="eastAsia" w:ascii="Times New Roman" w:hAnsi="Times New Roman" w:eastAsia="宋体" w:cs="宋体"/>
                <w:snapToGrid w:val="0"/>
                <w:sz w:val="24"/>
                <w:szCs w:val="21"/>
                <w:lang w:val="en-US" w:eastAsia="zh-CN" w:bidi="ar-SA"/>
              </w:rPr>
            </w:pPr>
          </w:p>
        </w:tc>
      </w:tr>
    </w:tbl>
    <w:p>
      <w:pPr>
        <w:widowControl w:val="0"/>
        <w:numPr>
          <w:ilvl w:val="0"/>
          <w:numId w:val="1"/>
        </w:numPr>
        <w:overflowPunct w:val="0"/>
        <w:autoSpaceDE w:val="0"/>
        <w:autoSpaceDN w:val="0"/>
        <w:bidi w:val="0"/>
        <w:adjustRightInd w:val="0"/>
        <w:snapToGrid w:val="0"/>
        <w:spacing w:before="0" w:after="0" w:line="560" w:lineRule="exact"/>
        <w:ind w:left="0" w:leftChars="0" w:right="0" w:rightChars="0" w:firstLine="0" w:firstLineChars="0"/>
        <w:jc w:val="center"/>
        <w:outlineLvl w:val="0"/>
        <w:rPr>
          <w:rFonts w:hint="eastAsia" w:ascii="Times New Roman" w:hAnsi="Times New Roman" w:eastAsia="宋体" w:cs="宋体"/>
          <w:b/>
          <w:kern w:val="44"/>
          <w:sz w:val="28"/>
          <w:szCs w:val="22"/>
          <w:lang w:val="en-US" w:eastAsia="zh-CN" w:bidi="ar-SA"/>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widowControl w:val="0"/>
        <w:numPr>
          <w:ilvl w:val="0"/>
          <w:numId w:val="1"/>
        </w:numPr>
        <w:overflowPunct w:val="0"/>
        <w:autoSpaceDE w:val="0"/>
        <w:autoSpaceDN w:val="0"/>
        <w:bidi w:val="0"/>
        <w:adjustRightInd w:val="0"/>
        <w:snapToGrid w:val="0"/>
        <w:spacing w:before="0" w:after="0" w:line="560" w:lineRule="exact"/>
        <w:ind w:left="0" w:leftChars="0" w:right="0" w:rightChars="0" w:firstLine="0" w:firstLineChars="0"/>
        <w:jc w:val="center"/>
        <w:outlineLvl w:val="0"/>
        <w:rPr>
          <w:rFonts w:hint="eastAsia" w:ascii="Times New Roman" w:hAnsi="Times New Roman" w:eastAsia="宋体" w:cs="宋体"/>
          <w:b/>
          <w:kern w:val="44"/>
          <w:sz w:val="28"/>
          <w:szCs w:val="22"/>
          <w:lang w:val="en-US" w:eastAsia="zh-CN" w:bidi="ar-SA"/>
        </w:rPr>
      </w:pPr>
      <w:bookmarkStart w:id="5" w:name="_Toc11983"/>
      <w:r>
        <w:rPr>
          <w:rFonts w:hint="eastAsia" w:ascii="Times New Roman" w:hAnsi="Times New Roman" w:eastAsia="宋体" w:cs="宋体"/>
          <w:b/>
          <w:kern w:val="44"/>
          <w:sz w:val="28"/>
          <w:szCs w:val="22"/>
          <w:lang w:val="en-US" w:eastAsia="zh-CN" w:bidi="ar-SA"/>
        </w:rPr>
        <w:t>建设项目工程分析</w:t>
      </w:r>
      <w:bookmarkEnd w:id="5"/>
    </w:p>
    <w:tbl>
      <w:tblPr>
        <w:tblStyle w:val="14"/>
        <w:tblW w:w="9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8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8" w:hRule="atLeast"/>
          <w:jc w:val="center"/>
        </w:trPr>
        <w:tc>
          <w:tcPr>
            <w:tcW w:w="486" w:type="dxa"/>
            <w:vAlign w:val="center"/>
          </w:tcPr>
          <w:p>
            <w:pPr>
              <w:numPr>
                <w:ilvl w:val="0"/>
                <w:numId w:val="0"/>
              </w:numPr>
              <w:overflowPunct w:val="0"/>
              <w:autoSpaceDE w:val="0"/>
              <w:autoSpaceDN w:val="0"/>
              <w:adjustRightInd w:val="0"/>
              <w:snapToGrid w:val="0"/>
              <w:spacing w:before="0" w:after="0" w:line="500" w:lineRule="exact"/>
              <w:ind w:right="0" w:rightChars="0"/>
              <w:jc w:val="both"/>
              <w:rPr>
                <w:rFonts w:hint="default" w:ascii="Times New Roman" w:hAnsi="Times New Roman" w:eastAsia="宋体" w:cs="宋体"/>
                <w:vertAlign w:val="baseline"/>
                <w:lang w:val="en-US" w:eastAsia="zh-CN"/>
              </w:rPr>
            </w:pPr>
            <w:r>
              <w:rPr>
                <w:rFonts w:hint="eastAsia" w:ascii="宋体" w:hAnsi="宋体" w:eastAsia="宋体" w:cs="宋体"/>
                <w:sz w:val="24"/>
                <w:szCs w:val="24"/>
                <w:lang w:val="en-US" w:eastAsia="zh-CN" w:bidi="ar-SA"/>
              </w:rPr>
              <w:t>建设内容</w:t>
            </w:r>
          </w:p>
        </w:tc>
        <w:tc>
          <w:tcPr>
            <w:tcW w:w="8585" w:type="dxa"/>
            <w:vAlign w:val="top"/>
          </w:tcPr>
          <w:p>
            <w:pPr>
              <w:widowControl w:val="0"/>
              <w:overflowPunct w:val="0"/>
              <w:autoSpaceDE w:val="0"/>
              <w:autoSpaceDN w:val="0"/>
              <w:bidi w:val="0"/>
              <w:adjustRightInd w:val="0"/>
              <w:snapToGrid w:val="0"/>
              <w:spacing w:before="0" w:after="0" w:line="360" w:lineRule="auto"/>
              <w:ind w:left="0" w:right="0" w:firstLine="562" w:firstLineChars="200"/>
              <w:jc w:val="both"/>
              <w:outlineLvl w:val="1"/>
              <w:rPr>
                <w:rFonts w:hint="eastAsia" w:ascii="Times New Roman" w:hAnsi="Times New Roman" w:eastAsia="宋体" w:cs="宋体"/>
              </w:rPr>
            </w:pPr>
            <w:r>
              <w:rPr>
                <w:rFonts w:hint="eastAsia" w:cs="黑体"/>
                <w:b/>
                <w:sz w:val="28"/>
                <w:szCs w:val="30"/>
                <w:lang w:val="en-US" w:eastAsia="zh-CN" w:bidi="ar-SA"/>
              </w:rPr>
              <w:t>2</w:t>
            </w:r>
            <w:r>
              <w:rPr>
                <w:rFonts w:hint="eastAsia" w:ascii="Times New Roman" w:hAnsi="Times New Roman" w:eastAsia="宋体" w:cs="黑体"/>
                <w:b/>
                <w:sz w:val="28"/>
                <w:szCs w:val="30"/>
                <w:lang w:val="en-US" w:eastAsia="zh-CN" w:bidi="ar-SA"/>
              </w:rPr>
              <w:t>项目概况</w:t>
            </w:r>
          </w:p>
          <w:p>
            <w:pPr>
              <w:widowControl w:val="0"/>
              <w:autoSpaceDE w:val="0"/>
              <w:autoSpaceDN w:val="0"/>
              <w:spacing w:line="360" w:lineRule="auto"/>
              <w:ind w:firstLine="480" w:firstLineChars="200"/>
              <w:jc w:val="both"/>
              <w:rPr>
                <w:rFonts w:hint="eastAsia" w:ascii="Times New Roman" w:hAnsi="Times New Roman" w:eastAsia="宋体" w:cs="Times New Roman"/>
                <w:bCs/>
                <w:color w:val="000000"/>
                <w:kern w:val="0"/>
                <w:sz w:val="24"/>
                <w:szCs w:val="24"/>
                <w:lang w:val="en-US" w:eastAsia="zh-CN" w:bidi="ar-SA"/>
              </w:rPr>
            </w:pPr>
            <w:r>
              <w:rPr>
                <w:rFonts w:hint="eastAsia" w:cs="Times New Roman"/>
                <w:bCs/>
                <w:color w:val="000000"/>
                <w:kern w:val="0"/>
                <w:sz w:val="24"/>
                <w:szCs w:val="24"/>
                <w:lang w:val="en-US" w:eastAsia="zh-CN" w:bidi="ar-SA"/>
              </w:rPr>
              <w:t>新疆圣威线缆科技有限公司</w:t>
            </w:r>
            <w:r>
              <w:rPr>
                <w:rFonts w:hint="default" w:ascii="Times New Roman" w:hAnsi="Times New Roman" w:eastAsia="宋体" w:cs="Times New Roman"/>
                <w:bCs/>
                <w:color w:val="000000"/>
                <w:kern w:val="0"/>
                <w:sz w:val="24"/>
                <w:szCs w:val="24"/>
                <w:lang w:val="en-US" w:eastAsia="zh-CN" w:bidi="ar-SA"/>
              </w:rPr>
              <w:t>于</w:t>
            </w:r>
            <w:r>
              <w:rPr>
                <w:rFonts w:hint="eastAsia" w:cs="Times New Roman"/>
                <w:bCs/>
                <w:color w:val="000000"/>
                <w:kern w:val="0"/>
                <w:sz w:val="24"/>
                <w:szCs w:val="24"/>
                <w:lang w:val="en-US" w:eastAsia="zh-CN" w:bidi="ar-SA"/>
              </w:rPr>
              <w:t>2024</w:t>
            </w:r>
            <w:r>
              <w:rPr>
                <w:rFonts w:hint="default" w:ascii="Times New Roman" w:hAnsi="Times New Roman" w:eastAsia="宋体" w:cs="Times New Roman"/>
                <w:bCs/>
                <w:color w:val="000000"/>
                <w:kern w:val="0"/>
                <w:sz w:val="24"/>
                <w:szCs w:val="24"/>
                <w:lang w:val="en-US" w:eastAsia="zh-CN" w:bidi="ar-SA"/>
              </w:rPr>
              <w:t>年</w:t>
            </w:r>
            <w:r>
              <w:rPr>
                <w:rFonts w:hint="eastAsia" w:cs="Times New Roman"/>
                <w:bCs/>
                <w:color w:val="000000"/>
                <w:kern w:val="0"/>
                <w:sz w:val="24"/>
                <w:szCs w:val="24"/>
                <w:lang w:val="en-US" w:eastAsia="zh-CN" w:bidi="ar-SA"/>
              </w:rPr>
              <w:t>6月30日租赁新疆伟康高科管业有限公司生产车间、办公生活楼以及门卫室各一座，总用地面积共13214m</w:t>
            </w:r>
            <w:r>
              <w:rPr>
                <w:rFonts w:hint="eastAsia" w:cs="Times New Roman"/>
                <w:bCs/>
                <w:color w:val="000000"/>
                <w:kern w:val="0"/>
                <w:sz w:val="24"/>
                <w:szCs w:val="24"/>
                <w:vertAlign w:val="superscript"/>
                <w:lang w:val="en-US" w:eastAsia="zh-CN" w:bidi="ar-SA"/>
              </w:rPr>
              <w:t>2</w:t>
            </w:r>
            <w:r>
              <w:rPr>
                <w:rFonts w:hint="eastAsia" w:ascii="Times New Roman" w:hAnsi="Times New Roman" w:eastAsia="宋体" w:cs="Times New Roman"/>
                <w:sz w:val="24"/>
                <w:szCs w:val="24"/>
                <w:lang w:val="en-US" w:eastAsia="zh-CN" w:bidi="ar-SA"/>
              </w:rPr>
              <w:t>，</w:t>
            </w:r>
            <w:r>
              <w:rPr>
                <w:rFonts w:hint="eastAsia" w:cs="Times New Roman"/>
                <w:sz w:val="24"/>
                <w:szCs w:val="24"/>
                <w:lang w:val="en-US" w:eastAsia="zh-CN" w:bidi="ar-SA"/>
              </w:rPr>
              <w:t>总建筑面积8161</w:t>
            </w:r>
            <w:r>
              <w:rPr>
                <w:rFonts w:hint="eastAsia" w:cs="Times New Roman"/>
                <w:bCs/>
                <w:color w:val="000000"/>
                <w:kern w:val="0"/>
                <w:sz w:val="24"/>
                <w:szCs w:val="24"/>
                <w:lang w:val="en-US" w:eastAsia="zh-CN" w:bidi="ar-SA"/>
              </w:rPr>
              <w:t>m</w:t>
            </w:r>
            <w:r>
              <w:rPr>
                <w:rFonts w:hint="eastAsia" w:cs="Times New Roman"/>
                <w:bCs/>
                <w:color w:val="000000"/>
                <w:kern w:val="0"/>
                <w:sz w:val="24"/>
                <w:szCs w:val="24"/>
                <w:vertAlign w:val="superscript"/>
                <w:lang w:val="en-US" w:eastAsia="zh-CN" w:bidi="ar-SA"/>
              </w:rPr>
              <w:t>2</w:t>
            </w:r>
            <w:r>
              <w:rPr>
                <w:rFonts w:hint="eastAsia" w:cs="Times New Roman"/>
                <w:sz w:val="24"/>
                <w:szCs w:val="24"/>
                <w:lang w:val="en-US" w:eastAsia="zh-CN" w:bidi="ar-SA"/>
              </w:rPr>
              <w:t>，经过现场踏勘，目前</w:t>
            </w:r>
            <w:r>
              <w:rPr>
                <w:rFonts w:hint="eastAsia" w:cs="Times New Roman"/>
                <w:bCs/>
                <w:color w:val="000000"/>
                <w:kern w:val="0"/>
                <w:sz w:val="24"/>
                <w:szCs w:val="24"/>
                <w:lang w:val="en-US" w:eastAsia="zh-CN" w:bidi="ar-SA"/>
              </w:rPr>
              <w:t>新疆圣威线缆科技有限公司</w:t>
            </w:r>
            <w:r>
              <w:rPr>
                <w:rFonts w:hint="eastAsia" w:cs="Times New Roman"/>
                <w:sz w:val="24"/>
                <w:szCs w:val="24"/>
                <w:lang w:val="en-US" w:eastAsia="zh-CN" w:bidi="ar-SA"/>
              </w:rPr>
              <w:t>在车间内仅按照生产线走向摆放了拉丝</w:t>
            </w:r>
            <w:r>
              <w:rPr>
                <w:rFonts w:hint="eastAsia" w:ascii="Times New Roman" w:hAnsi="Times New Roman" w:eastAsia="宋体" w:cs="Times New Roman"/>
                <w:sz w:val="24"/>
                <w:szCs w:val="24"/>
                <w:lang w:val="en-US" w:eastAsia="zh-CN" w:bidi="ar-SA"/>
              </w:rPr>
              <w:t>机、绞丝机、挤出机、成缆机、喷码机等生产设备</w:t>
            </w:r>
            <w:r>
              <w:rPr>
                <w:rFonts w:hint="eastAsia" w:cs="Times New Roman"/>
                <w:sz w:val="24"/>
                <w:szCs w:val="24"/>
                <w:lang w:val="en-US" w:eastAsia="zh-CN" w:bidi="ar-SA"/>
              </w:rPr>
              <w:t>，未进行设备安装，不属于《关于加强“未批先建”建设项目环境影响评价管理工作的通知》（环办环评[2018]18号）建设项目开工建设行为，不属于“未批先建”</w:t>
            </w:r>
            <w:r>
              <w:rPr>
                <w:rFonts w:hint="eastAsia" w:ascii="Times New Roman" w:hAnsi="Times New Roman" w:eastAsia="宋体" w:cs="Times New Roman"/>
                <w:bCs/>
                <w:color w:val="000000"/>
                <w:kern w:val="0"/>
                <w:sz w:val="24"/>
                <w:szCs w:val="24"/>
                <w:lang w:val="en-US" w:eastAsia="zh-CN" w:bidi="ar-SA"/>
              </w:rPr>
              <w:t>。</w:t>
            </w:r>
          </w:p>
          <w:p>
            <w:pPr>
              <w:widowControl w:val="0"/>
              <w:autoSpaceDE w:val="0"/>
              <w:autoSpaceDN w:val="0"/>
              <w:spacing w:line="360" w:lineRule="auto"/>
              <w:ind w:firstLine="480" w:firstLineChars="200"/>
              <w:jc w:val="both"/>
              <w:rPr>
                <w:rFonts w:hint="default" w:ascii="Times New Roman" w:hAnsi="Times New Roman" w:eastAsia="宋体" w:cs="Times New Roman"/>
                <w:bCs/>
                <w:color w:val="000000"/>
                <w:kern w:val="0"/>
                <w:sz w:val="24"/>
                <w:szCs w:val="24"/>
                <w:lang w:val="en-US" w:eastAsia="zh-CN" w:bidi="ar-SA"/>
              </w:rPr>
            </w:pPr>
            <w:r>
              <w:rPr>
                <w:rFonts w:hint="default" w:ascii="Times New Roman" w:hAnsi="Times New Roman" w:eastAsia="宋体" w:cs="Times New Roman"/>
                <w:bCs/>
                <w:color w:val="000000"/>
                <w:kern w:val="0"/>
                <w:sz w:val="24"/>
                <w:szCs w:val="24"/>
                <w:lang w:val="en-US" w:eastAsia="zh-CN" w:bidi="ar-SA"/>
              </w:rPr>
              <w:t>根据《中华人民共和国环境保护法》和《中华人民共和国环境影响评价法》及《建设项目环境保护管理条例》等有关法律、法规规定，新疆圣威线缆科技有限公司对项目进行环境影响评价。</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both"/>
              <w:textAlignment w:val="auto"/>
              <w:outlineLvl w:val="1"/>
              <w:rPr>
                <w:rFonts w:hint="eastAsia"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2.1项目概况</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60" w:lineRule="auto"/>
              <w:ind w:right="0" w:rightChars="0" w:firstLine="48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项目名称：</w:t>
            </w:r>
            <w:r>
              <w:rPr>
                <w:rFonts w:hint="eastAsia" w:cs="Times New Roman"/>
                <w:lang w:val="en-US" w:eastAsia="zh-CN"/>
              </w:rPr>
              <w:t>新疆圣威线缆科技有限公司建设年产2000千米电线电缆项目</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60" w:lineRule="auto"/>
              <w:ind w:leftChars="200" w:right="0" w:rightChars="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（2）建设单位：新疆圣威线缆科技有限公司</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lang w:val="en-US" w:eastAsia="zh-CN"/>
              </w:rPr>
            </w:pPr>
            <w:bookmarkStart w:id="6" w:name="_Toc287434123"/>
            <w:bookmarkStart w:id="7" w:name="_Toc287433051"/>
            <w:bookmarkStart w:id="8" w:name="_Toc287433921"/>
            <w:r>
              <w:rPr>
                <w:rFonts w:hint="default" w:ascii="Times New Roman" w:hAnsi="Times New Roman" w:eastAsia="宋体" w:cs="Times New Roman"/>
                <w:lang w:val="en-US" w:eastAsia="zh-CN"/>
              </w:rPr>
              <w:t>（3）项目性质</w:t>
            </w:r>
            <w:bookmarkEnd w:id="6"/>
            <w:bookmarkEnd w:id="7"/>
            <w:bookmarkEnd w:id="8"/>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新建</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lang w:val="en-US" w:eastAsia="zh-CN"/>
              </w:rPr>
            </w:pPr>
            <w:bookmarkStart w:id="9" w:name="_Toc287433052"/>
            <w:bookmarkStart w:id="10" w:name="_Toc287434124"/>
            <w:bookmarkStart w:id="11" w:name="_Toc287433922"/>
            <w:r>
              <w:rPr>
                <w:rFonts w:hint="default" w:ascii="Times New Roman" w:hAnsi="Times New Roman" w:eastAsia="宋体" w:cs="Times New Roman"/>
                <w:lang w:val="en-US" w:eastAsia="zh-CN"/>
              </w:rPr>
              <w:t>（4）建设地点</w:t>
            </w:r>
            <w:bookmarkEnd w:id="9"/>
            <w:bookmarkEnd w:id="10"/>
            <w:bookmarkEnd w:id="11"/>
            <w:r>
              <w:rPr>
                <w:rFonts w:hint="default" w:ascii="Times New Roman" w:hAnsi="Times New Roman" w:eastAsia="宋体" w:cs="Times New Roman"/>
                <w:lang w:val="en-US" w:eastAsia="zh-CN"/>
              </w:rPr>
              <w:t>：本项目选址位于阜康市苏通小微创业园2-14地块新疆伟康高科管业有限公司院内，</w:t>
            </w:r>
            <w:r>
              <w:rPr>
                <w:rFonts w:hint="default" w:ascii="Times New Roman" w:hAnsi="Times New Roman" w:eastAsia="宋体" w:cs="Times New Roman"/>
                <w:highlight w:val="none"/>
                <w:lang w:val="en-US" w:eastAsia="zh-CN"/>
              </w:rPr>
              <w:t>场界中心地理坐标为：</w:t>
            </w:r>
            <w:r>
              <w:rPr>
                <w:rFonts w:hint="default" w:ascii="Times New Roman" w:hAnsi="Times New Roman" w:eastAsia="宋体" w:cs="Times New Roman"/>
                <w:kern w:val="2"/>
                <w:sz w:val="24"/>
                <w:szCs w:val="24"/>
                <w:highlight w:val="none"/>
                <w:lang w:val="en-US" w:eastAsia="zh-CN" w:bidi="ar-SA"/>
              </w:rPr>
              <w:t>E87°</w:t>
            </w:r>
            <w:r>
              <w:rPr>
                <w:rFonts w:hint="eastAsia" w:cs="Times New Roman"/>
                <w:kern w:val="2"/>
                <w:sz w:val="24"/>
                <w:szCs w:val="24"/>
                <w:highlight w:val="none"/>
                <w:lang w:val="en-US" w:eastAsia="zh-CN" w:bidi="ar-SA"/>
              </w:rPr>
              <w:t>50</w:t>
            </w:r>
            <w:r>
              <w:rPr>
                <w:rFonts w:hint="default" w:ascii="Times New Roman" w:hAnsi="Times New Roman" w:eastAsia="宋体" w:cs="Times New Roman"/>
                <w:kern w:val="2"/>
                <w:sz w:val="24"/>
                <w:szCs w:val="24"/>
                <w:highlight w:val="none"/>
                <w:lang w:val="en-US" w:eastAsia="zh-CN" w:bidi="ar-SA"/>
              </w:rPr>
              <w:t>′</w:t>
            </w:r>
            <w:r>
              <w:rPr>
                <w:rFonts w:hint="default"/>
                <w:highlight w:val="none"/>
                <w:lang w:val="en-US" w:eastAsia="zh-CN"/>
              </w:rPr>
              <w:t>27.520</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，N</w:t>
            </w:r>
            <w:r>
              <w:rPr>
                <w:rFonts w:hint="default" w:ascii="Times New Roman" w:hAnsi="Times New Roman" w:eastAsia="宋体" w:cs="Times New Roman"/>
                <w:kern w:val="2"/>
                <w:sz w:val="24"/>
                <w:szCs w:val="24"/>
                <w:highlight w:val="none"/>
                <w:lang w:val="en-US" w:eastAsia="zh-CN" w:bidi="ar-SA"/>
              </w:rPr>
              <w:t>4</w:t>
            </w:r>
            <w:r>
              <w:rPr>
                <w:rFonts w:hint="eastAsia" w:cs="Times New Roman"/>
                <w:kern w:val="2"/>
                <w:sz w:val="24"/>
                <w:szCs w:val="24"/>
                <w:highlight w:val="none"/>
                <w:lang w:val="en-US" w:eastAsia="zh-CN" w:bidi="ar-SA"/>
              </w:rPr>
              <w:t>4</w:t>
            </w:r>
            <w:r>
              <w:rPr>
                <w:rFonts w:hint="default" w:ascii="Times New Roman" w:hAnsi="Times New Roman" w:eastAsia="宋体" w:cs="Times New Roman"/>
                <w:kern w:val="2"/>
                <w:sz w:val="24"/>
                <w:szCs w:val="24"/>
                <w:highlight w:val="none"/>
                <w:lang w:val="en-US" w:eastAsia="zh-CN" w:bidi="ar-SA"/>
              </w:rPr>
              <w:t>°</w:t>
            </w:r>
            <w:r>
              <w:rPr>
                <w:rFonts w:hint="eastAsia" w:cs="Times New Roman"/>
                <w:kern w:val="2"/>
                <w:sz w:val="24"/>
                <w:szCs w:val="24"/>
                <w:highlight w:val="none"/>
                <w:lang w:val="en-US" w:eastAsia="zh-CN" w:bidi="ar-SA"/>
              </w:rPr>
              <w:t>9</w:t>
            </w:r>
            <w:r>
              <w:rPr>
                <w:rFonts w:hint="default" w:ascii="Times New Roman" w:hAnsi="Times New Roman" w:eastAsia="宋体" w:cs="Times New Roman"/>
                <w:kern w:val="2"/>
                <w:sz w:val="24"/>
                <w:szCs w:val="24"/>
                <w:highlight w:val="none"/>
                <w:lang w:val="en-US" w:eastAsia="zh-CN" w:bidi="ar-SA"/>
              </w:rPr>
              <w:t>′</w:t>
            </w:r>
            <w:r>
              <w:rPr>
                <w:rFonts w:hint="default"/>
                <w:highlight w:val="none"/>
                <w:lang w:val="en-US" w:eastAsia="zh-CN"/>
              </w:rPr>
              <w:t>37.21</w:t>
            </w:r>
            <w:r>
              <w:rPr>
                <w:rFonts w:hint="eastAsia"/>
                <w:highlight w:val="none"/>
                <w:lang w:val="en-US" w:eastAsia="zh-CN"/>
              </w:rPr>
              <w:t>9</w:t>
            </w:r>
            <w:r>
              <w:rPr>
                <w:rFonts w:hint="default"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highlight w:val="none"/>
                <w:lang w:val="en-US" w:eastAsia="zh-CN"/>
              </w:rPr>
              <w:t>。</w:t>
            </w:r>
            <w:r>
              <w:rPr>
                <w:rFonts w:hint="eastAsia" w:ascii="Times New Roman" w:hAnsi="Times New Roman" w:eastAsia="宋体" w:cs="宋体"/>
                <w:highlight w:val="none"/>
                <w:lang w:val="en-US" w:eastAsia="zh-CN"/>
              </w:rPr>
              <w:t>本项目地理位置图见图2.1-1。</w:t>
            </w:r>
            <w:r>
              <w:rPr>
                <w:rFonts w:hint="eastAsia" w:ascii="Times New Roman" w:hAnsi="Times New Roman" w:eastAsia="宋体" w:cs="宋体"/>
                <w:lang w:val="en-US" w:eastAsia="zh-CN"/>
              </w:rPr>
              <w:t>项目卫星图见图2.1-2。</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both"/>
              <w:textAlignment w:val="auto"/>
              <w:rPr>
                <w:rFonts w:hint="eastAsia" w:ascii="Times New Roman" w:hAnsi="Times New Roman" w:eastAsia="宋体" w:cs="宋体"/>
                <w:lang w:val="en-US" w:eastAsia="zh-CN"/>
              </w:rPr>
            </w:pPr>
            <w:bookmarkStart w:id="12" w:name="_Toc287434125"/>
            <w:bookmarkStart w:id="13" w:name="_Toc287433053"/>
            <w:bookmarkStart w:id="14" w:name="_Toc287433923"/>
            <w:r>
              <w:rPr>
                <w:rFonts w:hint="eastAsia" w:ascii="Times New Roman" w:hAnsi="Times New Roman" w:eastAsia="宋体" w:cs="宋体"/>
                <w:lang w:val="en-US" w:eastAsia="zh-CN"/>
              </w:rPr>
              <w:t>（5）项目投资</w:t>
            </w:r>
            <w:bookmarkEnd w:id="12"/>
            <w:bookmarkEnd w:id="13"/>
            <w:bookmarkEnd w:id="14"/>
            <w:r>
              <w:rPr>
                <w:rFonts w:hint="eastAsia" w:ascii="Times New Roman" w:hAnsi="Times New Roman" w:eastAsia="宋体" w:cs="宋体"/>
                <w:lang w:val="en-US" w:eastAsia="zh-CN"/>
              </w:rPr>
              <w:t>：项目总投资</w:t>
            </w:r>
            <w:r>
              <w:rPr>
                <w:rFonts w:hint="eastAsia" w:cs="宋体"/>
                <w:lang w:val="en-US" w:eastAsia="zh-CN"/>
              </w:rPr>
              <w:t>1000</w:t>
            </w:r>
            <w:r>
              <w:rPr>
                <w:rFonts w:hint="eastAsia" w:ascii="Times New Roman" w:hAnsi="Times New Roman" w:eastAsia="宋体" w:cs="宋体"/>
                <w:lang w:val="en-US" w:eastAsia="zh-CN"/>
              </w:rPr>
              <w:t>万元，均为企业自有资金。</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宋体"/>
                <w:b w:val="0"/>
                <w:bCs w:val="0"/>
                <w:lang w:val="en-US" w:eastAsia="zh-CN"/>
              </w:rPr>
            </w:pPr>
            <w:r>
              <w:rPr>
                <w:rFonts w:hint="eastAsia" w:ascii="Times New Roman" w:hAnsi="Times New Roman" w:eastAsia="宋体" w:cs="宋体"/>
                <w:b w:val="0"/>
                <w:bCs w:val="0"/>
                <w:lang w:val="en-US" w:eastAsia="zh-CN"/>
              </w:rPr>
              <w:t>（6）组织结构及生产制度；年操作时间按</w:t>
            </w:r>
            <w:r>
              <w:rPr>
                <w:rFonts w:hint="eastAsia" w:cs="宋体"/>
                <w:b w:val="0"/>
                <w:bCs w:val="0"/>
                <w:lang w:val="en-US" w:eastAsia="zh-CN"/>
              </w:rPr>
              <w:t>300</w:t>
            </w:r>
            <w:r>
              <w:rPr>
                <w:rFonts w:hint="eastAsia" w:ascii="Times New Roman" w:hAnsi="Times New Roman" w:eastAsia="宋体" w:cs="宋体"/>
                <w:b w:val="0"/>
                <w:bCs w:val="0"/>
                <w:lang w:val="en-US" w:eastAsia="zh-CN"/>
              </w:rPr>
              <w:t>天计，每天工作8小时</w:t>
            </w:r>
            <w:r>
              <w:rPr>
                <w:rFonts w:hint="eastAsia" w:cs="宋体"/>
                <w:b w:val="0"/>
                <w:bCs w:val="0"/>
                <w:lang w:val="en-US" w:eastAsia="zh-CN"/>
              </w:rPr>
              <w:t>，夜间不生产</w:t>
            </w:r>
            <w:r>
              <w:rPr>
                <w:rFonts w:hint="eastAsia" w:ascii="Times New Roman" w:hAnsi="Times New Roman" w:eastAsia="宋体" w:cs="宋体"/>
                <w:b w:val="0"/>
                <w:bCs w:val="0"/>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both"/>
              <w:textAlignment w:val="auto"/>
              <w:rPr>
                <w:rFonts w:hint="eastAsia" w:ascii="Times New Roman" w:hAnsi="Times New Roman" w:eastAsia="宋体" w:cs="宋体"/>
                <w:b w:val="0"/>
                <w:bCs w:val="0"/>
                <w:lang w:val="en-US" w:eastAsia="zh-CN"/>
              </w:rPr>
            </w:pPr>
            <w:r>
              <w:rPr>
                <w:rFonts w:hint="eastAsia" w:ascii="Times New Roman" w:hAnsi="Times New Roman" w:eastAsia="宋体" w:cs="宋体"/>
                <w:b w:val="0"/>
                <w:bCs w:val="0"/>
                <w:lang w:val="en-US" w:eastAsia="zh-CN"/>
              </w:rPr>
              <w:t>（7）劳动定员及人员培训：根据本项目生产管理的需要，本项目新增劳动</w:t>
            </w:r>
            <w:r>
              <w:rPr>
                <w:rFonts w:hint="eastAsia" w:cs="宋体"/>
                <w:b w:val="0"/>
                <w:bCs w:val="0"/>
                <w:lang w:val="en-US" w:eastAsia="zh-CN"/>
              </w:rPr>
              <w:t>定员</w:t>
            </w:r>
            <w:r>
              <w:rPr>
                <w:rFonts w:hint="eastAsia" w:ascii="Times New Roman" w:hAnsi="Times New Roman" w:eastAsia="宋体" w:cs="宋体"/>
                <w:b w:val="0"/>
                <w:bCs w:val="0"/>
                <w:lang w:val="en-US" w:eastAsia="zh-CN"/>
              </w:rPr>
              <w:t>为</w:t>
            </w:r>
            <w:r>
              <w:rPr>
                <w:rFonts w:hint="eastAsia" w:cs="宋体"/>
                <w:b w:val="0"/>
                <w:bCs w:val="0"/>
                <w:lang w:val="en-US" w:eastAsia="zh-CN"/>
              </w:rPr>
              <w:t>20</w:t>
            </w:r>
            <w:r>
              <w:rPr>
                <w:rFonts w:hint="eastAsia" w:ascii="Times New Roman" w:hAnsi="Times New Roman" w:eastAsia="宋体" w:cs="宋体"/>
                <w:b w:val="0"/>
                <w:bCs w:val="0"/>
                <w:lang w:val="en-US" w:eastAsia="zh-CN"/>
              </w:rPr>
              <w:t>人。</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both"/>
              <w:textAlignment w:val="auto"/>
              <w:outlineLvl w:val="1"/>
              <w:rPr>
                <w:rFonts w:hint="default" w:ascii="Times New Roman" w:hAnsi="Times New Roman" w:eastAsia="宋体" w:cs="Times New Roman"/>
                <w:b/>
                <w:bCs/>
                <w:sz w:val="28"/>
                <w:szCs w:val="30"/>
                <w:lang w:val="en-US" w:eastAsia="zh-CN" w:bidi="ar-SA"/>
              </w:rPr>
            </w:pPr>
            <w:bookmarkStart w:id="15" w:name="3、生产规模及内容"/>
            <w:bookmarkEnd w:id="15"/>
            <w:r>
              <w:rPr>
                <w:rFonts w:hint="default" w:ascii="Times New Roman" w:hAnsi="Times New Roman" w:eastAsia="宋体" w:cs="Times New Roman"/>
                <w:b/>
                <w:bCs/>
                <w:sz w:val="28"/>
                <w:szCs w:val="30"/>
                <w:lang w:val="en-US" w:eastAsia="zh-CN" w:bidi="ar-SA"/>
              </w:rPr>
              <w:t>2.2建设内容</w:t>
            </w:r>
            <w:r>
              <w:rPr>
                <w:rFonts w:hint="eastAsia" w:ascii="Times New Roman" w:hAnsi="Times New Roman" w:eastAsia="宋体" w:cs="Times New Roman"/>
                <w:b/>
                <w:bCs/>
                <w:sz w:val="28"/>
                <w:szCs w:val="30"/>
                <w:lang w:val="en-US" w:eastAsia="zh-CN" w:bidi="ar-SA"/>
              </w:rPr>
              <w:t xml:space="preserve"> </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宋体"/>
                <w:b w:val="0"/>
                <w:bCs w:val="0"/>
                <w:lang w:val="en-US" w:eastAsia="zh-CN"/>
              </w:rPr>
            </w:pPr>
            <w:r>
              <w:rPr>
                <w:rFonts w:hint="default" w:ascii="Times New Roman" w:hAnsi="Times New Roman" w:eastAsia="宋体" w:cs="宋体"/>
                <w:b w:val="0"/>
                <w:bCs w:val="0"/>
                <w:lang w:val="en-US" w:eastAsia="zh-CN"/>
              </w:rPr>
              <w:t>本项目总占地面积</w:t>
            </w:r>
            <w:r>
              <w:rPr>
                <w:rFonts w:hint="eastAsia" w:cs="Times New Roman"/>
                <w:bCs/>
                <w:color w:val="000000"/>
                <w:kern w:val="0"/>
                <w:sz w:val="24"/>
                <w:szCs w:val="24"/>
                <w:lang w:val="en-US" w:eastAsia="zh-CN" w:bidi="ar-SA"/>
              </w:rPr>
              <w:t>13214</w:t>
            </w:r>
            <w:r>
              <w:rPr>
                <w:rFonts w:hint="default" w:ascii="Times New Roman" w:hAnsi="Times New Roman" w:eastAsia="宋体" w:cs="宋体"/>
                <w:b w:val="0"/>
                <w:bCs w:val="0"/>
                <w:lang w:val="en-US" w:eastAsia="zh-CN"/>
              </w:rPr>
              <w:t>m</w:t>
            </w:r>
            <w:r>
              <w:rPr>
                <w:rFonts w:hint="default" w:ascii="Times New Roman" w:hAnsi="Times New Roman" w:eastAsia="宋体" w:cs="宋体"/>
                <w:b w:val="0"/>
                <w:bCs w:val="0"/>
                <w:vertAlign w:val="superscript"/>
                <w:lang w:val="en-US" w:eastAsia="zh-CN"/>
              </w:rPr>
              <w:t>2</w:t>
            </w:r>
            <w:r>
              <w:rPr>
                <w:rFonts w:hint="default" w:ascii="Times New Roman" w:hAnsi="Times New Roman" w:eastAsia="宋体" w:cs="宋体"/>
                <w:b w:val="0"/>
                <w:bCs w:val="0"/>
                <w:lang w:val="en-US" w:eastAsia="zh-CN"/>
              </w:rPr>
              <w:t>，主要建设内容为</w:t>
            </w:r>
            <w:r>
              <w:rPr>
                <w:rFonts w:hint="eastAsia" w:ascii="Times New Roman" w:hAnsi="Times New Roman" w:eastAsia="宋体" w:cs="宋体"/>
                <w:b w:val="0"/>
                <w:bCs w:val="0"/>
                <w:lang w:val="en-US" w:eastAsia="zh-CN"/>
              </w:rPr>
              <w:t>：</w:t>
            </w:r>
            <w:r>
              <w:rPr>
                <w:rFonts w:hint="eastAsia" w:cs="Times New Roman"/>
                <w:bCs/>
                <w:color w:val="000000"/>
                <w:kern w:val="0"/>
                <w:sz w:val="24"/>
                <w:szCs w:val="24"/>
                <w:lang w:val="en-US" w:eastAsia="zh-CN" w:bidi="ar-SA"/>
              </w:rPr>
              <w:t>租赁新疆伟康高科管业有限公司占地面积5600m</w:t>
            </w:r>
            <w:r>
              <w:rPr>
                <w:rFonts w:hint="eastAsia" w:cs="Times New Roman"/>
                <w:bCs/>
                <w:color w:val="000000"/>
                <w:kern w:val="0"/>
                <w:sz w:val="24"/>
                <w:szCs w:val="24"/>
                <w:vertAlign w:val="superscript"/>
                <w:lang w:val="en-US" w:eastAsia="zh-CN" w:bidi="ar-SA"/>
              </w:rPr>
              <w:t>2</w:t>
            </w:r>
            <w:r>
              <w:rPr>
                <w:rFonts w:hint="eastAsia" w:cs="Times New Roman"/>
                <w:bCs/>
                <w:color w:val="000000"/>
                <w:kern w:val="0"/>
                <w:sz w:val="24"/>
                <w:szCs w:val="24"/>
                <w:lang w:val="en-US" w:eastAsia="zh-CN" w:bidi="ar-SA"/>
              </w:rPr>
              <w:t>生产车间1座，</w:t>
            </w:r>
            <w:r>
              <w:rPr>
                <w:rFonts w:hint="eastAsia" w:ascii="Times New Roman" w:hAnsi="Times New Roman" w:eastAsia="宋体" w:cs="宋体"/>
                <w:b w:val="0"/>
                <w:bCs w:val="0"/>
                <w:lang w:val="en-US" w:eastAsia="zh-CN"/>
              </w:rPr>
              <w:t>建设防火电缆生产线、低压电缆生产线、控制电缆生产线、消防电线生产线</w:t>
            </w:r>
            <w:r>
              <w:rPr>
                <w:rFonts w:hint="eastAsia" w:cs="宋体"/>
                <w:b w:val="0"/>
                <w:bCs w:val="0"/>
                <w:lang w:val="en-US" w:eastAsia="zh-CN"/>
              </w:rPr>
              <w:t>各</w:t>
            </w:r>
            <w:r>
              <w:rPr>
                <w:rFonts w:hint="eastAsia" w:ascii="Times New Roman" w:hAnsi="Times New Roman" w:eastAsia="宋体" w:cs="宋体"/>
                <w:b w:val="0"/>
                <w:bCs w:val="0"/>
                <w:lang w:val="en-US" w:eastAsia="zh-CN"/>
              </w:rPr>
              <w:t>1条</w:t>
            </w:r>
            <w:r>
              <w:rPr>
                <w:rFonts w:hint="eastAsia" w:ascii="Times New Roman" w:hAnsi="Times New Roman" w:eastAsia="宋体" w:cs="Times New Roman"/>
                <w:sz w:val="24"/>
                <w:szCs w:val="24"/>
                <w:lang w:val="en-US" w:eastAsia="zh-CN" w:bidi="ar-SA"/>
              </w:rPr>
              <w:t>，</w:t>
            </w:r>
            <w:r>
              <w:rPr>
                <w:rFonts w:hint="default" w:ascii="Times New Roman" w:hAnsi="Times New Roman" w:eastAsia="宋体" w:cs="Times New Roman"/>
                <w:sz w:val="24"/>
                <w:szCs w:val="24"/>
                <w:lang w:val="en-US" w:eastAsia="zh-CN" w:bidi="ar-SA"/>
              </w:rPr>
              <w:t>年产</w:t>
            </w:r>
            <w:r>
              <w:rPr>
                <w:rFonts w:hint="eastAsia" w:ascii="Times New Roman" w:hAnsi="Times New Roman" w:eastAsia="宋体" w:cs="Times New Roman"/>
                <w:sz w:val="24"/>
                <w:szCs w:val="24"/>
                <w:highlight w:val="none"/>
                <w:lang w:val="en-US" w:eastAsia="zh-CN" w:bidi="ar-SA"/>
              </w:rPr>
              <w:t>电线电缆共</w:t>
            </w:r>
            <w:r>
              <w:rPr>
                <w:rFonts w:hint="eastAsia" w:cs="Times New Roman"/>
                <w:sz w:val="24"/>
                <w:szCs w:val="24"/>
                <w:highlight w:val="none"/>
                <w:lang w:val="en-US" w:eastAsia="zh-CN" w:bidi="ar-SA"/>
              </w:rPr>
              <w:t>2000千</w:t>
            </w:r>
            <w:r>
              <w:rPr>
                <w:rFonts w:hint="eastAsia" w:ascii="Times New Roman" w:hAnsi="Times New Roman" w:eastAsia="宋体" w:cs="Times New Roman"/>
                <w:sz w:val="24"/>
                <w:szCs w:val="24"/>
                <w:highlight w:val="none"/>
                <w:lang w:val="en-US" w:eastAsia="zh-CN" w:bidi="ar-SA"/>
              </w:rPr>
              <w:t>米</w:t>
            </w:r>
            <w:r>
              <w:rPr>
                <w:rFonts w:hint="eastAsia" w:ascii="Times New Roman" w:hAnsi="Times New Roman" w:eastAsia="宋体" w:cs="Times New Roman"/>
                <w:sz w:val="24"/>
                <w:szCs w:val="24"/>
                <w:lang w:val="en-US" w:eastAsia="zh-CN" w:bidi="ar-SA"/>
              </w:rPr>
              <w:t>，依托新疆伟康高科管业有限公司</w:t>
            </w:r>
            <w:r>
              <w:rPr>
                <w:rFonts w:hint="eastAsia" w:cs="Times New Roman"/>
                <w:bCs/>
                <w:color w:val="000000"/>
                <w:kern w:val="0"/>
                <w:sz w:val="24"/>
                <w:szCs w:val="24"/>
                <w:lang w:val="en-US" w:eastAsia="zh-CN" w:bidi="ar-SA"/>
              </w:rPr>
              <w:t>占地面积612</w:t>
            </w:r>
            <w:r>
              <w:rPr>
                <w:rFonts w:hint="eastAsia" w:cs="Times New Roman"/>
                <w:bCs/>
                <w:color w:val="000000"/>
                <w:kern w:val="0"/>
                <w:sz w:val="24"/>
                <w:szCs w:val="24"/>
                <w:vertAlign w:val="baseline"/>
                <w:lang w:val="en-US" w:eastAsia="zh-CN" w:bidi="ar-SA"/>
              </w:rPr>
              <w:t>m</w:t>
            </w:r>
            <w:r>
              <w:rPr>
                <w:rFonts w:hint="eastAsia" w:cs="Times New Roman"/>
                <w:bCs/>
                <w:color w:val="000000"/>
                <w:kern w:val="0"/>
                <w:sz w:val="24"/>
                <w:szCs w:val="24"/>
                <w:vertAlign w:val="superscript"/>
                <w:lang w:val="en-US" w:eastAsia="zh-CN" w:bidi="ar-SA"/>
              </w:rPr>
              <w:t>2</w:t>
            </w:r>
            <w:r>
              <w:rPr>
                <w:rFonts w:hint="eastAsia" w:cs="Times New Roman"/>
                <w:bCs/>
                <w:color w:val="000000"/>
                <w:kern w:val="0"/>
                <w:sz w:val="24"/>
                <w:szCs w:val="24"/>
                <w:lang w:val="en-US" w:eastAsia="zh-CN" w:bidi="ar-SA"/>
              </w:rPr>
              <w:t>办公生活楼、59</w:t>
            </w:r>
            <w:r>
              <w:rPr>
                <w:rFonts w:hint="eastAsia" w:cs="Times New Roman"/>
                <w:bCs/>
                <w:color w:val="000000"/>
                <w:kern w:val="0"/>
                <w:sz w:val="24"/>
                <w:szCs w:val="24"/>
                <w:vertAlign w:val="baseline"/>
                <w:lang w:val="en-US" w:eastAsia="zh-CN" w:bidi="ar-SA"/>
              </w:rPr>
              <w:t>m</w:t>
            </w:r>
            <w:r>
              <w:rPr>
                <w:rFonts w:hint="eastAsia" w:cs="Times New Roman"/>
                <w:bCs/>
                <w:color w:val="000000"/>
                <w:kern w:val="0"/>
                <w:sz w:val="24"/>
                <w:szCs w:val="24"/>
                <w:vertAlign w:val="superscript"/>
                <w:lang w:val="en-US" w:eastAsia="zh-CN" w:bidi="ar-SA"/>
              </w:rPr>
              <w:t>2</w:t>
            </w:r>
            <w:r>
              <w:rPr>
                <w:rFonts w:hint="eastAsia" w:cs="Times New Roman"/>
                <w:bCs/>
                <w:color w:val="000000"/>
                <w:kern w:val="0"/>
                <w:sz w:val="24"/>
                <w:szCs w:val="24"/>
                <w:lang w:val="en-US" w:eastAsia="zh-CN" w:bidi="ar-SA"/>
              </w:rPr>
              <w:t>门卫室辅助工程以及供电、供水等公用工程</w:t>
            </w:r>
            <w:r>
              <w:rPr>
                <w:rFonts w:hint="default" w:ascii="Times New Roman" w:hAnsi="Times New Roman" w:eastAsia="宋体" w:cs="宋体"/>
                <w:b w:val="0"/>
                <w:bCs w:val="0"/>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主要建设内容及建设情况见</w:t>
            </w:r>
            <w:r>
              <w:rPr>
                <w:rFonts w:hint="eastAsia" w:ascii="Times New Roman" w:hAnsi="Times New Roman" w:eastAsia="宋体" w:cs="Times New Roman"/>
                <w:b w:val="0"/>
                <w:bCs w:val="0"/>
                <w:lang w:val="en-US" w:eastAsia="zh-CN"/>
              </w:rPr>
              <w:t>2</w:t>
            </w:r>
            <w:r>
              <w:rPr>
                <w:rFonts w:hint="default" w:ascii="Times New Roman" w:hAnsi="Times New Roman" w:eastAsia="宋体" w:cs="Times New Roman"/>
                <w:b w:val="0"/>
                <w:bCs w:val="0"/>
                <w:lang w:val="en-US" w:eastAsia="zh-CN"/>
              </w:rPr>
              <w:t>.2-1。</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0" w:firstLineChars="0"/>
              <w:jc w:val="center"/>
              <w:textAlignment w:val="auto"/>
              <w:rPr>
                <w:rFonts w:hint="eastAsia" w:ascii="Times New Roman" w:hAnsi="Times New Roman" w:eastAsia="宋体" w:cs="宋体"/>
                <w:b/>
                <w:color w:val="000000"/>
                <w:sz w:val="24"/>
                <w:szCs w:val="24"/>
                <w:lang w:val="en-US" w:eastAsia="zh-CN" w:bidi="ar-SA"/>
              </w:rPr>
            </w:pPr>
            <w:r>
              <w:rPr>
                <w:rFonts w:ascii="Times New Roman" w:hAnsi="Times New Roman" w:eastAsia="宋体" w:cs="宋体"/>
                <w:b/>
                <w:color w:val="000000"/>
                <w:sz w:val="24"/>
                <w:szCs w:val="24"/>
                <w:lang w:val="en-US" w:eastAsia="zh-CN" w:bidi="ar-SA"/>
              </w:rPr>
              <w:t>表2</w:t>
            </w:r>
            <w:r>
              <w:rPr>
                <w:rFonts w:hint="eastAsia" w:ascii="Times New Roman" w:hAnsi="Times New Roman" w:eastAsia="宋体" w:cs="宋体"/>
                <w:b/>
                <w:color w:val="000000"/>
                <w:sz w:val="24"/>
                <w:szCs w:val="24"/>
                <w:lang w:val="en-US" w:eastAsia="zh-CN" w:bidi="ar-SA"/>
              </w:rPr>
              <w:t>.2</w:t>
            </w:r>
            <w:r>
              <w:rPr>
                <w:rFonts w:ascii="Times New Roman" w:hAnsi="Times New Roman" w:eastAsia="宋体" w:cs="宋体"/>
                <w:b/>
                <w:color w:val="000000"/>
                <w:sz w:val="24"/>
                <w:szCs w:val="24"/>
                <w:lang w:val="en-US" w:eastAsia="zh-CN" w:bidi="ar-SA"/>
              </w:rPr>
              <w:t>-1建设项目</w:t>
            </w:r>
            <w:r>
              <w:rPr>
                <w:rFonts w:hint="eastAsia" w:ascii="Times New Roman" w:hAnsi="Times New Roman" w:eastAsia="宋体" w:cs="宋体"/>
                <w:b/>
                <w:color w:val="000000"/>
                <w:sz w:val="24"/>
                <w:szCs w:val="24"/>
                <w:lang w:val="en-US" w:eastAsia="zh-Hans" w:bidi="ar-SA"/>
              </w:rPr>
              <w:t>内容</w:t>
            </w:r>
            <w:r>
              <w:rPr>
                <w:rFonts w:hint="eastAsia" w:ascii="Times New Roman" w:hAnsi="Times New Roman" w:eastAsia="宋体" w:cs="宋体"/>
                <w:b/>
                <w:color w:val="000000"/>
                <w:sz w:val="24"/>
                <w:szCs w:val="24"/>
                <w:lang w:val="en-US" w:eastAsia="zh-CN" w:bidi="ar-SA"/>
              </w:rPr>
              <w:t xml:space="preserve"> </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30"/>
              <w:gridCol w:w="1202"/>
              <w:gridCol w:w="5745"/>
              <w:gridCol w:w="10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32" w:type="dxa"/>
                  <w:gridSpan w:val="2"/>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 w:val="0"/>
                      <w:bCs w:val="0"/>
                      <w:color w:val="000000"/>
                      <w:kern w:val="0"/>
                      <w:sz w:val="21"/>
                      <w:szCs w:val="24"/>
                      <w:highlight w:val="none"/>
                      <w:lang w:val="en-US" w:eastAsia="zh-CN" w:bidi="ar-SA"/>
                    </w:rPr>
                  </w:pPr>
                  <w:r>
                    <w:rPr>
                      <w:rFonts w:hint="default" w:ascii="Times New Roman" w:hAnsi="Times New Roman" w:eastAsia="宋体" w:cs="Times New Roman"/>
                      <w:b w:val="0"/>
                      <w:bCs w:val="0"/>
                      <w:color w:val="000000"/>
                      <w:kern w:val="0"/>
                      <w:sz w:val="21"/>
                      <w:szCs w:val="24"/>
                      <w:highlight w:val="none"/>
                      <w:lang w:val="en-US" w:eastAsia="zh-CN" w:bidi="ar-SA"/>
                    </w:rPr>
                    <w:t>项目名称</w:t>
                  </w:r>
                </w:p>
              </w:tc>
              <w:tc>
                <w:tcPr>
                  <w:tcW w:w="5745"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 w:val="0"/>
                      <w:bCs w:val="0"/>
                      <w:color w:val="000000"/>
                      <w:kern w:val="0"/>
                      <w:sz w:val="21"/>
                      <w:szCs w:val="24"/>
                      <w:highlight w:val="none"/>
                      <w:lang w:val="en-US" w:eastAsia="zh-CN" w:bidi="ar-SA"/>
                    </w:rPr>
                  </w:pPr>
                  <w:r>
                    <w:rPr>
                      <w:rFonts w:hint="default" w:ascii="Times New Roman" w:hAnsi="Times New Roman" w:eastAsia="宋体" w:cs="Times New Roman"/>
                      <w:b w:val="0"/>
                      <w:bCs w:val="0"/>
                      <w:color w:val="000000"/>
                      <w:kern w:val="0"/>
                      <w:sz w:val="21"/>
                      <w:szCs w:val="24"/>
                      <w:highlight w:val="none"/>
                      <w:lang w:val="en-US" w:eastAsia="zh-CN" w:bidi="ar-SA"/>
                    </w:rPr>
                    <w:t>建设内容</w:t>
                  </w:r>
                </w:p>
              </w:tc>
              <w:tc>
                <w:tcPr>
                  <w:tcW w:w="1027"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 w:val="0"/>
                      <w:bCs w:val="0"/>
                      <w:color w:val="000000"/>
                      <w:kern w:val="0"/>
                      <w:sz w:val="21"/>
                      <w:szCs w:val="24"/>
                      <w:highlight w:val="none"/>
                      <w:lang w:val="en-US" w:eastAsia="zh-CN" w:bidi="ar-SA"/>
                    </w:rPr>
                  </w:pPr>
                  <w:r>
                    <w:rPr>
                      <w:rFonts w:hint="default" w:ascii="Times New Roman" w:hAnsi="Times New Roman" w:eastAsia="宋体" w:cs="Times New Roman"/>
                      <w:b w:val="0"/>
                      <w:bCs w:val="0"/>
                      <w:color w:val="000000"/>
                      <w:kern w:val="0"/>
                      <w:sz w:val="21"/>
                      <w:szCs w:val="24"/>
                      <w:highlight w:val="none"/>
                      <w:lang w:val="en-US" w:eastAsia="zh-CN" w:bidi="ar-SA"/>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530" w:type="dxa"/>
                  <w:vMerge w:val="restart"/>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000000"/>
                      <w:kern w:val="0"/>
                      <w:sz w:val="21"/>
                      <w:szCs w:val="24"/>
                      <w:highlight w:val="none"/>
                      <w:lang w:val="en-US" w:eastAsia="zh-CN" w:bidi="ar-SA"/>
                    </w:rPr>
                  </w:pPr>
                  <w:r>
                    <w:rPr>
                      <w:rFonts w:hint="default" w:ascii="Times New Roman" w:hAnsi="Times New Roman" w:eastAsia="宋体" w:cs="Times New Roman"/>
                      <w:bCs/>
                      <w:color w:val="000000"/>
                      <w:kern w:val="0"/>
                      <w:sz w:val="21"/>
                      <w:szCs w:val="24"/>
                      <w:highlight w:val="none"/>
                      <w:lang w:val="en-US" w:eastAsia="zh-CN" w:bidi="ar-SA"/>
                    </w:rPr>
                    <w:t>主体工程</w:t>
                  </w:r>
                </w:p>
              </w:tc>
              <w:tc>
                <w:tcPr>
                  <w:tcW w:w="1202" w:type="dxa"/>
                  <w:vMerge w:val="restart"/>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cs="Times New Roman"/>
                      <w:color w:val="000000"/>
                      <w:kern w:val="0"/>
                      <w:sz w:val="21"/>
                      <w:szCs w:val="24"/>
                      <w:highlight w:val="none"/>
                      <w:lang w:val="en-US" w:eastAsia="zh-CN" w:bidi="ar-SA"/>
                    </w:rPr>
                    <w:t>生产车间</w:t>
                  </w:r>
                </w:p>
              </w:tc>
              <w:tc>
                <w:tcPr>
                  <w:tcW w:w="5745" w:type="dxa"/>
                  <w:tcBorders>
                    <w:tl2br w:val="nil"/>
                    <w:tr2bl w:val="nil"/>
                  </w:tcBorders>
                  <w:noWrap w:val="0"/>
                  <w:vAlign w:val="center"/>
                </w:tcPr>
                <w:p>
                  <w:pPr>
                    <w:keepNext w:val="0"/>
                    <w:keepLines w:val="0"/>
                    <w:pageBreakBefore w:val="0"/>
                    <w:kinsoku/>
                    <w:wordWrap/>
                    <w:overflowPunct/>
                    <w:topLinePunct/>
                    <w:autoSpaceDE/>
                    <w:autoSpaceDN/>
                    <w:bidi w:val="0"/>
                    <w:adjustRightInd/>
                    <w:snapToGrid/>
                    <w:spacing w:line="280" w:lineRule="exact"/>
                    <w:ind w:firstLine="0" w:firstLineChars="0"/>
                    <w:jc w:val="center"/>
                    <w:textAlignment w:val="auto"/>
                    <w:rPr>
                      <w:rFonts w:hint="default" w:ascii="Times New Roman" w:hAnsi="Times New Roman" w:eastAsia="宋体" w:cs="宋体"/>
                      <w:snapToGrid w:val="0"/>
                      <w:color w:val="auto"/>
                      <w:kern w:val="0"/>
                      <w:sz w:val="21"/>
                      <w:szCs w:val="21"/>
                      <w:highlight w:val="none"/>
                      <w:vertAlign w:val="baseline"/>
                      <w:lang w:val="en-US" w:eastAsia="zh-CN" w:bidi="ar-SA"/>
                    </w:rPr>
                  </w:pPr>
                  <w:r>
                    <w:rPr>
                      <w:rFonts w:hint="eastAsia" w:cs="宋体"/>
                      <w:color w:val="auto"/>
                      <w:sz w:val="21"/>
                      <w:szCs w:val="21"/>
                      <w:highlight w:val="none"/>
                      <w:lang w:val="en-US" w:eastAsia="zh-CN"/>
                    </w:rPr>
                    <w:t>依托新疆伟康高科管业有限公司生产车间，</w:t>
                  </w:r>
                  <w:r>
                    <w:rPr>
                      <w:rFonts w:hint="eastAsia" w:ascii="Times New Roman" w:hAnsi="Times New Roman" w:eastAsia="宋体" w:cs="宋体"/>
                      <w:color w:val="auto"/>
                      <w:sz w:val="21"/>
                      <w:szCs w:val="21"/>
                      <w:highlight w:val="none"/>
                      <w:lang w:val="en-US" w:eastAsia="zh-CN"/>
                    </w:rPr>
                    <w:t>占地面积</w:t>
                  </w:r>
                  <w:r>
                    <w:rPr>
                      <w:rFonts w:hint="eastAsia" w:cs="宋体"/>
                      <w:color w:val="auto"/>
                      <w:sz w:val="21"/>
                      <w:szCs w:val="21"/>
                      <w:highlight w:val="none"/>
                      <w:lang w:val="en-US" w:eastAsia="zh-CN"/>
                    </w:rPr>
                    <w:t>5600</w:t>
                  </w:r>
                  <w:r>
                    <w:rPr>
                      <w:rFonts w:hint="eastAsia" w:ascii="Times New Roman" w:hAnsi="Times New Roman" w:eastAsia="宋体" w:cs="宋体"/>
                      <w:color w:val="auto"/>
                      <w:sz w:val="21"/>
                      <w:szCs w:val="21"/>
                      <w:highlight w:val="none"/>
                      <w:lang w:val="en-US" w:eastAsia="zh-CN"/>
                    </w:rPr>
                    <w:t>m</w:t>
                  </w:r>
                  <w:r>
                    <w:rPr>
                      <w:rFonts w:hint="eastAsia" w:ascii="Times New Roman" w:hAnsi="Times New Roman" w:eastAsia="宋体" w:cs="宋体"/>
                      <w:color w:val="auto"/>
                      <w:sz w:val="21"/>
                      <w:szCs w:val="21"/>
                      <w:highlight w:val="none"/>
                      <w:vertAlign w:val="superscript"/>
                      <w:lang w:val="en-US" w:eastAsia="zh-CN"/>
                    </w:rPr>
                    <w:t>2</w:t>
                  </w:r>
                  <w:r>
                    <w:rPr>
                      <w:rFonts w:hint="eastAsia" w:cs="宋体"/>
                      <w:color w:val="auto"/>
                      <w:sz w:val="21"/>
                      <w:szCs w:val="21"/>
                      <w:highlight w:val="none"/>
                      <w:lang w:val="en-US" w:eastAsia="zh-CN"/>
                    </w:rPr>
                    <w:t>，1栋，1F，高度10.8m，1</w:t>
                  </w:r>
                  <w:r>
                    <w:rPr>
                      <w:rFonts w:hint="eastAsia" w:cs="宋体"/>
                      <w:color w:val="auto"/>
                      <w:sz w:val="21"/>
                      <w:szCs w:val="21"/>
                      <w:highlight w:val="none"/>
                      <w:lang w:val="en-US" w:eastAsia="zh-CN" w:bidi="ar-SA"/>
                    </w:rPr>
                    <w:t>40m×40m</w:t>
                  </w:r>
                  <w:r>
                    <w:rPr>
                      <w:rFonts w:hint="eastAsia" w:cs="宋体"/>
                      <w:color w:val="auto"/>
                      <w:sz w:val="21"/>
                      <w:szCs w:val="21"/>
                      <w:highlight w:val="none"/>
                      <w:lang w:val="en-US" w:eastAsia="zh-CN"/>
                    </w:rPr>
                    <w:t xml:space="preserve"> </w:t>
                  </w:r>
                </w:p>
              </w:tc>
              <w:tc>
                <w:tcPr>
                  <w:tcW w:w="1027"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cs="Times New Roman"/>
                      <w:color w:val="000000"/>
                      <w:kern w:val="0"/>
                      <w:sz w:val="21"/>
                      <w:szCs w:val="24"/>
                      <w:highlight w:val="none"/>
                      <w:lang w:val="en-US" w:eastAsia="zh-CN" w:bidi="ar-SA"/>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530" w:type="dxa"/>
                  <w:vMerge w:val="continue"/>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000000"/>
                      <w:kern w:val="0"/>
                      <w:sz w:val="21"/>
                      <w:szCs w:val="24"/>
                      <w:highlight w:val="none"/>
                      <w:lang w:val="en-US" w:eastAsia="zh-CN" w:bidi="ar-SA"/>
                    </w:rPr>
                  </w:pPr>
                </w:p>
              </w:tc>
              <w:tc>
                <w:tcPr>
                  <w:tcW w:w="1202" w:type="dxa"/>
                  <w:vMerge w:val="continue"/>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eastAsia" w:ascii="Times New Roman" w:hAnsi="Times New Roman" w:eastAsia="宋体" w:cs="Times New Roman"/>
                      <w:color w:val="000000"/>
                      <w:kern w:val="0"/>
                      <w:sz w:val="21"/>
                      <w:szCs w:val="24"/>
                      <w:highlight w:val="none"/>
                      <w:lang w:val="en-US" w:eastAsia="zh-CN" w:bidi="ar-SA"/>
                    </w:rPr>
                  </w:pPr>
                </w:p>
              </w:tc>
              <w:tc>
                <w:tcPr>
                  <w:tcW w:w="5745" w:type="dxa"/>
                  <w:tcBorders>
                    <w:tl2br w:val="nil"/>
                    <w:tr2bl w:val="nil"/>
                  </w:tcBorders>
                  <w:noWrap w:val="0"/>
                  <w:vAlign w:val="center"/>
                </w:tcPr>
                <w:p>
                  <w:pPr>
                    <w:keepNext w:val="0"/>
                    <w:keepLines w:val="0"/>
                    <w:pageBreakBefore w:val="0"/>
                    <w:kinsoku/>
                    <w:wordWrap/>
                    <w:overflowPunct/>
                    <w:topLinePunct/>
                    <w:autoSpaceDE/>
                    <w:autoSpaceDN/>
                    <w:bidi w:val="0"/>
                    <w:adjustRightInd/>
                    <w:snapToGrid/>
                    <w:spacing w:line="280" w:lineRule="exact"/>
                    <w:ind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cs="宋体"/>
                      <w:color w:val="auto"/>
                      <w:sz w:val="21"/>
                      <w:szCs w:val="21"/>
                      <w:highlight w:val="none"/>
                      <w:lang w:val="en-US" w:eastAsia="zh-CN"/>
                    </w:rPr>
                    <w:t>内设防火电缆生产线、低压电缆生产线、控制电缆生产线、消防电线生产线各1条，原料堆放区100m</w:t>
                  </w:r>
                  <w:r>
                    <w:rPr>
                      <w:rFonts w:hint="eastAsia" w:cs="宋体"/>
                      <w:color w:val="auto"/>
                      <w:sz w:val="21"/>
                      <w:szCs w:val="21"/>
                      <w:highlight w:val="none"/>
                      <w:vertAlign w:val="superscript"/>
                      <w:lang w:val="en-US" w:eastAsia="zh-CN"/>
                    </w:rPr>
                    <w:t>2</w:t>
                  </w:r>
                </w:p>
              </w:tc>
              <w:tc>
                <w:tcPr>
                  <w:tcW w:w="1027"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cs="Times New Roman"/>
                      <w:color w:val="000000"/>
                      <w:kern w:val="0"/>
                      <w:sz w:val="21"/>
                      <w:szCs w:val="24"/>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0" w:type="dxa"/>
                  <w:vMerge w:val="restart"/>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000000"/>
                      <w:kern w:val="0"/>
                      <w:sz w:val="21"/>
                      <w:szCs w:val="24"/>
                      <w:highlight w:val="none"/>
                      <w:lang w:val="en-US" w:eastAsia="zh-CN" w:bidi="ar-SA"/>
                    </w:rPr>
                  </w:pPr>
                  <w:r>
                    <w:rPr>
                      <w:rFonts w:hint="default" w:ascii="Times New Roman" w:hAnsi="Times New Roman" w:eastAsia="宋体" w:cs="Times New Roman"/>
                      <w:bCs/>
                      <w:color w:val="000000"/>
                      <w:kern w:val="0"/>
                      <w:sz w:val="21"/>
                      <w:szCs w:val="24"/>
                      <w:highlight w:val="none"/>
                      <w:lang w:val="en-US" w:eastAsia="zh-CN" w:bidi="ar-SA"/>
                    </w:rPr>
                    <w:t>辅助工程</w:t>
                  </w:r>
                </w:p>
              </w:tc>
              <w:tc>
                <w:tcPr>
                  <w:tcW w:w="1202" w:type="dxa"/>
                  <w:tcBorders>
                    <w:tl2br w:val="nil"/>
                    <w:tr2bl w:val="nil"/>
                  </w:tcBorders>
                  <w:noWrap w:val="0"/>
                  <w:vAlign w:val="center"/>
                </w:tcPr>
                <w:p>
                  <w:pPr>
                    <w:widowControl w:val="0"/>
                    <w:bidi w:val="0"/>
                    <w:spacing w:line="320" w:lineRule="exact"/>
                    <w:ind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宋体"/>
                      <w:color w:val="auto"/>
                      <w:sz w:val="21"/>
                      <w:szCs w:val="21"/>
                      <w:lang w:val="en-US" w:eastAsia="zh-CN" w:bidi="ar-SA"/>
                    </w:rPr>
                    <w:t>办公生活</w:t>
                  </w:r>
                  <w:r>
                    <w:rPr>
                      <w:rFonts w:hint="eastAsia" w:cs="宋体"/>
                      <w:color w:val="auto"/>
                      <w:sz w:val="21"/>
                      <w:szCs w:val="21"/>
                      <w:lang w:val="en-US" w:eastAsia="zh-CN" w:bidi="ar-SA"/>
                    </w:rPr>
                    <w:t>楼</w:t>
                  </w:r>
                </w:p>
              </w:tc>
              <w:tc>
                <w:tcPr>
                  <w:tcW w:w="5745" w:type="dxa"/>
                  <w:tcBorders>
                    <w:tl2br w:val="nil"/>
                    <w:tr2bl w:val="nil"/>
                  </w:tcBorders>
                  <w:noWrap w:val="0"/>
                  <w:vAlign w:val="center"/>
                </w:tcPr>
                <w:p>
                  <w:pPr>
                    <w:widowControl w:val="0"/>
                    <w:bidi w:val="0"/>
                    <w:spacing w:line="320" w:lineRule="exact"/>
                    <w:ind w:firstLine="0" w:firstLineChars="0"/>
                    <w:jc w:val="center"/>
                    <w:rPr>
                      <w:rFonts w:hint="default" w:ascii="Times New Roman" w:hAnsi="Times New Roman" w:eastAsia="宋体" w:cs="Times New Roman"/>
                      <w:color w:val="000000"/>
                      <w:kern w:val="0"/>
                      <w:sz w:val="21"/>
                      <w:szCs w:val="24"/>
                      <w:highlight w:val="none"/>
                      <w:vertAlign w:val="baseline"/>
                      <w:lang w:val="en-US" w:eastAsia="zh-CN" w:bidi="ar-SA"/>
                    </w:rPr>
                  </w:pPr>
                  <w:r>
                    <w:rPr>
                      <w:rFonts w:hint="eastAsia" w:cs="宋体"/>
                      <w:color w:val="auto"/>
                      <w:sz w:val="21"/>
                      <w:szCs w:val="21"/>
                      <w:highlight w:val="none"/>
                      <w:lang w:val="en-US" w:eastAsia="zh-CN"/>
                    </w:rPr>
                    <w:t>依托新疆伟康高科管业有限公司办公生活楼，1栋，5F，高度15m，36</w:t>
                  </w:r>
                  <w:r>
                    <w:rPr>
                      <w:rFonts w:hint="eastAsia" w:cs="宋体"/>
                      <w:color w:val="auto"/>
                      <w:sz w:val="21"/>
                      <w:szCs w:val="21"/>
                      <w:highlight w:val="none"/>
                      <w:lang w:val="en-US" w:eastAsia="zh-CN" w:bidi="ar-SA"/>
                    </w:rPr>
                    <w:t>m×17m，</w:t>
                  </w:r>
                  <w:r>
                    <w:rPr>
                      <w:rFonts w:hint="eastAsia" w:cs="宋体"/>
                      <w:color w:val="auto"/>
                      <w:sz w:val="21"/>
                      <w:szCs w:val="21"/>
                      <w:highlight w:val="none"/>
                      <w:lang w:val="en-US" w:eastAsia="zh-CN"/>
                    </w:rPr>
                    <w:t>占地面积612m</w:t>
                  </w:r>
                  <w:r>
                    <w:rPr>
                      <w:rFonts w:hint="eastAsia" w:cs="宋体"/>
                      <w:color w:val="auto"/>
                      <w:sz w:val="21"/>
                      <w:szCs w:val="21"/>
                      <w:highlight w:val="none"/>
                      <w:vertAlign w:val="superscript"/>
                      <w:lang w:val="en-US" w:eastAsia="zh-CN"/>
                    </w:rPr>
                    <w:t>2</w:t>
                  </w:r>
                  <w:r>
                    <w:rPr>
                      <w:rFonts w:hint="eastAsia" w:cs="宋体"/>
                      <w:color w:val="auto"/>
                      <w:sz w:val="21"/>
                      <w:szCs w:val="21"/>
                      <w:highlight w:val="none"/>
                      <w:vertAlign w:val="baseline"/>
                      <w:lang w:val="en-US" w:eastAsia="zh-CN"/>
                    </w:rPr>
                    <w:t>，总建筑面积2502</w:t>
                  </w:r>
                  <w:r>
                    <w:rPr>
                      <w:rFonts w:hint="eastAsia" w:cs="宋体"/>
                      <w:color w:val="auto"/>
                      <w:sz w:val="21"/>
                      <w:szCs w:val="21"/>
                      <w:highlight w:val="none"/>
                      <w:lang w:val="en-US" w:eastAsia="zh-CN"/>
                    </w:rPr>
                    <w:t>m</w:t>
                  </w:r>
                  <w:r>
                    <w:rPr>
                      <w:rFonts w:hint="eastAsia" w:cs="宋体"/>
                      <w:color w:val="auto"/>
                      <w:sz w:val="21"/>
                      <w:szCs w:val="21"/>
                      <w:highlight w:val="none"/>
                      <w:vertAlign w:val="superscript"/>
                      <w:lang w:val="en-US" w:eastAsia="zh-CN"/>
                    </w:rPr>
                    <w:t>2</w:t>
                  </w:r>
                </w:p>
              </w:tc>
              <w:tc>
                <w:tcPr>
                  <w:tcW w:w="1027" w:type="dxa"/>
                  <w:tcBorders>
                    <w:tl2br w:val="nil"/>
                    <w:tr2bl w:val="nil"/>
                  </w:tcBorders>
                  <w:noWrap w:val="0"/>
                  <w:vAlign w:val="center"/>
                </w:tcPr>
                <w:p>
                  <w:pPr>
                    <w:widowControl w:val="0"/>
                    <w:bidi w:val="0"/>
                    <w:spacing w:line="320" w:lineRule="exact"/>
                    <w:ind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宋体"/>
                      <w:color w:val="auto"/>
                      <w:sz w:val="21"/>
                      <w:szCs w:val="21"/>
                      <w:lang w:val="en-US" w:eastAsia="zh-CN" w:bidi="ar-SA"/>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0" w:type="dxa"/>
                  <w:vMerge w:val="continue"/>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000000"/>
                      <w:kern w:val="0"/>
                      <w:sz w:val="21"/>
                      <w:szCs w:val="24"/>
                      <w:highlight w:val="none"/>
                      <w:lang w:val="en-US" w:eastAsia="zh-CN" w:bidi="ar-SA"/>
                    </w:rPr>
                  </w:pPr>
                </w:p>
              </w:tc>
              <w:tc>
                <w:tcPr>
                  <w:tcW w:w="1202" w:type="dxa"/>
                  <w:tcBorders>
                    <w:tl2br w:val="nil"/>
                    <w:tr2bl w:val="nil"/>
                  </w:tcBorders>
                  <w:noWrap w:val="0"/>
                  <w:vAlign w:val="center"/>
                </w:tcPr>
                <w:p>
                  <w:pPr>
                    <w:widowControl w:val="0"/>
                    <w:bidi w:val="0"/>
                    <w:spacing w:line="320" w:lineRule="exact"/>
                    <w:ind w:firstLine="0" w:firstLineChars="0"/>
                    <w:jc w:val="center"/>
                    <w:rPr>
                      <w:rFonts w:hint="default" w:ascii="Times New Roman" w:hAnsi="Times New Roman" w:eastAsia="宋体" w:cs="宋体"/>
                      <w:color w:val="auto"/>
                      <w:sz w:val="21"/>
                      <w:szCs w:val="21"/>
                      <w:lang w:val="en-US" w:eastAsia="zh-CN" w:bidi="ar-SA"/>
                    </w:rPr>
                  </w:pPr>
                  <w:r>
                    <w:rPr>
                      <w:rFonts w:hint="eastAsia" w:cs="宋体"/>
                      <w:color w:val="auto"/>
                      <w:sz w:val="21"/>
                      <w:szCs w:val="21"/>
                      <w:lang w:val="en-US" w:eastAsia="zh-CN" w:bidi="ar-SA"/>
                    </w:rPr>
                    <w:t>门卫室</w:t>
                  </w:r>
                </w:p>
              </w:tc>
              <w:tc>
                <w:tcPr>
                  <w:tcW w:w="5745" w:type="dxa"/>
                  <w:tcBorders>
                    <w:tl2br w:val="nil"/>
                    <w:tr2bl w:val="nil"/>
                  </w:tcBorders>
                  <w:noWrap w:val="0"/>
                  <w:vAlign w:val="center"/>
                </w:tcPr>
                <w:p>
                  <w:pPr>
                    <w:widowControl w:val="0"/>
                    <w:bidi w:val="0"/>
                    <w:spacing w:line="320" w:lineRule="exact"/>
                    <w:ind w:firstLine="0" w:firstLineChars="0"/>
                    <w:jc w:val="center"/>
                    <w:rPr>
                      <w:rFonts w:hint="default" w:cs="宋体"/>
                      <w:color w:val="auto"/>
                      <w:sz w:val="21"/>
                      <w:szCs w:val="21"/>
                      <w:lang w:val="en-US" w:eastAsia="zh-CN"/>
                    </w:rPr>
                  </w:pPr>
                  <w:r>
                    <w:rPr>
                      <w:rFonts w:hint="eastAsia" w:cs="宋体"/>
                      <w:color w:val="auto"/>
                      <w:sz w:val="21"/>
                      <w:szCs w:val="21"/>
                      <w:lang w:val="en-US" w:eastAsia="zh-CN"/>
                    </w:rPr>
                    <w:t>1栋，1F，占地面积59m</w:t>
                  </w:r>
                  <w:r>
                    <w:rPr>
                      <w:rFonts w:hint="eastAsia" w:cs="宋体"/>
                      <w:color w:val="auto"/>
                      <w:sz w:val="21"/>
                      <w:szCs w:val="21"/>
                      <w:vertAlign w:val="superscript"/>
                      <w:lang w:val="en-US" w:eastAsia="zh-CN"/>
                    </w:rPr>
                    <w:t>2</w:t>
                  </w:r>
                </w:p>
              </w:tc>
              <w:tc>
                <w:tcPr>
                  <w:tcW w:w="1027" w:type="dxa"/>
                  <w:tcBorders>
                    <w:tl2br w:val="nil"/>
                    <w:tr2bl w:val="nil"/>
                  </w:tcBorders>
                  <w:noWrap w:val="0"/>
                  <w:vAlign w:val="center"/>
                </w:tcPr>
                <w:p>
                  <w:pPr>
                    <w:widowControl w:val="0"/>
                    <w:bidi w:val="0"/>
                    <w:spacing w:line="320" w:lineRule="exact"/>
                    <w:ind w:firstLine="0" w:firstLineChars="0"/>
                    <w:jc w:val="center"/>
                    <w:rPr>
                      <w:rFonts w:hint="eastAsia"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宋体"/>
                      <w:color w:val="auto"/>
                      <w:sz w:val="21"/>
                      <w:szCs w:val="21"/>
                      <w:lang w:val="en-US" w:eastAsia="zh-CN" w:bidi="ar-SA"/>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0" w:type="dxa"/>
                  <w:vMerge w:val="restart"/>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000000"/>
                      <w:kern w:val="0"/>
                      <w:sz w:val="21"/>
                      <w:szCs w:val="24"/>
                      <w:highlight w:val="none"/>
                      <w:lang w:val="en-US" w:eastAsia="zh-CN" w:bidi="ar-SA"/>
                    </w:rPr>
                  </w:pPr>
                  <w:r>
                    <w:rPr>
                      <w:rFonts w:hint="eastAsia" w:ascii="Times New Roman" w:hAnsi="Times New Roman" w:eastAsia="宋体" w:cs="Times New Roman"/>
                      <w:bCs/>
                      <w:color w:val="000000"/>
                      <w:kern w:val="0"/>
                      <w:sz w:val="21"/>
                      <w:szCs w:val="24"/>
                      <w:highlight w:val="none"/>
                      <w:lang w:val="en-US" w:eastAsia="zh-CN" w:bidi="ar-SA"/>
                    </w:rPr>
                    <w:t>储运工程</w:t>
                  </w:r>
                </w:p>
              </w:tc>
              <w:tc>
                <w:tcPr>
                  <w:tcW w:w="1202" w:type="dxa"/>
                  <w:tcBorders>
                    <w:tl2br w:val="nil"/>
                    <w:tr2bl w:val="nil"/>
                  </w:tcBorders>
                  <w:noWrap w:val="0"/>
                  <w:vAlign w:val="center"/>
                </w:tcPr>
                <w:p>
                  <w:pPr>
                    <w:widowControl w:val="0"/>
                    <w:bidi w:val="0"/>
                    <w:spacing w:line="320" w:lineRule="exact"/>
                    <w:ind w:firstLine="0" w:firstLineChars="0"/>
                    <w:jc w:val="center"/>
                    <w:rPr>
                      <w:rFonts w:hint="default" w:ascii="Times New Roman" w:hAnsi="Times New Roman" w:eastAsia="宋体" w:cs="宋体"/>
                      <w:color w:val="auto"/>
                      <w:sz w:val="21"/>
                      <w:szCs w:val="21"/>
                      <w:highlight w:val="yellow"/>
                      <w:lang w:val="en-US" w:eastAsia="zh-CN" w:bidi="ar-SA"/>
                    </w:rPr>
                  </w:pPr>
                  <w:r>
                    <w:rPr>
                      <w:rFonts w:hint="eastAsia" w:cs="宋体"/>
                      <w:color w:val="auto"/>
                      <w:sz w:val="21"/>
                      <w:szCs w:val="21"/>
                      <w:highlight w:val="none"/>
                      <w:lang w:val="en-US" w:eastAsia="zh-CN" w:bidi="ar-SA"/>
                    </w:rPr>
                    <w:t>拉丝油防渗吨箱</w:t>
                  </w:r>
                </w:p>
              </w:tc>
              <w:tc>
                <w:tcPr>
                  <w:tcW w:w="5745" w:type="dxa"/>
                  <w:tcBorders>
                    <w:tl2br w:val="nil"/>
                    <w:tr2bl w:val="nil"/>
                  </w:tcBorders>
                  <w:noWrap w:val="0"/>
                  <w:vAlign w:val="center"/>
                </w:tcPr>
                <w:p>
                  <w:pPr>
                    <w:widowControl w:val="0"/>
                    <w:bidi w:val="0"/>
                    <w:spacing w:line="320" w:lineRule="exact"/>
                    <w:ind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1座，位于生产车间内，规格1m</w:t>
                  </w:r>
                  <w:r>
                    <w:rPr>
                      <w:rFonts w:hint="eastAsia" w:cs="宋体"/>
                      <w:color w:val="auto"/>
                      <w:sz w:val="21"/>
                      <w:szCs w:val="21"/>
                      <w:highlight w:val="none"/>
                      <w:vertAlign w:val="superscript"/>
                      <w:lang w:val="en-US" w:eastAsia="zh-CN" w:bidi="ar-SA"/>
                    </w:rPr>
                    <w:t>3</w:t>
                  </w:r>
                </w:p>
              </w:tc>
              <w:tc>
                <w:tcPr>
                  <w:tcW w:w="1027" w:type="dxa"/>
                  <w:tcBorders>
                    <w:tl2br w:val="nil"/>
                    <w:tr2bl w:val="nil"/>
                  </w:tcBorders>
                  <w:noWrap w:val="0"/>
                  <w:vAlign w:val="center"/>
                </w:tcPr>
                <w:p>
                  <w:pPr>
                    <w:widowControl w:val="0"/>
                    <w:bidi w:val="0"/>
                    <w:spacing w:line="320" w:lineRule="exact"/>
                    <w:ind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cs="Times New Roman"/>
                      <w:color w:val="000000"/>
                      <w:kern w:val="0"/>
                      <w:sz w:val="21"/>
                      <w:szCs w:val="24"/>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530" w:type="dxa"/>
                  <w:vMerge w:val="continue"/>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eastAsia" w:ascii="Times New Roman" w:hAnsi="Times New Roman" w:eastAsia="宋体" w:cs="Times New Roman"/>
                      <w:bCs/>
                      <w:color w:val="000000"/>
                      <w:kern w:val="0"/>
                      <w:sz w:val="21"/>
                      <w:szCs w:val="24"/>
                      <w:highlight w:val="none"/>
                      <w:lang w:val="en-US" w:eastAsia="zh-CN" w:bidi="ar-SA"/>
                    </w:rPr>
                  </w:pPr>
                </w:p>
              </w:tc>
              <w:tc>
                <w:tcPr>
                  <w:tcW w:w="1202" w:type="dxa"/>
                  <w:tcBorders>
                    <w:tl2br w:val="nil"/>
                    <w:tr2bl w:val="nil"/>
                  </w:tcBorders>
                  <w:noWrap w:val="0"/>
                  <w:vAlign w:val="center"/>
                </w:tcPr>
                <w:p>
                  <w:pPr>
                    <w:widowControl w:val="0"/>
                    <w:bidi w:val="0"/>
                    <w:spacing w:line="320" w:lineRule="exact"/>
                    <w:ind w:firstLine="0" w:firstLineChars="0"/>
                    <w:jc w:val="center"/>
                    <w:rPr>
                      <w:rFonts w:hint="default" w:cs="宋体"/>
                      <w:color w:val="auto"/>
                      <w:sz w:val="21"/>
                      <w:szCs w:val="21"/>
                      <w:highlight w:val="yellow"/>
                      <w:lang w:val="en-US" w:eastAsia="zh-CN" w:bidi="ar-SA"/>
                    </w:rPr>
                  </w:pPr>
                  <w:r>
                    <w:rPr>
                      <w:rFonts w:hint="eastAsia" w:cs="宋体"/>
                      <w:color w:val="auto"/>
                      <w:sz w:val="21"/>
                      <w:szCs w:val="21"/>
                      <w:highlight w:val="none"/>
                      <w:lang w:val="en-US" w:eastAsia="zh-CN" w:bidi="ar-SA"/>
                    </w:rPr>
                    <w:t>冷却水防渗吨箱</w:t>
                  </w:r>
                </w:p>
              </w:tc>
              <w:tc>
                <w:tcPr>
                  <w:tcW w:w="5745" w:type="dxa"/>
                  <w:tcBorders>
                    <w:tl2br w:val="nil"/>
                    <w:tr2bl w:val="nil"/>
                  </w:tcBorders>
                  <w:noWrap w:val="0"/>
                  <w:vAlign w:val="center"/>
                </w:tcPr>
                <w:p>
                  <w:pPr>
                    <w:widowControl w:val="0"/>
                    <w:bidi w:val="0"/>
                    <w:spacing w:line="320" w:lineRule="exact"/>
                    <w:ind w:firstLine="0" w:firstLineChars="0"/>
                    <w:jc w:val="center"/>
                    <w:rPr>
                      <w:rFonts w:hint="eastAsia" w:cs="宋体"/>
                      <w:color w:val="auto"/>
                      <w:sz w:val="21"/>
                      <w:szCs w:val="21"/>
                      <w:highlight w:val="none"/>
                      <w:lang w:val="en-US" w:eastAsia="zh-CN" w:bidi="ar-SA"/>
                    </w:rPr>
                  </w:pPr>
                  <w:r>
                    <w:rPr>
                      <w:rFonts w:hint="eastAsia" w:cs="宋体"/>
                      <w:color w:val="auto"/>
                      <w:sz w:val="21"/>
                      <w:szCs w:val="21"/>
                      <w:highlight w:val="none"/>
                      <w:lang w:val="en-US" w:eastAsia="zh-CN" w:bidi="ar-SA"/>
                    </w:rPr>
                    <w:t>12座，位于生产车间内，规格均为1m</w:t>
                  </w:r>
                  <w:r>
                    <w:rPr>
                      <w:rFonts w:hint="eastAsia" w:cs="宋体"/>
                      <w:color w:val="auto"/>
                      <w:sz w:val="21"/>
                      <w:szCs w:val="21"/>
                      <w:highlight w:val="none"/>
                      <w:vertAlign w:val="superscript"/>
                      <w:lang w:val="en-US" w:eastAsia="zh-CN" w:bidi="ar-SA"/>
                    </w:rPr>
                    <w:t>3</w:t>
                  </w:r>
                </w:p>
              </w:tc>
              <w:tc>
                <w:tcPr>
                  <w:tcW w:w="1027" w:type="dxa"/>
                  <w:tcBorders>
                    <w:tl2br w:val="nil"/>
                    <w:tr2bl w:val="nil"/>
                  </w:tcBorders>
                  <w:noWrap w:val="0"/>
                  <w:vAlign w:val="center"/>
                </w:tcPr>
                <w:p>
                  <w:pPr>
                    <w:widowControl w:val="0"/>
                    <w:bidi w:val="0"/>
                    <w:spacing w:line="320" w:lineRule="exact"/>
                    <w:ind w:firstLine="0" w:firstLineChars="0"/>
                    <w:jc w:val="center"/>
                    <w:rPr>
                      <w:rFonts w:hint="eastAsia" w:cs="Times New Roman"/>
                      <w:color w:val="000000"/>
                      <w:kern w:val="0"/>
                      <w:sz w:val="21"/>
                      <w:szCs w:val="24"/>
                      <w:highlight w:val="none"/>
                      <w:lang w:val="en-US" w:eastAsia="zh-CN" w:bidi="ar-SA"/>
                    </w:rPr>
                  </w:pPr>
                  <w:r>
                    <w:rPr>
                      <w:rFonts w:hint="eastAsia" w:cs="Times New Roman"/>
                      <w:color w:val="000000"/>
                      <w:kern w:val="0"/>
                      <w:sz w:val="21"/>
                      <w:szCs w:val="24"/>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30" w:type="dxa"/>
                  <w:vMerge w:val="restart"/>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000000"/>
                      <w:kern w:val="0"/>
                      <w:sz w:val="21"/>
                      <w:szCs w:val="24"/>
                      <w:highlight w:val="none"/>
                      <w:lang w:val="en-US" w:eastAsia="zh-CN" w:bidi="ar-SA"/>
                    </w:rPr>
                  </w:pPr>
                  <w:r>
                    <w:rPr>
                      <w:rFonts w:hint="default" w:ascii="Times New Roman" w:hAnsi="Times New Roman" w:eastAsia="宋体" w:cs="Times New Roman"/>
                      <w:bCs/>
                      <w:color w:val="000000"/>
                      <w:kern w:val="0"/>
                      <w:sz w:val="21"/>
                      <w:szCs w:val="24"/>
                      <w:highlight w:val="none"/>
                      <w:lang w:val="en-US" w:eastAsia="zh-CN" w:bidi="ar-SA"/>
                    </w:rPr>
                    <w:t>公用工程</w:t>
                  </w:r>
                </w:p>
              </w:tc>
              <w:tc>
                <w:tcPr>
                  <w:tcW w:w="1202"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default" w:ascii="Times New Roman" w:hAnsi="Times New Roman" w:eastAsia="宋体" w:cs="Times New Roman"/>
                      <w:color w:val="000000"/>
                      <w:kern w:val="0"/>
                      <w:sz w:val="21"/>
                      <w:szCs w:val="24"/>
                      <w:highlight w:val="none"/>
                      <w:lang w:val="en-US" w:eastAsia="zh-CN" w:bidi="ar-SA"/>
                    </w:rPr>
                    <w:t>供水系统</w:t>
                  </w:r>
                </w:p>
              </w:tc>
              <w:tc>
                <w:tcPr>
                  <w:tcW w:w="5745"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供水由</w:t>
                  </w:r>
                  <w:r>
                    <w:rPr>
                      <w:rFonts w:hint="eastAsia" w:cs="Times New Roman"/>
                      <w:color w:val="000000"/>
                      <w:kern w:val="0"/>
                      <w:sz w:val="21"/>
                      <w:szCs w:val="24"/>
                      <w:highlight w:val="none"/>
                      <w:lang w:val="en-US" w:eastAsia="zh-CN" w:bidi="ar-SA"/>
                    </w:rPr>
                    <w:t>园区</w:t>
                  </w:r>
                  <w:r>
                    <w:rPr>
                      <w:rFonts w:hint="eastAsia" w:ascii="Times New Roman" w:hAnsi="Times New Roman" w:eastAsia="宋体" w:cs="Times New Roman"/>
                      <w:color w:val="000000"/>
                      <w:kern w:val="0"/>
                      <w:sz w:val="21"/>
                      <w:szCs w:val="24"/>
                      <w:highlight w:val="none"/>
                      <w:lang w:val="en-US" w:eastAsia="zh-CN" w:bidi="ar-SA"/>
                    </w:rPr>
                    <w:t>供水管网提供</w:t>
                  </w:r>
                </w:p>
              </w:tc>
              <w:tc>
                <w:tcPr>
                  <w:tcW w:w="1027"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宋体"/>
                      <w:sz w:val="21"/>
                      <w:szCs w:val="21"/>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5" w:hRule="atLeast"/>
                <w:jc w:val="center"/>
              </w:trPr>
              <w:tc>
                <w:tcPr>
                  <w:tcW w:w="530" w:type="dxa"/>
                  <w:vMerge w:val="continue"/>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000000"/>
                      <w:kern w:val="0"/>
                      <w:sz w:val="21"/>
                      <w:szCs w:val="24"/>
                      <w:highlight w:val="none"/>
                      <w:lang w:val="en-US" w:eastAsia="zh-CN" w:bidi="ar-SA"/>
                    </w:rPr>
                  </w:pPr>
                </w:p>
              </w:tc>
              <w:tc>
                <w:tcPr>
                  <w:tcW w:w="1202" w:type="dxa"/>
                  <w:vMerge w:val="restart"/>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default" w:ascii="Times New Roman" w:hAnsi="Times New Roman" w:eastAsia="宋体" w:cs="Times New Roman"/>
                      <w:color w:val="000000"/>
                      <w:kern w:val="0"/>
                      <w:sz w:val="21"/>
                      <w:szCs w:val="24"/>
                      <w:highlight w:val="none"/>
                      <w:lang w:val="en-US" w:eastAsia="zh-CN" w:bidi="ar-SA"/>
                    </w:rPr>
                    <w:t>排水系统</w:t>
                  </w:r>
                </w:p>
              </w:tc>
              <w:tc>
                <w:tcPr>
                  <w:tcW w:w="5745"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default" w:ascii="Times New Roman" w:hAnsi="Times New Roman" w:eastAsia="宋体" w:cs="Times New Roman"/>
                      <w:color w:val="000000"/>
                      <w:kern w:val="0"/>
                      <w:sz w:val="21"/>
                      <w:szCs w:val="24"/>
                      <w:highlight w:val="none"/>
                      <w:vertAlign w:val="baseline"/>
                      <w:lang w:val="en-US" w:eastAsia="zh-CN" w:bidi="ar-SA"/>
                    </w:rPr>
                    <w:t>生活污水经</w:t>
                  </w:r>
                  <w:r>
                    <w:rPr>
                      <w:rFonts w:hint="eastAsia" w:cs="Times New Roman"/>
                      <w:color w:val="000000"/>
                      <w:kern w:val="0"/>
                      <w:sz w:val="21"/>
                      <w:szCs w:val="24"/>
                      <w:highlight w:val="none"/>
                      <w:vertAlign w:val="baseline"/>
                      <w:lang w:val="en-US" w:eastAsia="zh-CN" w:bidi="ar-SA"/>
                    </w:rPr>
                    <w:t>排入园区管网</w:t>
                  </w:r>
                </w:p>
              </w:tc>
              <w:tc>
                <w:tcPr>
                  <w:tcW w:w="1027"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4"/>
                      <w:highlight w:val="none"/>
                      <w:lang w:val="en-US" w:eastAsia="zh-CN" w:bidi="ar-SA"/>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530"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pPr>
                </w:p>
              </w:tc>
              <w:tc>
                <w:tcPr>
                  <w:tcW w:w="1202"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pPr>
                </w:p>
              </w:tc>
              <w:tc>
                <w:tcPr>
                  <w:tcW w:w="5745"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default" w:ascii="Times New Roman" w:hAnsi="Times New Roman" w:eastAsia="宋体" w:cs="Times New Roman"/>
                      <w:color w:val="000000"/>
                      <w:kern w:val="0"/>
                      <w:sz w:val="21"/>
                      <w:szCs w:val="24"/>
                      <w:highlight w:val="none"/>
                      <w:lang w:val="en-US" w:eastAsia="zh-CN" w:bidi="ar-SA"/>
                    </w:rPr>
                    <w:t>生产废水冷却水循环使用，不外排</w:t>
                  </w:r>
                </w:p>
              </w:tc>
              <w:tc>
                <w:tcPr>
                  <w:tcW w:w="1027" w:type="dxa"/>
                  <w:tcBorders>
                    <w:tl2br w:val="nil"/>
                    <w:tr2bl w:val="nil"/>
                  </w:tcBorders>
                  <w:noWrap w:val="0"/>
                  <w:vAlign w:val="center"/>
                </w:tcPr>
                <w:p>
                  <w:pPr>
                    <w:widowControl w:val="0"/>
                    <w:bidi w:val="0"/>
                    <w:spacing w:line="320" w:lineRule="exact"/>
                    <w:ind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cs="Times New Roman"/>
                      <w:color w:val="000000"/>
                      <w:kern w:val="0"/>
                      <w:sz w:val="21"/>
                      <w:szCs w:val="24"/>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30" w:type="dxa"/>
                  <w:vMerge w:val="continue"/>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000000"/>
                      <w:kern w:val="0"/>
                      <w:sz w:val="21"/>
                      <w:szCs w:val="24"/>
                      <w:highlight w:val="none"/>
                      <w:lang w:val="en-US" w:eastAsia="zh-CN" w:bidi="ar-SA"/>
                    </w:rPr>
                  </w:pPr>
                </w:p>
              </w:tc>
              <w:tc>
                <w:tcPr>
                  <w:tcW w:w="1202"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default" w:ascii="Times New Roman" w:hAnsi="Times New Roman" w:eastAsia="宋体" w:cs="Times New Roman"/>
                      <w:color w:val="000000"/>
                      <w:kern w:val="0"/>
                      <w:sz w:val="21"/>
                      <w:szCs w:val="24"/>
                      <w:highlight w:val="none"/>
                      <w:lang w:val="en-US" w:eastAsia="zh-CN" w:bidi="ar-SA"/>
                    </w:rPr>
                    <w:t>供电系统</w:t>
                  </w:r>
                </w:p>
              </w:tc>
              <w:tc>
                <w:tcPr>
                  <w:tcW w:w="5745"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由</w:t>
                  </w:r>
                  <w:r>
                    <w:rPr>
                      <w:rFonts w:hint="eastAsia" w:cs="Times New Roman"/>
                      <w:color w:val="000000"/>
                      <w:kern w:val="0"/>
                      <w:sz w:val="21"/>
                      <w:szCs w:val="24"/>
                      <w:highlight w:val="none"/>
                      <w:lang w:val="en-US" w:eastAsia="zh-CN" w:bidi="ar-SA"/>
                    </w:rPr>
                    <w:t>园区</w:t>
                  </w:r>
                  <w:r>
                    <w:rPr>
                      <w:rFonts w:hint="default" w:ascii="Times New Roman" w:hAnsi="Times New Roman" w:eastAsia="宋体" w:cs="Times New Roman"/>
                      <w:color w:val="000000"/>
                      <w:sz w:val="21"/>
                      <w:szCs w:val="21"/>
                      <w:highlight w:val="none"/>
                    </w:rPr>
                    <w:t>电力管网供给</w:t>
                  </w:r>
                </w:p>
              </w:tc>
              <w:tc>
                <w:tcPr>
                  <w:tcW w:w="1027"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firstLine="0" w:firstLineChars="0"/>
                    <w:jc w:val="center"/>
                    <w:textAlignment w:val="auto"/>
                    <w:rPr>
                      <w:rFonts w:hint="default" w:ascii="Times New Roman" w:hAnsi="Times New Roman" w:eastAsia="宋体" w:cs="Times New Roman"/>
                      <w:color w:val="000000"/>
                      <w:sz w:val="21"/>
                      <w:szCs w:val="21"/>
                      <w:highlight w:val="none"/>
                    </w:rPr>
                  </w:pPr>
                  <w:r>
                    <w:rPr>
                      <w:rFonts w:hint="eastAsia" w:ascii="Times New Roman" w:hAnsi="Times New Roman" w:eastAsia="宋体" w:cs="宋体"/>
                      <w:sz w:val="21"/>
                      <w:szCs w:val="21"/>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30" w:type="dxa"/>
                  <w:vMerge w:val="continue"/>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000000"/>
                      <w:kern w:val="0"/>
                      <w:sz w:val="21"/>
                      <w:szCs w:val="24"/>
                      <w:highlight w:val="none"/>
                      <w:lang w:val="en-US" w:eastAsia="zh-CN" w:bidi="ar-SA"/>
                    </w:rPr>
                  </w:pPr>
                </w:p>
              </w:tc>
              <w:tc>
                <w:tcPr>
                  <w:tcW w:w="1202"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default" w:ascii="Times New Roman" w:hAnsi="Times New Roman" w:eastAsia="宋体" w:cs="Times New Roman"/>
                      <w:color w:val="000000"/>
                      <w:kern w:val="0"/>
                      <w:sz w:val="21"/>
                      <w:szCs w:val="24"/>
                      <w:highlight w:val="none"/>
                      <w:lang w:val="en-US" w:eastAsia="zh-CN" w:bidi="ar-SA"/>
                    </w:rPr>
                    <w:t>供热系统</w:t>
                  </w:r>
                </w:p>
              </w:tc>
              <w:tc>
                <w:tcPr>
                  <w:tcW w:w="5745"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生活供热为电采暖设备供热</w:t>
                  </w:r>
                </w:p>
              </w:tc>
              <w:tc>
                <w:tcPr>
                  <w:tcW w:w="1027" w:type="dxa"/>
                  <w:tcBorders>
                    <w:tl2br w:val="nil"/>
                    <w:tr2bl w:val="nil"/>
                  </w:tcBorders>
                  <w:noWrap w:val="0"/>
                  <w:vAlign w:val="center"/>
                </w:tcPr>
                <w:p>
                  <w:pPr>
                    <w:widowControl w:val="0"/>
                    <w:bidi w:val="0"/>
                    <w:spacing w:line="320" w:lineRule="exact"/>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30" w:type="dxa"/>
                  <w:vMerge w:val="restart"/>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000000"/>
                      <w:kern w:val="0"/>
                      <w:sz w:val="21"/>
                      <w:szCs w:val="24"/>
                      <w:highlight w:val="none"/>
                      <w:lang w:val="en-US" w:eastAsia="zh-CN" w:bidi="ar-SA"/>
                    </w:rPr>
                  </w:pPr>
                  <w:r>
                    <w:rPr>
                      <w:rFonts w:hint="default" w:ascii="Times New Roman" w:hAnsi="Times New Roman" w:eastAsia="宋体" w:cs="Times New Roman"/>
                      <w:bCs/>
                      <w:color w:val="000000"/>
                      <w:kern w:val="0"/>
                      <w:sz w:val="21"/>
                      <w:szCs w:val="24"/>
                      <w:highlight w:val="none"/>
                      <w:lang w:val="en-US" w:eastAsia="zh-CN" w:bidi="ar-SA"/>
                    </w:rPr>
                    <w:t>环保工程</w:t>
                  </w:r>
                </w:p>
              </w:tc>
              <w:tc>
                <w:tcPr>
                  <w:tcW w:w="1202"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yellow"/>
                      <w:lang w:val="en-US" w:eastAsia="zh-CN" w:bidi="ar-SA"/>
                    </w:rPr>
                  </w:pPr>
                  <w:r>
                    <w:rPr>
                      <w:rFonts w:hint="default" w:ascii="Times New Roman" w:hAnsi="Times New Roman" w:eastAsia="宋体" w:cs="Times New Roman"/>
                      <w:color w:val="000000"/>
                      <w:kern w:val="0"/>
                      <w:sz w:val="21"/>
                      <w:szCs w:val="24"/>
                      <w:highlight w:val="none"/>
                      <w:lang w:val="en-US" w:eastAsia="zh-CN" w:bidi="ar-SA"/>
                    </w:rPr>
                    <w:t>废气治理</w:t>
                  </w:r>
                </w:p>
              </w:tc>
              <w:tc>
                <w:tcPr>
                  <w:tcW w:w="5745"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yellow"/>
                      <w:lang w:val="en-US" w:eastAsia="zh-CN" w:bidi="ar-SA"/>
                    </w:rPr>
                  </w:pPr>
                  <w:r>
                    <w:rPr>
                      <w:rFonts w:hint="eastAsia" w:cs="Times New Roman"/>
                      <w:color w:val="000000"/>
                      <w:kern w:val="0"/>
                      <w:sz w:val="21"/>
                      <w:szCs w:val="24"/>
                      <w:highlight w:val="none"/>
                      <w:lang w:val="en-US" w:eastAsia="zh-CN" w:bidi="ar-SA"/>
                    </w:rPr>
                    <w:t>拉丝、挤塑、紫外光交联、挤护外套、喷码工段非甲烷总烃、臭气浓度以及挤塑、挤护外套工段氯化氢分别设置集气罩收集后，共同由一套水洗填料塔+活性炭吸附+脱附+催化燃烧装置+20m排气筒处理；少量无组织非甲烷总烃、臭气浓度、氯化氢加强封闭式作业控制、颗粒物设置移动式焊烟净化器控制</w:t>
                  </w:r>
                </w:p>
              </w:tc>
              <w:tc>
                <w:tcPr>
                  <w:tcW w:w="1027" w:type="dxa"/>
                  <w:tcBorders>
                    <w:tl2br w:val="nil"/>
                    <w:tr2bl w:val="nil"/>
                  </w:tcBorders>
                  <w:noWrap w:val="0"/>
                  <w:vAlign w:val="center"/>
                </w:tcPr>
                <w:p>
                  <w:pPr>
                    <w:widowControl w:val="0"/>
                    <w:bidi w:val="0"/>
                    <w:spacing w:line="320" w:lineRule="exact"/>
                    <w:ind w:firstLine="0" w:firstLineChars="0"/>
                    <w:jc w:val="center"/>
                    <w:rPr>
                      <w:rFonts w:hint="eastAsia" w:ascii="Times New Roman" w:hAnsi="Times New Roman" w:eastAsia="宋体" w:cs="Times New Roman"/>
                      <w:color w:val="auto"/>
                      <w:kern w:val="0"/>
                      <w:sz w:val="21"/>
                      <w:szCs w:val="24"/>
                      <w:highlight w:val="yellow"/>
                      <w:lang w:val="en-US" w:eastAsia="zh-CN" w:bidi="ar-SA"/>
                    </w:rPr>
                  </w:pPr>
                  <w:r>
                    <w:rPr>
                      <w:rFonts w:hint="eastAsia" w:cs="宋体"/>
                      <w:color w:val="auto"/>
                      <w:sz w:val="21"/>
                      <w:szCs w:val="21"/>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530" w:type="dxa"/>
                  <w:vMerge w:val="continue"/>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p>
              </w:tc>
              <w:tc>
                <w:tcPr>
                  <w:tcW w:w="1202" w:type="dxa"/>
                  <w:vMerge w:val="restart"/>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default" w:ascii="Times New Roman" w:hAnsi="Times New Roman" w:eastAsia="宋体" w:cs="Times New Roman"/>
                      <w:color w:val="000000"/>
                      <w:kern w:val="0"/>
                      <w:sz w:val="21"/>
                      <w:szCs w:val="24"/>
                      <w:highlight w:val="none"/>
                      <w:lang w:val="en-US" w:eastAsia="zh-CN" w:bidi="ar-SA"/>
                    </w:rPr>
                    <w:t>废水治理</w:t>
                  </w:r>
                </w:p>
              </w:tc>
              <w:tc>
                <w:tcPr>
                  <w:tcW w:w="5745"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vertAlign w:val="baseline"/>
                      <w:lang w:val="en-US" w:eastAsia="zh-CN" w:bidi="ar-SA"/>
                    </w:rPr>
                  </w:pPr>
                  <w:r>
                    <w:rPr>
                      <w:rFonts w:hint="default" w:ascii="Times New Roman" w:hAnsi="Times New Roman" w:eastAsia="宋体" w:cs="Times New Roman"/>
                      <w:color w:val="000000"/>
                      <w:kern w:val="0"/>
                      <w:sz w:val="21"/>
                      <w:szCs w:val="24"/>
                      <w:highlight w:val="none"/>
                      <w:vertAlign w:val="baseline"/>
                      <w:lang w:val="en-US" w:eastAsia="zh-CN" w:bidi="ar-SA"/>
                    </w:rPr>
                    <w:t>生活污水经</w:t>
                  </w:r>
                  <w:r>
                    <w:rPr>
                      <w:rFonts w:hint="eastAsia" w:cs="Times New Roman"/>
                      <w:color w:val="000000"/>
                      <w:kern w:val="0"/>
                      <w:sz w:val="21"/>
                      <w:szCs w:val="24"/>
                      <w:highlight w:val="none"/>
                      <w:vertAlign w:val="baseline"/>
                      <w:lang w:val="en-US" w:eastAsia="zh-CN" w:bidi="ar-SA"/>
                    </w:rPr>
                    <w:t>排入园区管网</w:t>
                  </w:r>
                </w:p>
              </w:tc>
              <w:tc>
                <w:tcPr>
                  <w:tcW w:w="1027"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cs="Times New Roman"/>
                      <w:color w:val="000000"/>
                      <w:kern w:val="0"/>
                      <w:sz w:val="21"/>
                      <w:szCs w:val="24"/>
                      <w:highlight w:val="none"/>
                      <w:lang w:val="en-US" w:eastAsia="zh-CN" w:bidi="ar-SA"/>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530"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pPr>
                </w:p>
              </w:tc>
              <w:tc>
                <w:tcPr>
                  <w:tcW w:w="1202"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pPr>
                </w:p>
              </w:tc>
              <w:tc>
                <w:tcPr>
                  <w:tcW w:w="5745"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default" w:ascii="Times New Roman" w:hAnsi="Times New Roman" w:eastAsia="宋体" w:cs="Times New Roman"/>
                      <w:color w:val="000000"/>
                      <w:kern w:val="0"/>
                      <w:sz w:val="21"/>
                      <w:szCs w:val="24"/>
                      <w:highlight w:val="none"/>
                      <w:lang w:val="en-US" w:eastAsia="zh-CN" w:bidi="ar-SA"/>
                    </w:rPr>
                    <w:t>生产废水冷却水循环使用，不外排</w:t>
                  </w:r>
                </w:p>
              </w:tc>
              <w:tc>
                <w:tcPr>
                  <w:tcW w:w="1027" w:type="dxa"/>
                  <w:tcBorders>
                    <w:tl2br w:val="nil"/>
                    <w:tr2bl w:val="nil"/>
                  </w:tcBorders>
                  <w:noWrap w:val="0"/>
                  <w:vAlign w:val="center"/>
                </w:tcPr>
                <w:p>
                  <w:pPr>
                    <w:widowControl w:val="0"/>
                    <w:bidi w:val="0"/>
                    <w:spacing w:line="320" w:lineRule="exact"/>
                    <w:ind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cs="宋体"/>
                      <w:color w:val="auto"/>
                      <w:sz w:val="21"/>
                      <w:szCs w:val="21"/>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30" w:type="dxa"/>
                  <w:vMerge w:val="continue"/>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p>
              </w:tc>
              <w:tc>
                <w:tcPr>
                  <w:tcW w:w="1202"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default" w:ascii="Times New Roman" w:hAnsi="Times New Roman" w:eastAsia="宋体" w:cs="Times New Roman"/>
                      <w:color w:val="000000"/>
                      <w:kern w:val="0"/>
                      <w:sz w:val="21"/>
                      <w:szCs w:val="24"/>
                      <w:highlight w:val="none"/>
                      <w:lang w:val="en-US" w:eastAsia="zh-CN" w:bidi="ar-SA"/>
                    </w:rPr>
                    <w:t>固废治理</w:t>
                  </w:r>
                </w:p>
              </w:tc>
              <w:tc>
                <w:tcPr>
                  <w:tcW w:w="5745"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一般工业废物全部合理处置，生活垃圾</w:t>
                  </w:r>
                  <w:r>
                    <w:rPr>
                      <w:rFonts w:hint="eastAsia" w:ascii="Times New Roman" w:hAnsi="Times New Roman" w:eastAsia="宋体" w:cs="Times New Roman"/>
                      <w:color w:val="auto"/>
                      <w:kern w:val="0"/>
                      <w:sz w:val="21"/>
                      <w:szCs w:val="24"/>
                      <w:highlight w:val="none"/>
                      <w:lang w:val="en-US" w:eastAsia="zh-CN" w:bidi="ar-SA"/>
                    </w:rPr>
                    <w:t>集中收集后委托环卫部门定期清运，危险废物暂存于</w:t>
                  </w:r>
                  <w:r>
                    <w:rPr>
                      <w:rFonts w:hint="eastAsia" w:cs="Times New Roman"/>
                      <w:color w:val="auto"/>
                      <w:kern w:val="0"/>
                      <w:sz w:val="21"/>
                      <w:szCs w:val="24"/>
                      <w:highlight w:val="none"/>
                      <w:lang w:val="en-US" w:eastAsia="zh-CN" w:bidi="ar-SA"/>
                    </w:rPr>
                    <w:t>40</w:t>
                  </w:r>
                  <w:r>
                    <w:rPr>
                      <w:rFonts w:hint="eastAsia" w:ascii="Times New Roman" w:hAnsi="Times New Roman" w:eastAsia="宋体" w:cs="Times New Roman"/>
                      <w:color w:val="auto"/>
                      <w:kern w:val="0"/>
                      <w:sz w:val="21"/>
                      <w:szCs w:val="24"/>
                      <w:highlight w:val="none"/>
                      <w:lang w:val="en-US" w:eastAsia="zh-CN" w:bidi="ar-SA"/>
                    </w:rPr>
                    <w:t>m</w:t>
                  </w:r>
                  <w:r>
                    <w:rPr>
                      <w:rFonts w:hint="eastAsia" w:ascii="Times New Roman" w:hAnsi="Times New Roman" w:eastAsia="宋体" w:cs="Times New Roman"/>
                      <w:color w:val="auto"/>
                      <w:kern w:val="0"/>
                      <w:sz w:val="21"/>
                      <w:szCs w:val="24"/>
                      <w:highlight w:val="none"/>
                      <w:vertAlign w:val="superscript"/>
                      <w:lang w:val="en-US" w:eastAsia="zh-CN" w:bidi="ar-SA"/>
                    </w:rPr>
                    <w:t>2</w:t>
                  </w:r>
                  <w:r>
                    <w:rPr>
                      <w:rFonts w:hint="eastAsia" w:ascii="Times New Roman" w:hAnsi="Times New Roman" w:eastAsia="宋体" w:cs="Times New Roman"/>
                      <w:color w:val="auto"/>
                      <w:kern w:val="0"/>
                      <w:sz w:val="21"/>
                      <w:szCs w:val="24"/>
                      <w:highlight w:val="none"/>
                      <w:lang w:val="en-US" w:eastAsia="zh-CN" w:bidi="ar-SA"/>
                    </w:rPr>
                    <w:t>危废暂存间委托有资质单位处置</w:t>
                  </w:r>
                </w:p>
              </w:tc>
              <w:tc>
                <w:tcPr>
                  <w:tcW w:w="1027"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宋体"/>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30" w:type="dxa"/>
                  <w:vMerge w:val="continue"/>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p>
              </w:tc>
              <w:tc>
                <w:tcPr>
                  <w:tcW w:w="1202"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default" w:ascii="Times New Roman" w:hAnsi="Times New Roman" w:eastAsia="宋体" w:cs="Times New Roman"/>
                      <w:color w:val="000000"/>
                      <w:kern w:val="0"/>
                      <w:sz w:val="21"/>
                      <w:szCs w:val="24"/>
                      <w:highlight w:val="none"/>
                      <w:lang w:val="en-US" w:eastAsia="zh-CN" w:bidi="ar-SA"/>
                    </w:rPr>
                    <w:t>噪声治理</w:t>
                  </w:r>
                </w:p>
              </w:tc>
              <w:tc>
                <w:tcPr>
                  <w:tcW w:w="5745" w:type="dxa"/>
                  <w:tcBorders>
                    <w:tl2br w:val="nil"/>
                    <w:tr2bl w:val="nil"/>
                  </w:tcBorders>
                  <w:noWrap w:val="0"/>
                  <w:vAlign w:val="center"/>
                </w:tcPr>
                <w:p>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采取隔声</w:t>
                  </w:r>
                  <w:r>
                    <w:rPr>
                      <w:rFonts w:hint="eastAsia" w:ascii="Times New Roman" w:hAnsi="Times New Roman" w:eastAsia="宋体" w:cs="Times New Roman"/>
                      <w:color w:val="auto"/>
                      <w:kern w:val="0"/>
                      <w:sz w:val="21"/>
                      <w:szCs w:val="24"/>
                      <w:highlight w:val="none"/>
                      <w:lang w:val="en-US" w:eastAsia="zh-CN" w:bidi="ar-SA"/>
                    </w:rPr>
                    <w:t>、</w:t>
                  </w:r>
                  <w:r>
                    <w:rPr>
                      <w:rFonts w:hint="default" w:ascii="Times New Roman" w:hAnsi="Times New Roman" w:eastAsia="宋体" w:cs="Times New Roman"/>
                      <w:color w:val="auto"/>
                      <w:kern w:val="0"/>
                      <w:sz w:val="21"/>
                      <w:szCs w:val="24"/>
                      <w:highlight w:val="none"/>
                      <w:lang w:val="en-US" w:eastAsia="zh-CN" w:bidi="ar-SA"/>
                    </w:rPr>
                    <w:t>减振等措施</w:t>
                  </w:r>
                </w:p>
              </w:tc>
              <w:tc>
                <w:tcPr>
                  <w:tcW w:w="1027"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宋体"/>
                      <w:color w:val="auto"/>
                      <w:sz w:val="21"/>
                      <w:szCs w:val="21"/>
                      <w:lang w:val="en-US" w:eastAsia="zh-CN" w:bidi="ar-SA"/>
                    </w:rPr>
                    <w:t>新建</w:t>
                  </w:r>
                </w:p>
              </w:tc>
            </w:tr>
          </w:tbl>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left"/>
              <w:textAlignment w:val="auto"/>
              <w:outlineLvl w:val="1"/>
              <w:rPr>
                <w:rFonts w:hint="default"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2.3原辅材料、产品方案及生产设备</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宋体"/>
              </w:rPr>
            </w:pPr>
            <w:r>
              <w:rPr>
                <w:rFonts w:hint="eastAsia" w:ascii="Times New Roman" w:hAnsi="Times New Roman" w:eastAsia="宋体" w:cs="宋体"/>
                <w:lang w:eastAsia="zh-CN"/>
              </w:rPr>
              <w:t>（</w:t>
            </w:r>
            <w:r>
              <w:rPr>
                <w:rFonts w:hint="eastAsia" w:ascii="Times New Roman" w:hAnsi="Times New Roman" w:eastAsia="宋体" w:cs="宋体"/>
                <w:lang w:val="en-US" w:eastAsia="zh-CN"/>
              </w:rPr>
              <w:t>1</w:t>
            </w:r>
            <w:r>
              <w:rPr>
                <w:rFonts w:hint="eastAsia" w:ascii="Times New Roman" w:hAnsi="Times New Roman" w:eastAsia="宋体" w:cs="宋体"/>
                <w:lang w:eastAsia="zh-CN"/>
              </w:rPr>
              <w:t>）</w:t>
            </w:r>
            <w:r>
              <w:rPr>
                <w:rFonts w:hint="default" w:ascii="Times New Roman" w:hAnsi="Times New Roman" w:eastAsia="宋体" w:cs="宋体"/>
              </w:rPr>
              <w:t>原辅材料</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宋体"/>
                <w:lang w:val="en-US" w:eastAsia="zh-CN"/>
              </w:rPr>
            </w:pPr>
            <w:r>
              <w:rPr>
                <w:rFonts w:hint="eastAsia" w:ascii="Times New Roman" w:hAnsi="Times New Roman" w:eastAsia="宋体" w:cs="宋体"/>
                <w:lang w:val="en-US" w:eastAsia="zh-CN"/>
              </w:rPr>
              <w:t>本项目所需原辅材料名称及用量见表2.3</w:t>
            </w:r>
            <w:r>
              <w:rPr>
                <w:rFonts w:hint="default" w:ascii="Times New Roman" w:hAnsi="Times New Roman" w:eastAsia="宋体" w:cs="宋体"/>
                <w:lang w:val="en-US" w:eastAsia="zh-CN"/>
              </w:rPr>
              <w:t>-1。</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2" w:firstLineChars="200"/>
              <w:jc w:val="center"/>
              <w:textAlignment w:val="auto"/>
              <w:rPr>
                <w:rFonts w:hint="default" w:ascii="Times New Roman" w:hAnsi="Times New Roman" w:eastAsia="宋体" w:cs="Times New Roman"/>
                <w:b/>
                <w:color w:val="000000"/>
                <w:sz w:val="24"/>
                <w:szCs w:val="24"/>
                <w:lang w:val="en-US" w:eastAsia="zh-CN" w:bidi="ar-SA"/>
              </w:rPr>
            </w:pPr>
            <w:r>
              <w:rPr>
                <w:rFonts w:hint="default" w:ascii="Times New Roman" w:hAnsi="Times New Roman" w:eastAsia="宋体" w:cs="Times New Roman"/>
                <w:b/>
                <w:color w:val="000000"/>
                <w:sz w:val="24"/>
                <w:szCs w:val="24"/>
                <w:lang w:val="en-US" w:eastAsia="zh-CN" w:bidi="ar-SA"/>
              </w:rPr>
              <w:t>表2.3-1</w:t>
            </w:r>
            <w:r>
              <w:rPr>
                <w:rFonts w:hint="eastAsia" w:ascii="Times New Roman" w:hAnsi="Times New Roman" w:eastAsia="宋体" w:cs="Times New Roman"/>
                <w:b/>
                <w:color w:val="000000"/>
                <w:sz w:val="24"/>
                <w:szCs w:val="24"/>
                <w:lang w:val="en-US" w:eastAsia="zh-CN" w:bidi="ar-SA"/>
              </w:rPr>
              <w:t>本项目所需</w:t>
            </w:r>
            <w:r>
              <w:rPr>
                <w:rFonts w:hint="default" w:ascii="Times New Roman" w:hAnsi="Times New Roman" w:eastAsia="宋体" w:cs="Times New Roman"/>
                <w:b/>
                <w:color w:val="000000"/>
                <w:sz w:val="24"/>
                <w:szCs w:val="24"/>
                <w:lang w:val="en-US" w:eastAsia="zh-CN" w:bidi="ar-SA"/>
              </w:rPr>
              <w:t>原辅材料名称及用量一览表</w:t>
            </w:r>
          </w:p>
          <w:tbl>
            <w:tblPr>
              <w:tblStyle w:val="1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20"/>
              <w:gridCol w:w="1649"/>
              <w:gridCol w:w="1185"/>
              <w:gridCol w:w="1432"/>
              <w:gridCol w:w="361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序号</w:t>
                  </w:r>
                </w:p>
              </w:tc>
              <w:tc>
                <w:tcPr>
                  <w:tcW w:w="164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名称</w:t>
                  </w:r>
                </w:p>
              </w:tc>
              <w:tc>
                <w:tcPr>
                  <w:tcW w:w="1185"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单位</w:t>
                  </w:r>
                </w:p>
              </w:tc>
              <w:tc>
                <w:tcPr>
                  <w:tcW w:w="143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eastAsia" w:ascii="Times New Roman" w:hAnsi="Times New Roman" w:eastAsia="宋体" w:cs="Times New Roman"/>
                      <w:color w:val="auto"/>
                      <w:sz w:val="21"/>
                      <w:szCs w:val="21"/>
                      <w:lang w:val="en-US" w:eastAsia="zh-CN" w:bidi="ar-SA"/>
                    </w:rPr>
                    <w:t>本项目</w:t>
                  </w:r>
                  <w:r>
                    <w:rPr>
                      <w:rFonts w:hint="default" w:ascii="Times New Roman" w:hAnsi="Times New Roman" w:eastAsia="宋体" w:cs="Times New Roman"/>
                      <w:color w:val="auto"/>
                      <w:sz w:val="21"/>
                      <w:szCs w:val="21"/>
                      <w:lang w:val="zh-CN" w:eastAsia="zh-CN" w:bidi="ar-SA"/>
                    </w:rPr>
                    <w:t>用量</w:t>
                  </w:r>
                </w:p>
              </w:tc>
              <w:tc>
                <w:tcPr>
                  <w:tcW w:w="3618"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一</w:t>
                  </w:r>
                </w:p>
              </w:tc>
              <w:tc>
                <w:tcPr>
                  <w:tcW w:w="7884" w:type="dxa"/>
                  <w:gridSpan w:val="4"/>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原辅料消耗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1</w:t>
                  </w:r>
                </w:p>
              </w:tc>
              <w:tc>
                <w:tcPr>
                  <w:tcW w:w="1649"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铜丝</w:t>
                  </w:r>
                </w:p>
              </w:tc>
              <w:tc>
                <w:tcPr>
                  <w:tcW w:w="1185"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吨/年</w:t>
                  </w:r>
                </w:p>
              </w:tc>
              <w:tc>
                <w:tcPr>
                  <w:tcW w:w="1432"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Times New Roman"/>
                      <w:color w:val="auto"/>
                      <w:sz w:val="21"/>
                      <w:szCs w:val="21"/>
                      <w:lang w:val="en-US" w:eastAsia="zh-CN" w:bidi="ar-SA"/>
                    </w:rPr>
                  </w:pPr>
                  <w:r>
                    <w:rPr>
                      <w:rFonts w:hint="eastAsia" w:cs="宋体"/>
                      <w:color w:val="auto"/>
                      <w:sz w:val="21"/>
                      <w:szCs w:val="24"/>
                      <w:highlight w:val="none"/>
                      <w:lang w:val="en-US" w:eastAsia="zh-CN"/>
                    </w:rPr>
                    <w:t>680</w:t>
                  </w:r>
                </w:p>
              </w:tc>
              <w:tc>
                <w:tcPr>
                  <w:tcW w:w="3618"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宋体"/>
                      <w:color w:val="auto"/>
                      <w:sz w:val="21"/>
                      <w:szCs w:val="24"/>
                      <w:lang w:val="en-US" w:eastAsia="zh-CN"/>
                    </w:rPr>
                    <w:t>车间内原料堆放区暂存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2</w:t>
                  </w:r>
                </w:p>
              </w:tc>
              <w:tc>
                <w:tcPr>
                  <w:tcW w:w="1649"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铝丝</w:t>
                  </w:r>
                </w:p>
              </w:tc>
              <w:tc>
                <w:tcPr>
                  <w:tcW w:w="1185"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吨/年</w:t>
                  </w:r>
                </w:p>
              </w:tc>
              <w:tc>
                <w:tcPr>
                  <w:tcW w:w="1432"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Times New Roman"/>
                      <w:color w:val="auto"/>
                      <w:sz w:val="21"/>
                      <w:szCs w:val="21"/>
                      <w:lang w:val="en-US" w:eastAsia="zh-CN" w:bidi="ar-SA"/>
                    </w:rPr>
                  </w:pPr>
                  <w:r>
                    <w:rPr>
                      <w:rFonts w:hint="eastAsia" w:cs="宋体"/>
                      <w:color w:val="auto"/>
                      <w:sz w:val="21"/>
                      <w:szCs w:val="24"/>
                      <w:highlight w:val="none"/>
                      <w:lang w:val="en-US" w:eastAsia="zh-CN"/>
                    </w:rPr>
                    <w:t>230</w:t>
                  </w:r>
                </w:p>
              </w:tc>
              <w:tc>
                <w:tcPr>
                  <w:tcW w:w="3618"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宋体"/>
                      <w:color w:val="auto"/>
                      <w:sz w:val="21"/>
                      <w:szCs w:val="24"/>
                      <w:lang w:val="en-US" w:eastAsia="zh-CN"/>
                    </w:rPr>
                    <w:t>车间内原料堆放区暂存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eastAsia" w:ascii="Times New Roman" w:hAnsi="Times New Roman" w:eastAsia="宋体" w:cs="Times New Roman"/>
                      <w:color w:val="auto"/>
                      <w:sz w:val="21"/>
                      <w:szCs w:val="21"/>
                      <w:lang w:val="en-US" w:eastAsia="zh-CN" w:bidi="ar-SA"/>
                    </w:rPr>
                    <w:t>3</w:t>
                  </w:r>
                </w:p>
              </w:tc>
              <w:tc>
                <w:tcPr>
                  <w:tcW w:w="1649"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聚氯乙烯</w:t>
                  </w:r>
                </w:p>
              </w:tc>
              <w:tc>
                <w:tcPr>
                  <w:tcW w:w="1185"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吨/年</w:t>
                  </w:r>
                </w:p>
              </w:tc>
              <w:tc>
                <w:tcPr>
                  <w:tcW w:w="1432"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Times New Roman"/>
                      <w:color w:val="auto"/>
                      <w:sz w:val="21"/>
                      <w:szCs w:val="21"/>
                      <w:lang w:val="en-US" w:eastAsia="zh-CN" w:bidi="ar-SA"/>
                    </w:rPr>
                  </w:pPr>
                  <w:r>
                    <w:rPr>
                      <w:rFonts w:hint="eastAsia" w:cs="宋体"/>
                      <w:color w:val="auto"/>
                      <w:sz w:val="21"/>
                      <w:szCs w:val="24"/>
                      <w:highlight w:val="none"/>
                      <w:lang w:val="en-US" w:eastAsia="zh-CN"/>
                    </w:rPr>
                    <w:t>210</w:t>
                  </w:r>
                </w:p>
              </w:tc>
              <w:tc>
                <w:tcPr>
                  <w:tcW w:w="3618"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宋体"/>
                      <w:color w:val="auto"/>
                      <w:sz w:val="21"/>
                      <w:szCs w:val="24"/>
                    </w:rPr>
                    <w:t>标准袋装，</w:t>
                  </w:r>
                  <w:r>
                    <w:rPr>
                      <w:rFonts w:hint="eastAsia" w:ascii="Times New Roman" w:hAnsi="Times New Roman" w:eastAsia="宋体" w:cs="宋体"/>
                      <w:color w:val="auto"/>
                      <w:sz w:val="21"/>
                      <w:szCs w:val="24"/>
                      <w:lang w:val="en-US" w:eastAsia="zh-CN"/>
                    </w:rPr>
                    <w:t>车间内原料堆放区暂存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w:t>
                  </w:r>
                </w:p>
              </w:tc>
              <w:tc>
                <w:tcPr>
                  <w:tcW w:w="1649"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lang w:val="en-US" w:eastAsia="zh-CN"/>
                    </w:rPr>
                  </w:pPr>
                  <w:r>
                    <w:rPr>
                      <w:rFonts w:hint="eastAsia" w:ascii="Times New Roman" w:hAnsi="Times New Roman" w:eastAsia="宋体" w:cs="宋体"/>
                      <w:color w:val="auto"/>
                      <w:sz w:val="21"/>
                      <w:szCs w:val="24"/>
                      <w:lang w:val="en-US" w:eastAsia="zh-CN"/>
                    </w:rPr>
                    <w:t>聚乙烯</w:t>
                  </w:r>
                </w:p>
              </w:tc>
              <w:tc>
                <w:tcPr>
                  <w:tcW w:w="1185"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zh-CN" w:eastAsia="zh-CN" w:bidi="ar-SA"/>
                    </w:rPr>
                    <w:t>吨/年</w:t>
                  </w:r>
                </w:p>
              </w:tc>
              <w:tc>
                <w:tcPr>
                  <w:tcW w:w="1432"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lang w:val="en-US" w:eastAsia="zh-CN"/>
                    </w:rPr>
                  </w:pPr>
                  <w:r>
                    <w:rPr>
                      <w:rFonts w:hint="eastAsia" w:cs="宋体"/>
                      <w:color w:val="auto"/>
                      <w:sz w:val="21"/>
                      <w:szCs w:val="24"/>
                      <w:lang w:val="en-US" w:eastAsia="zh-CN"/>
                    </w:rPr>
                    <w:t>340</w:t>
                  </w:r>
                </w:p>
              </w:tc>
              <w:tc>
                <w:tcPr>
                  <w:tcW w:w="3618"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宋体"/>
                      <w:color w:val="auto"/>
                      <w:sz w:val="21"/>
                      <w:szCs w:val="24"/>
                    </w:rPr>
                  </w:pPr>
                  <w:r>
                    <w:rPr>
                      <w:rFonts w:hint="eastAsia" w:ascii="Times New Roman" w:hAnsi="Times New Roman" w:eastAsia="宋体" w:cs="宋体"/>
                      <w:color w:val="auto"/>
                      <w:sz w:val="21"/>
                      <w:szCs w:val="24"/>
                    </w:rPr>
                    <w:t>标准袋装，</w:t>
                  </w:r>
                  <w:r>
                    <w:rPr>
                      <w:rFonts w:hint="eastAsia" w:ascii="Times New Roman" w:hAnsi="Times New Roman" w:eastAsia="宋体" w:cs="宋体"/>
                      <w:color w:val="auto"/>
                      <w:sz w:val="21"/>
                      <w:szCs w:val="24"/>
                      <w:lang w:val="en-US" w:eastAsia="zh-CN"/>
                    </w:rPr>
                    <w:t>车间内原料堆放区暂存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5</w:t>
                  </w:r>
                </w:p>
              </w:tc>
              <w:tc>
                <w:tcPr>
                  <w:tcW w:w="1649"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2"/>
                      <w:lang w:val="en-US" w:eastAsia="zh-CN" w:bidi="ar-SA"/>
                    </w:rPr>
                    <w:t>钢带</w:t>
                  </w:r>
                </w:p>
              </w:tc>
              <w:tc>
                <w:tcPr>
                  <w:tcW w:w="1185" w:type="dxa"/>
                  <w:tcBorders>
                    <w:tl2br w:val="nil"/>
                    <w:tr2bl w:val="nil"/>
                  </w:tcBorders>
                  <w:noWrap w:val="0"/>
                  <w:vAlign w:val="top"/>
                </w:tcPr>
                <w:p>
                  <w:pPr>
                    <w:widowControl w:val="0"/>
                    <w:spacing w:line="360" w:lineRule="exact"/>
                    <w:ind w:firstLine="0" w:firstLineChars="0"/>
                    <w:jc w:val="center"/>
                    <w:rPr>
                      <w:rFonts w:hint="default" w:ascii="Times New Roman" w:hAnsi="Times New Roman" w:eastAsia="宋体" w:cs="Times New Roman"/>
                      <w:color w:val="auto"/>
                      <w:sz w:val="21"/>
                      <w:szCs w:val="21"/>
                      <w:lang w:val="zh-CN" w:eastAsia="zh-CN" w:bidi="ar-SA"/>
                    </w:rPr>
                  </w:pPr>
                  <w:r>
                    <w:rPr>
                      <w:rFonts w:hint="eastAsia" w:ascii="Times New Roman" w:hAnsi="Times New Roman" w:eastAsia="宋体" w:cs="宋体"/>
                      <w:color w:val="auto"/>
                      <w:sz w:val="21"/>
                      <w:szCs w:val="22"/>
                      <w:lang w:val="en-US" w:eastAsia="zh-CN" w:bidi="ar-SA"/>
                    </w:rPr>
                    <w:t>吨/年</w:t>
                  </w:r>
                </w:p>
              </w:tc>
              <w:tc>
                <w:tcPr>
                  <w:tcW w:w="1432"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lang w:val="en-US" w:eastAsia="zh-CN"/>
                    </w:rPr>
                  </w:pPr>
                  <w:r>
                    <w:rPr>
                      <w:rFonts w:hint="eastAsia" w:cs="宋体"/>
                      <w:color w:val="auto"/>
                      <w:sz w:val="21"/>
                      <w:szCs w:val="24"/>
                      <w:lang w:val="en-US" w:eastAsia="zh-CN"/>
                    </w:rPr>
                    <w:t>60</w:t>
                  </w:r>
                </w:p>
              </w:tc>
              <w:tc>
                <w:tcPr>
                  <w:tcW w:w="3618"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宋体"/>
                      <w:color w:val="auto"/>
                      <w:sz w:val="21"/>
                      <w:szCs w:val="24"/>
                      <w:lang w:val="en-US" w:eastAsia="zh-CN"/>
                    </w:rPr>
                  </w:pPr>
                  <w:r>
                    <w:rPr>
                      <w:rFonts w:hint="eastAsia" w:ascii="Times New Roman" w:hAnsi="Times New Roman" w:eastAsia="宋体" w:cs="宋体"/>
                      <w:color w:val="auto"/>
                      <w:sz w:val="21"/>
                      <w:szCs w:val="24"/>
                    </w:rPr>
                    <w:t>标准袋装，</w:t>
                  </w:r>
                  <w:r>
                    <w:rPr>
                      <w:rFonts w:hint="eastAsia" w:ascii="Times New Roman" w:hAnsi="Times New Roman" w:eastAsia="宋体" w:cs="宋体"/>
                      <w:color w:val="auto"/>
                      <w:sz w:val="21"/>
                      <w:szCs w:val="24"/>
                      <w:lang w:val="en-US" w:eastAsia="zh-CN"/>
                    </w:rPr>
                    <w:t>车间内原料堆放区暂存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6</w:t>
                  </w:r>
                </w:p>
              </w:tc>
              <w:tc>
                <w:tcPr>
                  <w:tcW w:w="1649"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2"/>
                      <w:lang w:val="en-US" w:eastAsia="zh-CN" w:bidi="ar-SA"/>
                    </w:rPr>
                    <w:t>无纺布</w:t>
                  </w:r>
                </w:p>
              </w:tc>
              <w:tc>
                <w:tcPr>
                  <w:tcW w:w="1185" w:type="dxa"/>
                  <w:tcBorders>
                    <w:tl2br w:val="nil"/>
                    <w:tr2bl w:val="nil"/>
                  </w:tcBorders>
                  <w:noWrap w:val="0"/>
                  <w:vAlign w:val="top"/>
                </w:tcPr>
                <w:p>
                  <w:pPr>
                    <w:widowControl w:val="0"/>
                    <w:spacing w:line="360" w:lineRule="exact"/>
                    <w:ind w:firstLine="0" w:firstLineChars="0"/>
                    <w:jc w:val="center"/>
                    <w:rPr>
                      <w:rFonts w:hint="default" w:ascii="Times New Roman" w:hAnsi="Times New Roman" w:eastAsia="宋体" w:cs="Times New Roman"/>
                      <w:color w:val="auto"/>
                      <w:sz w:val="21"/>
                      <w:szCs w:val="21"/>
                      <w:lang w:val="zh-CN" w:eastAsia="zh-CN" w:bidi="ar-SA"/>
                    </w:rPr>
                  </w:pPr>
                  <w:r>
                    <w:rPr>
                      <w:rFonts w:hint="eastAsia" w:ascii="Times New Roman" w:hAnsi="Times New Roman" w:eastAsia="宋体" w:cs="宋体"/>
                      <w:color w:val="auto"/>
                      <w:sz w:val="21"/>
                      <w:szCs w:val="22"/>
                      <w:lang w:val="en-US" w:eastAsia="zh-CN" w:bidi="ar-SA"/>
                    </w:rPr>
                    <w:t>吨/年</w:t>
                  </w:r>
                </w:p>
              </w:tc>
              <w:tc>
                <w:tcPr>
                  <w:tcW w:w="1432"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lang w:val="en-US" w:eastAsia="zh-CN"/>
                    </w:rPr>
                  </w:pPr>
                  <w:r>
                    <w:rPr>
                      <w:rFonts w:hint="eastAsia" w:cs="宋体"/>
                      <w:color w:val="auto"/>
                      <w:sz w:val="21"/>
                      <w:szCs w:val="24"/>
                      <w:lang w:val="en-US" w:eastAsia="zh-CN"/>
                    </w:rPr>
                    <w:t>23</w:t>
                  </w:r>
                </w:p>
              </w:tc>
              <w:tc>
                <w:tcPr>
                  <w:tcW w:w="3618"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宋体"/>
                      <w:color w:val="auto"/>
                      <w:sz w:val="21"/>
                      <w:szCs w:val="24"/>
                      <w:lang w:val="en-US" w:eastAsia="zh-CN"/>
                    </w:rPr>
                  </w:pPr>
                  <w:r>
                    <w:rPr>
                      <w:rFonts w:hint="eastAsia" w:ascii="Times New Roman" w:hAnsi="Times New Roman" w:eastAsia="宋体" w:cs="宋体"/>
                      <w:color w:val="auto"/>
                      <w:sz w:val="21"/>
                      <w:szCs w:val="24"/>
                    </w:rPr>
                    <w:t>标准袋装，</w:t>
                  </w:r>
                  <w:r>
                    <w:rPr>
                      <w:rFonts w:hint="eastAsia" w:ascii="Times New Roman" w:hAnsi="Times New Roman" w:eastAsia="宋体" w:cs="宋体"/>
                      <w:color w:val="auto"/>
                      <w:sz w:val="21"/>
                      <w:szCs w:val="24"/>
                      <w:lang w:val="en-US" w:eastAsia="zh-CN"/>
                    </w:rPr>
                    <w:t>车间内原料堆放区暂存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7</w:t>
                  </w:r>
                </w:p>
              </w:tc>
              <w:tc>
                <w:tcPr>
                  <w:tcW w:w="1649" w:type="dxa"/>
                  <w:tcBorders>
                    <w:tl2br w:val="nil"/>
                    <w:tr2bl w:val="nil"/>
                  </w:tcBorders>
                  <w:noWrap w:val="0"/>
                  <w:vAlign w:val="top"/>
                </w:tcPr>
                <w:p>
                  <w:pPr>
                    <w:widowControl w:val="0"/>
                    <w:spacing w:line="360" w:lineRule="exact"/>
                    <w:ind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填充绳</w:t>
                  </w:r>
                </w:p>
              </w:tc>
              <w:tc>
                <w:tcPr>
                  <w:tcW w:w="1185"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1432"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lang w:val="en-US" w:eastAsia="zh-CN"/>
                    </w:rPr>
                  </w:pPr>
                  <w:r>
                    <w:rPr>
                      <w:rFonts w:hint="eastAsia" w:cs="宋体"/>
                      <w:color w:val="auto"/>
                      <w:sz w:val="21"/>
                      <w:szCs w:val="24"/>
                      <w:lang w:val="en-US" w:eastAsia="zh-CN"/>
                    </w:rPr>
                    <w:t>49</w:t>
                  </w:r>
                </w:p>
              </w:tc>
              <w:tc>
                <w:tcPr>
                  <w:tcW w:w="3618"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宋体"/>
                      <w:color w:val="auto"/>
                      <w:sz w:val="21"/>
                      <w:szCs w:val="24"/>
                      <w:lang w:val="en-US" w:eastAsia="zh-CN"/>
                    </w:rPr>
                  </w:pPr>
                  <w:r>
                    <w:rPr>
                      <w:rFonts w:hint="eastAsia" w:ascii="Times New Roman" w:hAnsi="Times New Roman" w:eastAsia="宋体" w:cs="宋体"/>
                      <w:color w:val="auto"/>
                      <w:sz w:val="21"/>
                      <w:szCs w:val="24"/>
                    </w:rPr>
                    <w:t>标准袋装，</w:t>
                  </w:r>
                  <w:r>
                    <w:rPr>
                      <w:rFonts w:hint="eastAsia" w:ascii="Times New Roman" w:hAnsi="Times New Roman" w:eastAsia="宋体" w:cs="宋体"/>
                      <w:color w:val="auto"/>
                      <w:sz w:val="21"/>
                      <w:szCs w:val="24"/>
                      <w:lang w:val="en-US" w:eastAsia="zh-CN"/>
                    </w:rPr>
                    <w:t>车间内原料堆放区暂存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8</w:t>
                  </w:r>
                </w:p>
              </w:tc>
              <w:tc>
                <w:tcPr>
                  <w:tcW w:w="1649" w:type="dxa"/>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油墨</w:t>
                  </w:r>
                </w:p>
              </w:tc>
              <w:tc>
                <w:tcPr>
                  <w:tcW w:w="1185"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千克/年</w:t>
                  </w:r>
                </w:p>
              </w:tc>
              <w:tc>
                <w:tcPr>
                  <w:tcW w:w="1432"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lang w:val="en-US" w:eastAsia="zh-CN"/>
                    </w:rPr>
                  </w:pPr>
                  <w:r>
                    <w:rPr>
                      <w:rFonts w:hint="eastAsia" w:cs="宋体"/>
                      <w:color w:val="auto"/>
                      <w:sz w:val="21"/>
                      <w:szCs w:val="24"/>
                      <w:lang w:val="en-US" w:eastAsia="zh-CN"/>
                    </w:rPr>
                    <w:t>120</w:t>
                  </w:r>
                </w:p>
              </w:tc>
              <w:tc>
                <w:tcPr>
                  <w:tcW w:w="3618"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lang w:val="en-US" w:eastAsia="zh-CN"/>
                    </w:rPr>
                  </w:pPr>
                  <w:r>
                    <w:rPr>
                      <w:rFonts w:hint="eastAsia" w:cs="宋体"/>
                      <w:color w:val="auto"/>
                      <w:sz w:val="21"/>
                      <w:szCs w:val="24"/>
                      <w:lang w:val="en-US" w:eastAsia="zh-CN"/>
                    </w:rPr>
                    <w:t>盒装，55mL/个</w:t>
                  </w:r>
                  <w:r>
                    <w:rPr>
                      <w:rFonts w:hint="eastAsia" w:ascii="Times New Roman" w:hAnsi="Times New Roman" w:eastAsia="宋体" w:cs="宋体"/>
                      <w:color w:val="auto"/>
                      <w:sz w:val="21"/>
                      <w:szCs w:val="24"/>
                      <w:lang w:val="en-US" w:eastAsia="zh-CN"/>
                    </w:rPr>
                    <w:t>，车间内原料堆放区暂存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9</w:t>
                  </w:r>
                </w:p>
              </w:tc>
              <w:tc>
                <w:tcPr>
                  <w:tcW w:w="1649"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低烟无卤阻燃聚烯烃电缆料</w:t>
                  </w:r>
                </w:p>
              </w:tc>
              <w:tc>
                <w:tcPr>
                  <w:tcW w:w="1185"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1432"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lang w:val="en-US" w:eastAsia="zh-CN"/>
                    </w:rPr>
                  </w:pPr>
                  <w:r>
                    <w:rPr>
                      <w:rFonts w:hint="eastAsia" w:cs="宋体"/>
                      <w:color w:val="auto"/>
                      <w:sz w:val="21"/>
                      <w:szCs w:val="24"/>
                      <w:lang w:val="en-US" w:eastAsia="zh-CN"/>
                    </w:rPr>
                    <w:t>345</w:t>
                  </w:r>
                </w:p>
              </w:tc>
              <w:tc>
                <w:tcPr>
                  <w:tcW w:w="3618"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宋体"/>
                      <w:color w:val="auto"/>
                      <w:sz w:val="21"/>
                      <w:szCs w:val="24"/>
                      <w:lang w:val="en-US" w:eastAsia="zh-CN"/>
                    </w:rPr>
                  </w:pPr>
                  <w:r>
                    <w:rPr>
                      <w:rFonts w:hint="eastAsia" w:ascii="Times New Roman" w:hAnsi="Times New Roman" w:eastAsia="宋体" w:cs="宋体"/>
                      <w:color w:val="auto"/>
                      <w:sz w:val="21"/>
                      <w:szCs w:val="24"/>
                    </w:rPr>
                    <w:t>标准袋装，</w:t>
                  </w:r>
                  <w:r>
                    <w:rPr>
                      <w:rFonts w:hint="eastAsia" w:ascii="Times New Roman" w:hAnsi="Times New Roman" w:eastAsia="宋体" w:cs="宋体"/>
                      <w:color w:val="auto"/>
                      <w:sz w:val="21"/>
                      <w:szCs w:val="24"/>
                      <w:lang w:val="en-US" w:eastAsia="zh-CN"/>
                    </w:rPr>
                    <w:t>车间内原料堆放区暂存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10</w:t>
                  </w:r>
                </w:p>
              </w:tc>
              <w:tc>
                <w:tcPr>
                  <w:tcW w:w="1649" w:type="dxa"/>
                  <w:tcBorders>
                    <w:tl2br w:val="nil"/>
                    <w:tr2bl w:val="nil"/>
                  </w:tcBorders>
                  <w:noWrap w:val="0"/>
                  <w:vAlign w:val="top"/>
                </w:tcPr>
                <w:p>
                  <w:pPr>
                    <w:widowControl w:val="0"/>
                    <w:spacing w:line="360" w:lineRule="exact"/>
                    <w:ind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拉丝油</w:t>
                  </w:r>
                </w:p>
              </w:tc>
              <w:tc>
                <w:tcPr>
                  <w:tcW w:w="1185"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1432"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lang w:val="en-US" w:eastAsia="zh-CN"/>
                    </w:rPr>
                  </w:pPr>
                  <w:r>
                    <w:rPr>
                      <w:rFonts w:hint="eastAsia" w:cs="宋体"/>
                      <w:color w:val="auto"/>
                      <w:sz w:val="21"/>
                      <w:szCs w:val="24"/>
                      <w:lang w:val="en-US" w:eastAsia="zh-CN"/>
                    </w:rPr>
                    <w:t>12.5</w:t>
                  </w:r>
                </w:p>
              </w:tc>
              <w:tc>
                <w:tcPr>
                  <w:tcW w:w="3618"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宋体"/>
                      <w:color w:val="auto"/>
                      <w:sz w:val="21"/>
                      <w:szCs w:val="24"/>
                      <w:lang w:val="en-US" w:eastAsia="zh-CN"/>
                    </w:rPr>
                  </w:pPr>
                  <w:r>
                    <w:rPr>
                      <w:rFonts w:hint="eastAsia" w:ascii="Times New Roman" w:hAnsi="Times New Roman" w:eastAsia="宋体" w:cs="宋体"/>
                      <w:color w:val="auto"/>
                      <w:sz w:val="21"/>
                      <w:szCs w:val="24"/>
                      <w:lang w:val="en-US" w:eastAsia="zh-CN"/>
                    </w:rPr>
                    <w:t>桶装，车间内原料堆放区暂存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11</w:t>
                  </w:r>
                </w:p>
              </w:tc>
              <w:tc>
                <w:tcPr>
                  <w:tcW w:w="1649" w:type="dxa"/>
                  <w:tcBorders>
                    <w:tl2br w:val="nil"/>
                    <w:tr2bl w:val="nil"/>
                  </w:tcBorders>
                  <w:noWrap w:val="0"/>
                  <w:vAlign w:val="top"/>
                </w:tcPr>
                <w:p>
                  <w:pPr>
                    <w:widowControl w:val="0"/>
                    <w:spacing w:line="360" w:lineRule="exact"/>
                    <w:ind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云母带</w:t>
                  </w:r>
                </w:p>
              </w:tc>
              <w:tc>
                <w:tcPr>
                  <w:tcW w:w="1185"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1432"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35</w:t>
                  </w:r>
                </w:p>
              </w:tc>
              <w:tc>
                <w:tcPr>
                  <w:tcW w:w="3618"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宋体"/>
                      <w:color w:val="auto"/>
                      <w:sz w:val="21"/>
                      <w:szCs w:val="24"/>
                      <w:lang w:val="en-US" w:eastAsia="zh-CN"/>
                    </w:rPr>
                  </w:pPr>
                  <w:r>
                    <w:rPr>
                      <w:rFonts w:hint="eastAsia" w:ascii="Times New Roman" w:hAnsi="Times New Roman" w:eastAsia="宋体" w:cs="宋体"/>
                      <w:color w:val="auto"/>
                      <w:sz w:val="21"/>
                      <w:szCs w:val="24"/>
                    </w:rPr>
                    <w:t>标准袋装，</w:t>
                  </w:r>
                  <w:r>
                    <w:rPr>
                      <w:rFonts w:hint="eastAsia" w:ascii="Times New Roman" w:hAnsi="Times New Roman" w:eastAsia="宋体" w:cs="宋体"/>
                      <w:color w:val="auto"/>
                      <w:sz w:val="21"/>
                      <w:szCs w:val="24"/>
                      <w:lang w:val="en-US" w:eastAsia="zh-CN"/>
                    </w:rPr>
                    <w:t>车间内原料堆放区暂存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zh-CN" w:eastAsia="zh-CN" w:bidi="ar-SA"/>
                    </w:rPr>
                    <w:t>二</w:t>
                  </w:r>
                </w:p>
              </w:tc>
              <w:tc>
                <w:tcPr>
                  <w:tcW w:w="7884" w:type="dxa"/>
                  <w:gridSpan w:val="4"/>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动力消耗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1</w:t>
                  </w:r>
                </w:p>
              </w:tc>
              <w:tc>
                <w:tcPr>
                  <w:tcW w:w="164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电</w:t>
                  </w:r>
                </w:p>
              </w:tc>
              <w:tc>
                <w:tcPr>
                  <w:tcW w:w="1185"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kWh/年</w:t>
                  </w:r>
                </w:p>
              </w:tc>
              <w:tc>
                <w:tcPr>
                  <w:tcW w:w="143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300000</w:t>
                  </w:r>
                </w:p>
              </w:tc>
              <w:tc>
                <w:tcPr>
                  <w:tcW w:w="3618"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市政电力</w:t>
                  </w:r>
                  <w:r>
                    <w:rPr>
                      <w:rFonts w:hint="default" w:ascii="Times New Roman" w:hAnsi="Times New Roman" w:eastAsia="宋体" w:cs="Times New Roman"/>
                      <w:color w:val="auto"/>
                      <w:sz w:val="21"/>
                      <w:szCs w:val="21"/>
                      <w:lang w:val="en-US" w:eastAsia="zh-CN" w:bidi="ar-SA"/>
                    </w:rPr>
                    <w:t>管网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2</w:t>
                  </w:r>
                </w:p>
              </w:tc>
              <w:tc>
                <w:tcPr>
                  <w:tcW w:w="164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zh-CN" w:eastAsia="zh-CN" w:bidi="ar-SA"/>
                    </w:rPr>
                  </w:pPr>
                  <w:r>
                    <w:rPr>
                      <w:rFonts w:hint="default" w:ascii="Times New Roman" w:hAnsi="Times New Roman" w:eastAsia="宋体" w:cs="Times New Roman"/>
                      <w:color w:val="auto"/>
                      <w:sz w:val="21"/>
                      <w:szCs w:val="21"/>
                      <w:highlight w:val="none"/>
                      <w:lang w:val="zh-CN" w:eastAsia="zh-CN" w:bidi="ar-SA"/>
                    </w:rPr>
                    <w:t>新鲜水</w:t>
                  </w:r>
                </w:p>
              </w:tc>
              <w:tc>
                <w:tcPr>
                  <w:tcW w:w="1185"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zh-CN" w:eastAsia="zh-CN" w:bidi="ar-SA"/>
                    </w:rPr>
                  </w:pPr>
                  <w:r>
                    <w:rPr>
                      <w:rFonts w:hint="eastAsia" w:ascii="Times New Roman" w:hAnsi="Times New Roman" w:eastAsia="宋体" w:cs="Times New Roman"/>
                      <w:color w:val="auto"/>
                      <w:sz w:val="21"/>
                      <w:szCs w:val="21"/>
                      <w:highlight w:val="none"/>
                      <w:lang w:val="en-US" w:eastAsia="zh-CN" w:bidi="ar-SA"/>
                    </w:rPr>
                    <w:t>m</w:t>
                  </w:r>
                  <w:r>
                    <w:rPr>
                      <w:rFonts w:hint="eastAsia" w:ascii="Times New Roman" w:hAnsi="Times New Roman" w:eastAsia="宋体" w:cs="Times New Roman"/>
                      <w:color w:val="auto"/>
                      <w:sz w:val="21"/>
                      <w:szCs w:val="21"/>
                      <w:highlight w:val="none"/>
                      <w:vertAlign w:val="superscript"/>
                      <w:lang w:val="en-US" w:eastAsia="zh-CN" w:bidi="ar-SA"/>
                    </w:rPr>
                    <w:t>3</w:t>
                  </w:r>
                  <w:r>
                    <w:rPr>
                      <w:rFonts w:hint="default" w:ascii="Times New Roman" w:hAnsi="Times New Roman" w:eastAsia="宋体" w:cs="Times New Roman"/>
                      <w:color w:val="auto"/>
                      <w:sz w:val="21"/>
                      <w:szCs w:val="21"/>
                      <w:highlight w:val="none"/>
                      <w:lang w:val="zh-CN" w:eastAsia="zh-CN" w:bidi="ar-SA"/>
                    </w:rPr>
                    <w:t>/年</w:t>
                  </w:r>
                </w:p>
              </w:tc>
              <w:tc>
                <w:tcPr>
                  <w:tcW w:w="143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588</w:t>
                  </w:r>
                </w:p>
              </w:tc>
              <w:tc>
                <w:tcPr>
                  <w:tcW w:w="3618"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市政</w:t>
                  </w:r>
                  <w:r>
                    <w:rPr>
                      <w:rFonts w:hint="default" w:ascii="Times New Roman" w:hAnsi="Times New Roman" w:eastAsia="宋体" w:cs="Times New Roman"/>
                      <w:color w:val="auto"/>
                      <w:sz w:val="21"/>
                      <w:szCs w:val="21"/>
                      <w:highlight w:val="none"/>
                      <w:lang w:val="en-US" w:eastAsia="zh-CN" w:bidi="ar-SA"/>
                    </w:rPr>
                    <w:t>供水管网</w:t>
                  </w:r>
                </w:p>
              </w:tc>
            </w:tr>
          </w:tbl>
          <w:p>
            <w:pPr>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s="宋体"/>
                <w:lang w:val="en-US" w:eastAsia="zh-CN"/>
              </w:rPr>
            </w:pPr>
            <w:r>
              <w:rPr>
                <w:rFonts w:hint="eastAsia" w:cs="宋体"/>
                <w:lang w:val="en-US" w:eastAsia="zh-CN"/>
              </w:rPr>
              <w:t>根据不同产品，原辅材料具体消耗量见表3.2-2。</w:t>
            </w:r>
          </w:p>
          <w:p>
            <w:pPr>
              <w:widowControl w:val="0"/>
              <w:overflowPunct w:val="0"/>
              <w:autoSpaceDE w:val="0"/>
              <w:autoSpaceDN w:val="0"/>
              <w:adjustRightInd w:val="0"/>
              <w:snapToGrid w:val="0"/>
              <w:spacing w:before="0" w:after="0" w:line="360" w:lineRule="auto"/>
              <w:ind w:left="0" w:right="0" w:firstLine="0" w:firstLineChars="0"/>
              <w:jc w:val="center"/>
              <w:rPr>
                <w:rFonts w:hint="eastAsia"/>
                <w:lang w:val="en-US" w:eastAsia="zh-CN"/>
              </w:rPr>
            </w:pPr>
            <w:r>
              <w:rPr>
                <w:rFonts w:ascii="Times New Roman" w:hAnsi="Times New Roman" w:eastAsia="宋体" w:cs="宋体"/>
                <w:b/>
                <w:color w:val="000000"/>
                <w:sz w:val="24"/>
                <w:szCs w:val="24"/>
                <w:lang w:val="en-US" w:eastAsia="zh-CN" w:bidi="ar-SA"/>
              </w:rPr>
              <w:t>表</w:t>
            </w:r>
            <w:r>
              <w:rPr>
                <w:rFonts w:hint="eastAsia" w:ascii="Times New Roman" w:hAnsi="Times New Roman" w:eastAsia="宋体" w:cs="宋体"/>
                <w:b/>
                <w:color w:val="000000"/>
                <w:sz w:val="24"/>
                <w:szCs w:val="24"/>
                <w:lang w:val="en-US" w:eastAsia="zh-CN" w:bidi="ar-SA"/>
              </w:rPr>
              <w:t>2.3-</w:t>
            </w:r>
            <w:r>
              <w:rPr>
                <w:rFonts w:hint="eastAsia" w:cs="宋体"/>
                <w:b/>
                <w:color w:val="000000"/>
                <w:sz w:val="24"/>
                <w:szCs w:val="24"/>
                <w:lang w:val="en-US" w:eastAsia="zh-CN" w:bidi="ar-SA"/>
              </w:rPr>
              <w:t>2</w:t>
            </w:r>
            <w:r>
              <w:rPr>
                <w:rFonts w:ascii="Times New Roman" w:hAnsi="Times New Roman" w:eastAsia="宋体" w:cs="宋体"/>
                <w:b/>
                <w:color w:val="000000"/>
                <w:sz w:val="24"/>
                <w:szCs w:val="24"/>
                <w:lang w:val="en-US" w:eastAsia="zh-CN" w:bidi="ar-SA"/>
              </w:rPr>
              <w:t>本项目</w:t>
            </w:r>
            <w:r>
              <w:rPr>
                <w:rFonts w:hint="eastAsia" w:cs="宋体"/>
                <w:b/>
                <w:color w:val="000000"/>
                <w:sz w:val="24"/>
                <w:szCs w:val="24"/>
                <w:lang w:val="en-US" w:eastAsia="zh-CN" w:bidi="ar-SA"/>
              </w:rPr>
              <w:t>不同产品原辅料用量</w:t>
            </w:r>
            <w:r>
              <w:rPr>
                <w:rFonts w:ascii="Times New Roman" w:hAnsi="Times New Roman" w:eastAsia="宋体" w:cs="宋体"/>
                <w:b/>
                <w:color w:val="000000"/>
                <w:sz w:val="24"/>
                <w:szCs w:val="24"/>
                <w:lang w:val="en-US" w:eastAsia="zh-CN" w:bidi="ar-SA"/>
              </w:rPr>
              <w:t>一览表</w:t>
            </w:r>
          </w:p>
          <w:tbl>
            <w:tblPr>
              <w:tblStyle w:val="1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79"/>
              <w:gridCol w:w="2870"/>
              <w:gridCol w:w="2062"/>
              <w:gridCol w:w="249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序号</w:t>
                  </w:r>
                </w:p>
              </w:tc>
              <w:tc>
                <w:tcPr>
                  <w:tcW w:w="2870"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名称</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单位</w:t>
                  </w:r>
                </w:p>
              </w:tc>
              <w:tc>
                <w:tcPr>
                  <w:tcW w:w="2493"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eastAsia" w:ascii="Times New Roman" w:hAnsi="Times New Roman" w:eastAsia="宋体" w:cs="Times New Roman"/>
                      <w:color w:val="auto"/>
                      <w:sz w:val="21"/>
                      <w:szCs w:val="21"/>
                      <w:lang w:val="en-US" w:eastAsia="zh-CN" w:bidi="ar-SA"/>
                    </w:rPr>
                    <w:t>本项目</w:t>
                  </w:r>
                  <w:r>
                    <w:rPr>
                      <w:rFonts w:hint="default" w:ascii="Times New Roman" w:hAnsi="Times New Roman" w:eastAsia="宋体" w:cs="Times New Roman"/>
                      <w:color w:val="auto"/>
                      <w:sz w:val="21"/>
                      <w:szCs w:val="21"/>
                      <w:lang w:val="zh-CN" w:eastAsia="zh-CN" w:bidi="ar-SA"/>
                    </w:rPr>
                    <w:t>用量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w:t>
                  </w:r>
                </w:p>
              </w:tc>
              <w:tc>
                <w:tcPr>
                  <w:tcW w:w="7425" w:type="dxa"/>
                  <w:gridSpan w:val="3"/>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宋体"/>
                      <w:color w:val="auto"/>
                      <w:sz w:val="21"/>
                      <w:szCs w:val="22"/>
                      <w:highlight w:val="none"/>
                      <w:lang w:val="en-US" w:eastAsia="zh-CN" w:bidi="ar-SA"/>
                    </w:rPr>
                  </w:pPr>
                  <w:r>
                    <w:rPr>
                      <w:rFonts w:hint="default" w:ascii="Times New Roman" w:hAnsi="Times New Roman" w:eastAsia="宋体" w:cs="宋体"/>
                      <w:color w:val="auto"/>
                      <w:sz w:val="21"/>
                      <w:szCs w:val="22"/>
                      <w:highlight w:val="none"/>
                      <w:lang w:val="en-US" w:eastAsia="zh-CN" w:bidi="ar-SA"/>
                    </w:rPr>
                    <w:t>柔性矿物质及防火电缆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zh-CN" w:eastAsia="zh-CN" w:bidi="ar-SA"/>
                    </w:rPr>
                    <w:t>1</w:t>
                  </w:r>
                  <w:r>
                    <w:rPr>
                      <w:rFonts w:hint="eastAsia" w:cs="Times New Roman"/>
                      <w:color w:val="auto"/>
                      <w:sz w:val="21"/>
                      <w:szCs w:val="21"/>
                      <w:lang w:val="en-US" w:eastAsia="zh-CN" w:bidi="ar-SA"/>
                    </w:rPr>
                    <w:t>.1</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铜丝</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eastAsia" w:cs="Times New Roman"/>
                      <w:color w:val="auto"/>
                      <w:sz w:val="21"/>
                      <w:szCs w:val="21"/>
                      <w:lang w:val="en-US" w:eastAsia="zh-CN" w:bidi="ar-SA"/>
                    </w:rPr>
                    <w:t>1.2</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聚氯乙烯</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zh-CN" w:eastAsia="zh-CN" w:bidi="ar-SA"/>
                    </w:rPr>
                  </w:pPr>
                  <w:r>
                    <w:rPr>
                      <w:rFonts w:hint="default" w:ascii="Times New Roman" w:hAnsi="Times New Roman" w:eastAsia="宋体" w:cs="Times New Roman"/>
                      <w:color w:val="auto"/>
                      <w:sz w:val="21"/>
                      <w:szCs w:val="21"/>
                      <w:highlight w:val="none"/>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cs="宋体"/>
                      <w:color w:val="auto"/>
                      <w:sz w:val="21"/>
                      <w:szCs w:val="24"/>
                      <w:highlight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1.3</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highlight w:val="none"/>
                      <w:lang w:val="en-US" w:eastAsia="zh-CN"/>
                    </w:rPr>
                  </w:pPr>
                  <w:r>
                    <w:rPr>
                      <w:rFonts w:hint="eastAsia" w:ascii="Times New Roman" w:hAnsi="Times New Roman" w:eastAsia="宋体" w:cs="宋体"/>
                      <w:color w:val="auto"/>
                      <w:sz w:val="21"/>
                      <w:szCs w:val="24"/>
                      <w:highlight w:val="none"/>
                      <w:lang w:val="en-US" w:eastAsia="zh-CN"/>
                    </w:rPr>
                    <w:t>聚乙烯</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highlight w:val="none"/>
                      <w:lang w:val="en-US" w:eastAsia="zh-CN"/>
                    </w:rPr>
                  </w:pPr>
                  <w:r>
                    <w:rPr>
                      <w:rFonts w:hint="eastAsia" w:cs="宋体"/>
                      <w:color w:val="auto"/>
                      <w:sz w:val="21"/>
                      <w:szCs w:val="24"/>
                      <w:highlight w:val="none"/>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1.4</w:t>
                  </w:r>
                </w:p>
              </w:tc>
              <w:tc>
                <w:tcPr>
                  <w:tcW w:w="2870"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2"/>
                      <w:lang w:val="en-US" w:eastAsia="zh-CN" w:bidi="ar-SA"/>
                    </w:rPr>
                    <w:t>钢带</w:t>
                  </w:r>
                </w:p>
              </w:tc>
              <w:tc>
                <w:tcPr>
                  <w:tcW w:w="2062" w:type="dxa"/>
                  <w:tcBorders>
                    <w:tl2br w:val="nil"/>
                    <w:tr2bl w:val="nil"/>
                  </w:tcBorders>
                  <w:noWrap w:val="0"/>
                  <w:vAlign w:val="top"/>
                </w:tcPr>
                <w:p>
                  <w:pPr>
                    <w:widowControl w:val="0"/>
                    <w:spacing w:line="360" w:lineRule="exact"/>
                    <w:ind w:firstLine="0" w:firstLineChars="0"/>
                    <w:jc w:val="center"/>
                    <w:rPr>
                      <w:rFonts w:hint="default" w:ascii="Times New Roman" w:hAnsi="Times New Roman" w:eastAsia="宋体" w:cs="Times New Roman"/>
                      <w:color w:val="auto"/>
                      <w:sz w:val="21"/>
                      <w:szCs w:val="21"/>
                      <w:lang w:val="zh-CN"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lang w:val="en-US" w:eastAsia="zh-CN"/>
                    </w:rPr>
                  </w:pPr>
                  <w:r>
                    <w:rPr>
                      <w:rFonts w:hint="eastAsia" w:cs="宋体"/>
                      <w:color w:val="auto"/>
                      <w:sz w:val="21"/>
                      <w:szCs w:val="24"/>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w:t>
                  </w:r>
                  <w:r>
                    <w:rPr>
                      <w:rFonts w:hint="eastAsia" w:ascii="Times New Roman" w:hAnsi="Times New Roman" w:eastAsia="宋体" w:cs="Times New Roman"/>
                      <w:color w:val="auto"/>
                      <w:sz w:val="21"/>
                      <w:szCs w:val="21"/>
                      <w:lang w:val="en-US" w:eastAsia="zh-CN" w:bidi="ar-SA"/>
                    </w:rPr>
                    <w:t>5</w:t>
                  </w:r>
                </w:p>
              </w:tc>
              <w:tc>
                <w:tcPr>
                  <w:tcW w:w="2870"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2"/>
                      <w:lang w:val="en-US" w:eastAsia="zh-CN" w:bidi="ar-SA"/>
                    </w:rPr>
                    <w:t>无纺布</w:t>
                  </w:r>
                </w:p>
              </w:tc>
              <w:tc>
                <w:tcPr>
                  <w:tcW w:w="2062" w:type="dxa"/>
                  <w:tcBorders>
                    <w:tl2br w:val="nil"/>
                    <w:tr2bl w:val="nil"/>
                  </w:tcBorders>
                  <w:noWrap w:val="0"/>
                  <w:vAlign w:val="top"/>
                </w:tcPr>
                <w:p>
                  <w:pPr>
                    <w:widowControl w:val="0"/>
                    <w:spacing w:line="360" w:lineRule="exact"/>
                    <w:ind w:firstLine="0" w:firstLineChars="0"/>
                    <w:jc w:val="center"/>
                    <w:rPr>
                      <w:rFonts w:hint="default" w:ascii="Times New Roman" w:hAnsi="Times New Roman" w:eastAsia="宋体" w:cs="Times New Roman"/>
                      <w:color w:val="auto"/>
                      <w:sz w:val="21"/>
                      <w:szCs w:val="21"/>
                      <w:lang w:val="zh-CN"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lang w:val="en-US" w:eastAsia="zh-CN"/>
                    </w:rPr>
                  </w:pPr>
                  <w:r>
                    <w:rPr>
                      <w:rFonts w:hint="eastAsia" w:cs="宋体"/>
                      <w:color w:val="auto"/>
                      <w:sz w:val="21"/>
                      <w:szCs w:val="24"/>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w:t>
                  </w:r>
                  <w:r>
                    <w:rPr>
                      <w:rFonts w:hint="eastAsia" w:ascii="Times New Roman" w:hAnsi="Times New Roman" w:eastAsia="宋体" w:cs="Times New Roman"/>
                      <w:color w:val="auto"/>
                      <w:sz w:val="21"/>
                      <w:szCs w:val="21"/>
                      <w:lang w:val="en-US" w:eastAsia="zh-CN" w:bidi="ar-SA"/>
                    </w:rPr>
                    <w:t>6</w:t>
                  </w:r>
                </w:p>
              </w:tc>
              <w:tc>
                <w:tcPr>
                  <w:tcW w:w="2870" w:type="dxa"/>
                  <w:tcBorders>
                    <w:tl2br w:val="nil"/>
                    <w:tr2bl w:val="nil"/>
                  </w:tcBorders>
                  <w:noWrap w:val="0"/>
                  <w:vAlign w:val="top"/>
                </w:tcPr>
                <w:p>
                  <w:pPr>
                    <w:widowControl w:val="0"/>
                    <w:spacing w:line="360" w:lineRule="exact"/>
                    <w:ind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填充绳</w:t>
                  </w:r>
                </w:p>
              </w:tc>
              <w:tc>
                <w:tcPr>
                  <w:tcW w:w="2062"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lang w:val="en-US" w:eastAsia="zh-CN"/>
                    </w:rPr>
                  </w:pPr>
                  <w:r>
                    <w:rPr>
                      <w:rFonts w:hint="eastAsia" w:cs="宋体"/>
                      <w:color w:val="auto"/>
                      <w:sz w:val="21"/>
                      <w:szCs w:val="24"/>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w:t>
                  </w:r>
                  <w:r>
                    <w:rPr>
                      <w:rFonts w:hint="eastAsia" w:ascii="Times New Roman" w:hAnsi="Times New Roman" w:eastAsia="宋体" w:cs="Times New Roman"/>
                      <w:color w:val="auto"/>
                      <w:sz w:val="21"/>
                      <w:szCs w:val="21"/>
                      <w:lang w:val="en-US" w:eastAsia="zh-CN" w:bidi="ar-SA"/>
                    </w:rPr>
                    <w:t>7</w:t>
                  </w:r>
                </w:p>
              </w:tc>
              <w:tc>
                <w:tcPr>
                  <w:tcW w:w="2870" w:type="dxa"/>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油墨</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千克/年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lang w:val="en-US" w:eastAsia="zh-CN"/>
                    </w:rPr>
                  </w:pPr>
                  <w:r>
                    <w:rPr>
                      <w:rFonts w:hint="eastAsia" w:ascii="Times New Roman" w:hAnsi="Times New Roman" w:eastAsia="宋体" w:cs="宋体"/>
                      <w:color w:val="auto"/>
                      <w:sz w:val="21"/>
                      <w:szCs w:val="24"/>
                      <w:lang w:val="en-US" w:eastAsia="zh-CN"/>
                    </w:rPr>
                    <w:t>3</w:t>
                  </w:r>
                  <w:r>
                    <w:rPr>
                      <w:rFonts w:hint="eastAsia" w:cs="宋体"/>
                      <w:color w:val="auto"/>
                      <w:sz w:val="21"/>
                      <w:szCs w:val="24"/>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1.9</w:t>
                  </w:r>
                </w:p>
              </w:tc>
              <w:tc>
                <w:tcPr>
                  <w:tcW w:w="2870"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highlight w:val="none"/>
                      <w:lang w:val="en-US" w:eastAsia="zh-CN" w:bidi="ar-SA"/>
                    </w:rPr>
                  </w:pPr>
                  <w:r>
                    <w:rPr>
                      <w:rFonts w:hint="eastAsia" w:ascii="Times New Roman" w:hAnsi="Times New Roman" w:eastAsia="宋体" w:cs="宋体"/>
                      <w:color w:val="auto"/>
                      <w:sz w:val="21"/>
                      <w:szCs w:val="22"/>
                      <w:highlight w:val="none"/>
                      <w:lang w:val="en-US" w:eastAsia="zh-CN" w:bidi="ar-SA"/>
                    </w:rPr>
                    <w:t>低烟无卤阻燃聚烯烃电缆料</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highlight w:val="none"/>
                      <w:lang w:val="en-US" w:eastAsia="zh-CN" w:bidi="ar-SA"/>
                    </w:rPr>
                  </w:pPr>
                  <w:r>
                    <w:rPr>
                      <w:rFonts w:hint="eastAsia" w:ascii="Times New Roman" w:hAnsi="Times New Roman" w:eastAsia="宋体" w:cs="宋体"/>
                      <w:color w:val="auto"/>
                      <w:sz w:val="21"/>
                      <w:szCs w:val="22"/>
                      <w:highlight w:val="none"/>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highlight w:val="none"/>
                      <w:lang w:val="en-US" w:eastAsia="zh-CN"/>
                    </w:rPr>
                  </w:pPr>
                  <w:r>
                    <w:rPr>
                      <w:rFonts w:hint="eastAsia" w:cs="宋体"/>
                      <w:color w:val="auto"/>
                      <w:sz w:val="21"/>
                      <w:szCs w:val="24"/>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1.10</w:t>
                  </w:r>
                </w:p>
              </w:tc>
              <w:tc>
                <w:tcPr>
                  <w:tcW w:w="2870" w:type="dxa"/>
                  <w:tcBorders>
                    <w:tl2br w:val="nil"/>
                    <w:tr2bl w:val="nil"/>
                  </w:tcBorders>
                  <w:noWrap w:val="0"/>
                  <w:vAlign w:val="top"/>
                </w:tcPr>
                <w:p>
                  <w:pPr>
                    <w:widowControl w:val="0"/>
                    <w:spacing w:line="360" w:lineRule="exact"/>
                    <w:ind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拉丝油</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4"/>
                      <w:lang w:val="en-US" w:eastAsia="zh-CN"/>
                    </w:rPr>
                  </w:pPr>
                  <w:r>
                    <w:rPr>
                      <w:rFonts w:hint="eastAsia" w:cs="宋体"/>
                      <w:color w:val="auto"/>
                      <w:sz w:val="21"/>
                      <w:szCs w:val="24"/>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1.11</w:t>
                  </w:r>
                </w:p>
              </w:tc>
              <w:tc>
                <w:tcPr>
                  <w:tcW w:w="2870" w:type="dxa"/>
                  <w:tcBorders>
                    <w:tl2br w:val="nil"/>
                    <w:tr2bl w:val="nil"/>
                  </w:tcBorders>
                  <w:noWrap w:val="0"/>
                  <w:vAlign w:val="top"/>
                </w:tcPr>
                <w:p>
                  <w:pPr>
                    <w:widowControl w:val="0"/>
                    <w:spacing w:line="360" w:lineRule="exact"/>
                    <w:ind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云母带</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2</w:t>
                  </w:r>
                </w:p>
              </w:tc>
              <w:tc>
                <w:tcPr>
                  <w:tcW w:w="7425" w:type="dxa"/>
                  <w:gridSpan w:val="3"/>
                  <w:tcBorders>
                    <w:tl2br w:val="nil"/>
                    <w:tr2bl w:val="nil"/>
                  </w:tcBorders>
                  <w:noWrap w:val="0"/>
                  <w:vAlign w:val="top"/>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电力电缆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2.1</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铜丝</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350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w:t>
                  </w:r>
                  <w:r>
                    <w:rPr>
                      <w:rFonts w:hint="default" w:ascii="Times New Roman" w:hAnsi="Times New Roman" w:eastAsia="宋体" w:cs="Times New Roman"/>
                      <w:color w:val="auto"/>
                      <w:sz w:val="21"/>
                      <w:szCs w:val="21"/>
                      <w:lang w:val="zh-CN" w:eastAsia="zh-CN" w:bidi="ar-SA"/>
                    </w:rPr>
                    <w:t>2</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铝丝</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w:t>
                  </w:r>
                  <w:r>
                    <w:rPr>
                      <w:rFonts w:hint="eastAsia" w:ascii="Times New Roman" w:hAnsi="Times New Roman" w:eastAsia="宋体" w:cs="Times New Roman"/>
                      <w:color w:val="auto"/>
                      <w:sz w:val="21"/>
                      <w:szCs w:val="21"/>
                      <w:lang w:val="en-US" w:eastAsia="zh-CN" w:bidi="ar-SA"/>
                    </w:rPr>
                    <w:t>3</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聚氯乙烯</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w:t>
                  </w:r>
                  <w:r>
                    <w:rPr>
                      <w:rFonts w:hint="eastAsia" w:ascii="Times New Roman" w:hAnsi="Times New Roman" w:eastAsia="宋体" w:cs="Times New Roman"/>
                      <w:color w:val="auto"/>
                      <w:sz w:val="21"/>
                      <w:szCs w:val="21"/>
                      <w:lang w:val="en-US" w:eastAsia="zh-CN" w:bidi="ar-SA"/>
                    </w:rPr>
                    <w:t>4</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rPr>
                    <w:t>聚乙烯</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w:t>
                  </w:r>
                  <w:r>
                    <w:rPr>
                      <w:rFonts w:hint="eastAsia" w:ascii="Times New Roman" w:hAnsi="Times New Roman" w:eastAsia="宋体" w:cs="Times New Roman"/>
                      <w:color w:val="auto"/>
                      <w:sz w:val="21"/>
                      <w:szCs w:val="21"/>
                      <w:lang w:val="en-US" w:eastAsia="zh-CN" w:bidi="ar-SA"/>
                    </w:rPr>
                    <w:t>5</w:t>
                  </w:r>
                </w:p>
              </w:tc>
              <w:tc>
                <w:tcPr>
                  <w:tcW w:w="2870"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2"/>
                      <w:lang w:val="en-US" w:eastAsia="zh-CN" w:bidi="ar-SA"/>
                    </w:rPr>
                    <w:t>钢带</w:t>
                  </w:r>
                </w:p>
              </w:tc>
              <w:tc>
                <w:tcPr>
                  <w:tcW w:w="2062"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w:t>
                  </w:r>
                  <w:r>
                    <w:rPr>
                      <w:rFonts w:hint="eastAsia" w:ascii="Times New Roman" w:hAnsi="Times New Roman" w:eastAsia="宋体" w:cs="Times New Roman"/>
                      <w:color w:val="auto"/>
                      <w:sz w:val="21"/>
                      <w:szCs w:val="21"/>
                      <w:lang w:val="en-US" w:eastAsia="zh-CN" w:bidi="ar-SA"/>
                    </w:rPr>
                    <w:t>6</w:t>
                  </w:r>
                </w:p>
              </w:tc>
              <w:tc>
                <w:tcPr>
                  <w:tcW w:w="2870"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2"/>
                      <w:lang w:val="en-US" w:eastAsia="zh-CN" w:bidi="ar-SA"/>
                    </w:rPr>
                    <w:t>无纺布</w:t>
                  </w:r>
                </w:p>
              </w:tc>
              <w:tc>
                <w:tcPr>
                  <w:tcW w:w="2062"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w:t>
                  </w:r>
                  <w:r>
                    <w:rPr>
                      <w:rFonts w:hint="eastAsia" w:ascii="Times New Roman" w:hAnsi="Times New Roman" w:eastAsia="宋体" w:cs="Times New Roman"/>
                      <w:color w:val="auto"/>
                      <w:sz w:val="21"/>
                      <w:szCs w:val="21"/>
                      <w:lang w:val="en-US" w:eastAsia="zh-CN" w:bidi="ar-SA"/>
                    </w:rPr>
                    <w:t>7</w:t>
                  </w:r>
                </w:p>
              </w:tc>
              <w:tc>
                <w:tcPr>
                  <w:tcW w:w="2870"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填充绳</w:t>
                  </w:r>
                </w:p>
              </w:tc>
              <w:tc>
                <w:tcPr>
                  <w:tcW w:w="2062"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w:t>
                  </w:r>
                  <w:r>
                    <w:rPr>
                      <w:rFonts w:hint="eastAsia" w:ascii="Times New Roman" w:hAnsi="Times New Roman" w:eastAsia="宋体" w:cs="Times New Roman"/>
                      <w:color w:val="auto"/>
                      <w:sz w:val="21"/>
                      <w:szCs w:val="21"/>
                      <w:lang w:val="en-US" w:eastAsia="zh-CN" w:bidi="ar-SA"/>
                    </w:rPr>
                    <w:t>8</w:t>
                  </w:r>
                </w:p>
              </w:tc>
              <w:tc>
                <w:tcPr>
                  <w:tcW w:w="2870"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油墨</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千克/年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2.9</w:t>
                  </w:r>
                </w:p>
              </w:tc>
              <w:tc>
                <w:tcPr>
                  <w:tcW w:w="2870"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低烟无卤阻燃聚烯烃电缆料</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120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2.10</w:t>
                  </w:r>
                </w:p>
              </w:tc>
              <w:tc>
                <w:tcPr>
                  <w:tcW w:w="2870"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拉丝油</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2.11</w:t>
                  </w:r>
                </w:p>
              </w:tc>
              <w:tc>
                <w:tcPr>
                  <w:tcW w:w="2870"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云母带</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3</w:t>
                  </w:r>
                </w:p>
              </w:tc>
              <w:tc>
                <w:tcPr>
                  <w:tcW w:w="7425" w:type="dxa"/>
                  <w:gridSpan w:val="3"/>
                  <w:tcBorders>
                    <w:tl2br w:val="nil"/>
                    <w:tr2bl w:val="nil"/>
                  </w:tcBorders>
                  <w:noWrap w:val="0"/>
                  <w:vAlign w:val="top"/>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控制电缆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cs="Times New Roman"/>
                      <w:color w:val="auto"/>
                      <w:sz w:val="21"/>
                      <w:szCs w:val="21"/>
                      <w:lang w:val="en-US" w:eastAsia="zh-CN" w:bidi="ar-SA"/>
                    </w:rPr>
                  </w:pPr>
                  <w:r>
                    <w:rPr>
                      <w:rFonts w:hint="eastAsia" w:cs="Times New Roman"/>
                      <w:color w:val="auto"/>
                      <w:sz w:val="21"/>
                      <w:szCs w:val="21"/>
                      <w:lang w:val="en-US" w:eastAsia="zh-CN" w:bidi="ar-SA"/>
                    </w:rPr>
                    <w:t>3.1</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cs="宋体"/>
                      <w:color w:val="auto"/>
                      <w:sz w:val="21"/>
                      <w:szCs w:val="22"/>
                      <w:lang w:val="en-US" w:eastAsia="zh-CN" w:bidi="ar-SA"/>
                    </w:rPr>
                  </w:pPr>
                  <w:r>
                    <w:rPr>
                      <w:rFonts w:hint="eastAsia" w:ascii="Times New Roman" w:hAnsi="Times New Roman" w:eastAsia="宋体" w:cs="Times New Roman"/>
                      <w:color w:val="auto"/>
                      <w:sz w:val="21"/>
                      <w:szCs w:val="21"/>
                      <w:lang w:val="en-US" w:eastAsia="zh-CN" w:bidi="ar-SA"/>
                    </w:rPr>
                    <w:t>铜丝</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宋体"/>
                      <w:color w:val="auto"/>
                      <w:sz w:val="21"/>
                      <w:szCs w:val="22"/>
                      <w:lang w:val="en-US" w:eastAsia="zh-CN" w:bidi="ar-SA"/>
                    </w:rPr>
                  </w:pPr>
                  <w:r>
                    <w:rPr>
                      <w:rFonts w:hint="default" w:ascii="Times New Roman" w:hAnsi="Times New Roman" w:eastAsia="宋体" w:cs="Times New Roman"/>
                      <w:color w:val="auto"/>
                      <w:sz w:val="21"/>
                      <w:szCs w:val="21"/>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3.2</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cs="宋体"/>
                      <w:color w:val="auto"/>
                      <w:sz w:val="21"/>
                      <w:szCs w:val="22"/>
                      <w:lang w:val="en-US" w:eastAsia="zh-CN" w:bidi="ar-SA"/>
                    </w:rPr>
                  </w:pPr>
                  <w:r>
                    <w:rPr>
                      <w:rFonts w:hint="eastAsia" w:cs="Times New Roman"/>
                      <w:color w:val="auto"/>
                      <w:sz w:val="21"/>
                      <w:szCs w:val="21"/>
                      <w:lang w:val="en-US" w:eastAsia="zh-CN" w:bidi="ar-SA"/>
                    </w:rPr>
                    <w:t>聚氯乙烯</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宋体"/>
                      <w:color w:val="auto"/>
                      <w:sz w:val="21"/>
                      <w:szCs w:val="22"/>
                      <w:lang w:val="en-US" w:eastAsia="zh-CN" w:bidi="ar-SA"/>
                    </w:rPr>
                  </w:pPr>
                  <w:r>
                    <w:rPr>
                      <w:rFonts w:hint="default" w:ascii="Times New Roman" w:hAnsi="Times New Roman" w:eastAsia="宋体" w:cs="Times New Roman"/>
                      <w:color w:val="auto"/>
                      <w:sz w:val="21"/>
                      <w:szCs w:val="21"/>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3.</w:t>
                  </w:r>
                  <w:r>
                    <w:rPr>
                      <w:rFonts w:hint="eastAsia" w:ascii="Times New Roman" w:hAnsi="Times New Roman" w:eastAsia="宋体" w:cs="Times New Roman"/>
                      <w:color w:val="auto"/>
                      <w:sz w:val="21"/>
                      <w:szCs w:val="21"/>
                      <w:lang w:val="en-US" w:eastAsia="zh-CN" w:bidi="ar-SA"/>
                    </w:rPr>
                    <w:t>3</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cs="宋体"/>
                      <w:color w:val="auto"/>
                      <w:sz w:val="21"/>
                      <w:szCs w:val="22"/>
                      <w:lang w:val="en-US" w:eastAsia="zh-CN" w:bidi="ar-SA"/>
                    </w:rPr>
                  </w:pPr>
                  <w:r>
                    <w:rPr>
                      <w:rFonts w:hint="eastAsia" w:ascii="Times New Roman" w:hAnsi="Times New Roman" w:eastAsia="宋体" w:cs="宋体"/>
                      <w:color w:val="auto"/>
                      <w:sz w:val="21"/>
                      <w:szCs w:val="24"/>
                      <w:lang w:val="en-US" w:eastAsia="zh-CN"/>
                    </w:rPr>
                    <w:t>聚乙烯</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宋体"/>
                      <w:color w:val="auto"/>
                      <w:sz w:val="21"/>
                      <w:szCs w:val="22"/>
                      <w:lang w:val="en-US" w:eastAsia="zh-CN" w:bidi="ar-SA"/>
                    </w:rPr>
                  </w:pPr>
                  <w:r>
                    <w:rPr>
                      <w:rFonts w:hint="default" w:ascii="Times New Roman" w:hAnsi="Times New Roman" w:eastAsia="宋体" w:cs="Times New Roman"/>
                      <w:color w:val="auto"/>
                      <w:sz w:val="21"/>
                      <w:szCs w:val="21"/>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3.</w:t>
                  </w:r>
                  <w:r>
                    <w:rPr>
                      <w:rFonts w:hint="eastAsia" w:ascii="Times New Roman" w:hAnsi="Times New Roman" w:eastAsia="宋体" w:cs="Times New Roman"/>
                      <w:color w:val="auto"/>
                      <w:sz w:val="21"/>
                      <w:szCs w:val="21"/>
                      <w:lang w:val="en-US" w:eastAsia="zh-CN" w:bidi="ar-SA"/>
                    </w:rPr>
                    <w:t>4</w:t>
                  </w:r>
                </w:p>
              </w:tc>
              <w:tc>
                <w:tcPr>
                  <w:tcW w:w="2870" w:type="dxa"/>
                  <w:tcBorders>
                    <w:tl2br w:val="nil"/>
                    <w:tr2bl w:val="nil"/>
                  </w:tcBorders>
                  <w:noWrap w:val="0"/>
                  <w:vAlign w:val="top"/>
                </w:tcPr>
                <w:p>
                  <w:pPr>
                    <w:widowControl w:val="0"/>
                    <w:spacing w:line="360" w:lineRule="exact"/>
                    <w:ind w:firstLine="0" w:firstLineChars="0"/>
                    <w:jc w:val="center"/>
                    <w:rPr>
                      <w:rFonts w:hint="eastAsia"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钢带</w:t>
                  </w:r>
                </w:p>
              </w:tc>
              <w:tc>
                <w:tcPr>
                  <w:tcW w:w="2062"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3.</w:t>
                  </w:r>
                  <w:r>
                    <w:rPr>
                      <w:rFonts w:hint="eastAsia" w:ascii="Times New Roman" w:hAnsi="Times New Roman" w:eastAsia="宋体" w:cs="Times New Roman"/>
                      <w:color w:val="auto"/>
                      <w:sz w:val="21"/>
                      <w:szCs w:val="21"/>
                      <w:lang w:val="en-US" w:eastAsia="zh-CN" w:bidi="ar-SA"/>
                    </w:rPr>
                    <w:t>5</w:t>
                  </w:r>
                </w:p>
              </w:tc>
              <w:tc>
                <w:tcPr>
                  <w:tcW w:w="2870" w:type="dxa"/>
                  <w:tcBorders>
                    <w:tl2br w:val="nil"/>
                    <w:tr2bl w:val="nil"/>
                  </w:tcBorders>
                  <w:noWrap w:val="0"/>
                  <w:vAlign w:val="top"/>
                </w:tcPr>
                <w:p>
                  <w:pPr>
                    <w:widowControl w:val="0"/>
                    <w:spacing w:line="360" w:lineRule="exact"/>
                    <w:ind w:firstLine="0" w:firstLineChars="0"/>
                    <w:jc w:val="center"/>
                    <w:rPr>
                      <w:rFonts w:hint="eastAsia"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无纺布</w:t>
                  </w:r>
                </w:p>
              </w:tc>
              <w:tc>
                <w:tcPr>
                  <w:tcW w:w="2062"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3.</w:t>
                  </w:r>
                  <w:r>
                    <w:rPr>
                      <w:rFonts w:hint="eastAsia" w:ascii="Times New Roman" w:hAnsi="Times New Roman" w:eastAsia="宋体" w:cs="Times New Roman"/>
                      <w:color w:val="auto"/>
                      <w:sz w:val="21"/>
                      <w:szCs w:val="21"/>
                      <w:lang w:val="en-US" w:eastAsia="zh-CN" w:bidi="ar-SA"/>
                    </w:rPr>
                    <w:t>6</w:t>
                  </w:r>
                </w:p>
              </w:tc>
              <w:tc>
                <w:tcPr>
                  <w:tcW w:w="2870" w:type="dxa"/>
                  <w:tcBorders>
                    <w:tl2br w:val="nil"/>
                    <w:tr2bl w:val="nil"/>
                  </w:tcBorders>
                  <w:noWrap w:val="0"/>
                  <w:vAlign w:val="top"/>
                </w:tcPr>
                <w:p>
                  <w:pPr>
                    <w:widowControl w:val="0"/>
                    <w:spacing w:line="360" w:lineRule="exact"/>
                    <w:ind w:firstLine="0" w:firstLineChars="0"/>
                    <w:jc w:val="center"/>
                    <w:rPr>
                      <w:rFonts w:hint="eastAsia"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填充绳</w:t>
                  </w:r>
                </w:p>
              </w:tc>
              <w:tc>
                <w:tcPr>
                  <w:tcW w:w="2062"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3.</w:t>
                  </w:r>
                  <w:r>
                    <w:rPr>
                      <w:rFonts w:hint="eastAsia" w:ascii="Times New Roman" w:hAnsi="Times New Roman" w:eastAsia="宋体" w:cs="Times New Roman"/>
                      <w:color w:val="auto"/>
                      <w:sz w:val="21"/>
                      <w:szCs w:val="21"/>
                      <w:lang w:val="en-US" w:eastAsia="zh-CN" w:bidi="ar-SA"/>
                    </w:rPr>
                    <w:t>7</w:t>
                  </w:r>
                </w:p>
              </w:tc>
              <w:tc>
                <w:tcPr>
                  <w:tcW w:w="2870" w:type="dxa"/>
                  <w:tcBorders>
                    <w:tl2br w:val="nil"/>
                    <w:tr2bl w:val="nil"/>
                  </w:tcBorders>
                  <w:noWrap w:val="0"/>
                  <w:vAlign w:val="center"/>
                </w:tcPr>
                <w:p>
                  <w:pPr>
                    <w:widowControl w:val="0"/>
                    <w:spacing w:line="360" w:lineRule="exact"/>
                    <w:ind w:firstLine="0" w:firstLineChars="0"/>
                    <w:jc w:val="center"/>
                    <w:rPr>
                      <w:rFonts w:hint="eastAsia"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油墨</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千克/年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3.</w:t>
                  </w:r>
                  <w:r>
                    <w:rPr>
                      <w:rFonts w:hint="eastAsia" w:ascii="Times New Roman" w:hAnsi="Times New Roman" w:eastAsia="宋体" w:cs="Times New Roman"/>
                      <w:color w:val="auto"/>
                      <w:sz w:val="21"/>
                      <w:szCs w:val="21"/>
                      <w:lang w:val="en-US" w:eastAsia="zh-CN" w:bidi="ar-SA"/>
                    </w:rPr>
                    <w:t>8</w:t>
                  </w:r>
                </w:p>
              </w:tc>
              <w:tc>
                <w:tcPr>
                  <w:tcW w:w="2870" w:type="dxa"/>
                  <w:tcBorders>
                    <w:tl2br w:val="nil"/>
                    <w:tr2bl w:val="nil"/>
                  </w:tcBorders>
                  <w:noWrap w:val="0"/>
                  <w:vAlign w:val="top"/>
                </w:tcPr>
                <w:p>
                  <w:pPr>
                    <w:widowControl w:val="0"/>
                    <w:spacing w:line="360" w:lineRule="exact"/>
                    <w:ind w:firstLine="0" w:firstLineChars="0"/>
                    <w:jc w:val="center"/>
                    <w:rPr>
                      <w:rFonts w:hint="eastAsia"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低烟无卤阻燃聚烯烃电缆料</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3.9</w:t>
                  </w:r>
                </w:p>
              </w:tc>
              <w:tc>
                <w:tcPr>
                  <w:tcW w:w="2870" w:type="dxa"/>
                  <w:tcBorders>
                    <w:tl2br w:val="nil"/>
                    <w:tr2bl w:val="nil"/>
                  </w:tcBorders>
                  <w:noWrap w:val="0"/>
                  <w:vAlign w:val="top"/>
                </w:tcPr>
                <w:p>
                  <w:pPr>
                    <w:widowControl w:val="0"/>
                    <w:spacing w:line="360" w:lineRule="exact"/>
                    <w:ind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拉丝油</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3.10</w:t>
                  </w:r>
                </w:p>
              </w:tc>
              <w:tc>
                <w:tcPr>
                  <w:tcW w:w="2870" w:type="dxa"/>
                  <w:tcBorders>
                    <w:tl2br w:val="nil"/>
                    <w:tr2bl w:val="nil"/>
                  </w:tcBorders>
                  <w:noWrap w:val="0"/>
                  <w:vAlign w:val="top"/>
                </w:tcPr>
                <w:p>
                  <w:pPr>
                    <w:widowControl w:val="0"/>
                    <w:spacing w:line="360" w:lineRule="exact"/>
                    <w:ind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云母带</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4</w:t>
                  </w:r>
                </w:p>
              </w:tc>
              <w:tc>
                <w:tcPr>
                  <w:tcW w:w="7425" w:type="dxa"/>
                  <w:gridSpan w:val="3"/>
                  <w:tcBorders>
                    <w:tl2br w:val="nil"/>
                    <w:tr2bl w:val="nil"/>
                  </w:tcBorders>
                  <w:noWrap w:val="0"/>
                  <w:vAlign w:val="top"/>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2"/>
                      <w:highlight w:val="none"/>
                      <w:lang w:val="en-US" w:eastAsia="zh-CN" w:bidi="ar-SA"/>
                    </w:rPr>
                  </w:pPr>
                  <w:r>
                    <w:rPr>
                      <w:rFonts w:hint="default" w:ascii="Times New Roman" w:hAnsi="Times New Roman" w:eastAsia="宋体" w:cs="宋体"/>
                      <w:color w:val="auto"/>
                      <w:sz w:val="21"/>
                      <w:szCs w:val="22"/>
                      <w:highlight w:val="none"/>
                      <w:lang w:val="en-US" w:eastAsia="zh-CN" w:bidi="ar-SA"/>
                    </w:rPr>
                    <w:t>架空绝缘电缆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4.1</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铝丝</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120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4.2</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rPr>
                    <w:t>聚乙烯</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4.3</w:t>
                  </w:r>
                </w:p>
              </w:tc>
              <w:tc>
                <w:tcPr>
                  <w:tcW w:w="2870"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油墨</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千克/年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4.</w:t>
                  </w:r>
                  <w:r>
                    <w:rPr>
                      <w:rFonts w:hint="eastAsia" w:ascii="Times New Roman" w:hAnsi="Times New Roman" w:eastAsia="宋体" w:cs="Times New Roman"/>
                      <w:color w:val="auto"/>
                      <w:sz w:val="21"/>
                      <w:szCs w:val="21"/>
                      <w:lang w:val="en-US" w:eastAsia="zh-CN" w:bidi="ar-SA"/>
                    </w:rPr>
                    <w:t>4</w:t>
                  </w:r>
                </w:p>
              </w:tc>
              <w:tc>
                <w:tcPr>
                  <w:tcW w:w="2870"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低烟无卤阻燃聚烯烃电缆料</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5</w:t>
                  </w:r>
                </w:p>
              </w:tc>
              <w:tc>
                <w:tcPr>
                  <w:tcW w:w="7425" w:type="dxa"/>
                  <w:gridSpan w:val="3"/>
                  <w:tcBorders>
                    <w:tl2br w:val="nil"/>
                    <w:tr2bl w:val="nil"/>
                  </w:tcBorders>
                  <w:noWrap w:val="0"/>
                  <w:vAlign w:val="top"/>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2"/>
                      <w:highlight w:val="none"/>
                      <w:lang w:val="en-US" w:eastAsia="zh-CN" w:bidi="ar-SA"/>
                    </w:rPr>
                  </w:pPr>
                  <w:r>
                    <w:rPr>
                      <w:rFonts w:hint="default" w:ascii="Times New Roman" w:hAnsi="Times New Roman" w:eastAsia="宋体" w:cs="宋体"/>
                      <w:color w:val="auto"/>
                      <w:sz w:val="21"/>
                      <w:szCs w:val="22"/>
                      <w:highlight w:val="none"/>
                      <w:lang w:val="en-US" w:eastAsia="zh-CN" w:bidi="ar-SA"/>
                    </w:rPr>
                    <w:t>一般用途导体电线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5.1</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铜丝</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w:t>
                  </w:r>
                  <w:r>
                    <w:rPr>
                      <w:rFonts w:hint="default" w:ascii="Times New Roman" w:hAnsi="Times New Roman" w:eastAsia="宋体" w:cs="Times New Roman"/>
                      <w:color w:val="auto"/>
                      <w:sz w:val="21"/>
                      <w:szCs w:val="21"/>
                      <w:lang w:val="zh-CN" w:eastAsia="zh-CN" w:bidi="ar-SA"/>
                    </w:rPr>
                    <w:t>2</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铝丝</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w:t>
                  </w:r>
                  <w:r>
                    <w:rPr>
                      <w:rFonts w:hint="eastAsia" w:ascii="Times New Roman" w:hAnsi="Times New Roman" w:eastAsia="宋体" w:cs="Times New Roman"/>
                      <w:color w:val="auto"/>
                      <w:sz w:val="21"/>
                      <w:szCs w:val="21"/>
                      <w:lang w:val="en-US" w:eastAsia="zh-CN" w:bidi="ar-SA"/>
                    </w:rPr>
                    <w:t>3</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聚氯乙烯</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w:t>
                  </w:r>
                  <w:r>
                    <w:rPr>
                      <w:rFonts w:hint="eastAsia" w:ascii="Times New Roman" w:hAnsi="Times New Roman" w:eastAsia="宋体" w:cs="Times New Roman"/>
                      <w:color w:val="auto"/>
                      <w:sz w:val="21"/>
                      <w:szCs w:val="21"/>
                      <w:lang w:val="en-US" w:eastAsia="zh-CN" w:bidi="ar-SA"/>
                    </w:rPr>
                    <w:t>4</w:t>
                  </w:r>
                </w:p>
              </w:tc>
              <w:tc>
                <w:tcPr>
                  <w:tcW w:w="2870" w:type="dxa"/>
                  <w:tcBorders>
                    <w:tl2br w:val="nil"/>
                    <w:tr2bl w:val="nil"/>
                  </w:tcBorders>
                  <w:noWrap w:val="0"/>
                  <w:vAlign w:val="center"/>
                </w:tcPr>
                <w:p>
                  <w:pPr>
                    <w:numPr>
                      <w:ilvl w:val="0"/>
                      <w:numId w:val="0"/>
                    </w:numPr>
                    <w:spacing w:beforeLines="0" w:afterLines="0"/>
                    <w:ind w:left="0" w:leftChars="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rPr>
                    <w:t>聚乙烯</w:t>
                  </w:r>
                </w:p>
              </w:tc>
              <w:tc>
                <w:tcPr>
                  <w:tcW w:w="206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zh-CN"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5.5</w:t>
                  </w:r>
                </w:p>
              </w:tc>
              <w:tc>
                <w:tcPr>
                  <w:tcW w:w="2870"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油墨</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千克/年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5.6</w:t>
                  </w:r>
                </w:p>
              </w:tc>
              <w:tc>
                <w:tcPr>
                  <w:tcW w:w="2870"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低烟无卤阻燃聚烯烃电缆料</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5.7</w:t>
                  </w:r>
                </w:p>
              </w:tc>
              <w:tc>
                <w:tcPr>
                  <w:tcW w:w="2870"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拉丝油</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9"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w:t>
                  </w:r>
                  <w:r>
                    <w:rPr>
                      <w:rFonts w:hint="eastAsia" w:ascii="Times New Roman" w:hAnsi="Times New Roman" w:eastAsia="宋体" w:cs="Times New Roman"/>
                      <w:color w:val="auto"/>
                      <w:sz w:val="21"/>
                      <w:szCs w:val="21"/>
                      <w:lang w:val="en-US" w:eastAsia="zh-CN" w:bidi="ar-SA"/>
                    </w:rPr>
                    <w:t>8</w:t>
                  </w:r>
                </w:p>
              </w:tc>
              <w:tc>
                <w:tcPr>
                  <w:tcW w:w="2870" w:type="dxa"/>
                  <w:tcBorders>
                    <w:tl2br w:val="nil"/>
                    <w:tr2bl w:val="nil"/>
                  </w:tcBorders>
                  <w:noWrap w:val="0"/>
                  <w:vAlign w:val="top"/>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云母带</w:t>
                  </w:r>
                </w:p>
              </w:tc>
              <w:tc>
                <w:tcPr>
                  <w:tcW w:w="2062"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吨/年</w:t>
                  </w:r>
                </w:p>
              </w:tc>
              <w:tc>
                <w:tcPr>
                  <w:tcW w:w="2493" w:type="dxa"/>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4"/>
                      <w:lang w:val="en-US" w:eastAsia="zh-CN"/>
                    </w:rPr>
                  </w:pPr>
                  <w:r>
                    <w:rPr>
                      <w:rFonts w:hint="eastAsia" w:cs="宋体"/>
                      <w:color w:val="auto"/>
                      <w:sz w:val="21"/>
                      <w:szCs w:val="24"/>
                      <w:lang w:val="en-US" w:eastAsia="zh-CN"/>
                    </w:rPr>
                    <w:t>8</w:t>
                  </w:r>
                </w:p>
              </w:tc>
            </w:tr>
          </w:tbl>
          <w:p>
            <w:pPr>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宋体"/>
                <w:lang w:val="zh-CN" w:eastAsia="zh-CN"/>
              </w:rPr>
            </w:pPr>
            <w:r>
              <w:rPr>
                <w:rFonts w:hint="eastAsia" w:ascii="Times New Roman" w:hAnsi="Times New Roman" w:eastAsia="宋体" w:cs="宋体"/>
                <w:lang w:val="en-US" w:eastAsia="zh-CN"/>
              </w:rPr>
              <w:t>①</w:t>
            </w:r>
            <w:r>
              <w:rPr>
                <w:rFonts w:hint="eastAsia" w:ascii="Times New Roman" w:hAnsi="Times New Roman" w:eastAsia="宋体" w:cs="Times New Roman"/>
                <w:b w:val="0"/>
                <w:bCs w:val="0"/>
                <w:color w:val="000000"/>
                <w:sz w:val="24"/>
                <w:szCs w:val="24"/>
                <w:highlight w:val="none"/>
                <w:lang w:val="en-US" w:eastAsia="zh-CN"/>
              </w:rPr>
              <w:t>主要原辅材料理化性质分析</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eastAsia" w:ascii="Times New Roman" w:hAnsi="Times New Roman" w:eastAsia="宋体" w:cs="宋体"/>
                <w:lang w:val="zh-CN" w:eastAsia="zh-CN"/>
              </w:rPr>
            </w:pPr>
            <w:r>
              <w:rPr>
                <w:rFonts w:hint="eastAsia" w:ascii="Times New Roman" w:hAnsi="Times New Roman" w:eastAsia="宋体" w:cs="宋体"/>
                <w:lang w:val="zh-CN" w:eastAsia="zh-CN"/>
              </w:rPr>
              <w:t>本项目原辅材料理化性见表</w:t>
            </w:r>
            <w:r>
              <w:rPr>
                <w:rFonts w:hint="eastAsia" w:ascii="Times New Roman" w:hAnsi="Times New Roman" w:eastAsia="宋体" w:cs="宋体"/>
                <w:lang w:val="en-US" w:eastAsia="zh-CN"/>
              </w:rPr>
              <w:t>2.3-</w:t>
            </w:r>
            <w:r>
              <w:rPr>
                <w:rFonts w:hint="eastAsia" w:cs="宋体"/>
                <w:lang w:val="en-US" w:eastAsia="zh-CN"/>
              </w:rPr>
              <w:t>3</w:t>
            </w:r>
            <w:r>
              <w:rPr>
                <w:rFonts w:hint="eastAsia" w:ascii="Times New Roman" w:hAnsi="Times New Roman" w:eastAsia="宋体" w:cs="宋体"/>
                <w:lang w:val="zh-CN" w:eastAsia="zh-CN"/>
              </w:rPr>
              <w:t>。</w:t>
            </w:r>
          </w:p>
          <w:p>
            <w:pPr>
              <w:widowControl w:val="0"/>
              <w:overflowPunct w:val="0"/>
              <w:autoSpaceDE w:val="0"/>
              <w:autoSpaceDN w:val="0"/>
              <w:adjustRightInd w:val="0"/>
              <w:snapToGrid w:val="0"/>
              <w:spacing w:before="0" w:after="0" w:line="360" w:lineRule="auto"/>
              <w:ind w:left="0" w:right="0" w:firstLine="0" w:firstLineChars="0"/>
              <w:jc w:val="center"/>
              <w:rPr>
                <w:rFonts w:ascii="Times New Roman" w:hAnsi="Times New Roman" w:eastAsia="宋体" w:cs="宋体"/>
                <w:b/>
                <w:color w:val="000000"/>
                <w:sz w:val="24"/>
                <w:szCs w:val="24"/>
                <w:lang w:val="en-US" w:eastAsia="zh-CN" w:bidi="ar-SA"/>
              </w:rPr>
            </w:pPr>
            <w:r>
              <w:rPr>
                <w:rFonts w:ascii="Times New Roman" w:hAnsi="Times New Roman" w:eastAsia="宋体" w:cs="宋体"/>
                <w:b/>
                <w:color w:val="000000"/>
                <w:sz w:val="24"/>
                <w:szCs w:val="24"/>
                <w:lang w:val="en-US" w:eastAsia="zh-CN" w:bidi="ar-SA"/>
              </w:rPr>
              <w:t>表</w:t>
            </w:r>
            <w:r>
              <w:rPr>
                <w:rFonts w:hint="eastAsia" w:ascii="Times New Roman" w:hAnsi="Times New Roman" w:eastAsia="宋体" w:cs="宋体"/>
                <w:b/>
                <w:color w:val="000000"/>
                <w:sz w:val="24"/>
                <w:szCs w:val="24"/>
                <w:lang w:val="en-US" w:eastAsia="zh-CN" w:bidi="ar-SA"/>
              </w:rPr>
              <w:t>2.3-</w:t>
            </w:r>
            <w:r>
              <w:rPr>
                <w:rFonts w:hint="eastAsia" w:cs="宋体"/>
                <w:b/>
                <w:color w:val="000000"/>
                <w:sz w:val="24"/>
                <w:szCs w:val="24"/>
                <w:lang w:val="en-US" w:eastAsia="zh-CN" w:bidi="ar-SA"/>
              </w:rPr>
              <w:t>3</w:t>
            </w:r>
            <w:r>
              <w:rPr>
                <w:rFonts w:ascii="Times New Roman" w:hAnsi="Times New Roman" w:eastAsia="宋体" w:cs="宋体"/>
                <w:b/>
                <w:color w:val="000000"/>
                <w:sz w:val="24"/>
                <w:szCs w:val="24"/>
                <w:lang w:val="en-US" w:eastAsia="zh-CN" w:bidi="ar-SA"/>
              </w:rPr>
              <w:t>本项目</w:t>
            </w:r>
            <w:r>
              <w:rPr>
                <w:rFonts w:hint="eastAsia" w:ascii="Times New Roman" w:hAnsi="Times New Roman" w:eastAsia="宋体" w:cs="宋体"/>
                <w:b/>
                <w:color w:val="000000"/>
                <w:sz w:val="24"/>
                <w:szCs w:val="24"/>
                <w:lang w:val="en-US" w:eastAsia="zh-CN" w:bidi="ar-SA"/>
              </w:rPr>
              <w:t>聚乙烯原料</w:t>
            </w:r>
            <w:r>
              <w:rPr>
                <w:rFonts w:hint="eastAsia" w:ascii="Times New Roman" w:hAnsi="Times New Roman" w:eastAsia="宋体" w:cs="宋体"/>
                <w:b/>
                <w:color w:val="000000"/>
                <w:sz w:val="24"/>
                <w:szCs w:val="24"/>
                <w:lang w:val="zh-CN" w:eastAsia="zh-CN" w:bidi="ar-SA"/>
              </w:rPr>
              <w:t>理化性</w:t>
            </w:r>
            <w:r>
              <w:rPr>
                <w:rFonts w:ascii="Times New Roman" w:hAnsi="Times New Roman" w:eastAsia="宋体" w:cs="宋体"/>
                <w:b/>
                <w:color w:val="000000"/>
                <w:sz w:val="24"/>
                <w:szCs w:val="24"/>
                <w:lang w:val="en-US" w:eastAsia="zh-CN" w:bidi="ar-SA"/>
              </w:rPr>
              <w:t>一览表</w:t>
            </w:r>
          </w:p>
          <w:tbl>
            <w:tblPr>
              <w:tblStyle w:val="1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64"/>
              <w:gridCol w:w="287"/>
              <w:gridCol w:w="317"/>
              <w:gridCol w:w="338"/>
              <w:gridCol w:w="1808"/>
              <w:gridCol w:w="37"/>
              <w:gridCol w:w="1549"/>
              <w:gridCol w:w="865"/>
              <w:gridCol w:w="223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201" w:type="dxa"/>
                  <w:gridSpan w:val="9"/>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标识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56" w:type="dxa"/>
                  <w:gridSpan w:val="2"/>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中文名</w:t>
                  </w:r>
                </w:p>
              </w:tc>
              <w:tc>
                <w:tcPr>
                  <w:tcW w:w="2665" w:type="dxa"/>
                  <w:gridSpan w:val="3"/>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聚乙烯</w:t>
                  </w:r>
                </w:p>
              </w:tc>
              <w:tc>
                <w:tcPr>
                  <w:tcW w:w="1712" w:type="dxa"/>
                  <w:gridSpan w:val="2"/>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英文名</w:t>
                  </w:r>
                </w:p>
              </w:tc>
              <w:tc>
                <w:tcPr>
                  <w:tcW w:w="3368" w:type="dxa"/>
                  <w:gridSpan w:val="2"/>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polyethylene</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56" w:type="dxa"/>
                  <w:gridSpan w:val="2"/>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CAS号</w:t>
                  </w:r>
                </w:p>
              </w:tc>
              <w:tc>
                <w:tcPr>
                  <w:tcW w:w="2665" w:type="dxa"/>
                  <w:gridSpan w:val="3"/>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9002-88-4</w:t>
                  </w:r>
                </w:p>
              </w:tc>
              <w:tc>
                <w:tcPr>
                  <w:tcW w:w="1712" w:type="dxa"/>
                  <w:gridSpan w:val="2"/>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危险性类别</w:t>
                  </w:r>
                </w:p>
              </w:tc>
              <w:tc>
                <w:tcPr>
                  <w:tcW w:w="3368" w:type="dxa"/>
                  <w:gridSpan w:val="2"/>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201" w:type="dxa"/>
                  <w:gridSpan w:val="9"/>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危险特性与灭火方法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4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危险特性</w:t>
                  </w:r>
                </w:p>
              </w:tc>
              <w:tc>
                <w:tcPr>
                  <w:tcW w:w="8059" w:type="dxa"/>
                  <w:gridSpan w:val="8"/>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受热分解放出易燃气体能与空气形成爆炸性混合物。粉体与空气可形成爆炸性混合物, 当达到一定浓度时, 遇火星会发生爆炸。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42"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灭火方法</w:t>
                  </w:r>
                </w:p>
              </w:tc>
              <w:tc>
                <w:tcPr>
                  <w:tcW w:w="8059" w:type="dxa"/>
                  <w:gridSpan w:val="8"/>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尽可能将容器从火场移至空旷处。灭火剂：雾状水、泡沫、干粉、二氧化碳、砂土。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201" w:type="dxa"/>
                  <w:gridSpan w:val="9"/>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防护措施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0" w:type="dxa"/>
                  <w:gridSpan w:val="3"/>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工程控制</w:t>
                  </w:r>
                </w:p>
              </w:tc>
              <w:tc>
                <w:tcPr>
                  <w:tcW w:w="7401" w:type="dxa"/>
                  <w:gridSpan w:val="6"/>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密闭操作。提供良好的自然通风条件。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0" w:type="dxa"/>
                  <w:gridSpan w:val="3"/>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呼吸系统防护</w:t>
                  </w:r>
                </w:p>
              </w:tc>
              <w:tc>
                <w:tcPr>
                  <w:tcW w:w="7401" w:type="dxa"/>
                  <w:gridSpan w:val="6"/>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空气中粉尘浓度较高时，建议佩戴自吸过滤式防尘口罩。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0" w:type="dxa"/>
                  <w:gridSpan w:val="3"/>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眼睛防护</w:t>
                  </w:r>
                </w:p>
              </w:tc>
              <w:tc>
                <w:tcPr>
                  <w:tcW w:w="7401" w:type="dxa"/>
                  <w:gridSpan w:val="6"/>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戴化学安全防护眼镜。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0" w:type="dxa"/>
                  <w:gridSpan w:val="3"/>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身体防护</w:t>
                  </w:r>
                </w:p>
              </w:tc>
              <w:tc>
                <w:tcPr>
                  <w:tcW w:w="7401" w:type="dxa"/>
                  <w:gridSpan w:val="6"/>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穿一般作业防护服。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0" w:type="dxa"/>
                  <w:gridSpan w:val="3"/>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手防护</w:t>
                  </w:r>
                </w:p>
              </w:tc>
              <w:tc>
                <w:tcPr>
                  <w:tcW w:w="7401" w:type="dxa"/>
                  <w:gridSpan w:val="6"/>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戴一般作业防护手套。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0" w:type="dxa"/>
                  <w:gridSpan w:val="3"/>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其它</w:t>
                  </w:r>
                </w:p>
              </w:tc>
              <w:tc>
                <w:tcPr>
                  <w:tcW w:w="7401" w:type="dxa"/>
                  <w:gridSpan w:val="6"/>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工作现场严禁吸烟。保持良好的卫生习惯。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201" w:type="dxa"/>
                  <w:gridSpan w:val="9"/>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理化性质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66" w:type="dxa"/>
                  <w:gridSpan w:val="4"/>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闪点（℃）</w:t>
                  </w:r>
                </w:p>
              </w:tc>
              <w:tc>
                <w:tcPr>
                  <w:tcW w:w="1995" w:type="dxa"/>
                  <w:gridSpan w:val="2"/>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无资料</w:t>
                  </w:r>
                </w:p>
              </w:tc>
              <w:tc>
                <w:tcPr>
                  <w:tcW w:w="2616" w:type="dxa"/>
                  <w:gridSpan w:val="2"/>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引燃温度（℃）</w:t>
                  </w:r>
                </w:p>
              </w:tc>
              <w:tc>
                <w:tcPr>
                  <w:tcW w:w="2424"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450(粉云)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66" w:type="dxa"/>
                  <w:gridSpan w:val="4"/>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爆炸上限％（V/V）</w:t>
                  </w:r>
                </w:p>
              </w:tc>
              <w:tc>
                <w:tcPr>
                  <w:tcW w:w="1995" w:type="dxa"/>
                  <w:gridSpan w:val="2"/>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无资料</w:t>
                  </w:r>
                </w:p>
              </w:tc>
              <w:tc>
                <w:tcPr>
                  <w:tcW w:w="2616" w:type="dxa"/>
                  <w:gridSpan w:val="2"/>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爆炸下限％（V/V）</w:t>
                  </w:r>
                </w:p>
              </w:tc>
              <w:tc>
                <w:tcPr>
                  <w:tcW w:w="2424" w:type="dxa"/>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10(g/m</w:t>
                  </w:r>
                  <w:r>
                    <w:rPr>
                      <w:rFonts w:hint="default" w:ascii="Times New Roman" w:hAnsi="Times New Roman" w:eastAsia="宋体" w:cs="Times New Roman"/>
                      <w:color w:val="auto"/>
                      <w:sz w:val="21"/>
                      <w:szCs w:val="21"/>
                      <w:vertAlign w:val="superscript"/>
                      <w:lang w:val="zh-CN" w:eastAsia="zh-CN" w:bidi="ar-SA"/>
                    </w:rPr>
                    <w:t>3</w:t>
                  </w:r>
                  <w:r>
                    <w:rPr>
                      <w:rFonts w:hint="default" w:ascii="Times New Roman" w:hAnsi="Times New Roman" w:eastAsia="宋体" w:cs="Times New Roman"/>
                      <w:color w:val="auto"/>
                      <w:sz w:val="21"/>
                      <w:szCs w:val="21"/>
                      <w:lang w:val="zh-CN"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66" w:type="dxa"/>
                  <w:gridSpan w:val="4"/>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溶解性</w:t>
                  </w:r>
                </w:p>
              </w:tc>
              <w:tc>
                <w:tcPr>
                  <w:tcW w:w="7035" w:type="dxa"/>
                  <w:gridSpan w:val="5"/>
                  <w:tcBorders>
                    <w:tl2br w:val="nil"/>
                    <w:tr2bl w:val="nil"/>
                  </w:tcBorders>
                  <w:noWrap w:val="0"/>
                  <w:vAlign w:val="center"/>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不溶于多数有机溶剂，微溶于热甲苯、乙酸等。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201" w:type="dxa"/>
                  <w:gridSpan w:val="9"/>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操作处置注意事项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201" w:type="dxa"/>
                  <w:gridSpan w:val="9"/>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密闭操作。密闭操作，提供良好的自然通风条件。操作人员必须经过专门培训，严格遵守操作规程。建议操作人员佩戴自吸过滤式防尘口罩，戴化学安全防护眼镜。远离火种、热源，工作场所严禁吸烟。使用防爆型的通风系统和设备。避免产生粉尘。避免与氧化剂接触。搬运时要轻装轻卸，防止包装及容器损坏。配备相应品种和数量的消防器材及泄漏应急处理设备。倒空的容器可能残留有害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201" w:type="dxa"/>
                  <w:gridSpan w:val="9"/>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泄漏应急处理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201" w:type="dxa"/>
                  <w:gridSpan w:val="9"/>
                  <w:tcBorders>
                    <w:tl2br w:val="nil"/>
                    <w:tr2bl w:val="nil"/>
                  </w:tcBorders>
                  <w:noWrap w:val="0"/>
                  <w:vAlign w:val="top"/>
                </w:tcPr>
                <w:p>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隔离泄漏污染区，限制出入。切断火源。建议应急处理人员戴防尘面具（全面罩），穿一般作业工作服。避免扬尘，小心扫起，置于袋中转移至安全场所。若大量泄漏，用塑料布、帆布覆盖。收集回收或运至废物处理场所处置。</w:t>
                  </w:r>
                </w:p>
              </w:tc>
            </w:tr>
          </w:tbl>
          <w:p>
            <w:pPr>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本项目其他原辅材料理化性质见下表。</w:t>
            </w:r>
          </w:p>
          <w:p>
            <w:pPr>
              <w:widowControl w:val="0"/>
              <w:overflowPunct w:val="0"/>
              <w:autoSpaceDE w:val="0"/>
              <w:autoSpaceDN w:val="0"/>
              <w:adjustRightInd w:val="0"/>
              <w:snapToGrid w:val="0"/>
              <w:spacing w:before="0" w:after="0" w:line="360" w:lineRule="auto"/>
              <w:ind w:left="0" w:right="0" w:firstLine="0" w:firstLineChars="0"/>
              <w:jc w:val="center"/>
              <w:rPr>
                <w:rFonts w:ascii="Times New Roman" w:hAnsi="Times New Roman" w:eastAsia="宋体" w:cs="宋体"/>
                <w:b/>
                <w:color w:val="000000"/>
                <w:sz w:val="24"/>
                <w:szCs w:val="24"/>
                <w:lang w:val="en-US" w:eastAsia="zh-CN" w:bidi="ar-SA"/>
              </w:rPr>
            </w:pPr>
            <w:r>
              <w:rPr>
                <w:rFonts w:ascii="Times New Roman" w:hAnsi="Times New Roman" w:eastAsia="宋体" w:cs="宋体"/>
                <w:b/>
                <w:color w:val="000000"/>
                <w:sz w:val="24"/>
                <w:szCs w:val="24"/>
                <w:lang w:val="en-US" w:eastAsia="zh-CN" w:bidi="ar-SA"/>
              </w:rPr>
              <w:t>表</w:t>
            </w:r>
            <w:r>
              <w:rPr>
                <w:rFonts w:hint="eastAsia" w:ascii="Times New Roman" w:hAnsi="Times New Roman" w:eastAsia="宋体" w:cs="宋体"/>
                <w:b/>
                <w:color w:val="000000"/>
                <w:sz w:val="24"/>
                <w:szCs w:val="24"/>
                <w:lang w:val="en-US" w:eastAsia="zh-CN" w:bidi="ar-SA"/>
              </w:rPr>
              <w:t>2.3-</w:t>
            </w:r>
            <w:r>
              <w:rPr>
                <w:rFonts w:hint="eastAsia" w:cs="宋体"/>
                <w:b/>
                <w:color w:val="000000"/>
                <w:sz w:val="24"/>
                <w:szCs w:val="24"/>
                <w:lang w:val="en-US" w:eastAsia="zh-CN" w:bidi="ar-SA"/>
              </w:rPr>
              <w:t>4</w:t>
            </w:r>
            <w:r>
              <w:rPr>
                <w:rFonts w:ascii="Times New Roman" w:hAnsi="Times New Roman" w:eastAsia="宋体" w:cs="宋体"/>
                <w:b/>
                <w:color w:val="000000"/>
                <w:sz w:val="24"/>
                <w:szCs w:val="24"/>
                <w:lang w:val="en-US" w:eastAsia="zh-CN" w:bidi="ar-SA"/>
              </w:rPr>
              <w:t>本项目</w:t>
            </w:r>
            <w:r>
              <w:rPr>
                <w:rFonts w:hint="eastAsia" w:ascii="Times New Roman" w:hAnsi="Times New Roman" w:eastAsia="宋体" w:cs="宋体"/>
                <w:b/>
                <w:color w:val="000000"/>
                <w:sz w:val="24"/>
                <w:szCs w:val="24"/>
                <w:lang w:val="en-US" w:eastAsia="zh-CN" w:bidi="ar-SA"/>
              </w:rPr>
              <w:t>原辅材料</w:t>
            </w:r>
            <w:r>
              <w:rPr>
                <w:rFonts w:hint="eastAsia" w:ascii="Times New Roman" w:hAnsi="Times New Roman" w:eastAsia="宋体" w:cs="宋体"/>
                <w:b/>
                <w:color w:val="000000"/>
                <w:sz w:val="24"/>
                <w:szCs w:val="24"/>
                <w:lang w:val="zh-CN" w:eastAsia="zh-CN" w:bidi="ar-SA"/>
              </w:rPr>
              <w:t>理化性</w:t>
            </w:r>
            <w:r>
              <w:rPr>
                <w:rFonts w:ascii="Times New Roman" w:hAnsi="Times New Roman" w:eastAsia="宋体" w:cs="宋体"/>
                <w:b/>
                <w:color w:val="000000"/>
                <w:sz w:val="24"/>
                <w:szCs w:val="24"/>
                <w:lang w:val="en-US" w:eastAsia="zh-CN" w:bidi="ar-SA"/>
              </w:rPr>
              <w:t>一览表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74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3"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名称</w:t>
                  </w:r>
                </w:p>
              </w:tc>
              <w:tc>
                <w:tcPr>
                  <w:tcW w:w="4366"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性质及其组分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3"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cs="宋体"/>
                      <w:b w:val="0"/>
                      <w:bCs w:val="0"/>
                      <w:sz w:val="21"/>
                      <w:szCs w:val="22"/>
                      <w:lang w:val="en-US" w:eastAsia="zh-CN" w:bidi="ar-SA"/>
                    </w:rPr>
                  </w:pPr>
                  <w:r>
                    <w:rPr>
                      <w:rFonts w:hint="eastAsia" w:cs="宋体"/>
                      <w:b w:val="0"/>
                      <w:bCs w:val="0"/>
                      <w:sz w:val="21"/>
                      <w:szCs w:val="22"/>
                      <w:lang w:val="en-US" w:eastAsia="zh-CN" w:bidi="ar-SA"/>
                    </w:rPr>
                    <w:t>聚氯乙烯</w:t>
                  </w:r>
                  <w:r>
                    <w:rPr>
                      <w:rFonts w:hint="default" w:cs="宋体"/>
                      <w:b w:val="0"/>
                      <w:bCs w:val="0"/>
                      <w:sz w:val="21"/>
                      <w:szCs w:val="22"/>
                      <w:lang w:val="en-US" w:eastAsia="zh-CN" w:bidi="ar-SA"/>
                    </w:rPr>
                    <w:t xml:space="preserve"> </w:t>
                  </w:r>
                </w:p>
              </w:tc>
              <w:tc>
                <w:tcPr>
                  <w:tcW w:w="4366"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cs="宋体"/>
                      <w:b w:val="0"/>
                      <w:bCs w:val="0"/>
                      <w:sz w:val="21"/>
                      <w:szCs w:val="22"/>
                      <w:lang w:val="en-US" w:eastAsia="zh-CN" w:bidi="ar-SA"/>
                    </w:rPr>
                  </w:pPr>
                  <w:r>
                    <w:rPr>
                      <w:rFonts w:hint="default" w:cs="宋体"/>
                      <w:b w:val="0"/>
                      <w:bCs w:val="0"/>
                      <w:sz w:val="21"/>
                      <w:szCs w:val="22"/>
                      <w:lang w:val="en-US" w:eastAsia="zh-CN" w:bidi="ar-SA"/>
                    </w:rPr>
                    <w:t>聚氯乙烯（Polyvinyl chloride），英文简称 PVC，是氯乙烯单体（VCM）在过氧化物、偶氮化合物等引发剂或在光、热作用下按自由基聚合反应机理聚合而的聚合物。氯乙烯均聚物和氯乙烯共聚物统称之为氯乙烯树脂。PVC为无定型结构的白色粉末，支化度较小。工业生产的PVC分子量一般在5万-12万范围内，具有较大的多分散性。分子量随着聚合温度降低而增加；无固定熔点</w:t>
                  </w:r>
                  <w:r>
                    <w:rPr>
                      <w:rFonts w:hint="eastAsia" w:cs="宋体"/>
                      <w:b w:val="0"/>
                      <w:bCs w:val="0"/>
                      <w:sz w:val="21"/>
                      <w:szCs w:val="22"/>
                      <w:lang w:val="en-US" w:eastAsia="zh-CN" w:bidi="ar-SA"/>
                    </w:rPr>
                    <w:t>，</w:t>
                  </w:r>
                  <w:r>
                    <w:rPr>
                      <w:rFonts w:hint="default" w:cs="宋体"/>
                      <w:b w:val="0"/>
                      <w:bCs w:val="0"/>
                      <w:sz w:val="21"/>
                      <w:szCs w:val="22"/>
                      <w:lang w:val="en-US" w:eastAsia="zh-CN" w:bidi="ar-SA"/>
                    </w:rPr>
                    <w:t>80-85℃开始软化，130℃变为粘弹态，160-180℃开始转变为粘流态。有较好的机械性能，抗张强度60MPa左右，冲击强度5千-10千焦/平方米，有优异的介电性能，但对光和热的稳定性差，在实际应用中心须加入稳定剂以提高对热和光的稳定性。PVC溶解性差，只能溶于环己酮、二氯乙烷和四氢呋喃等溶剂中，对有机和无机酸、碱、盐均稳定，化学稳定性随使用温度的升高而降低。具有难燃，耐酸性，抗微生物、耐磨并具有较好的保暖性和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3"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right="0" w:firstLine="0" w:firstLineChars="0"/>
                    <w:jc w:val="both"/>
                    <w:rPr>
                      <w:rFonts w:hint="default" w:cs="宋体"/>
                      <w:b w:val="0"/>
                      <w:bCs w:val="0"/>
                      <w:sz w:val="21"/>
                      <w:szCs w:val="22"/>
                      <w:lang w:val="en-US" w:eastAsia="zh-CN" w:bidi="ar-SA"/>
                    </w:rPr>
                  </w:pPr>
                  <w:r>
                    <w:rPr>
                      <w:rFonts w:hint="default" w:cs="宋体"/>
                      <w:b w:val="0"/>
                      <w:bCs w:val="0"/>
                      <w:sz w:val="21"/>
                      <w:szCs w:val="22"/>
                      <w:lang w:val="en-US" w:eastAsia="zh-CN" w:bidi="ar-SA"/>
                    </w:rPr>
                    <w:t>低烟无卤阻燃聚烯烃电缆料</w:t>
                  </w:r>
                </w:p>
              </w:tc>
              <w:tc>
                <w:tcPr>
                  <w:tcW w:w="4366"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cs="宋体"/>
                      <w:b w:val="0"/>
                      <w:bCs w:val="0"/>
                      <w:sz w:val="21"/>
                      <w:szCs w:val="22"/>
                      <w:lang w:val="en-US" w:eastAsia="zh-CN" w:bidi="ar-SA"/>
                    </w:rPr>
                  </w:pPr>
                  <w:r>
                    <w:rPr>
                      <w:rFonts w:hint="default" w:cs="宋体"/>
                      <w:b w:val="0"/>
                      <w:bCs w:val="0"/>
                      <w:sz w:val="21"/>
                      <w:szCs w:val="22"/>
                      <w:lang w:val="en-US" w:eastAsia="zh-CN" w:bidi="ar-SA"/>
                    </w:rPr>
                    <w:t>低烟无卤阻燃聚烯电缆料通常由聚烯烃共混树脂加阻燃填充剂氢氧化铝、氢氧化镁和一些为了提高耐热寿命而添加的适量抗氧剂组合而成，形态为颗粒状。除具有阻燃性外，还具有低烟、无卤、低腐蚀、低毒等特性。融化温度90°C~150°C ，分解温度在200℃以上</w:t>
                  </w:r>
                  <w:r>
                    <w:rPr>
                      <w:rFonts w:hint="eastAsia" w:cs="宋体"/>
                      <w:b w:val="0"/>
                      <w:bCs w:val="0"/>
                      <w:sz w:val="21"/>
                      <w:szCs w:val="22"/>
                      <w:lang w:val="en-US" w:eastAsia="zh-CN" w:bidi="ar-SA"/>
                    </w:rPr>
                    <w:t>。</w:t>
                  </w:r>
                  <w:r>
                    <w:rPr>
                      <w:rFonts w:hint="default" w:cs="宋体"/>
                      <w:b w:val="0"/>
                      <w:bCs w:val="0"/>
                      <w:sz w:val="21"/>
                      <w:szCs w:val="22"/>
                      <w:lang w:val="en-US" w:eastAsia="zh-CN" w:bidi="ar-SA"/>
                    </w:rPr>
                    <w:t>通常用于阻燃电线电缆用普通绝缘料。不属于危险化学品。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3"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cs="宋体"/>
                      <w:b w:val="0"/>
                      <w:bCs w:val="0"/>
                      <w:sz w:val="21"/>
                      <w:szCs w:val="22"/>
                      <w:lang w:val="en-US" w:eastAsia="zh-CN" w:bidi="ar-SA"/>
                    </w:rPr>
                  </w:pPr>
                  <w:r>
                    <w:rPr>
                      <w:rFonts w:hint="eastAsia" w:cs="宋体"/>
                      <w:b w:val="0"/>
                      <w:bCs w:val="0"/>
                      <w:sz w:val="21"/>
                      <w:szCs w:val="22"/>
                      <w:lang w:val="en-US" w:eastAsia="zh-CN" w:bidi="ar-SA"/>
                    </w:rPr>
                    <w:t>油墨</w:t>
                  </w:r>
                </w:p>
              </w:tc>
              <w:tc>
                <w:tcPr>
                  <w:tcW w:w="4366"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cs="宋体"/>
                      <w:b w:val="0"/>
                      <w:bCs w:val="0"/>
                      <w:sz w:val="21"/>
                      <w:szCs w:val="22"/>
                      <w:lang w:val="en-US" w:eastAsia="zh-CN" w:bidi="ar-SA"/>
                    </w:rPr>
                  </w:pPr>
                  <w:r>
                    <w:rPr>
                      <w:rFonts w:hint="default" w:cs="宋体"/>
                      <w:b w:val="0"/>
                      <w:bCs w:val="0"/>
                      <w:sz w:val="21"/>
                      <w:szCs w:val="22"/>
                      <w:lang w:val="en-US" w:eastAsia="zh-CN" w:bidi="ar-SA"/>
                    </w:rPr>
                    <w:t>油墨：项目油墨采用盒装即用状态溶剂型油墨，未拆封时处于完全密封形式，主要成分为溶剂（</w:t>
                  </w:r>
                  <w:r>
                    <w:rPr>
                      <w:rFonts w:hint="eastAsia" w:cs="宋体"/>
                      <w:b w:val="0"/>
                      <w:bCs w:val="0"/>
                      <w:sz w:val="21"/>
                      <w:szCs w:val="22"/>
                      <w:lang w:val="en-US" w:eastAsia="zh-CN" w:bidi="ar-SA"/>
                    </w:rPr>
                    <w:t>丁酮55%-65%</w:t>
                  </w:r>
                  <w:r>
                    <w:rPr>
                      <w:rFonts w:hint="default" w:cs="宋体"/>
                      <w:b w:val="0"/>
                      <w:bCs w:val="0"/>
                      <w:sz w:val="21"/>
                      <w:szCs w:val="22"/>
                      <w:lang w:val="en-US" w:eastAsia="zh-CN" w:bidi="ar-SA"/>
                    </w:rPr>
                    <w:t>）、树脂、</w:t>
                  </w:r>
                  <w:r>
                    <w:rPr>
                      <w:rFonts w:hint="eastAsia" w:cs="宋体"/>
                      <w:b w:val="0"/>
                      <w:bCs w:val="0"/>
                      <w:sz w:val="21"/>
                      <w:szCs w:val="22"/>
                      <w:lang w:val="en-US" w:eastAsia="zh-CN" w:bidi="ar-SA"/>
                    </w:rPr>
                    <w:t>导电剂（树脂、导电剂共35%-45%）</w:t>
                  </w:r>
                  <w:r>
                    <w:rPr>
                      <w:rFonts w:hint="default" w:cs="宋体"/>
                      <w:b w:val="0"/>
                      <w:bCs w:val="0"/>
                      <w:sz w:val="21"/>
                      <w:szCs w:val="22"/>
                      <w:lang w:val="en-US" w:eastAsia="zh-CN" w:bidi="ar-SA"/>
                    </w:rPr>
                    <w:t>。</w:t>
                  </w:r>
                  <w:r>
                    <w:rPr>
                      <w:rFonts w:hint="eastAsia" w:cs="宋体"/>
                      <w:b w:val="0"/>
                      <w:bCs w:val="0"/>
                      <w:sz w:val="21"/>
                      <w:szCs w:val="22"/>
                      <w:lang w:val="en-US" w:eastAsia="zh-CN" w:bidi="ar-SA"/>
                    </w:rPr>
                    <w:t>黑色液体，溶于水、乙醇、乙醚，可混溶于油类，</w:t>
                  </w:r>
                  <w:r>
                    <w:rPr>
                      <w:rFonts w:hint="default" w:ascii="Times New Roman" w:hAnsi="Times New Roman" w:cs="Times New Roman"/>
                      <w:b w:val="0"/>
                      <w:bCs w:val="0"/>
                      <w:sz w:val="21"/>
                      <w:szCs w:val="22"/>
                      <w:lang w:val="en-US" w:eastAsia="zh-CN" w:bidi="ar-SA"/>
                    </w:rPr>
                    <w:t>熔点428℃</w:t>
                  </w:r>
                  <w:r>
                    <w:rPr>
                      <w:rFonts w:hint="eastAsia" w:cs="Times New Roman"/>
                      <w:b w:val="0"/>
                      <w:bCs w:val="0"/>
                      <w:sz w:val="21"/>
                      <w:szCs w:val="22"/>
                      <w:lang w:val="en-US" w:eastAsia="zh-CN" w:bidi="ar-SA"/>
                    </w:rPr>
                    <w:t>，</w:t>
                  </w:r>
                  <w:r>
                    <w:rPr>
                      <w:rFonts w:hint="default" w:ascii="Times New Roman" w:hAnsi="Times New Roman" w:cs="Times New Roman"/>
                      <w:b w:val="0"/>
                      <w:bCs w:val="0"/>
                      <w:sz w:val="21"/>
                      <w:szCs w:val="22"/>
                      <w:lang w:val="en-US" w:eastAsia="zh-CN" w:bidi="ar-SA"/>
                    </w:rPr>
                    <w:t>比重（水=1）：0.786（25℃/4℃），理化性质见附件。</w:t>
                  </w:r>
                  <w:r>
                    <w:rPr>
                      <w:rFonts w:hint="eastAsia" w:cs="Times New Roman"/>
                      <w:b w:val="0"/>
                      <w:bCs w:val="0"/>
                      <w:sz w:val="21"/>
                      <w:szCs w:val="22"/>
                      <w:lang w:val="en-US" w:eastAsia="zh-CN" w:bidi="ar-SA"/>
                    </w:rPr>
                    <w:t>根据本项目油墨挥发性有机物检测报告，本项目油墨挥发性有机物含量83.1%，低于《油墨中可挥发性有机化合物（VOCs）含量的限值》（GB/T38507-2020）溶剂油墨-喷墨印刷油墨95%限值，根据油墨检测报告，未检出苯、甲苯、二甲苯、乙苯、苯乙烯等苯系物。检测报告见附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3"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cs="宋体"/>
                      <w:b w:val="0"/>
                      <w:bCs w:val="0"/>
                      <w:sz w:val="21"/>
                      <w:szCs w:val="22"/>
                      <w:lang w:val="en-US" w:eastAsia="zh-CN" w:bidi="ar-SA"/>
                    </w:rPr>
                  </w:pPr>
                  <w:r>
                    <w:rPr>
                      <w:rFonts w:hint="eastAsia" w:cs="Times New Roman"/>
                      <w:i w:val="0"/>
                      <w:iCs w:val="0"/>
                      <w:color w:val="000000"/>
                      <w:kern w:val="0"/>
                      <w:sz w:val="21"/>
                      <w:szCs w:val="21"/>
                      <w:u w:val="none"/>
                      <w:lang w:val="en-US" w:eastAsia="zh-CN" w:bidi="ar"/>
                    </w:rPr>
                    <w:t>拉丝油</w:t>
                  </w:r>
                </w:p>
              </w:tc>
              <w:tc>
                <w:tcPr>
                  <w:tcW w:w="4366"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cs="宋体"/>
                      <w:b w:val="0"/>
                      <w:bCs w:val="0"/>
                      <w:sz w:val="21"/>
                      <w:szCs w:val="22"/>
                      <w:lang w:val="en-US" w:eastAsia="zh-CN" w:bidi="ar-SA"/>
                    </w:rPr>
                  </w:pPr>
                  <w:r>
                    <w:rPr>
                      <w:rFonts w:hint="default" w:cs="宋体"/>
                      <w:b w:val="0"/>
                      <w:bCs w:val="0"/>
                      <w:sz w:val="21"/>
                      <w:szCs w:val="22"/>
                      <w:lang w:val="en-US" w:eastAsia="zh-CN" w:bidi="ar-SA"/>
                    </w:rPr>
                    <w:t>拉丝油采用</w:t>
                  </w:r>
                  <w:r>
                    <w:rPr>
                      <w:rFonts w:hint="eastAsia" w:cs="宋体"/>
                      <w:b w:val="0"/>
                      <w:bCs w:val="0"/>
                      <w:sz w:val="21"/>
                      <w:szCs w:val="22"/>
                      <w:lang w:val="en-US" w:eastAsia="zh-CN" w:bidi="ar-SA"/>
                    </w:rPr>
                    <w:t>十号白油（液体类烃类的混合物，主要成分为C16~C31的正异构烷烃的混合物）、乳化剂、除锈剂（石油磺酸钙）以及乙二醇</w:t>
                  </w:r>
                  <w:r>
                    <w:rPr>
                      <w:rFonts w:hint="default" w:cs="宋体"/>
                      <w:b w:val="0"/>
                      <w:bCs w:val="0"/>
                      <w:sz w:val="21"/>
                      <w:szCs w:val="22"/>
                      <w:lang w:val="en-US" w:eastAsia="zh-CN" w:bidi="ar-SA"/>
                    </w:rPr>
                    <w:t>调和而成，用于铜、铝、不锈钢等线材的拉拔加工，具有极好的抗压抗磨，不会造成工件拉毛、拉伤，提高光洁度，有效延长模具寿命。拉丝油还具备着防止氧化、不粘线、清洗性、无泡沫、无毒、稳定不易挥发的理化性能。</w:t>
                  </w:r>
                </w:p>
              </w:tc>
            </w:tr>
          </w:tbl>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ascii="Times New Roman" w:hAnsi="Times New Roman" w:eastAsia="宋体" w:cs="宋体"/>
              </w:rPr>
            </w:pPr>
            <w:r>
              <w:rPr>
                <w:rFonts w:hint="eastAsia" w:ascii="Times New Roman" w:hAnsi="Times New Roman" w:eastAsia="宋体" w:cs="宋体"/>
                <w:lang w:val="en-US" w:eastAsia="zh-CN"/>
              </w:rPr>
              <w:t>（2）</w:t>
            </w:r>
            <w:r>
              <w:rPr>
                <w:rFonts w:ascii="Times New Roman" w:hAnsi="Times New Roman" w:eastAsia="宋体" w:cs="宋体"/>
              </w:rPr>
              <w:t>主要生产设施</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0" w:firstLineChars="0"/>
              <w:jc w:val="center"/>
              <w:textAlignment w:val="auto"/>
              <w:rPr>
                <w:rFonts w:hint="eastAsia" w:ascii="Times New Roman" w:hAnsi="Times New Roman" w:eastAsia="宋体" w:cs="宋体"/>
                <w:b/>
                <w:color w:val="000000"/>
                <w:sz w:val="24"/>
                <w:szCs w:val="24"/>
                <w:highlight w:val="none"/>
                <w:lang w:val="en-US" w:eastAsia="zh-CN" w:bidi="ar-SA"/>
              </w:rPr>
            </w:pPr>
            <w:r>
              <w:rPr>
                <w:rFonts w:ascii="Times New Roman" w:hAnsi="Times New Roman" w:eastAsia="宋体" w:cs="宋体"/>
                <w:b/>
                <w:color w:val="000000"/>
                <w:sz w:val="24"/>
                <w:szCs w:val="24"/>
                <w:highlight w:val="none"/>
                <w:lang w:val="en-US" w:eastAsia="zh-CN" w:bidi="ar-SA"/>
              </w:rPr>
              <w:t>表</w:t>
            </w:r>
            <w:r>
              <w:rPr>
                <w:rFonts w:hint="eastAsia" w:ascii="Times New Roman" w:hAnsi="Times New Roman" w:eastAsia="宋体" w:cs="宋体"/>
                <w:b/>
                <w:color w:val="000000"/>
                <w:sz w:val="24"/>
                <w:szCs w:val="24"/>
                <w:highlight w:val="none"/>
                <w:lang w:val="en-US" w:eastAsia="zh-CN" w:bidi="ar-SA"/>
              </w:rPr>
              <w:t>2.3-</w:t>
            </w:r>
            <w:r>
              <w:rPr>
                <w:rFonts w:hint="eastAsia" w:cs="宋体"/>
                <w:b/>
                <w:color w:val="000000"/>
                <w:sz w:val="24"/>
                <w:szCs w:val="24"/>
                <w:highlight w:val="none"/>
                <w:lang w:val="en-US" w:eastAsia="zh-CN" w:bidi="ar-SA"/>
              </w:rPr>
              <w:t>5</w:t>
            </w:r>
            <w:r>
              <w:rPr>
                <w:rFonts w:ascii="Times New Roman" w:hAnsi="Times New Roman" w:eastAsia="宋体" w:cs="宋体"/>
                <w:b/>
                <w:color w:val="000000"/>
                <w:sz w:val="24"/>
                <w:szCs w:val="24"/>
                <w:highlight w:val="none"/>
                <w:lang w:val="en-US" w:eastAsia="zh-CN" w:bidi="ar-SA"/>
              </w:rPr>
              <w:t>本项目主要生产设施一览表</w:t>
            </w:r>
            <w:r>
              <w:rPr>
                <w:rFonts w:hint="eastAsia" w:ascii="Times New Roman" w:hAnsi="Times New Roman" w:eastAsia="宋体" w:cs="宋体"/>
                <w:b/>
                <w:color w:val="000000"/>
                <w:sz w:val="24"/>
                <w:szCs w:val="24"/>
                <w:highlight w:val="none"/>
                <w:lang w:val="en-US" w:eastAsia="zh-CN" w:bidi="ar-SA"/>
              </w:rPr>
              <w:t xml:space="preserve"> </w:t>
            </w:r>
          </w:p>
          <w:tbl>
            <w:tblPr>
              <w:tblStyle w:val="13"/>
              <w:tblW w:w="50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609"/>
              <w:gridCol w:w="1672"/>
              <w:gridCol w:w="1631"/>
              <w:gridCol w:w="1202"/>
              <w:gridCol w:w="1140"/>
              <w:gridCol w:w="1125"/>
              <w:gridCol w:w="11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tblHeader/>
                <w:jc w:val="center"/>
              </w:trPr>
              <w:tc>
                <w:tcPr>
                  <w:tcW w:w="358"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序号</w:t>
                  </w:r>
                </w:p>
              </w:tc>
              <w:tc>
                <w:tcPr>
                  <w:tcW w:w="983"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名称</w:t>
                  </w:r>
                </w:p>
              </w:tc>
              <w:tc>
                <w:tcPr>
                  <w:tcW w:w="958"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型号规格</w:t>
                  </w:r>
                </w:p>
              </w:tc>
              <w:tc>
                <w:tcPr>
                  <w:tcW w:w="706"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数量</w:t>
                  </w:r>
                </w:p>
              </w:tc>
              <w:tc>
                <w:tcPr>
                  <w:tcW w:w="670"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单位</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单台设备最大生产能力</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tblHeader/>
                <w:jc w:val="center"/>
              </w:trPr>
              <w:tc>
                <w:tcPr>
                  <w:tcW w:w="5000" w:type="pct"/>
                  <w:gridSpan w:val="7"/>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4条生产线共用设备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83"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叉式绞丝机</w:t>
                  </w:r>
                </w:p>
              </w:tc>
              <w:tc>
                <w:tcPr>
                  <w:tcW w:w="9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CJ-500/12</w:t>
                  </w:r>
                </w:p>
              </w:tc>
              <w:tc>
                <w:tcPr>
                  <w:tcW w:w="706"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0.85km/h</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983"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管式绞丝机</w:t>
                  </w:r>
                </w:p>
              </w:tc>
              <w:tc>
                <w:tcPr>
                  <w:tcW w:w="958"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GJ-500/36</w:t>
                  </w:r>
                </w:p>
              </w:tc>
              <w:tc>
                <w:tcPr>
                  <w:tcW w:w="706"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0.85km/h</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983"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成缆机</w:t>
                  </w:r>
                </w:p>
              </w:tc>
              <w:tc>
                <w:tcPr>
                  <w:tcW w:w="958"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CL 1250/3+1+1</w:t>
                  </w:r>
                </w:p>
              </w:tc>
              <w:tc>
                <w:tcPr>
                  <w:tcW w:w="706"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0.85km/h</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983"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拉丝机</w:t>
                  </w:r>
                </w:p>
              </w:tc>
              <w:tc>
                <w:tcPr>
                  <w:tcW w:w="958"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2TD-500 111</w:t>
                  </w:r>
                </w:p>
              </w:tc>
              <w:tc>
                <w:tcPr>
                  <w:tcW w:w="706"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0.85km/h</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983"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高压试验机</w:t>
                  </w:r>
                </w:p>
              </w:tc>
              <w:tc>
                <w:tcPr>
                  <w:tcW w:w="958"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TJA-10.5</w:t>
                  </w:r>
                </w:p>
              </w:tc>
              <w:tc>
                <w:tcPr>
                  <w:tcW w:w="706"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0.85km/h</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vMerge w:val="restar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983" w:type="pct"/>
                  <w:vMerge w:val="restar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挤出机</w:t>
                  </w:r>
                </w:p>
              </w:tc>
              <w:tc>
                <w:tcPr>
                  <w:tcW w:w="958"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120型</w:t>
                  </w:r>
                </w:p>
              </w:tc>
              <w:tc>
                <w:tcPr>
                  <w:tcW w:w="706"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0.34t/h</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（低压电缆生产线挤护外套、防火电缆生产线挤塑、挤护外套共用）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vMerge w:val="continue"/>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p>
              </w:tc>
              <w:tc>
                <w:tcPr>
                  <w:tcW w:w="983" w:type="pct"/>
                  <w:vMerge w:val="continue"/>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p>
              </w:tc>
              <w:tc>
                <w:tcPr>
                  <w:tcW w:w="9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70型</w:t>
                  </w:r>
                </w:p>
              </w:tc>
              <w:tc>
                <w:tcPr>
                  <w:tcW w:w="706"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670" w:type="pct"/>
                  <w:tcBorders>
                    <w:tl2br w:val="nil"/>
                    <w:tr2bl w:val="nil"/>
                  </w:tcBorders>
                  <w:noWrap w:val="0"/>
                  <w:vAlign w:val="center"/>
                </w:tcPr>
                <w:p>
                  <w:pPr>
                    <w:pStyle w:val="19"/>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0.20t/h</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default" w:ascii="Times New Roman" w:hAnsi="Times New Roman" w:eastAsia="宋体" w:cs="宋体"/>
                      <w:color w:val="auto"/>
                      <w:sz w:val="21"/>
                      <w:szCs w:val="22"/>
                      <w:lang w:val="en-US" w:eastAsia="zh-CN" w:bidi="ar-SA"/>
                    </w:rPr>
                    <w:t>消防电线</w:t>
                  </w:r>
                  <w:r>
                    <w:rPr>
                      <w:rFonts w:hint="eastAsia" w:cs="宋体"/>
                      <w:color w:val="auto"/>
                      <w:sz w:val="21"/>
                      <w:szCs w:val="22"/>
                      <w:lang w:val="en-US" w:eastAsia="zh-CN" w:bidi="ar-SA"/>
                    </w:rPr>
                    <w:t>、</w:t>
                  </w:r>
                  <w:r>
                    <w:rPr>
                      <w:rFonts w:hint="default" w:ascii="Times New Roman" w:hAnsi="Times New Roman" w:eastAsia="宋体" w:cs="宋体"/>
                      <w:color w:val="auto"/>
                      <w:sz w:val="21"/>
                      <w:szCs w:val="22"/>
                      <w:lang w:val="en-US" w:eastAsia="zh-CN" w:bidi="ar-SA"/>
                    </w:rPr>
                    <w:t>控制电缆生产线</w:t>
                  </w:r>
                  <w:r>
                    <w:rPr>
                      <w:rFonts w:hint="eastAsia" w:cs="宋体"/>
                      <w:color w:val="auto"/>
                      <w:sz w:val="21"/>
                      <w:szCs w:val="22"/>
                      <w:lang w:val="en-US" w:eastAsia="zh-CN" w:bidi="ar-SA"/>
                    </w:rPr>
                    <w:t>挤塑、挤护外套共用</w:t>
                  </w:r>
                  <w:r>
                    <w:rPr>
                      <w:rFonts w:hint="eastAsia"/>
                      <w:color w:val="000000" w:themeColor="text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983"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紫外线交联机</w:t>
                  </w:r>
                </w:p>
              </w:tc>
              <w:tc>
                <w:tcPr>
                  <w:tcW w:w="958"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LUX-011</w:t>
                  </w:r>
                </w:p>
              </w:tc>
              <w:tc>
                <w:tcPr>
                  <w:tcW w:w="706"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0.08t/h</w:t>
                  </w:r>
                </w:p>
              </w:tc>
              <w:tc>
                <w:tcPr>
                  <w:tcW w:w="661"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10kw（</w:t>
                  </w:r>
                  <w:r>
                    <w:rPr>
                      <w:rFonts w:hint="default" w:ascii="Times New Roman" w:hAnsi="Times New Roman" w:eastAsia="宋体" w:cs="宋体"/>
                      <w:color w:val="auto"/>
                      <w:sz w:val="21"/>
                      <w:szCs w:val="22"/>
                      <w:lang w:val="en-US" w:eastAsia="zh-CN" w:bidi="ar-SA"/>
                    </w:rPr>
                    <w:t>消防电线</w:t>
                  </w:r>
                  <w:r>
                    <w:rPr>
                      <w:rFonts w:hint="eastAsia" w:cs="宋体"/>
                      <w:color w:val="auto"/>
                      <w:sz w:val="21"/>
                      <w:szCs w:val="22"/>
                      <w:lang w:val="en-US" w:eastAsia="zh-CN" w:bidi="ar-SA"/>
                    </w:rPr>
                    <w:t>、</w:t>
                  </w:r>
                  <w:r>
                    <w:rPr>
                      <w:rFonts w:hint="default" w:ascii="Times New Roman" w:hAnsi="Times New Roman" w:eastAsia="宋体" w:cs="宋体"/>
                      <w:color w:val="auto"/>
                      <w:sz w:val="21"/>
                      <w:szCs w:val="22"/>
                      <w:lang w:val="en-US" w:eastAsia="zh-CN" w:bidi="ar-SA"/>
                    </w:rPr>
                    <w:t>控制电缆生产线</w:t>
                  </w:r>
                  <w:r>
                    <w:rPr>
                      <w:rFonts w:hint="eastAsia" w:cs="宋体"/>
                      <w:color w:val="auto"/>
                      <w:sz w:val="21"/>
                      <w:szCs w:val="22"/>
                      <w:lang w:val="en-US" w:eastAsia="zh-CN" w:bidi="ar-SA"/>
                    </w:rPr>
                    <w:t>共用</w:t>
                  </w:r>
                  <w:r>
                    <w:rPr>
                      <w:rFonts w:hint="eastAsia"/>
                      <w:color w:val="000000" w:themeColor="text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5000" w:type="pct"/>
                  <w:gridSpan w:val="7"/>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default" w:ascii="Times New Roman" w:hAnsi="Times New Roman" w:eastAsia="宋体" w:cs="宋体"/>
                      <w:color w:val="auto"/>
                      <w:sz w:val="21"/>
                      <w:szCs w:val="22"/>
                      <w:lang w:val="en-US" w:eastAsia="zh-CN" w:bidi="ar-SA"/>
                    </w:rPr>
                    <w:t>消防电线生产线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1</w:t>
                  </w:r>
                </w:p>
              </w:tc>
              <w:tc>
                <w:tcPr>
                  <w:tcW w:w="983"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火花机</w:t>
                  </w:r>
                </w:p>
              </w:tc>
              <w:tc>
                <w:tcPr>
                  <w:tcW w:w="958"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RH-25</w:t>
                  </w:r>
                </w:p>
              </w:tc>
              <w:tc>
                <w:tcPr>
                  <w:tcW w:w="706"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0.38km/h</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2</w:t>
                  </w:r>
                </w:p>
              </w:tc>
              <w:tc>
                <w:tcPr>
                  <w:tcW w:w="983"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喷码机</w:t>
                  </w:r>
                </w:p>
              </w:tc>
              <w:tc>
                <w:tcPr>
                  <w:tcW w:w="9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06"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0.03kg/h</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5000" w:type="pct"/>
                  <w:gridSpan w:val="7"/>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default" w:ascii="Times New Roman" w:hAnsi="Times New Roman" w:eastAsia="宋体" w:cs="宋体"/>
                      <w:color w:val="auto"/>
                      <w:sz w:val="21"/>
                      <w:szCs w:val="22"/>
                      <w:lang w:val="en-US" w:eastAsia="zh-CN" w:bidi="ar-SA"/>
                    </w:rPr>
                    <w:t>低压电缆生产线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83"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挤出机</w:t>
                  </w:r>
                </w:p>
              </w:tc>
              <w:tc>
                <w:tcPr>
                  <w:tcW w:w="9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80型</w:t>
                  </w:r>
                </w:p>
              </w:tc>
              <w:tc>
                <w:tcPr>
                  <w:tcW w:w="706"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0.23t/h</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挤塑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358"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2</w:t>
                  </w:r>
                </w:p>
              </w:tc>
              <w:tc>
                <w:tcPr>
                  <w:tcW w:w="983"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挤出机</w:t>
                  </w:r>
                </w:p>
              </w:tc>
              <w:tc>
                <w:tcPr>
                  <w:tcW w:w="958"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90型</w:t>
                  </w:r>
                </w:p>
              </w:tc>
              <w:tc>
                <w:tcPr>
                  <w:tcW w:w="706"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0.26t/h</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挤护外套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3</w:t>
                  </w:r>
                </w:p>
              </w:tc>
              <w:tc>
                <w:tcPr>
                  <w:tcW w:w="983"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火花机</w:t>
                  </w:r>
                </w:p>
              </w:tc>
              <w:tc>
                <w:tcPr>
                  <w:tcW w:w="9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RH-25</w:t>
                  </w:r>
                </w:p>
              </w:tc>
              <w:tc>
                <w:tcPr>
                  <w:tcW w:w="706"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0.38km/h</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4</w:t>
                  </w:r>
                </w:p>
              </w:tc>
              <w:tc>
                <w:tcPr>
                  <w:tcW w:w="983"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紫外线交联机</w:t>
                  </w:r>
                </w:p>
              </w:tc>
              <w:tc>
                <w:tcPr>
                  <w:tcW w:w="958"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LUX-013</w:t>
                  </w:r>
                </w:p>
              </w:tc>
              <w:tc>
                <w:tcPr>
                  <w:tcW w:w="706"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0.12t/h</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15kw</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5</w:t>
                  </w:r>
                </w:p>
              </w:tc>
              <w:tc>
                <w:tcPr>
                  <w:tcW w:w="983"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喷码机</w:t>
                  </w:r>
                </w:p>
              </w:tc>
              <w:tc>
                <w:tcPr>
                  <w:tcW w:w="9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06"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0.03kg/h</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5000" w:type="pct"/>
                  <w:gridSpan w:val="7"/>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default" w:ascii="Times New Roman" w:hAnsi="Times New Roman" w:eastAsia="宋体" w:cs="宋体"/>
                      <w:color w:val="auto"/>
                      <w:sz w:val="21"/>
                      <w:szCs w:val="22"/>
                      <w:lang w:val="en-US" w:eastAsia="zh-CN" w:bidi="ar-SA"/>
                    </w:rPr>
                    <w:t>控制电缆生产线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1</w:t>
                  </w:r>
                </w:p>
              </w:tc>
              <w:tc>
                <w:tcPr>
                  <w:tcW w:w="983"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火花机</w:t>
                  </w:r>
                </w:p>
              </w:tc>
              <w:tc>
                <w:tcPr>
                  <w:tcW w:w="9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RH-25</w:t>
                  </w:r>
                </w:p>
              </w:tc>
              <w:tc>
                <w:tcPr>
                  <w:tcW w:w="706"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0.38km/h</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2</w:t>
                  </w:r>
                </w:p>
              </w:tc>
              <w:tc>
                <w:tcPr>
                  <w:tcW w:w="983"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喷码机</w:t>
                  </w:r>
                </w:p>
              </w:tc>
              <w:tc>
                <w:tcPr>
                  <w:tcW w:w="9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06"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0.03kg/h</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5000" w:type="pct"/>
                  <w:gridSpan w:val="7"/>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default" w:ascii="Times New Roman" w:hAnsi="Times New Roman" w:eastAsia="宋体" w:cs="宋体"/>
                      <w:color w:val="auto"/>
                      <w:sz w:val="21"/>
                      <w:szCs w:val="22"/>
                      <w:highlight w:val="none"/>
                      <w:lang w:val="en-US" w:eastAsia="zh-CN" w:bidi="ar-SA"/>
                    </w:rPr>
                    <w:t>防火电缆生产线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83"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喷码机</w:t>
                  </w:r>
                </w:p>
              </w:tc>
              <w:tc>
                <w:tcPr>
                  <w:tcW w:w="9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06"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0.03kg/h</w:t>
                  </w:r>
                </w:p>
              </w:tc>
              <w:tc>
                <w:tcPr>
                  <w:tcW w:w="661"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default"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2</w:t>
                  </w:r>
                </w:p>
              </w:tc>
              <w:tc>
                <w:tcPr>
                  <w:tcW w:w="983"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紫外线交联机</w:t>
                  </w:r>
                </w:p>
              </w:tc>
              <w:tc>
                <w:tcPr>
                  <w:tcW w:w="958"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LUX-011</w:t>
                  </w:r>
                </w:p>
              </w:tc>
              <w:tc>
                <w:tcPr>
                  <w:tcW w:w="706"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0.08t/h</w:t>
                  </w:r>
                </w:p>
              </w:tc>
              <w:tc>
                <w:tcPr>
                  <w:tcW w:w="661" w:type="pct"/>
                  <w:tcBorders>
                    <w:tl2br w:val="nil"/>
                    <w:tr2bl w:val="nil"/>
                  </w:tcBorders>
                  <w:noWrap w:val="0"/>
                  <w:vAlign w:val="center"/>
                </w:tcPr>
                <w:p>
                  <w:pPr>
                    <w:pStyle w:val="19"/>
                    <w:bidi w:val="0"/>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10kw</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3</w:t>
                  </w:r>
                </w:p>
              </w:tc>
              <w:tc>
                <w:tcPr>
                  <w:tcW w:w="983"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氩弧焊</w:t>
                  </w:r>
                </w:p>
              </w:tc>
              <w:tc>
                <w:tcPr>
                  <w:tcW w:w="9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06"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套</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5000" w:type="pct"/>
                  <w:gridSpan w:val="7"/>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环保设备（共用）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83"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风机</w:t>
                  </w:r>
                </w:p>
              </w:tc>
              <w:tc>
                <w:tcPr>
                  <w:tcW w:w="9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10000m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w:t>
                  </w:r>
                </w:p>
              </w:tc>
              <w:tc>
                <w:tcPr>
                  <w:tcW w:w="706"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台</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61" w:type="pct"/>
                  <w:vMerge w:val="restar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环保设备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2</w:t>
                  </w:r>
                </w:p>
              </w:tc>
              <w:tc>
                <w:tcPr>
                  <w:tcW w:w="983"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水洗填料塔+活性炭吸附+脱附+催化燃烧装置+20m排气筒</w:t>
                  </w:r>
                </w:p>
              </w:tc>
              <w:tc>
                <w:tcPr>
                  <w:tcW w:w="9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06"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70" w:type="pct"/>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套</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61" w:type="pct"/>
                  <w:vMerge w:val="continue"/>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58"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3</w:t>
                  </w:r>
                </w:p>
              </w:tc>
              <w:tc>
                <w:tcPr>
                  <w:tcW w:w="983" w:type="pct"/>
                  <w:tcBorders>
                    <w:tl2br w:val="nil"/>
                    <w:tr2bl w:val="nil"/>
                  </w:tcBorders>
                  <w:noWrap w:val="0"/>
                  <w:vAlign w:val="center"/>
                </w:tcPr>
                <w:p>
                  <w:pPr>
                    <w:keepNext w:val="0"/>
                    <w:keepLines w:val="0"/>
                    <w:widowControl/>
                    <w:suppressLineNumbers w:val="0"/>
                    <w:jc w:val="center"/>
                    <w:textAlignment w:val="center"/>
                    <w:rPr>
                      <w:rFonts w:hint="default"/>
                      <w:color w:val="000000" w:themeColor="text1"/>
                      <w:lang w:val="en-US" w:eastAsia="zh-CN"/>
                      <w14:textFill>
                        <w14:solidFill>
                          <w14:schemeClr w14:val="tx1"/>
                        </w14:solidFill>
                      </w14:textFill>
                    </w:rPr>
                  </w:pPr>
                  <w:r>
                    <w:rPr>
                      <w:rFonts w:hint="eastAsia" w:cs="Times New Roman"/>
                      <w:b w:val="0"/>
                      <w:i w:val="0"/>
                      <w:iCs w:val="0"/>
                      <w:color w:val="000000"/>
                      <w:kern w:val="0"/>
                      <w:sz w:val="21"/>
                      <w:szCs w:val="21"/>
                      <w:u w:val="none"/>
                      <w:lang w:val="en-US" w:eastAsia="zh-CN" w:bidi="ar"/>
                    </w:rPr>
                    <w:t>移动式焊烟净化器</w:t>
                  </w:r>
                </w:p>
              </w:tc>
              <w:tc>
                <w:tcPr>
                  <w:tcW w:w="958" w:type="pct"/>
                  <w:tcBorders>
                    <w:tl2br w:val="nil"/>
                    <w:tr2bl w:val="nil"/>
                  </w:tcBorders>
                  <w:noWrap w:val="0"/>
                  <w:vAlign w:val="center"/>
                </w:tcPr>
                <w:p>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宋体" w:hAnsi="宋体" w:cs="宋体"/>
                      <w:b w:val="0"/>
                      <w:i w:val="0"/>
                      <w:iCs w:val="0"/>
                      <w:color w:val="000000"/>
                      <w:kern w:val="0"/>
                      <w:sz w:val="22"/>
                      <w:szCs w:val="22"/>
                      <w:u w:val="none"/>
                      <w:lang w:val="en-US" w:eastAsia="zh-CN" w:bidi="ar"/>
                    </w:rPr>
                    <w:t>/</w:t>
                  </w:r>
                </w:p>
              </w:tc>
              <w:tc>
                <w:tcPr>
                  <w:tcW w:w="706" w:type="pct"/>
                  <w:tcBorders>
                    <w:tl2br w:val="nil"/>
                    <w:tr2bl w:val="nil"/>
                  </w:tcBorders>
                  <w:noWrap w:val="0"/>
                  <w:vAlign w:val="center"/>
                </w:tcPr>
                <w:p>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cs="Times New Roman"/>
                      <w:b w:val="0"/>
                      <w:i w:val="0"/>
                      <w:iCs w:val="0"/>
                      <w:color w:val="000000"/>
                      <w:kern w:val="0"/>
                      <w:sz w:val="21"/>
                      <w:szCs w:val="21"/>
                      <w:u w:val="none"/>
                      <w:lang w:val="en-US" w:eastAsia="zh-CN" w:bidi="ar"/>
                    </w:rPr>
                    <w:t>1</w:t>
                  </w:r>
                </w:p>
              </w:tc>
              <w:tc>
                <w:tcPr>
                  <w:tcW w:w="670" w:type="pct"/>
                  <w:tcBorders>
                    <w:tl2br w:val="nil"/>
                    <w:tr2bl w:val="nil"/>
                  </w:tcBorders>
                  <w:noWrap w:val="0"/>
                  <w:vAlign w:val="center"/>
                </w:tcPr>
                <w:p>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default" w:ascii="Times New Roman" w:hAnsi="Times New Roman" w:eastAsia="宋体" w:cs="Times New Roman"/>
                      <w:b w:val="0"/>
                      <w:i w:val="0"/>
                      <w:iCs w:val="0"/>
                      <w:color w:val="000000"/>
                      <w:kern w:val="0"/>
                      <w:sz w:val="21"/>
                      <w:szCs w:val="21"/>
                      <w:u w:val="none"/>
                      <w:lang w:val="en-US" w:eastAsia="zh-CN" w:bidi="ar"/>
                    </w:rPr>
                    <w:t>台</w:t>
                  </w:r>
                </w:p>
              </w:tc>
              <w:tc>
                <w:tcPr>
                  <w:tcW w:w="661" w:type="pct"/>
                  <w:tcBorders>
                    <w:tl2br w:val="nil"/>
                    <w:tr2bl w:val="nil"/>
                  </w:tcBorders>
                  <w:noWrap w:val="0"/>
                  <w:vAlign w:val="center"/>
                </w:tcPr>
                <w:p>
                  <w:pPr>
                    <w:pStyle w:val="1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61" w:type="pct"/>
                  <w:vMerge w:val="continue"/>
                  <w:tcBorders>
                    <w:tl2br w:val="nil"/>
                    <w:tr2bl w:val="nil"/>
                  </w:tcBorders>
                  <w:noWrap w:val="0"/>
                  <w:vAlign w:val="center"/>
                </w:tcPr>
                <w:p>
                  <w:pPr>
                    <w:pStyle w:val="19"/>
                    <w:bidi w:val="0"/>
                    <w:rPr>
                      <w:rFonts w:hint="eastAsia"/>
                      <w:color w:val="000000" w:themeColor="text1"/>
                      <w:lang w:val="en-US" w:eastAsia="zh-CN"/>
                      <w14:textFill>
                        <w14:solidFill>
                          <w14:schemeClr w14:val="tx1"/>
                        </w14:solidFill>
                      </w14:textFill>
                    </w:rPr>
                  </w:pPr>
                </w:p>
              </w:tc>
            </w:tr>
          </w:tbl>
          <w:p>
            <w:pPr>
              <w:widowControl w:val="0"/>
              <w:overflowPunct/>
              <w:autoSpaceDE/>
              <w:autoSpaceDN/>
              <w:adjustRightInd/>
              <w:snapToGrid/>
              <w:spacing w:before="0" w:after="0" w:line="360" w:lineRule="auto"/>
              <w:ind w:left="0" w:right="0" w:firstLine="480" w:firstLineChars="200"/>
              <w:jc w:val="both"/>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经核对，共用拉丝机、绞丝机等设备最大年产能为2040km/a，能够满足全厂电线电缆生产需求</w:t>
            </w:r>
            <w:r>
              <w:rPr>
                <w:rFonts w:hint="eastAsia" w:cs="Times New Roman"/>
                <w:color w:val="000000"/>
                <w:sz w:val="24"/>
                <w:szCs w:val="24"/>
                <w:highlight w:val="none"/>
                <w:lang w:val="en-US" w:eastAsia="zh-CN" w:bidi="ar-SA"/>
              </w:rPr>
              <w:t>。</w:t>
            </w:r>
            <w:r>
              <w:rPr>
                <w:rFonts w:hint="eastAsia" w:ascii="Times New Roman" w:hAnsi="Times New Roman" w:eastAsia="宋体" w:cs="Times New Roman"/>
                <w:color w:val="000000"/>
                <w:sz w:val="24"/>
                <w:szCs w:val="24"/>
                <w:highlight w:val="none"/>
                <w:lang w:val="en-US" w:eastAsia="zh-CN" w:bidi="ar-SA"/>
              </w:rPr>
              <w:t>共用120型挤出机设备原料年最大用量为</w:t>
            </w:r>
            <w:r>
              <w:rPr>
                <w:rFonts w:hint="eastAsia" w:cs="Times New Roman"/>
                <w:color w:val="000000"/>
                <w:sz w:val="24"/>
                <w:szCs w:val="24"/>
                <w:highlight w:val="none"/>
                <w:lang w:val="en-US" w:eastAsia="zh-CN" w:bidi="ar-SA"/>
              </w:rPr>
              <w:t>816</w:t>
            </w:r>
            <w:r>
              <w:rPr>
                <w:rFonts w:hint="eastAsia" w:ascii="Times New Roman" w:hAnsi="Times New Roman" w:eastAsia="宋体" w:cs="Times New Roman"/>
                <w:color w:val="000000"/>
                <w:sz w:val="24"/>
                <w:szCs w:val="24"/>
                <w:highlight w:val="none"/>
                <w:lang w:val="en-US" w:eastAsia="zh-CN" w:bidi="ar-SA"/>
              </w:rPr>
              <w:t>t/a，</w:t>
            </w:r>
            <w:r>
              <w:rPr>
                <w:rFonts w:hint="eastAsia" w:cs="Times New Roman"/>
                <w:color w:val="000000"/>
                <w:sz w:val="24"/>
                <w:szCs w:val="24"/>
                <w:highlight w:val="none"/>
                <w:lang w:val="en-US" w:eastAsia="zh-CN" w:bidi="ar-SA"/>
              </w:rPr>
              <w:t>本项目</w:t>
            </w:r>
            <w:r>
              <w:rPr>
                <w:rFonts w:hint="eastAsia" w:ascii="Times New Roman" w:hAnsi="Times New Roman" w:eastAsia="宋体" w:cs="Times New Roman"/>
                <w:color w:val="000000"/>
                <w:sz w:val="24"/>
                <w:szCs w:val="24"/>
                <w:highlight w:val="none"/>
                <w:lang w:val="en-US" w:eastAsia="zh-CN" w:bidi="ar-SA"/>
              </w:rPr>
              <w:t>低压电缆</w:t>
            </w:r>
            <w:r>
              <w:rPr>
                <w:rFonts w:hint="eastAsia" w:cs="Times New Roman"/>
                <w:color w:val="000000"/>
                <w:sz w:val="24"/>
                <w:szCs w:val="24"/>
                <w:highlight w:val="none"/>
                <w:lang w:val="en-US" w:eastAsia="zh-CN" w:bidi="ar-SA"/>
              </w:rPr>
              <w:t>生产线</w:t>
            </w:r>
            <w:r>
              <w:rPr>
                <w:rFonts w:hint="eastAsia" w:ascii="Times New Roman" w:hAnsi="Times New Roman" w:eastAsia="宋体" w:cs="Times New Roman"/>
                <w:color w:val="000000"/>
                <w:sz w:val="24"/>
                <w:szCs w:val="24"/>
                <w:highlight w:val="none"/>
                <w:lang w:val="en-US" w:eastAsia="zh-CN" w:bidi="ar-SA"/>
              </w:rPr>
              <w:t>挤护外套工段、防火电缆生产线挤护外套工段共用聚氯乙烯、低烟无卤阻燃聚烯烃电缆料共360t/a</w:t>
            </w:r>
            <w:r>
              <w:rPr>
                <w:rFonts w:hint="eastAsia" w:cs="Times New Roman"/>
                <w:color w:val="000000"/>
                <w:sz w:val="24"/>
                <w:szCs w:val="24"/>
                <w:highlight w:val="none"/>
                <w:lang w:val="en-US" w:eastAsia="zh-CN" w:bidi="ar-SA"/>
              </w:rPr>
              <w:t>，防火电缆挤塑工段聚乙烯用料50t/a，共计410t/a</w:t>
            </w:r>
            <w:r>
              <w:rPr>
                <w:rFonts w:hint="eastAsia" w:ascii="Times New Roman" w:hAnsi="Times New Roman" w:eastAsia="宋体" w:cs="Times New Roman"/>
                <w:color w:val="000000"/>
                <w:sz w:val="24"/>
                <w:szCs w:val="24"/>
                <w:highlight w:val="none"/>
                <w:lang w:val="en-US" w:eastAsia="zh-CN" w:bidi="ar-SA"/>
              </w:rPr>
              <w:t>，满足生产需求；共用70型挤出机原料年最大用量均为</w:t>
            </w:r>
            <w:r>
              <w:rPr>
                <w:rFonts w:hint="eastAsia" w:cs="Times New Roman"/>
                <w:color w:val="000000"/>
                <w:sz w:val="24"/>
                <w:szCs w:val="24"/>
                <w:highlight w:val="none"/>
                <w:lang w:val="en-US" w:eastAsia="zh-CN" w:bidi="ar-SA"/>
              </w:rPr>
              <w:t>480</w:t>
            </w:r>
            <w:r>
              <w:rPr>
                <w:rFonts w:hint="eastAsia" w:ascii="Times New Roman" w:hAnsi="Times New Roman" w:eastAsia="宋体" w:cs="Times New Roman"/>
                <w:color w:val="000000"/>
                <w:sz w:val="24"/>
                <w:szCs w:val="24"/>
                <w:highlight w:val="none"/>
                <w:lang w:val="en-US" w:eastAsia="zh-CN" w:bidi="ar-SA"/>
              </w:rPr>
              <w:t>t/a，消防电线生产线挤塑聚乙烯、聚氯乙烯、低烟无卤阻燃聚烯烃电缆料以及控制电缆生产线挤塑聚乙烯使用量共为</w:t>
            </w:r>
            <w:r>
              <w:rPr>
                <w:rFonts w:hint="eastAsia" w:cs="Times New Roman"/>
                <w:color w:val="000000"/>
                <w:sz w:val="24"/>
                <w:szCs w:val="24"/>
                <w:highlight w:val="none"/>
                <w:lang w:val="en-US" w:eastAsia="zh-CN" w:bidi="ar-SA"/>
              </w:rPr>
              <w:t>145</w:t>
            </w:r>
            <w:r>
              <w:rPr>
                <w:rFonts w:hint="eastAsia" w:ascii="Times New Roman" w:hAnsi="Times New Roman" w:eastAsia="宋体" w:cs="Times New Roman"/>
                <w:color w:val="000000"/>
                <w:sz w:val="24"/>
                <w:szCs w:val="24"/>
                <w:highlight w:val="none"/>
                <w:lang w:val="en-US" w:eastAsia="zh-CN" w:bidi="ar-SA"/>
              </w:rPr>
              <w:t>t/a，控制电缆生产线挤护外套聚氯乙烯、低烟无卤阻燃聚烯烃电缆料使用量</w:t>
            </w:r>
            <w:r>
              <w:rPr>
                <w:rFonts w:hint="eastAsia" w:cs="Times New Roman"/>
                <w:color w:val="000000"/>
                <w:sz w:val="24"/>
                <w:szCs w:val="24"/>
                <w:highlight w:val="none"/>
                <w:lang w:val="en-US" w:eastAsia="zh-CN" w:bidi="ar-SA"/>
              </w:rPr>
              <w:t>共</w:t>
            </w:r>
            <w:r>
              <w:rPr>
                <w:rFonts w:hint="eastAsia" w:ascii="Times New Roman" w:hAnsi="Times New Roman" w:eastAsia="宋体" w:cs="Times New Roman"/>
                <w:color w:val="000000"/>
                <w:sz w:val="24"/>
                <w:szCs w:val="24"/>
                <w:highlight w:val="none"/>
                <w:lang w:val="en-US" w:eastAsia="zh-CN" w:bidi="ar-SA"/>
              </w:rPr>
              <w:t>为95t/a，均能满足生产需求。低压电缆生产线挤塑工段80型挤出机设备原料年最大用量为</w:t>
            </w:r>
            <w:r>
              <w:rPr>
                <w:rFonts w:hint="eastAsia" w:cs="Times New Roman"/>
                <w:color w:val="000000"/>
                <w:sz w:val="24"/>
                <w:szCs w:val="24"/>
                <w:highlight w:val="none"/>
                <w:lang w:val="en-US" w:eastAsia="zh-CN" w:bidi="ar-SA"/>
              </w:rPr>
              <w:t>552</w:t>
            </w:r>
            <w:r>
              <w:rPr>
                <w:rFonts w:hint="eastAsia" w:ascii="Times New Roman" w:hAnsi="Times New Roman" w:eastAsia="宋体" w:cs="Times New Roman"/>
                <w:color w:val="000000"/>
                <w:sz w:val="24"/>
                <w:szCs w:val="24"/>
                <w:highlight w:val="none"/>
                <w:lang w:val="en-US" w:eastAsia="zh-CN" w:bidi="ar-SA"/>
              </w:rPr>
              <w:t>t/a，挤塑工段聚乙烯用量为245t/a，挤护外套工段90型挤出机设备原料年最大用量为</w:t>
            </w:r>
            <w:r>
              <w:rPr>
                <w:rFonts w:hint="eastAsia" w:cs="Times New Roman"/>
                <w:color w:val="000000"/>
                <w:sz w:val="24"/>
                <w:szCs w:val="24"/>
                <w:highlight w:val="none"/>
                <w:lang w:val="en-US" w:eastAsia="zh-CN" w:bidi="ar-SA"/>
              </w:rPr>
              <w:t>624</w:t>
            </w:r>
            <w:r>
              <w:rPr>
                <w:rFonts w:hint="eastAsia" w:ascii="Times New Roman" w:hAnsi="Times New Roman" w:eastAsia="宋体" w:cs="Times New Roman"/>
                <w:color w:val="000000"/>
                <w:sz w:val="24"/>
                <w:szCs w:val="24"/>
                <w:highlight w:val="none"/>
                <w:lang w:val="en-US" w:eastAsia="zh-CN" w:bidi="ar-SA"/>
              </w:rPr>
              <w:t>t/a，低压电缆</w:t>
            </w:r>
            <w:r>
              <w:rPr>
                <w:rFonts w:hint="eastAsia" w:cs="Times New Roman"/>
                <w:color w:val="000000"/>
                <w:sz w:val="24"/>
                <w:szCs w:val="24"/>
                <w:highlight w:val="none"/>
                <w:lang w:val="en-US" w:eastAsia="zh-CN" w:bidi="ar-SA"/>
              </w:rPr>
              <w:t>生产线</w:t>
            </w:r>
            <w:r>
              <w:rPr>
                <w:rFonts w:hint="eastAsia" w:ascii="Times New Roman" w:hAnsi="Times New Roman" w:eastAsia="宋体" w:cs="Times New Roman"/>
                <w:color w:val="000000"/>
                <w:sz w:val="24"/>
                <w:szCs w:val="24"/>
                <w:highlight w:val="none"/>
                <w:lang w:val="en-US" w:eastAsia="zh-CN" w:bidi="ar-SA"/>
              </w:rPr>
              <w:t>挤护外套工段聚氯乙烯、低烟无卤阻燃聚烯烃电缆料用量为240t/a，均能满足生产需求。紫外线交联机</w:t>
            </w:r>
            <w:r>
              <w:rPr>
                <w:rFonts w:hint="eastAsia" w:cs="Times New Roman"/>
                <w:color w:val="000000"/>
                <w:sz w:val="24"/>
                <w:szCs w:val="24"/>
                <w:highlight w:val="none"/>
                <w:lang w:val="en-US" w:eastAsia="zh-CN" w:bidi="ar-SA"/>
              </w:rPr>
              <w:t>013型最大原料用量为288t/a，低压电缆生产线</w:t>
            </w:r>
            <w:r>
              <w:rPr>
                <w:rFonts w:hint="eastAsia" w:ascii="Times New Roman" w:hAnsi="Times New Roman" w:eastAsia="宋体" w:cs="Times New Roman"/>
                <w:color w:val="000000"/>
                <w:sz w:val="24"/>
                <w:szCs w:val="24"/>
                <w:highlight w:val="none"/>
                <w:lang w:val="en-US" w:eastAsia="zh-CN" w:bidi="ar-SA"/>
              </w:rPr>
              <w:t>挤塑工段聚乙烯用量为245t/a</w:t>
            </w:r>
            <w:r>
              <w:rPr>
                <w:rFonts w:hint="eastAsia" w:cs="Times New Roman"/>
                <w:color w:val="000000"/>
                <w:sz w:val="24"/>
                <w:szCs w:val="24"/>
                <w:highlight w:val="none"/>
                <w:lang w:val="en-US" w:eastAsia="zh-CN" w:bidi="ar-SA"/>
              </w:rPr>
              <w:t>，</w:t>
            </w:r>
            <w:r>
              <w:rPr>
                <w:rFonts w:hint="eastAsia" w:ascii="Times New Roman" w:hAnsi="Times New Roman" w:eastAsia="宋体" w:cs="Times New Roman"/>
                <w:color w:val="000000"/>
                <w:sz w:val="24"/>
                <w:szCs w:val="24"/>
                <w:highlight w:val="none"/>
                <w:lang w:val="en-US" w:eastAsia="zh-CN" w:bidi="ar-SA"/>
              </w:rPr>
              <w:t>紫外线交联机</w:t>
            </w:r>
            <w:r>
              <w:rPr>
                <w:rFonts w:hint="eastAsia" w:cs="Times New Roman"/>
                <w:color w:val="000000"/>
                <w:sz w:val="24"/>
                <w:szCs w:val="24"/>
                <w:highlight w:val="none"/>
                <w:lang w:val="en-US" w:eastAsia="zh-CN" w:bidi="ar-SA"/>
              </w:rPr>
              <w:t>011型最大原料用量为192t/a，</w:t>
            </w:r>
            <w:r>
              <w:rPr>
                <w:rFonts w:hint="eastAsia" w:ascii="Times New Roman" w:hAnsi="Times New Roman" w:eastAsia="宋体" w:cs="Times New Roman"/>
                <w:color w:val="000000"/>
                <w:sz w:val="24"/>
                <w:szCs w:val="24"/>
                <w:highlight w:val="none"/>
                <w:lang w:val="en-US" w:eastAsia="zh-CN" w:bidi="ar-SA"/>
              </w:rPr>
              <w:t>消防电线生产线挤塑聚乙烯、低烟无卤阻燃聚烯烃电缆料以及控制电缆生产线挤塑聚乙烯使用量共为</w:t>
            </w:r>
            <w:r>
              <w:rPr>
                <w:rFonts w:hint="eastAsia" w:cs="Times New Roman"/>
                <w:color w:val="000000"/>
                <w:sz w:val="24"/>
                <w:szCs w:val="24"/>
                <w:highlight w:val="none"/>
                <w:lang w:val="en-US" w:eastAsia="zh-CN" w:bidi="ar-SA"/>
              </w:rPr>
              <w:t>95</w:t>
            </w:r>
            <w:r>
              <w:rPr>
                <w:rFonts w:hint="eastAsia" w:ascii="Times New Roman" w:hAnsi="Times New Roman" w:eastAsia="宋体" w:cs="Times New Roman"/>
                <w:color w:val="000000"/>
                <w:sz w:val="24"/>
                <w:szCs w:val="24"/>
                <w:highlight w:val="none"/>
                <w:lang w:val="en-US" w:eastAsia="zh-CN" w:bidi="ar-SA"/>
              </w:rPr>
              <w:t>t/a，</w:t>
            </w:r>
            <w:r>
              <w:rPr>
                <w:rFonts w:hint="eastAsia" w:cs="Times New Roman"/>
                <w:color w:val="000000"/>
                <w:sz w:val="24"/>
                <w:szCs w:val="24"/>
                <w:highlight w:val="none"/>
                <w:lang w:val="en-US" w:eastAsia="zh-CN" w:bidi="ar-SA"/>
              </w:rPr>
              <w:t>防火电缆挤塑工段聚乙烯用料50t/a，均能满足生产需求。喷码机最大油墨使用量为72kg/a，油墨使用量最大生产线为低压电缆生产线，合计用量为50kg/a，满足生产需求。</w:t>
            </w:r>
          </w:p>
          <w:p>
            <w:pPr>
              <w:pStyle w:val="20"/>
              <w:bidi w:val="0"/>
              <w:spacing w:line="360" w:lineRule="auto"/>
              <w:rPr>
                <w:rFonts w:hint="eastAsia"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2.4</w:t>
            </w:r>
            <w:r>
              <w:rPr>
                <w:rFonts w:hint="eastAsia" w:eastAsia="宋体" w:cs="黑体"/>
                <w:b/>
                <w:sz w:val="28"/>
                <w:szCs w:val="30"/>
                <w:lang w:val="en-US" w:eastAsia="zh-CN" w:bidi="ar-SA"/>
              </w:rPr>
              <w:t>产品</w:t>
            </w:r>
            <w:r>
              <w:rPr>
                <w:rFonts w:hint="eastAsia" w:ascii="Times New Roman" w:hAnsi="Times New Roman" w:eastAsia="宋体" w:cs="黑体"/>
                <w:b/>
                <w:sz w:val="28"/>
                <w:szCs w:val="30"/>
                <w:lang w:val="en-US" w:eastAsia="zh-CN" w:bidi="ar-SA"/>
              </w:rPr>
              <w:t xml:space="preserve">方案 </w:t>
            </w:r>
          </w:p>
          <w:p>
            <w:pPr>
              <w:widowControl w:val="0"/>
              <w:spacing w:line="360" w:lineRule="exact"/>
              <w:ind w:firstLine="480" w:firstLineChars="200"/>
              <w:jc w:val="both"/>
              <w:rPr>
                <w:rFonts w:hint="eastAsia" w:ascii="Times New Roman" w:hAnsi="Times New Roman" w:eastAsia="宋体" w:cs="宋体"/>
                <w:snapToGrid w:val="0"/>
                <w:color w:val="auto"/>
                <w:sz w:val="24"/>
                <w:szCs w:val="21"/>
                <w:lang w:val="en-US" w:eastAsia="zh-CN" w:bidi="ar-SA"/>
              </w:rPr>
            </w:pPr>
            <w:r>
              <w:rPr>
                <w:rFonts w:hint="eastAsia" w:ascii="Times New Roman" w:hAnsi="Times New Roman" w:eastAsia="宋体" w:cs="宋体"/>
                <w:snapToGrid w:val="0"/>
                <w:color w:val="auto"/>
                <w:sz w:val="24"/>
                <w:szCs w:val="21"/>
                <w:lang w:val="en-US" w:eastAsia="zh-CN" w:bidi="ar-SA"/>
              </w:rPr>
              <w:t>本项目产品方案见表2.4-1。</w:t>
            </w:r>
          </w:p>
          <w:p>
            <w:pPr>
              <w:widowControl w:val="0"/>
              <w:overflowPunct w:val="0"/>
              <w:autoSpaceDE w:val="0"/>
              <w:autoSpaceDN w:val="0"/>
              <w:adjustRightInd w:val="0"/>
              <w:snapToGrid w:val="0"/>
              <w:spacing w:before="0" w:after="0" w:line="360" w:lineRule="auto"/>
              <w:ind w:left="0" w:right="0" w:firstLine="0" w:firstLineChars="0"/>
              <w:jc w:val="center"/>
              <w:rPr>
                <w:rFonts w:hint="eastAsia" w:ascii="Times New Roman" w:hAnsi="Times New Roman" w:eastAsia="宋体" w:cs="宋体"/>
                <w:lang w:val="en-US" w:eastAsia="zh-CN"/>
              </w:rPr>
            </w:pPr>
            <w:r>
              <w:rPr>
                <w:rFonts w:ascii="Times New Roman" w:hAnsi="Times New Roman" w:eastAsia="宋体" w:cs="宋体"/>
                <w:b/>
                <w:color w:val="000000"/>
                <w:sz w:val="24"/>
                <w:szCs w:val="24"/>
                <w:lang w:val="en-US" w:eastAsia="zh-CN" w:bidi="ar-SA"/>
              </w:rPr>
              <w:t>表</w:t>
            </w:r>
            <w:r>
              <w:rPr>
                <w:rFonts w:hint="eastAsia" w:ascii="Times New Roman" w:hAnsi="Times New Roman" w:eastAsia="宋体" w:cs="宋体"/>
                <w:b/>
                <w:color w:val="000000"/>
                <w:sz w:val="24"/>
                <w:szCs w:val="24"/>
                <w:lang w:val="en-US" w:eastAsia="zh-CN" w:bidi="ar-SA"/>
              </w:rPr>
              <w:t>2.4-1</w:t>
            </w:r>
            <w:r>
              <w:rPr>
                <w:rFonts w:ascii="Times New Roman" w:hAnsi="Times New Roman" w:eastAsia="宋体" w:cs="宋体"/>
                <w:b/>
                <w:color w:val="000000"/>
                <w:sz w:val="24"/>
                <w:szCs w:val="24"/>
                <w:lang w:val="en-US" w:eastAsia="zh-CN" w:bidi="ar-SA"/>
              </w:rPr>
              <w:t>本项目</w:t>
            </w:r>
            <w:r>
              <w:rPr>
                <w:rFonts w:hint="eastAsia" w:ascii="Times New Roman" w:hAnsi="Times New Roman" w:eastAsia="宋体" w:cs="宋体"/>
                <w:b/>
                <w:color w:val="000000"/>
                <w:sz w:val="24"/>
                <w:szCs w:val="24"/>
                <w:lang w:val="en-US" w:eastAsia="zh-CN" w:bidi="ar-SA"/>
              </w:rPr>
              <w:t>产品方案</w:t>
            </w:r>
            <w:r>
              <w:rPr>
                <w:rFonts w:ascii="Times New Roman" w:hAnsi="Times New Roman" w:eastAsia="宋体" w:cs="宋体"/>
                <w:b/>
                <w:color w:val="000000"/>
                <w:sz w:val="24"/>
                <w:szCs w:val="24"/>
                <w:lang w:val="en-US" w:eastAsia="zh-CN" w:bidi="ar-SA"/>
              </w:rPr>
              <w:t>一览表</w:t>
            </w:r>
          </w:p>
          <w:tbl>
            <w:tblPr>
              <w:tblStyle w:val="1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1210"/>
              <w:gridCol w:w="1080"/>
              <w:gridCol w:w="1755"/>
              <w:gridCol w:w="1125"/>
              <w:gridCol w:w="720"/>
              <w:gridCol w:w="10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产品名称</w:t>
                  </w:r>
                </w:p>
              </w:tc>
              <w:tc>
                <w:tcPr>
                  <w:tcW w:w="711"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产量</w:t>
                  </w:r>
                </w:p>
              </w:tc>
              <w:tc>
                <w:tcPr>
                  <w:tcW w:w="634"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cs="Times New Roman"/>
                      <w:color w:val="auto"/>
                      <w:sz w:val="21"/>
                      <w:szCs w:val="21"/>
                      <w:lang w:val="en-US" w:eastAsia="zh-CN" w:bidi="ar-SA"/>
                    </w:rPr>
                    <w:t>对应生产线</w:t>
                  </w:r>
                </w:p>
              </w:tc>
              <w:tc>
                <w:tcPr>
                  <w:tcW w:w="1031"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产品型号</w:t>
                  </w:r>
                </w:p>
              </w:tc>
              <w:tc>
                <w:tcPr>
                  <w:tcW w:w="661"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产品规格（单位：mm</w:t>
                  </w:r>
                  <w:r>
                    <w:rPr>
                      <w:rFonts w:hint="eastAsia" w:cs="Times New Roman"/>
                      <w:color w:val="auto"/>
                      <w:sz w:val="21"/>
                      <w:szCs w:val="21"/>
                      <w:vertAlign w:val="superscript"/>
                      <w:lang w:val="en-US" w:eastAsia="zh-CN" w:bidi="ar-SA"/>
                    </w:rPr>
                    <w:t>2</w:t>
                  </w:r>
                  <w:r>
                    <w:rPr>
                      <w:rFonts w:hint="eastAsia" w:cs="Times New Roman"/>
                      <w:color w:val="auto"/>
                      <w:sz w:val="21"/>
                      <w:szCs w:val="21"/>
                      <w:lang w:val="en-US" w:eastAsia="zh-CN" w:bidi="ar-SA"/>
                    </w:rPr>
                    <w:t>）</w:t>
                  </w:r>
                </w:p>
              </w:tc>
              <w:tc>
                <w:tcPr>
                  <w:tcW w:w="423"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芯数</w:t>
                  </w:r>
                </w:p>
              </w:tc>
              <w:tc>
                <w:tcPr>
                  <w:tcW w:w="639" w:type="pc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额定电压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tcBorders>
                    <w:tl2br w:val="nil"/>
                    <w:tr2bl w:val="nil"/>
                  </w:tcBorders>
                  <w:noWrap w:val="0"/>
                  <w:vAlign w:val="center"/>
                </w:tcPr>
                <w:p>
                  <w:pPr>
                    <w:numPr>
                      <w:ilvl w:val="0"/>
                      <w:numId w:val="0"/>
                    </w:numPr>
                    <w:spacing w:beforeLines="0" w:afterLines="0" w:line="480" w:lineRule="auto"/>
                    <w:ind w:left="0" w:leftChars="0" w:firstLine="0" w:firstLineChars="0"/>
                    <w:jc w:val="center"/>
                    <w:rPr>
                      <w:rFonts w:hint="default" w:ascii="Times New Roman" w:hAnsi="Times New Roman" w:eastAsia="宋体" w:cs="宋体"/>
                      <w:color w:val="auto"/>
                      <w:sz w:val="21"/>
                      <w:szCs w:val="22"/>
                      <w:highlight w:val="none"/>
                      <w:lang w:val="en-US" w:eastAsia="zh-CN" w:bidi="ar-SA"/>
                    </w:rPr>
                  </w:pPr>
                  <w:r>
                    <w:rPr>
                      <w:rFonts w:hint="default" w:ascii="Times New Roman" w:hAnsi="Times New Roman" w:eastAsia="宋体" w:cs="宋体"/>
                      <w:color w:val="auto"/>
                      <w:sz w:val="21"/>
                      <w:szCs w:val="22"/>
                      <w:highlight w:val="none"/>
                      <w:lang w:val="en-US" w:eastAsia="zh-CN" w:bidi="ar-SA"/>
                    </w:rPr>
                    <w:t>柔性矿物质及防火电缆</w:t>
                  </w:r>
                </w:p>
              </w:tc>
              <w:tc>
                <w:tcPr>
                  <w:tcW w:w="711" w:type="pct"/>
                  <w:vMerge w:val="restart"/>
                  <w:tcBorders>
                    <w:tl2br w:val="nil"/>
                    <w:tr2bl w:val="nil"/>
                  </w:tcBorders>
                  <w:noWrap w:val="0"/>
                  <w:vAlign w:val="center"/>
                </w:tcPr>
                <w:p>
                  <w:pPr>
                    <w:numPr>
                      <w:ilvl w:val="0"/>
                      <w:numId w:val="0"/>
                    </w:numPr>
                    <w:spacing w:beforeLines="0" w:afterLines="0" w:line="480" w:lineRule="auto"/>
                    <w:ind w:left="0" w:leftChars="0" w:firstLine="0" w:firstLineChars="0"/>
                    <w:jc w:val="center"/>
                    <w:rPr>
                      <w:rFonts w:hint="default" w:ascii="Times New Roman" w:hAnsi="Times New Roman" w:eastAsia="宋体" w:cs="宋体"/>
                      <w:color w:val="auto"/>
                      <w:sz w:val="21"/>
                      <w:szCs w:val="22"/>
                      <w:vertAlign w:val="baseline"/>
                      <w:lang w:val="en-US" w:eastAsia="zh-CN" w:bidi="ar-SA"/>
                    </w:rPr>
                  </w:pPr>
                  <w:r>
                    <w:rPr>
                      <w:rFonts w:hint="eastAsia" w:cs="宋体"/>
                      <w:color w:val="auto"/>
                      <w:sz w:val="21"/>
                      <w:szCs w:val="22"/>
                      <w:vertAlign w:val="baseline"/>
                      <w:lang w:val="en-US" w:eastAsia="zh-CN" w:bidi="ar-SA"/>
                    </w:rPr>
                    <w:t>100千米/年</w:t>
                  </w:r>
                </w:p>
              </w:tc>
              <w:tc>
                <w:tcPr>
                  <w:tcW w:w="634" w:type="pct"/>
                  <w:vMerge w:val="restart"/>
                  <w:tcBorders>
                    <w:tl2br w:val="nil"/>
                    <w:tr2bl w:val="nil"/>
                  </w:tcBorders>
                  <w:noWrap w:val="0"/>
                  <w:vAlign w:val="center"/>
                </w:tcPr>
                <w:p>
                  <w:pPr>
                    <w:numPr>
                      <w:ilvl w:val="0"/>
                      <w:numId w:val="0"/>
                    </w:numPr>
                    <w:spacing w:beforeLines="0" w:afterLines="0" w:line="480" w:lineRule="auto"/>
                    <w:ind w:left="0" w:leftChars="0" w:firstLine="0" w:firstLineChars="0"/>
                    <w:jc w:val="center"/>
                    <w:rPr>
                      <w:rFonts w:hint="default" w:ascii="Times New Roman" w:hAnsi="Times New Roman" w:eastAsia="宋体" w:cs="宋体"/>
                      <w:color w:val="auto"/>
                      <w:sz w:val="21"/>
                      <w:szCs w:val="24"/>
                      <w:lang w:val="en-US" w:eastAsia="zh-CN"/>
                    </w:rPr>
                  </w:pPr>
                  <w:r>
                    <w:rPr>
                      <w:rFonts w:hint="default" w:ascii="Times New Roman" w:hAnsi="Times New Roman" w:eastAsia="宋体" w:cs="宋体"/>
                      <w:color w:val="auto"/>
                      <w:sz w:val="21"/>
                      <w:szCs w:val="22"/>
                      <w:lang w:val="en-US" w:eastAsia="zh-CN" w:bidi="ar-SA"/>
                    </w:rPr>
                    <w:t>防火电缆生产线</w:t>
                  </w: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BTTRZ</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6-240</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1-5</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1KV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tcBorders>
                    <w:tl2br w:val="nil"/>
                    <w:tr2bl w:val="nil"/>
                  </w:tcBorders>
                  <w:noWrap w:val="0"/>
                  <w:vAlign w:val="center"/>
                </w:tcPr>
                <w:p>
                  <w:pPr>
                    <w:spacing w:beforeLines="0" w:afterLines="0" w:line="480" w:lineRule="auto"/>
                    <w:ind w:left="0" w:leftChars="0" w:firstLine="0" w:firstLineChars="0"/>
                    <w:jc w:val="center"/>
                  </w:pPr>
                </w:p>
              </w:tc>
              <w:tc>
                <w:tcPr>
                  <w:tcW w:w="711" w:type="pct"/>
                  <w:vMerge w:val="continue"/>
                  <w:tcBorders>
                    <w:tl2br w:val="nil"/>
                    <w:tr2bl w:val="nil"/>
                  </w:tcBorders>
                  <w:noWrap w:val="0"/>
                  <w:vAlign w:val="center"/>
                </w:tcPr>
                <w:p>
                  <w:pPr>
                    <w:spacing w:beforeLines="0" w:afterLines="0" w:line="480" w:lineRule="auto"/>
                    <w:ind w:left="0" w:leftChars="0" w:firstLine="0" w:firstLineChars="0"/>
                    <w:jc w:val="center"/>
                  </w:pPr>
                </w:p>
              </w:tc>
              <w:tc>
                <w:tcPr>
                  <w:tcW w:w="634" w:type="pct"/>
                  <w:vMerge w:val="continue"/>
                  <w:tcBorders>
                    <w:tl2br w:val="nil"/>
                    <w:tr2bl w:val="nil"/>
                  </w:tcBorders>
                  <w:noWrap w:val="0"/>
                  <w:vAlign w:val="center"/>
                </w:tcPr>
                <w:p>
                  <w:pPr>
                    <w:spacing w:beforeLines="0" w:afterLines="0" w:line="480" w:lineRule="auto"/>
                    <w:ind w:left="0" w:leftChars="0" w:firstLine="0" w:firstLineChars="0"/>
                    <w:jc w:val="center"/>
                  </w:pP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BBTRZ</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6-240</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1-5</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1KV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897" w:type="pct"/>
                  <w:vMerge w:val="continue"/>
                  <w:tcBorders>
                    <w:tl2br w:val="nil"/>
                    <w:tr2bl w:val="nil"/>
                  </w:tcBorders>
                  <w:noWrap w:val="0"/>
                  <w:vAlign w:val="center"/>
                </w:tcPr>
                <w:p>
                  <w:pPr>
                    <w:spacing w:beforeLines="0" w:afterLines="0" w:line="480" w:lineRule="auto"/>
                    <w:ind w:left="0" w:leftChars="0" w:firstLine="0" w:firstLineChars="0"/>
                    <w:jc w:val="center"/>
                    <w:rPr>
                      <w:rFonts w:hint="eastAsia" w:cs="宋体"/>
                      <w:color w:val="auto"/>
                      <w:sz w:val="21"/>
                      <w:szCs w:val="22"/>
                      <w:lang w:val="en-US" w:eastAsia="zh-CN" w:bidi="ar-SA"/>
                    </w:rPr>
                  </w:pPr>
                </w:p>
              </w:tc>
              <w:tc>
                <w:tcPr>
                  <w:tcW w:w="711" w:type="pct"/>
                  <w:vMerge w:val="continue"/>
                  <w:tcBorders>
                    <w:tl2br w:val="nil"/>
                    <w:tr2bl w:val="nil"/>
                  </w:tcBorders>
                  <w:noWrap w:val="0"/>
                  <w:vAlign w:val="center"/>
                </w:tcPr>
                <w:p>
                  <w:pPr>
                    <w:spacing w:beforeLines="0" w:afterLines="0" w:line="480" w:lineRule="auto"/>
                    <w:ind w:left="0" w:leftChars="0" w:firstLine="0" w:firstLineChars="0"/>
                    <w:jc w:val="center"/>
                    <w:rPr>
                      <w:rFonts w:hint="eastAsia" w:cs="宋体"/>
                      <w:color w:val="auto"/>
                      <w:sz w:val="21"/>
                      <w:szCs w:val="22"/>
                      <w:lang w:val="en-US" w:eastAsia="zh-CN" w:bidi="ar-SA"/>
                    </w:rPr>
                  </w:pPr>
                </w:p>
              </w:tc>
              <w:tc>
                <w:tcPr>
                  <w:tcW w:w="634" w:type="pct"/>
                  <w:vMerge w:val="continue"/>
                  <w:tcBorders>
                    <w:tl2br w:val="nil"/>
                    <w:tr2bl w:val="nil"/>
                  </w:tcBorders>
                  <w:noWrap w:val="0"/>
                  <w:vAlign w:val="center"/>
                </w:tcPr>
                <w:p>
                  <w:pPr>
                    <w:spacing w:beforeLines="0" w:afterLines="0" w:line="480" w:lineRule="auto"/>
                    <w:ind w:left="0" w:leftChars="0" w:firstLine="0" w:firstLineChars="0"/>
                    <w:jc w:val="center"/>
                    <w:rPr>
                      <w:rFonts w:hint="eastAsia" w:cs="宋体"/>
                      <w:color w:val="auto"/>
                      <w:sz w:val="21"/>
                      <w:szCs w:val="22"/>
                      <w:lang w:val="en-US" w:eastAsia="zh-CN" w:bidi="ar-SA"/>
                    </w:rPr>
                  </w:pP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NG-A</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6-240</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1-5</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1KV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tcBorders>
                    <w:tl2br w:val="nil"/>
                    <w:tr2bl w:val="nil"/>
                  </w:tcBorders>
                  <w:noWrap w:val="0"/>
                  <w:vAlign w:val="center"/>
                </w:tcPr>
                <w:p>
                  <w:pPr>
                    <w:numPr>
                      <w:ilvl w:val="0"/>
                      <w:numId w:val="0"/>
                    </w:numPr>
                    <w:spacing w:beforeLines="0" w:afterLines="0" w:line="480" w:lineRule="auto"/>
                    <w:ind w:left="0" w:leftChars="0"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电力电缆</w:t>
                  </w:r>
                </w:p>
              </w:tc>
              <w:tc>
                <w:tcPr>
                  <w:tcW w:w="711" w:type="pct"/>
                  <w:vMerge w:val="restart"/>
                  <w:tcBorders>
                    <w:tl2br w:val="nil"/>
                    <w:tr2bl w:val="nil"/>
                  </w:tcBorders>
                  <w:noWrap w:val="0"/>
                  <w:vAlign w:val="center"/>
                </w:tcPr>
                <w:p>
                  <w:pPr>
                    <w:numPr>
                      <w:ilvl w:val="0"/>
                      <w:numId w:val="0"/>
                    </w:numPr>
                    <w:spacing w:beforeLines="0" w:afterLines="0" w:line="480" w:lineRule="auto"/>
                    <w:ind w:left="0" w:leftChars="0" w:firstLine="0" w:firstLineChars="0"/>
                    <w:jc w:val="center"/>
                    <w:rPr>
                      <w:rFonts w:hint="eastAsia" w:ascii="Times New Roman" w:hAnsi="Times New Roman" w:eastAsia="宋体" w:cs="宋体"/>
                      <w:color w:val="auto"/>
                      <w:sz w:val="21"/>
                      <w:szCs w:val="22"/>
                      <w:vertAlign w:val="baseline"/>
                      <w:lang w:val="en-US" w:eastAsia="zh-CN" w:bidi="ar-SA"/>
                    </w:rPr>
                  </w:pPr>
                  <w:r>
                    <w:rPr>
                      <w:rFonts w:hint="eastAsia" w:cs="宋体"/>
                      <w:color w:val="auto"/>
                      <w:sz w:val="21"/>
                      <w:szCs w:val="22"/>
                      <w:vertAlign w:val="baseline"/>
                      <w:lang w:val="en-US" w:eastAsia="zh-CN" w:bidi="ar-SA"/>
                    </w:rPr>
                    <w:t>300千米/年</w:t>
                  </w:r>
                </w:p>
              </w:tc>
              <w:tc>
                <w:tcPr>
                  <w:tcW w:w="634" w:type="pct"/>
                  <w:vMerge w:val="restart"/>
                  <w:tcBorders>
                    <w:tl2br w:val="nil"/>
                    <w:tr2bl w:val="nil"/>
                  </w:tcBorders>
                  <w:noWrap w:val="0"/>
                  <w:vAlign w:val="center"/>
                </w:tcPr>
                <w:p>
                  <w:pPr>
                    <w:numPr>
                      <w:ilvl w:val="0"/>
                      <w:numId w:val="0"/>
                    </w:numPr>
                    <w:spacing w:beforeLines="0" w:afterLines="0" w:line="480" w:lineRule="auto"/>
                    <w:ind w:left="0" w:leftChars="0" w:firstLine="0" w:firstLineChars="0"/>
                    <w:jc w:val="center"/>
                    <w:rPr>
                      <w:rFonts w:hint="default" w:ascii="Times New Roman" w:hAnsi="Times New Roman" w:eastAsia="宋体" w:cs="宋体"/>
                      <w:color w:val="auto"/>
                      <w:sz w:val="21"/>
                      <w:szCs w:val="24"/>
                      <w:lang w:val="en-US" w:eastAsia="zh-CN"/>
                    </w:rPr>
                  </w:pPr>
                  <w:r>
                    <w:rPr>
                      <w:rFonts w:hint="default" w:ascii="Times New Roman" w:hAnsi="Times New Roman" w:eastAsia="宋体" w:cs="宋体"/>
                      <w:color w:val="auto"/>
                      <w:sz w:val="21"/>
                      <w:szCs w:val="22"/>
                      <w:lang w:val="en-US" w:eastAsia="zh-CN" w:bidi="ar-SA"/>
                    </w:rPr>
                    <w:t>低压电缆生产线</w:t>
                  </w: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VV</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1.5-400</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1-5</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0.6/1KV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tcBorders>
                    <w:tl2br w:val="nil"/>
                    <w:tr2bl w:val="nil"/>
                  </w:tcBorders>
                  <w:noWrap w:val="0"/>
                  <w:vAlign w:val="center"/>
                </w:tcPr>
                <w:p>
                  <w:pPr>
                    <w:spacing w:beforeLines="0" w:afterLines="0" w:line="480" w:lineRule="auto"/>
                    <w:ind w:left="0" w:leftChars="0" w:firstLine="0" w:firstLineChars="0"/>
                    <w:jc w:val="center"/>
                  </w:pPr>
                </w:p>
              </w:tc>
              <w:tc>
                <w:tcPr>
                  <w:tcW w:w="711" w:type="pct"/>
                  <w:vMerge w:val="continue"/>
                  <w:tcBorders>
                    <w:tl2br w:val="nil"/>
                    <w:tr2bl w:val="nil"/>
                  </w:tcBorders>
                  <w:noWrap w:val="0"/>
                  <w:vAlign w:val="center"/>
                </w:tcPr>
                <w:p>
                  <w:pPr>
                    <w:spacing w:beforeLines="0" w:afterLines="0" w:line="480" w:lineRule="auto"/>
                    <w:ind w:left="0" w:leftChars="0" w:firstLine="0" w:firstLineChars="0"/>
                    <w:jc w:val="center"/>
                  </w:pPr>
                </w:p>
              </w:tc>
              <w:tc>
                <w:tcPr>
                  <w:tcW w:w="634" w:type="pct"/>
                  <w:vMerge w:val="continue"/>
                  <w:tcBorders>
                    <w:tl2br w:val="nil"/>
                    <w:tr2bl w:val="nil"/>
                  </w:tcBorders>
                  <w:noWrap w:val="0"/>
                  <w:vAlign w:val="center"/>
                </w:tcPr>
                <w:p>
                  <w:pPr>
                    <w:spacing w:beforeLines="0" w:afterLines="0" w:line="480" w:lineRule="auto"/>
                    <w:ind w:left="0" w:leftChars="0" w:firstLine="0" w:firstLineChars="0"/>
                    <w:jc w:val="center"/>
                  </w:pP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YJV</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1.5-400</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1-5</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0.6/1KV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tcBorders>
                    <w:tl2br w:val="nil"/>
                    <w:tr2bl w:val="nil"/>
                  </w:tcBorders>
                  <w:noWrap w:val="0"/>
                  <w:vAlign w:val="center"/>
                </w:tcPr>
                <w:p>
                  <w:pPr>
                    <w:spacing w:beforeLines="0" w:afterLines="0" w:line="480" w:lineRule="auto"/>
                    <w:ind w:left="0" w:leftChars="0" w:firstLine="0" w:firstLineChars="0"/>
                    <w:jc w:val="center"/>
                    <w:rPr>
                      <w:rFonts w:hint="eastAsia" w:cs="宋体"/>
                      <w:color w:val="auto"/>
                      <w:sz w:val="21"/>
                      <w:szCs w:val="22"/>
                      <w:lang w:val="en-US" w:eastAsia="zh-CN" w:bidi="ar-SA"/>
                    </w:rPr>
                  </w:pPr>
                </w:p>
              </w:tc>
              <w:tc>
                <w:tcPr>
                  <w:tcW w:w="711" w:type="pct"/>
                  <w:vMerge w:val="continue"/>
                  <w:tcBorders>
                    <w:tl2br w:val="nil"/>
                    <w:tr2bl w:val="nil"/>
                  </w:tcBorders>
                  <w:noWrap w:val="0"/>
                  <w:vAlign w:val="center"/>
                </w:tcPr>
                <w:p>
                  <w:pPr>
                    <w:spacing w:beforeLines="0" w:afterLines="0" w:line="480" w:lineRule="auto"/>
                    <w:ind w:left="0" w:leftChars="0" w:firstLine="0" w:firstLineChars="0"/>
                    <w:jc w:val="center"/>
                    <w:rPr>
                      <w:rFonts w:hint="eastAsia" w:cs="宋体"/>
                      <w:color w:val="auto"/>
                      <w:sz w:val="21"/>
                      <w:szCs w:val="22"/>
                      <w:lang w:val="en-US" w:eastAsia="zh-CN" w:bidi="ar-SA"/>
                    </w:rPr>
                  </w:pPr>
                </w:p>
              </w:tc>
              <w:tc>
                <w:tcPr>
                  <w:tcW w:w="634" w:type="pct"/>
                  <w:vMerge w:val="continue"/>
                  <w:tcBorders>
                    <w:tl2br w:val="nil"/>
                    <w:tr2bl w:val="nil"/>
                  </w:tcBorders>
                  <w:noWrap w:val="0"/>
                  <w:vAlign w:val="center"/>
                </w:tcPr>
                <w:p>
                  <w:pPr>
                    <w:spacing w:beforeLines="0" w:afterLines="0" w:line="480" w:lineRule="auto"/>
                    <w:ind w:left="0" w:leftChars="0" w:firstLine="0" w:firstLineChars="0"/>
                    <w:jc w:val="center"/>
                    <w:rPr>
                      <w:rFonts w:hint="eastAsia" w:cs="宋体"/>
                      <w:color w:val="auto"/>
                      <w:sz w:val="21"/>
                      <w:szCs w:val="22"/>
                      <w:lang w:val="en-US" w:eastAsia="zh-CN" w:bidi="ar-SA"/>
                    </w:rPr>
                  </w:pP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WDZ-YJY</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1.5-400</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1-5</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0.6/1KV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控制电缆</w:t>
                  </w:r>
                </w:p>
              </w:tc>
              <w:tc>
                <w:tcPr>
                  <w:tcW w:w="711" w:type="pct"/>
                  <w:vMerge w:val="restar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ascii="Times New Roman" w:hAnsi="Times New Roman" w:eastAsia="宋体" w:cs="宋体"/>
                      <w:color w:val="auto"/>
                      <w:sz w:val="21"/>
                      <w:szCs w:val="22"/>
                      <w:vertAlign w:val="baseline"/>
                      <w:lang w:val="en-US" w:eastAsia="zh-CN" w:bidi="ar-SA"/>
                    </w:rPr>
                  </w:pPr>
                  <w:r>
                    <w:rPr>
                      <w:rFonts w:hint="eastAsia" w:cs="宋体"/>
                      <w:color w:val="auto"/>
                      <w:sz w:val="21"/>
                      <w:szCs w:val="22"/>
                      <w:vertAlign w:val="baseline"/>
                      <w:lang w:val="en-US" w:eastAsia="zh-CN" w:bidi="ar-SA"/>
                    </w:rPr>
                    <w:t>500千米/年</w:t>
                  </w:r>
                </w:p>
              </w:tc>
              <w:tc>
                <w:tcPr>
                  <w:tcW w:w="634" w:type="pct"/>
                  <w:vMerge w:val="restar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ascii="Times New Roman" w:hAnsi="Times New Roman" w:eastAsia="宋体" w:cs="宋体"/>
                      <w:color w:val="auto"/>
                      <w:sz w:val="21"/>
                      <w:szCs w:val="24"/>
                      <w:lang w:val="en-US" w:eastAsia="zh-CN"/>
                    </w:rPr>
                  </w:pPr>
                  <w:r>
                    <w:rPr>
                      <w:rFonts w:hint="default" w:ascii="Times New Roman" w:hAnsi="Times New Roman" w:eastAsia="宋体" w:cs="宋体"/>
                      <w:color w:val="auto"/>
                      <w:sz w:val="21"/>
                      <w:szCs w:val="22"/>
                      <w:lang w:val="en-US" w:eastAsia="zh-CN" w:bidi="ar-SA"/>
                    </w:rPr>
                    <w:t>控制电缆生产线</w:t>
                  </w: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KVV</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0.5-10</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2-61</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450-750V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tcBorders>
                    <w:tl2br w:val="nil"/>
                    <w:tr2bl w:val="nil"/>
                  </w:tcBorders>
                  <w:noWrap w:val="0"/>
                  <w:vAlign w:val="center"/>
                </w:tcPr>
                <w:p>
                  <w:pPr>
                    <w:spacing w:beforeLines="0" w:afterLines="0" w:line="360" w:lineRule="auto"/>
                    <w:ind w:left="0" w:leftChars="0" w:firstLine="0" w:firstLineChars="0"/>
                    <w:jc w:val="center"/>
                  </w:pPr>
                </w:p>
              </w:tc>
              <w:tc>
                <w:tcPr>
                  <w:tcW w:w="711" w:type="pct"/>
                  <w:vMerge w:val="continue"/>
                  <w:tcBorders>
                    <w:tl2br w:val="nil"/>
                    <w:tr2bl w:val="nil"/>
                  </w:tcBorders>
                  <w:noWrap w:val="0"/>
                  <w:vAlign w:val="center"/>
                </w:tcPr>
                <w:p>
                  <w:pPr>
                    <w:spacing w:beforeLines="0" w:afterLines="0" w:line="360" w:lineRule="auto"/>
                    <w:ind w:left="0" w:leftChars="0" w:firstLine="0" w:firstLineChars="0"/>
                    <w:jc w:val="center"/>
                  </w:pPr>
                </w:p>
              </w:tc>
              <w:tc>
                <w:tcPr>
                  <w:tcW w:w="634" w:type="pct"/>
                  <w:vMerge w:val="continue"/>
                  <w:tcBorders>
                    <w:tl2br w:val="nil"/>
                    <w:tr2bl w:val="nil"/>
                  </w:tcBorders>
                  <w:noWrap w:val="0"/>
                  <w:vAlign w:val="center"/>
                </w:tcPr>
                <w:p>
                  <w:pPr>
                    <w:spacing w:beforeLines="0" w:afterLines="0" w:line="360" w:lineRule="auto"/>
                    <w:ind w:left="0" w:leftChars="0" w:firstLine="0" w:firstLineChars="0"/>
                    <w:jc w:val="center"/>
                  </w:pP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KVVR</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0.5-10</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2-61</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450-750V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tcBorders>
                    <w:tl2br w:val="nil"/>
                    <w:tr2bl w:val="nil"/>
                  </w:tcBorders>
                  <w:noWrap w:val="0"/>
                  <w:vAlign w:val="center"/>
                </w:tcPr>
                <w:p>
                  <w:pPr>
                    <w:spacing w:beforeLines="0" w:afterLines="0" w:line="360" w:lineRule="auto"/>
                    <w:ind w:left="0" w:leftChars="0" w:firstLine="0" w:firstLineChars="0"/>
                    <w:jc w:val="center"/>
                    <w:rPr>
                      <w:rFonts w:hint="eastAsia" w:cs="宋体"/>
                      <w:color w:val="auto"/>
                      <w:sz w:val="21"/>
                      <w:szCs w:val="22"/>
                      <w:lang w:val="en-US" w:eastAsia="zh-CN" w:bidi="ar-SA"/>
                    </w:rPr>
                  </w:pPr>
                </w:p>
              </w:tc>
              <w:tc>
                <w:tcPr>
                  <w:tcW w:w="711" w:type="pct"/>
                  <w:vMerge w:val="continue"/>
                  <w:tcBorders>
                    <w:tl2br w:val="nil"/>
                    <w:tr2bl w:val="nil"/>
                  </w:tcBorders>
                  <w:noWrap w:val="0"/>
                  <w:vAlign w:val="center"/>
                </w:tcPr>
                <w:p>
                  <w:pPr>
                    <w:spacing w:beforeLines="0" w:afterLines="0" w:line="360" w:lineRule="auto"/>
                    <w:ind w:left="0" w:leftChars="0" w:firstLine="0" w:firstLineChars="0"/>
                    <w:jc w:val="center"/>
                    <w:rPr>
                      <w:rFonts w:hint="eastAsia" w:cs="宋体"/>
                      <w:color w:val="auto"/>
                      <w:sz w:val="21"/>
                      <w:szCs w:val="22"/>
                      <w:lang w:val="en-US" w:eastAsia="zh-CN" w:bidi="ar-SA"/>
                    </w:rPr>
                  </w:pPr>
                </w:p>
              </w:tc>
              <w:tc>
                <w:tcPr>
                  <w:tcW w:w="634" w:type="pct"/>
                  <w:vMerge w:val="continue"/>
                  <w:tcBorders>
                    <w:tl2br w:val="nil"/>
                    <w:tr2bl w:val="nil"/>
                  </w:tcBorders>
                  <w:noWrap w:val="0"/>
                  <w:vAlign w:val="center"/>
                </w:tcPr>
                <w:p>
                  <w:pPr>
                    <w:spacing w:beforeLines="0" w:afterLines="0" w:line="360" w:lineRule="auto"/>
                    <w:ind w:left="0" w:leftChars="0" w:firstLine="0" w:firstLineChars="0"/>
                    <w:jc w:val="center"/>
                    <w:rPr>
                      <w:rFonts w:hint="eastAsia" w:cs="宋体"/>
                      <w:color w:val="auto"/>
                      <w:sz w:val="21"/>
                      <w:szCs w:val="22"/>
                      <w:lang w:val="en-US" w:eastAsia="zh-CN" w:bidi="ar-SA"/>
                    </w:rPr>
                  </w:pP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KVVP</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0.5-10</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2-61</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450-750V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897" w:type="pct"/>
                  <w:vMerge w:val="continue"/>
                  <w:tcBorders>
                    <w:tl2br w:val="nil"/>
                    <w:tr2bl w:val="nil"/>
                  </w:tcBorders>
                  <w:noWrap w:val="0"/>
                  <w:vAlign w:val="center"/>
                </w:tcPr>
                <w:p>
                  <w:pPr>
                    <w:spacing w:beforeLines="0" w:afterLines="0" w:line="360" w:lineRule="auto"/>
                    <w:ind w:left="0" w:leftChars="0" w:firstLine="0" w:firstLineChars="0"/>
                    <w:jc w:val="center"/>
                    <w:rPr>
                      <w:rFonts w:hint="eastAsia" w:cs="宋体"/>
                      <w:color w:val="auto"/>
                      <w:sz w:val="21"/>
                      <w:szCs w:val="22"/>
                      <w:lang w:val="en-US" w:eastAsia="zh-CN" w:bidi="ar-SA"/>
                    </w:rPr>
                  </w:pPr>
                </w:p>
              </w:tc>
              <w:tc>
                <w:tcPr>
                  <w:tcW w:w="711" w:type="pct"/>
                  <w:vMerge w:val="continue"/>
                  <w:tcBorders>
                    <w:tl2br w:val="nil"/>
                    <w:tr2bl w:val="nil"/>
                  </w:tcBorders>
                  <w:noWrap w:val="0"/>
                  <w:vAlign w:val="center"/>
                </w:tcPr>
                <w:p>
                  <w:pPr>
                    <w:spacing w:beforeLines="0" w:afterLines="0" w:line="360" w:lineRule="auto"/>
                    <w:ind w:left="0" w:leftChars="0" w:firstLine="0" w:firstLineChars="0"/>
                    <w:jc w:val="center"/>
                    <w:rPr>
                      <w:rFonts w:hint="eastAsia" w:cs="宋体"/>
                      <w:color w:val="auto"/>
                      <w:sz w:val="21"/>
                      <w:szCs w:val="22"/>
                      <w:lang w:val="en-US" w:eastAsia="zh-CN" w:bidi="ar-SA"/>
                    </w:rPr>
                  </w:pPr>
                </w:p>
              </w:tc>
              <w:tc>
                <w:tcPr>
                  <w:tcW w:w="634" w:type="pct"/>
                  <w:vMerge w:val="continue"/>
                  <w:tcBorders>
                    <w:tl2br w:val="nil"/>
                    <w:tr2bl w:val="nil"/>
                  </w:tcBorders>
                  <w:noWrap w:val="0"/>
                  <w:vAlign w:val="center"/>
                </w:tcPr>
                <w:p>
                  <w:pPr>
                    <w:spacing w:beforeLines="0" w:afterLines="0" w:line="360" w:lineRule="auto"/>
                    <w:ind w:left="0" w:leftChars="0" w:firstLine="0" w:firstLineChars="0"/>
                    <w:jc w:val="center"/>
                    <w:rPr>
                      <w:rFonts w:hint="eastAsia" w:cs="宋体"/>
                      <w:color w:val="auto"/>
                      <w:sz w:val="21"/>
                      <w:szCs w:val="22"/>
                      <w:lang w:val="en-US" w:eastAsia="zh-CN" w:bidi="ar-SA"/>
                    </w:rPr>
                  </w:pP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KVVRP</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0.5-10</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2-61</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450-750V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897" w:type="pct"/>
                  <w:vMerge w:val="restart"/>
                  <w:tcBorders>
                    <w:tl2br w:val="nil"/>
                    <w:tr2bl w:val="nil"/>
                  </w:tcBorders>
                  <w:noWrap w:val="0"/>
                  <w:vAlign w:val="center"/>
                </w:tcPr>
                <w:p>
                  <w:pPr>
                    <w:numPr>
                      <w:ilvl w:val="0"/>
                      <w:numId w:val="0"/>
                    </w:numPr>
                    <w:spacing w:beforeLines="0" w:afterLines="0" w:line="480" w:lineRule="auto"/>
                    <w:ind w:left="0" w:leftChars="0"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架空绝缘电缆</w:t>
                  </w:r>
                </w:p>
              </w:tc>
              <w:tc>
                <w:tcPr>
                  <w:tcW w:w="711" w:type="pct"/>
                  <w:vMerge w:val="restart"/>
                  <w:tcBorders>
                    <w:tl2br w:val="nil"/>
                    <w:tr2bl w:val="nil"/>
                  </w:tcBorders>
                  <w:noWrap w:val="0"/>
                  <w:vAlign w:val="center"/>
                </w:tcPr>
                <w:p>
                  <w:pPr>
                    <w:numPr>
                      <w:ilvl w:val="0"/>
                      <w:numId w:val="0"/>
                    </w:numPr>
                    <w:spacing w:beforeLines="0" w:afterLines="0" w:line="480" w:lineRule="auto"/>
                    <w:ind w:left="0" w:leftChars="0" w:firstLine="0" w:firstLineChars="0"/>
                    <w:jc w:val="center"/>
                    <w:rPr>
                      <w:rFonts w:hint="default" w:ascii="Times New Roman" w:hAnsi="Times New Roman" w:eastAsia="宋体" w:cs="宋体"/>
                      <w:color w:val="auto"/>
                      <w:sz w:val="21"/>
                      <w:szCs w:val="22"/>
                      <w:vertAlign w:val="baseline"/>
                      <w:lang w:val="en-US" w:eastAsia="zh-CN" w:bidi="ar-SA"/>
                    </w:rPr>
                  </w:pPr>
                  <w:r>
                    <w:rPr>
                      <w:rFonts w:hint="eastAsia" w:cs="宋体"/>
                      <w:color w:val="auto"/>
                      <w:sz w:val="21"/>
                      <w:szCs w:val="22"/>
                      <w:vertAlign w:val="baseline"/>
                      <w:lang w:val="en-US" w:eastAsia="zh-CN" w:bidi="ar-SA"/>
                    </w:rPr>
                    <w:t>200千米/年</w:t>
                  </w:r>
                </w:p>
              </w:tc>
              <w:tc>
                <w:tcPr>
                  <w:tcW w:w="634" w:type="pct"/>
                  <w:vMerge w:val="restart"/>
                  <w:tcBorders>
                    <w:tl2br w:val="nil"/>
                    <w:tr2bl w:val="nil"/>
                  </w:tcBorders>
                  <w:noWrap w:val="0"/>
                  <w:vAlign w:val="center"/>
                </w:tcPr>
                <w:p>
                  <w:pPr>
                    <w:numPr>
                      <w:ilvl w:val="0"/>
                      <w:numId w:val="0"/>
                    </w:numPr>
                    <w:spacing w:beforeLines="0" w:afterLines="0" w:line="480" w:lineRule="auto"/>
                    <w:ind w:left="0" w:leftChars="0" w:firstLine="0" w:firstLineChars="0"/>
                    <w:jc w:val="center"/>
                    <w:rPr>
                      <w:rFonts w:hint="default" w:ascii="Times New Roman" w:hAnsi="Times New Roman" w:eastAsia="宋体" w:cs="宋体"/>
                      <w:color w:val="auto"/>
                      <w:sz w:val="21"/>
                      <w:szCs w:val="24"/>
                      <w:lang w:val="en-US" w:eastAsia="zh-CN"/>
                    </w:rPr>
                  </w:pPr>
                  <w:r>
                    <w:rPr>
                      <w:rFonts w:hint="default" w:ascii="Times New Roman" w:hAnsi="Times New Roman" w:eastAsia="宋体" w:cs="宋体"/>
                      <w:color w:val="auto"/>
                      <w:sz w:val="21"/>
                      <w:szCs w:val="22"/>
                      <w:lang w:val="en-US" w:eastAsia="zh-CN" w:bidi="ar-SA"/>
                    </w:rPr>
                    <w:t>低压电缆生产线</w:t>
                  </w: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JKLYJ</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10-300</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1</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1-10KV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897" w:type="pct"/>
                  <w:vMerge w:val="continue"/>
                  <w:tcBorders>
                    <w:tl2br w:val="nil"/>
                    <w:tr2bl w:val="nil"/>
                  </w:tcBorders>
                  <w:noWrap w:val="0"/>
                  <w:vAlign w:val="center"/>
                </w:tcPr>
                <w:p>
                  <w:pPr>
                    <w:spacing w:beforeLines="0" w:afterLines="0" w:line="480" w:lineRule="auto"/>
                    <w:ind w:left="0" w:leftChars="0" w:firstLine="0" w:firstLineChars="0"/>
                    <w:jc w:val="center"/>
                  </w:pPr>
                </w:p>
              </w:tc>
              <w:tc>
                <w:tcPr>
                  <w:tcW w:w="711" w:type="pct"/>
                  <w:vMerge w:val="continue"/>
                  <w:tcBorders>
                    <w:tl2br w:val="nil"/>
                    <w:tr2bl w:val="nil"/>
                  </w:tcBorders>
                  <w:noWrap w:val="0"/>
                  <w:vAlign w:val="center"/>
                </w:tcPr>
                <w:p>
                  <w:pPr>
                    <w:spacing w:beforeLines="0" w:afterLines="0" w:line="480" w:lineRule="auto"/>
                    <w:ind w:left="0" w:leftChars="0" w:firstLine="0" w:firstLineChars="0"/>
                    <w:jc w:val="center"/>
                  </w:pPr>
                </w:p>
              </w:tc>
              <w:tc>
                <w:tcPr>
                  <w:tcW w:w="634" w:type="pct"/>
                  <w:vMerge w:val="continue"/>
                  <w:tcBorders>
                    <w:tl2br w:val="nil"/>
                    <w:tr2bl w:val="nil"/>
                  </w:tcBorders>
                  <w:noWrap w:val="0"/>
                  <w:vAlign w:val="center"/>
                </w:tcPr>
                <w:p>
                  <w:pPr>
                    <w:spacing w:beforeLines="0" w:afterLines="0" w:line="480" w:lineRule="auto"/>
                    <w:ind w:left="0" w:leftChars="0" w:firstLine="0" w:firstLineChars="0"/>
                    <w:jc w:val="center"/>
                  </w:pP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JGKLYJ</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10-300</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1</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1-10KV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tcBorders>
                    <w:tl2br w:val="nil"/>
                    <w:tr2bl w:val="nil"/>
                  </w:tcBorders>
                  <w:noWrap w:val="0"/>
                  <w:vAlign w:val="center"/>
                </w:tcPr>
                <w:p>
                  <w:pPr>
                    <w:numPr>
                      <w:ilvl w:val="0"/>
                      <w:numId w:val="0"/>
                    </w:numPr>
                    <w:spacing w:beforeLines="0" w:afterLines="0" w:line="480" w:lineRule="auto"/>
                    <w:ind w:left="0" w:leftChars="0"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一般用途导体电线</w:t>
                  </w:r>
                </w:p>
              </w:tc>
              <w:tc>
                <w:tcPr>
                  <w:tcW w:w="711" w:type="pct"/>
                  <w:vMerge w:val="restart"/>
                  <w:tcBorders>
                    <w:tl2br w:val="nil"/>
                    <w:tr2bl w:val="nil"/>
                  </w:tcBorders>
                  <w:noWrap w:val="0"/>
                  <w:vAlign w:val="center"/>
                </w:tcPr>
                <w:p>
                  <w:pPr>
                    <w:numPr>
                      <w:ilvl w:val="0"/>
                      <w:numId w:val="0"/>
                    </w:numPr>
                    <w:spacing w:beforeLines="0" w:afterLines="0" w:line="480" w:lineRule="auto"/>
                    <w:ind w:left="0" w:leftChars="0" w:firstLine="0" w:firstLineChars="0"/>
                    <w:jc w:val="center"/>
                    <w:rPr>
                      <w:rFonts w:hint="eastAsia" w:ascii="Times New Roman" w:hAnsi="Times New Roman" w:eastAsia="宋体" w:cs="宋体"/>
                      <w:color w:val="auto"/>
                      <w:sz w:val="21"/>
                      <w:szCs w:val="22"/>
                      <w:vertAlign w:val="baseline"/>
                      <w:lang w:val="en-US" w:eastAsia="zh-CN" w:bidi="ar-SA"/>
                    </w:rPr>
                  </w:pPr>
                  <w:r>
                    <w:rPr>
                      <w:rFonts w:hint="eastAsia" w:cs="宋体"/>
                      <w:color w:val="auto"/>
                      <w:sz w:val="21"/>
                      <w:szCs w:val="22"/>
                      <w:vertAlign w:val="baseline"/>
                      <w:lang w:val="en-US" w:eastAsia="zh-CN" w:bidi="ar-SA"/>
                    </w:rPr>
                    <w:t>900千米/年</w:t>
                  </w:r>
                </w:p>
              </w:tc>
              <w:tc>
                <w:tcPr>
                  <w:tcW w:w="634" w:type="pct"/>
                  <w:vMerge w:val="restart"/>
                  <w:tcBorders>
                    <w:tl2br w:val="nil"/>
                    <w:tr2bl w:val="nil"/>
                  </w:tcBorders>
                  <w:noWrap w:val="0"/>
                  <w:vAlign w:val="center"/>
                </w:tcPr>
                <w:p>
                  <w:pPr>
                    <w:numPr>
                      <w:ilvl w:val="0"/>
                      <w:numId w:val="0"/>
                    </w:numPr>
                    <w:spacing w:beforeLines="0" w:afterLines="0" w:line="480" w:lineRule="auto"/>
                    <w:ind w:left="0" w:leftChars="0" w:firstLine="0" w:firstLineChars="0"/>
                    <w:jc w:val="center"/>
                    <w:rPr>
                      <w:rFonts w:hint="default" w:ascii="Times New Roman" w:hAnsi="Times New Roman" w:eastAsia="宋体" w:cs="宋体"/>
                      <w:color w:val="auto"/>
                      <w:sz w:val="21"/>
                      <w:szCs w:val="24"/>
                      <w:lang w:val="en-US" w:eastAsia="zh-CN"/>
                    </w:rPr>
                  </w:pPr>
                  <w:r>
                    <w:rPr>
                      <w:rFonts w:hint="default" w:ascii="Times New Roman" w:hAnsi="Times New Roman" w:eastAsia="宋体" w:cs="宋体"/>
                      <w:color w:val="auto"/>
                      <w:sz w:val="21"/>
                      <w:szCs w:val="22"/>
                      <w:lang w:val="en-US" w:eastAsia="zh-CN" w:bidi="ar-SA"/>
                    </w:rPr>
                    <w:t>消防电线生产线</w:t>
                  </w: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RVS</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0.3-2.5</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2</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300/300V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tcBorders>
                    <w:tl2br w:val="nil"/>
                    <w:tr2bl w:val="nil"/>
                  </w:tcBorders>
                  <w:noWrap w:val="0"/>
                  <w:vAlign w:val="center"/>
                </w:tcPr>
                <w:p>
                  <w:pPr>
                    <w:spacing w:beforeLines="0" w:afterLines="0" w:line="480" w:lineRule="auto"/>
                    <w:ind w:left="0" w:leftChars="0" w:firstLine="0" w:firstLineChars="0"/>
                    <w:jc w:val="center"/>
                  </w:pPr>
                </w:p>
              </w:tc>
              <w:tc>
                <w:tcPr>
                  <w:tcW w:w="711" w:type="pct"/>
                  <w:vMerge w:val="continue"/>
                  <w:tcBorders>
                    <w:tl2br w:val="nil"/>
                    <w:tr2bl w:val="nil"/>
                  </w:tcBorders>
                  <w:noWrap w:val="0"/>
                  <w:vAlign w:val="center"/>
                </w:tcPr>
                <w:p>
                  <w:pPr>
                    <w:spacing w:beforeLines="0" w:afterLines="0" w:line="480" w:lineRule="auto"/>
                    <w:ind w:left="0" w:leftChars="0" w:firstLine="0" w:firstLineChars="0"/>
                    <w:jc w:val="center"/>
                  </w:pPr>
                </w:p>
              </w:tc>
              <w:tc>
                <w:tcPr>
                  <w:tcW w:w="634" w:type="pct"/>
                  <w:vMerge w:val="continue"/>
                  <w:tcBorders>
                    <w:tl2br w:val="nil"/>
                    <w:tr2bl w:val="nil"/>
                  </w:tcBorders>
                  <w:noWrap w:val="0"/>
                  <w:vAlign w:val="center"/>
                </w:tcPr>
                <w:p>
                  <w:pPr>
                    <w:spacing w:beforeLines="0" w:afterLines="0" w:line="480" w:lineRule="auto"/>
                    <w:ind w:left="0" w:leftChars="0" w:firstLine="0" w:firstLineChars="0"/>
                    <w:jc w:val="center"/>
                  </w:pP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RVV</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05-10</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2-41</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300-500V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tcBorders>
                    <w:tl2br w:val="nil"/>
                    <w:tr2bl w:val="nil"/>
                  </w:tcBorders>
                  <w:noWrap w:val="0"/>
                  <w:vAlign w:val="center"/>
                </w:tcPr>
                <w:p>
                  <w:pPr>
                    <w:spacing w:beforeLines="0" w:afterLines="0" w:line="480" w:lineRule="auto"/>
                    <w:ind w:left="0" w:leftChars="0" w:firstLine="0" w:firstLineChars="0"/>
                    <w:jc w:val="center"/>
                    <w:rPr>
                      <w:rFonts w:hint="eastAsia" w:cs="宋体"/>
                      <w:color w:val="auto"/>
                      <w:sz w:val="21"/>
                      <w:szCs w:val="22"/>
                      <w:lang w:val="en-US" w:eastAsia="zh-CN" w:bidi="ar-SA"/>
                    </w:rPr>
                  </w:pPr>
                </w:p>
              </w:tc>
              <w:tc>
                <w:tcPr>
                  <w:tcW w:w="711" w:type="pct"/>
                  <w:vMerge w:val="continue"/>
                  <w:tcBorders>
                    <w:tl2br w:val="nil"/>
                    <w:tr2bl w:val="nil"/>
                  </w:tcBorders>
                  <w:noWrap w:val="0"/>
                  <w:vAlign w:val="center"/>
                </w:tcPr>
                <w:p>
                  <w:pPr>
                    <w:spacing w:beforeLines="0" w:afterLines="0" w:line="480" w:lineRule="auto"/>
                    <w:ind w:left="0" w:leftChars="0" w:firstLine="0" w:firstLineChars="0"/>
                    <w:jc w:val="center"/>
                    <w:rPr>
                      <w:rFonts w:hint="eastAsia" w:cs="宋体"/>
                      <w:color w:val="auto"/>
                      <w:sz w:val="21"/>
                      <w:szCs w:val="22"/>
                      <w:lang w:val="en-US" w:eastAsia="zh-CN" w:bidi="ar-SA"/>
                    </w:rPr>
                  </w:pPr>
                </w:p>
              </w:tc>
              <w:tc>
                <w:tcPr>
                  <w:tcW w:w="634" w:type="pct"/>
                  <w:vMerge w:val="continue"/>
                  <w:tcBorders>
                    <w:tl2br w:val="nil"/>
                    <w:tr2bl w:val="nil"/>
                  </w:tcBorders>
                  <w:noWrap w:val="0"/>
                  <w:vAlign w:val="center"/>
                </w:tcPr>
                <w:p>
                  <w:pPr>
                    <w:spacing w:beforeLines="0" w:afterLines="0" w:line="480" w:lineRule="auto"/>
                    <w:ind w:left="0" w:leftChars="0" w:firstLine="0" w:firstLineChars="0"/>
                    <w:jc w:val="center"/>
                    <w:rPr>
                      <w:rFonts w:hint="eastAsia" w:cs="宋体"/>
                      <w:color w:val="auto"/>
                      <w:sz w:val="21"/>
                      <w:szCs w:val="22"/>
                      <w:lang w:val="en-US" w:eastAsia="zh-CN" w:bidi="ar-SA"/>
                    </w:rPr>
                  </w:pP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RVVP</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0.1-4</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3-26</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300/300V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tcBorders>
                    <w:tl2br w:val="nil"/>
                    <w:tr2bl w:val="nil"/>
                  </w:tcBorders>
                  <w:noWrap w:val="0"/>
                  <w:vAlign w:val="center"/>
                </w:tcPr>
                <w:p>
                  <w:pPr>
                    <w:spacing w:beforeLines="0" w:afterLines="0" w:line="480" w:lineRule="auto"/>
                    <w:ind w:left="0" w:leftChars="0" w:firstLine="0" w:firstLineChars="0"/>
                    <w:jc w:val="center"/>
                    <w:rPr>
                      <w:rFonts w:hint="eastAsia" w:cs="宋体"/>
                      <w:color w:val="auto"/>
                      <w:sz w:val="21"/>
                      <w:szCs w:val="22"/>
                      <w:lang w:val="en-US" w:eastAsia="zh-CN" w:bidi="ar-SA"/>
                    </w:rPr>
                  </w:pPr>
                </w:p>
              </w:tc>
              <w:tc>
                <w:tcPr>
                  <w:tcW w:w="711" w:type="pct"/>
                  <w:vMerge w:val="continue"/>
                  <w:tcBorders>
                    <w:tl2br w:val="nil"/>
                    <w:tr2bl w:val="nil"/>
                  </w:tcBorders>
                  <w:noWrap w:val="0"/>
                  <w:vAlign w:val="center"/>
                </w:tcPr>
                <w:p>
                  <w:pPr>
                    <w:spacing w:beforeLines="0" w:afterLines="0" w:line="480" w:lineRule="auto"/>
                    <w:ind w:left="0" w:leftChars="0" w:firstLine="0" w:firstLineChars="0"/>
                    <w:jc w:val="center"/>
                    <w:rPr>
                      <w:rFonts w:hint="eastAsia" w:cs="宋体"/>
                      <w:color w:val="auto"/>
                      <w:sz w:val="21"/>
                      <w:szCs w:val="22"/>
                      <w:lang w:val="en-US" w:eastAsia="zh-CN" w:bidi="ar-SA"/>
                    </w:rPr>
                  </w:pPr>
                </w:p>
              </w:tc>
              <w:tc>
                <w:tcPr>
                  <w:tcW w:w="634" w:type="pct"/>
                  <w:vMerge w:val="continue"/>
                  <w:tcBorders>
                    <w:tl2br w:val="nil"/>
                    <w:tr2bl w:val="nil"/>
                  </w:tcBorders>
                  <w:noWrap w:val="0"/>
                  <w:vAlign w:val="center"/>
                </w:tcPr>
                <w:p>
                  <w:pPr>
                    <w:spacing w:beforeLines="0" w:afterLines="0" w:line="480" w:lineRule="auto"/>
                    <w:ind w:left="0" w:leftChars="0" w:firstLine="0" w:firstLineChars="0"/>
                    <w:jc w:val="center"/>
                    <w:rPr>
                      <w:rFonts w:hint="eastAsia" w:cs="宋体"/>
                      <w:color w:val="auto"/>
                      <w:sz w:val="21"/>
                      <w:szCs w:val="22"/>
                      <w:lang w:val="en-US" w:eastAsia="zh-CN" w:bidi="ar-SA"/>
                    </w:rPr>
                  </w:pPr>
                </w:p>
              </w:tc>
              <w:tc>
                <w:tcPr>
                  <w:tcW w:w="103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RVSP</w:t>
                  </w:r>
                </w:p>
              </w:tc>
              <w:tc>
                <w:tcPr>
                  <w:tcW w:w="661"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0.12-2.5</w:t>
                  </w:r>
                </w:p>
              </w:tc>
              <w:tc>
                <w:tcPr>
                  <w:tcW w:w="423"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2</w:t>
                  </w:r>
                </w:p>
              </w:tc>
              <w:tc>
                <w:tcPr>
                  <w:tcW w:w="639" w:type="pct"/>
                  <w:tcBorders>
                    <w:tl2br w:val="nil"/>
                    <w:tr2bl w:val="nil"/>
                  </w:tcBorders>
                  <w:noWrap w:val="0"/>
                  <w:vAlign w:val="center"/>
                </w:tcPr>
                <w:p>
                  <w:pPr>
                    <w:numPr>
                      <w:ilvl w:val="0"/>
                      <w:numId w:val="0"/>
                    </w:numPr>
                    <w:spacing w:beforeLines="0" w:afterLines="0" w:line="360" w:lineRule="auto"/>
                    <w:ind w:left="0" w:lef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300/300V</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2"/>
                      <w:vertAlign w:val="baseline"/>
                      <w:lang w:val="en-US" w:eastAsia="zh-CN" w:bidi="ar-SA"/>
                    </w:rPr>
                  </w:pPr>
                  <w:r>
                    <w:rPr>
                      <w:rFonts w:hint="eastAsia" w:cs="宋体"/>
                      <w:color w:val="auto"/>
                      <w:sz w:val="21"/>
                      <w:szCs w:val="22"/>
                      <w:lang w:val="en-US" w:eastAsia="zh-CN" w:bidi="ar-SA"/>
                    </w:rPr>
                    <w:t>合计</w:t>
                  </w:r>
                </w:p>
              </w:tc>
              <w:tc>
                <w:tcPr>
                  <w:tcW w:w="1346" w:type="pct"/>
                  <w:gridSpan w:val="2"/>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vertAlign w:val="baseline"/>
                      <w:lang w:val="en-US" w:eastAsia="zh-CN" w:bidi="ar-SA"/>
                    </w:rPr>
                    <w:t>2000千米/年</w:t>
                  </w:r>
                </w:p>
              </w:tc>
              <w:tc>
                <w:tcPr>
                  <w:tcW w:w="1031" w:type="pct"/>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w:t>
                  </w:r>
                </w:p>
              </w:tc>
              <w:tc>
                <w:tcPr>
                  <w:tcW w:w="661" w:type="pct"/>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w:t>
                  </w:r>
                </w:p>
              </w:tc>
              <w:tc>
                <w:tcPr>
                  <w:tcW w:w="423" w:type="pct"/>
                  <w:tcBorders>
                    <w:tl2br w:val="nil"/>
                    <w:tr2bl w:val="nil"/>
                  </w:tcBorders>
                  <w:noWrap w:val="0"/>
                  <w:vAlign w:val="center"/>
                </w:tcPr>
                <w:p>
                  <w:pPr>
                    <w:numPr>
                      <w:ilvl w:val="0"/>
                      <w:numId w:val="0"/>
                    </w:numPr>
                    <w:spacing w:beforeLines="0" w:afterLines="0"/>
                    <w:ind w:left="0" w:lef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w:t>
                  </w:r>
                </w:p>
              </w:tc>
              <w:tc>
                <w:tcPr>
                  <w:tcW w:w="639" w:type="pct"/>
                  <w:tcBorders>
                    <w:tl2br w:val="nil"/>
                    <w:tr2bl w:val="nil"/>
                  </w:tcBorders>
                  <w:noWrap w:val="0"/>
                  <w:vAlign w:val="center"/>
                </w:tcPr>
                <w:p>
                  <w:pPr>
                    <w:numPr>
                      <w:ilvl w:val="0"/>
                      <w:numId w:val="0"/>
                    </w:numPr>
                    <w:spacing w:beforeLines="0" w:afterLines="0"/>
                    <w:ind w:left="0" w:leftChars="0" w:firstLine="0" w:firstLineChars="0"/>
                    <w:jc w:val="center"/>
                    <w:rPr>
                      <w:rFonts w:hint="eastAsia" w:cs="宋体"/>
                      <w:color w:val="auto"/>
                      <w:sz w:val="21"/>
                      <w:szCs w:val="22"/>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000" w:type="pct"/>
                  <w:gridSpan w:val="7"/>
                  <w:tcBorders>
                    <w:tl2br w:val="nil"/>
                    <w:tr2bl w:val="nil"/>
                  </w:tcBorders>
                  <w:noWrap w:val="0"/>
                  <w:vAlign w:val="center"/>
                </w:tcPr>
                <w:p>
                  <w:pPr>
                    <w:numPr>
                      <w:ilvl w:val="0"/>
                      <w:numId w:val="0"/>
                    </w:numPr>
                    <w:spacing w:beforeLines="0" w:afterLines="0"/>
                    <w:ind w:left="0" w:leftChars="0" w:firstLine="0" w:firstLineChars="0"/>
                    <w:jc w:val="center"/>
                    <w:rPr>
                      <w:rFonts w:hint="eastAsia"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注：电线、电缆生产线生产设备</w:t>
                  </w:r>
                  <w:r>
                    <w:rPr>
                      <w:rFonts w:hint="eastAsia" w:cs="宋体"/>
                      <w:color w:val="auto"/>
                      <w:sz w:val="21"/>
                      <w:szCs w:val="22"/>
                      <w:lang w:val="en-US" w:eastAsia="zh-CN" w:bidi="ar-SA"/>
                    </w:rPr>
                    <w:t>基本</w:t>
                  </w:r>
                  <w:r>
                    <w:rPr>
                      <w:rFonts w:hint="eastAsia" w:ascii="Times New Roman" w:hAnsi="Times New Roman" w:eastAsia="宋体" w:cs="宋体"/>
                      <w:color w:val="auto"/>
                      <w:sz w:val="21"/>
                      <w:szCs w:val="22"/>
                      <w:lang w:val="en-US" w:eastAsia="zh-CN" w:bidi="ar-SA"/>
                    </w:rPr>
                    <w:t>相同，电线生产线仅挤塑一层绝缘层</w:t>
                  </w:r>
                  <w:r>
                    <w:rPr>
                      <w:rFonts w:hint="eastAsia" w:cs="宋体"/>
                      <w:color w:val="auto"/>
                      <w:sz w:val="21"/>
                      <w:szCs w:val="22"/>
                      <w:lang w:val="en-US" w:eastAsia="zh-CN" w:bidi="ar-SA"/>
                    </w:rPr>
                    <w:t>（根据不同电线需求，按需要添加聚乙烯、聚氯乙烯或者</w:t>
                  </w:r>
                  <w:r>
                    <w:rPr>
                      <w:rFonts w:hint="eastAsia" w:ascii="Times New Roman" w:hAnsi="Times New Roman" w:eastAsia="宋体" w:cs="宋体"/>
                      <w:color w:val="auto"/>
                      <w:sz w:val="21"/>
                      <w:szCs w:val="22"/>
                      <w:lang w:val="en-US" w:eastAsia="zh-CN" w:bidi="ar-SA"/>
                    </w:rPr>
                    <w:t>低烟无卤阻燃聚烯烃电缆料</w:t>
                  </w:r>
                  <w:r>
                    <w:rPr>
                      <w:rFonts w:hint="eastAsia" w:cs="宋体"/>
                      <w:color w:val="auto"/>
                      <w:sz w:val="21"/>
                      <w:szCs w:val="22"/>
                      <w:lang w:val="en-US" w:eastAsia="zh-CN" w:bidi="ar-SA"/>
                    </w:rPr>
                    <w:t>）</w:t>
                  </w:r>
                  <w:r>
                    <w:rPr>
                      <w:rFonts w:hint="eastAsia" w:ascii="Times New Roman" w:hAnsi="Times New Roman" w:eastAsia="宋体" w:cs="宋体"/>
                      <w:color w:val="auto"/>
                      <w:sz w:val="21"/>
                      <w:szCs w:val="22"/>
                      <w:lang w:val="en-US" w:eastAsia="zh-CN" w:bidi="ar-SA"/>
                    </w:rPr>
                    <w:t>；电力电缆、控制电缆、架空绝缘电缆生产工艺基本一致，仅</w:t>
                  </w:r>
                  <w:r>
                    <w:rPr>
                      <w:rFonts w:hint="eastAsia" w:cs="宋体"/>
                      <w:color w:val="auto"/>
                      <w:sz w:val="21"/>
                      <w:szCs w:val="22"/>
                      <w:lang w:val="en-US" w:eastAsia="zh-CN" w:bidi="ar-SA"/>
                    </w:rPr>
                    <w:t>聚氯乙烯、</w:t>
                  </w:r>
                  <w:r>
                    <w:rPr>
                      <w:rFonts w:hint="eastAsia" w:ascii="Times New Roman" w:hAnsi="Times New Roman" w:eastAsia="宋体" w:cs="宋体"/>
                      <w:color w:val="auto"/>
                      <w:sz w:val="21"/>
                      <w:szCs w:val="22"/>
                      <w:lang w:val="en-US" w:eastAsia="zh-CN" w:bidi="ar-SA"/>
                    </w:rPr>
                    <w:t>低烟无卤阻燃聚烯烃电缆料等少量配料不同</w:t>
                  </w:r>
                  <w:r>
                    <w:rPr>
                      <w:rFonts w:hint="eastAsia" w:cs="宋体"/>
                      <w:color w:val="auto"/>
                      <w:sz w:val="21"/>
                      <w:szCs w:val="22"/>
                      <w:lang w:val="en-US" w:eastAsia="zh-CN" w:bidi="ar-SA"/>
                    </w:rPr>
                    <w:t>（其中</w:t>
                  </w:r>
                  <w:r>
                    <w:rPr>
                      <w:rFonts w:hint="eastAsia" w:ascii="Times New Roman" w:hAnsi="Times New Roman" w:eastAsia="宋体" w:cs="宋体"/>
                      <w:color w:val="auto"/>
                      <w:sz w:val="21"/>
                      <w:szCs w:val="22"/>
                      <w:lang w:val="en-US" w:eastAsia="zh-CN" w:bidi="ar-SA"/>
                    </w:rPr>
                    <w:t>架空绝缘电缆</w:t>
                  </w:r>
                  <w:r>
                    <w:rPr>
                      <w:rFonts w:hint="eastAsia" w:cs="宋体"/>
                      <w:color w:val="auto"/>
                      <w:sz w:val="21"/>
                      <w:szCs w:val="22"/>
                      <w:lang w:val="en-US" w:eastAsia="zh-CN" w:bidi="ar-SA"/>
                    </w:rPr>
                    <w:t>不添加聚氯乙烯）</w:t>
                  </w:r>
                  <w:r>
                    <w:rPr>
                      <w:rFonts w:hint="eastAsia" w:ascii="Times New Roman" w:hAnsi="Times New Roman" w:eastAsia="宋体" w:cs="宋体"/>
                      <w:color w:val="auto"/>
                      <w:sz w:val="21"/>
                      <w:szCs w:val="22"/>
                      <w:lang w:val="en-US" w:eastAsia="zh-CN" w:bidi="ar-SA"/>
                    </w:rPr>
                    <w:t>；</w:t>
                  </w:r>
                  <w:r>
                    <w:rPr>
                      <w:rFonts w:hint="eastAsia" w:cs="宋体"/>
                      <w:color w:val="auto"/>
                      <w:sz w:val="21"/>
                      <w:szCs w:val="22"/>
                      <w:lang w:val="en-US" w:eastAsia="zh-CN" w:bidi="ar-SA"/>
                    </w:rPr>
                    <w:t>防火线缆在拉丝、绞丝、挤塑、紫外光交联、冷却、成缆、挤护外套、检验喷码基础上增加绕包防火带、纵包焊接工段</w:t>
                  </w:r>
                </w:p>
              </w:tc>
            </w:tr>
          </w:tbl>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left"/>
              <w:textAlignment w:val="auto"/>
              <w:outlineLvl w:val="1"/>
              <w:rPr>
                <w:rFonts w:ascii="Times New Roman" w:hAnsi="Times New Roman" w:eastAsia="宋体" w:cs="黑体"/>
                <w:b/>
                <w:sz w:val="28"/>
                <w:szCs w:val="30"/>
                <w:lang w:val="en-US" w:eastAsia="zh-CN" w:bidi="ar-SA"/>
              </w:rPr>
            </w:pPr>
            <w:r>
              <w:rPr>
                <w:rFonts w:hint="eastAsia" w:cs="黑体"/>
                <w:b/>
                <w:sz w:val="28"/>
                <w:szCs w:val="30"/>
                <w:lang w:val="en-US" w:eastAsia="zh-CN" w:bidi="ar-SA"/>
              </w:rPr>
              <w:t>2.5</w:t>
            </w:r>
            <w:r>
              <w:rPr>
                <w:rFonts w:ascii="Times New Roman" w:hAnsi="Times New Roman" w:eastAsia="宋体" w:cs="黑体"/>
                <w:b/>
                <w:sz w:val="28"/>
                <w:szCs w:val="30"/>
                <w:lang w:val="en-US" w:eastAsia="zh-CN" w:bidi="ar-SA"/>
              </w:rPr>
              <w:t>公用及辅助工程</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宋体"/>
                <w:lang w:val="en-US" w:eastAsia="zh-CN"/>
              </w:rPr>
            </w:pPr>
            <w:r>
              <w:rPr>
                <w:rFonts w:hint="eastAsia" w:ascii="Times New Roman" w:hAnsi="Times New Roman" w:eastAsia="宋体" w:cs="宋体"/>
                <w:lang w:val="en-US" w:eastAsia="zh-CN"/>
              </w:rPr>
              <w:t>（1）</w:t>
            </w:r>
            <w:r>
              <w:rPr>
                <w:rFonts w:hint="default" w:ascii="Times New Roman" w:hAnsi="Times New Roman" w:eastAsia="宋体" w:cs="宋体"/>
                <w:lang w:val="en-US" w:eastAsia="zh-CN"/>
              </w:rPr>
              <w:t>供水</w:t>
            </w:r>
          </w:p>
          <w:p>
            <w:pPr>
              <w:widowControl w:val="0"/>
              <w:overflowPunct/>
              <w:autoSpaceDE/>
              <w:autoSpaceDN/>
              <w:adjustRightInd/>
              <w:snapToGrid/>
              <w:spacing w:before="0" w:after="0" w:line="360" w:lineRule="auto"/>
              <w:ind w:left="0" w:right="0" w:firstLine="480" w:firstLineChars="200"/>
              <w:jc w:val="both"/>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本项目供水为生产用水以及生活用水</w:t>
            </w:r>
            <w:r>
              <w:rPr>
                <w:rFonts w:hint="eastAsia" w:cs="Times New Roman"/>
                <w:color w:val="000000"/>
                <w:sz w:val="24"/>
                <w:szCs w:val="24"/>
                <w:highlight w:val="none"/>
                <w:lang w:val="en-US" w:eastAsia="zh-CN" w:bidi="ar-SA"/>
              </w:rPr>
              <w:t>，</w:t>
            </w:r>
            <w:r>
              <w:rPr>
                <w:rFonts w:hint="eastAsia" w:ascii="Times New Roman" w:hAnsi="Times New Roman" w:eastAsia="宋体" w:cs="Times New Roman"/>
                <w:color w:val="000000"/>
                <w:sz w:val="24"/>
                <w:szCs w:val="24"/>
                <w:highlight w:val="none"/>
                <w:lang w:val="en-US" w:eastAsia="zh-CN" w:bidi="ar-SA"/>
              </w:rPr>
              <w:t>生产生活用水均由</w:t>
            </w:r>
            <w:r>
              <w:rPr>
                <w:rFonts w:hint="eastAsia" w:cs="Times New Roman"/>
                <w:color w:val="000000"/>
                <w:sz w:val="24"/>
                <w:szCs w:val="24"/>
                <w:highlight w:val="none"/>
                <w:lang w:val="en-US" w:eastAsia="zh-CN" w:bidi="ar-SA"/>
              </w:rPr>
              <w:t>园区</w:t>
            </w:r>
            <w:r>
              <w:rPr>
                <w:rFonts w:hint="eastAsia" w:ascii="Times New Roman" w:hAnsi="Times New Roman" w:eastAsia="宋体" w:cs="Times New Roman"/>
                <w:color w:val="000000"/>
                <w:sz w:val="24"/>
                <w:szCs w:val="24"/>
                <w:highlight w:val="none"/>
                <w:lang w:val="en-US" w:eastAsia="zh-CN" w:bidi="ar-SA"/>
              </w:rPr>
              <w:t>供水管网提供，水量及水压可满足需求。</w:t>
            </w:r>
          </w:p>
          <w:p>
            <w:pPr>
              <w:widowControl w:val="0"/>
              <w:overflowPunct/>
              <w:autoSpaceDE/>
              <w:autoSpaceDN/>
              <w:adjustRightInd/>
              <w:snapToGrid/>
              <w:spacing w:before="0" w:after="0" w:line="360" w:lineRule="auto"/>
              <w:ind w:left="0" w:right="0" w:firstLine="480" w:firstLineChars="200"/>
              <w:jc w:val="both"/>
              <w:rPr>
                <w:rFonts w:hint="eastAsia"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①生活用水</w:t>
            </w:r>
          </w:p>
          <w:p>
            <w:pPr>
              <w:widowControl w:val="0"/>
              <w:overflowPunct/>
              <w:autoSpaceDE/>
              <w:autoSpaceDN/>
              <w:adjustRightInd/>
              <w:snapToGrid/>
              <w:spacing w:before="0" w:after="0" w:line="360" w:lineRule="auto"/>
              <w:ind w:left="0" w:right="0" w:firstLine="480" w:firstLineChars="20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本项目新增员工</w:t>
            </w:r>
            <w:r>
              <w:rPr>
                <w:rFonts w:hint="eastAsia" w:cs="Times New Roman"/>
                <w:color w:val="000000"/>
                <w:sz w:val="24"/>
                <w:szCs w:val="24"/>
                <w:highlight w:val="none"/>
                <w:lang w:val="en-US" w:eastAsia="zh-CN" w:bidi="ar-SA"/>
              </w:rPr>
              <w:t>20</w:t>
            </w:r>
            <w:r>
              <w:rPr>
                <w:rFonts w:hint="default" w:ascii="Times New Roman" w:hAnsi="Times New Roman" w:eastAsia="宋体" w:cs="Times New Roman"/>
                <w:color w:val="000000"/>
                <w:sz w:val="24"/>
                <w:szCs w:val="24"/>
                <w:highlight w:val="none"/>
                <w:lang w:val="en-US" w:eastAsia="zh-CN" w:bidi="ar-SA"/>
              </w:rPr>
              <w:t>人</w:t>
            </w:r>
            <w:r>
              <w:rPr>
                <w:rFonts w:hint="eastAsia" w:cs="Times New Roman"/>
                <w:color w:val="000000"/>
                <w:sz w:val="24"/>
                <w:szCs w:val="24"/>
                <w:highlight w:val="none"/>
                <w:lang w:val="en-US" w:eastAsia="zh-CN" w:bidi="ar-SA"/>
              </w:rPr>
              <w:t>，</w:t>
            </w:r>
            <w:r>
              <w:rPr>
                <w:rFonts w:hint="default" w:ascii="Times New Roman" w:hAnsi="Times New Roman" w:eastAsia="宋体" w:cs="Times New Roman"/>
                <w:color w:val="000000"/>
                <w:sz w:val="24"/>
                <w:szCs w:val="24"/>
                <w:highlight w:val="none"/>
                <w:lang w:val="en-US" w:eastAsia="zh-CN" w:bidi="ar-SA"/>
              </w:rPr>
              <w:t>根据《新疆维吾尔自治区生活用水定额》集体宿舍取80L/人•d，职工生活用水量为</w:t>
            </w:r>
            <w:r>
              <w:rPr>
                <w:rFonts w:hint="eastAsia" w:cs="Times New Roman"/>
                <w:color w:val="000000"/>
                <w:sz w:val="24"/>
                <w:szCs w:val="24"/>
                <w:highlight w:val="none"/>
                <w:lang w:val="en-US" w:eastAsia="zh-CN" w:bidi="ar-SA"/>
              </w:rPr>
              <w:t>1.6</w:t>
            </w:r>
            <w:r>
              <w:rPr>
                <w:rFonts w:hint="default" w:ascii="Times New Roman" w:hAnsi="Times New Roman" w:eastAsia="宋体" w:cs="Times New Roman"/>
                <w:color w:val="000000"/>
                <w:sz w:val="24"/>
                <w:szCs w:val="24"/>
                <w:highlight w:val="none"/>
                <w:lang w:val="en-US" w:eastAsia="zh-CN" w:bidi="ar-SA"/>
              </w:rPr>
              <w:t>m</w:t>
            </w:r>
            <w:r>
              <w:rPr>
                <w:rFonts w:hint="default" w:ascii="Times New Roman" w:hAnsi="Times New Roman" w:eastAsia="宋体" w:cs="Times New Roman"/>
                <w:color w:val="000000"/>
                <w:sz w:val="24"/>
                <w:szCs w:val="24"/>
                <w:highlight w:val="none"/>
                <w:vertAlign w:val="superscript"/>
                <w:lang w:val="en-US" w:eastAsia="zh-CN" w:bidi="ar-SA"/>
              </w:rPr>
              <w:t>3</w:t>
            </w:r>
            <w:r>
              <w:rPr>
                <w:rFonts w:hint="default" w:ascii="Times New Roman" w:hAnsi="Times New Roman" w:eastAsia="宋体" w:cs="Times New Roman"/>
                <w:color w:val="000000"/>
                <w:sz w:val="24"/>
                <w:szCs w:val="24"/>
                <w:highlight w:val="none"/>
                <w:lang w:val="en-US" w:eastAsia="zh-CN" w:bidi="ar-SA"/>
              </w:rPr>
              <w:t>/d，</w:t>
            </w:r>
            <w:r>
              <w:rPr>
                <w:rFonts w:hint="eastAsia" w:cs="Times New Roman"/>
                <w:color w:val="000000"/>
                <w:sz w:val="24"/>
                <w:szCs w:val="24"/>
                <w:highlight w:val="none"/>
                <w:lang w:val="en-US" w:eastAsia="zh-CN" w:bidi="ar-SA"/>
              </w:rPr>
              <w:t>480</w:t>
            </w:r>
            <w:r>
              <w:rPr>
                <w:rFonts w:hint="default" w:ascii="Times New Roman" w:hAnsi="Times New Roman" w:eastAsia="宋体" w:cs="Times New Roman"/>
                <w:color w:val="000000"/>
                <w:sz w:val="24"/>
                <w:szCs w:val="24"/>
                <w:highlight w:val="none"/>
                <w:lang w:val="en-US" w:eastAsia="zh-CN" w:bidi="ar-SA"/>
              </w:rPr>
              <w:t>m</w:t>
            </w:r>
            <w:r>
              <w:rPr>
                <w:rFonts w:hint="default" w:ascii="Times New Roman" w:hAnsi="Times New Roman" w:eastAsia="宋体" w:cs="Times New Roman"/>
                <w:color w:val="000000"/>
                <w:sz w:val="24"/>
                <w:szCs w:val="24"/>
                <w:highlight w:val="none"/>
                <w:vertAlign w:val="superscript"/>
                <w:lang w:val="en-US" w:eastAsia="zh-CN" w:bidi="ar-SA"/>
              </w:rPr>
              <w:t>3</w:t>
            </w:r>
            <w:r>
              <w:rPr>
                <w:rFonts w:hint="default" w:ascii="Times New Roman" w:hAnsi="Times New Roman" w:eastAsia="宋体" w:cs="Times New Roman"/>
                <w:color w:val="000000"/>
                <w:sz w:val="24"/>
                <w:szCs w:val="24"/>
                <w:highlight w:val="none"/>
                <w:lang w:val="en-US" w:eastAsia="zh-CN" w:bidi="ar-SA"/>
              </w:rPr>
              <w:t>/a。</w:t>
            </w:r>
          </w:p>
          <w:p>
            <w:pPr>
              <w:widowControl w:val="0"/>
              <w:autoSpaceDE w:val="0"/>
              <w:autoSpaceDN w:val="0"/>
              <w:adjustRightInd w:val="0"/>
              <w:spacing w:line="360" w:lineRule="auto"/>
              <w:ind w:firstLine="480"/>
              <w:jc w:val="both"/>
              <w:rPr>
                <w:rFonts w:hint="default" w:ascii="宋体" w:hAnsi="Times New Roman" w:eastAsia="宋体" w:cs="宋体"/>
                <w:color w:val="000000"/>
                <w:sz w:val="24"/>
                <w:szCs w:val="24"/>
                <w:lang w:val="en-US" w:eastAsia="zh-CN" w:bidi="ar-SA"/>
              </w:rPr>
            </w:pPr>
            <w:r>
              <w:rPr>
                <w:rFonts w:hint="eastAsia" w:ascii="宋体" w:hAnsi="Times New Roman" w:eastAsia="宋体" w:cs="宋体"/>
                <w:color w:val="000000"/>
                <w:sz w:val="24"/>
                <w:szCs w:val="24"/>
                <w:lang w:val="en-US" w:eastAsia="zh-CN" w:bidi="ar-SA"/>
              </w:rPr>
              <w:t>②生产用水</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color w:val="000000"/>
                <w:lang w:val="en-US" w:eastAsia="zh-CN"/>
              </w:rPr>
            </w:pPr>
            <w:r>
              <w:rPr>
                <w:rFonts w:ascii="Times New Roman" w:hAnsi="Times New Roman" w:eastAsia="宋体" w:cs="宋体"/>
                <w:color w:val="000000"/>
              </w:rPr>
              <w:t>冷却用水：本项目</w:t>
            </w:r>
            <w:r>
              <w:rPr>
                <w:rFonts w:hint="eastAsia" w:cs="宋体"/>
                <w:color w:val="000000"/>
                <w:lang w:val="en-US" w:eastAsia="zh-CN"/>
              </w:rPr>
              <w:t>挤塑、挤护外套</w:t>
            </w:r>
            <w:r>
              <w:rPr>
                <w:rFonts w:ascii="Times New Roman" w:hAnsi="Times New Roman" w:eastAsia="宋体" w:cs="宋体"/>
                <w:color w:val="000000"/>
              </w:rPr>
              <w:t>后电缆冷却方法采用循环水冷却。</w:t>
            </w:r>
            <w:r>
              <w:rPr>
                <w:rFonts w:hint="eastAsia" w:ascii="Times New Roman" w:hAnsi="Times New Roman" w:eastAsia="宋体" w:cs="宋体"/>
                <w:color w:val="000000"/>
              </w:rPr>
              <w:t>根据建设单位提供，</w:t>
            </w:r>
            <w:r>
              <w:rPr>
                <w:rFonts w:hint="eastAsia" w:cs="宋体"/>
                <w:color w:val="000000"/>
                <w:lang w:val="en-US" w:eastAsia="zh-CN"/>
              </w:rPr>
              <w:t>冷却水均采用1m</w:t>
            </w:r>
            <w:r>
              <w:rPr>
                <w:rFonts w:hint="eastAsia" w:cs="宋体"/>
                <w:color w:val="000000"/>
                <w:vertAlign w:val="superscript"/>
                <w:lang w:val="en-US" w:eastAsia="zh-CN"/>
              </w:rPr>
              <w:t>3</w:t>
            </w:r>
            <w:r>
              <w:rPr>
                <w:rFonts w:hint="eastAsia" w:cs="宋体"/>
                <w:color w:val="000000"/>
                <w:lang w:val="en-US" w:eastAsia="zh-CN"/>
              </w:rPr>
              <w:t>防渗吨箱容纳</w:t>
            </w:r>
            <w:r>
              <w:rPr>
                <w:rFonts w:hint="eastAsia" w:ascii="Times New Roman" w:hAnsi="Times New Roman" w:eastAsia="宋体" w:cs="宋体"/>
                <w:color w:val="000000"/>
              </w:rPr>
              <w:t>，</w:t>
            </w:r>
            <w:r>
              <w:rPr>
                <w:rFonts w:hint="eastAsia" w:cs="宋体"/>
                <w:color w:val="000000"/>
                <w:lang w:val="en-US" w:eastAsia="zh-CN"/>
              </w:rPr>
              <w:t>容积共12</w:t>
            </w:r>
            <w:r>
              <w:rPr>
                <w:rFonts w:hint="eastAsia" w:ascii="Times New Roman" w:hAnsi="Times New Roman" w:eastAsia="宋体" w:cs="宋体"/>
                <w:color w:val="000000"/>
              </w:rPr>
              <w:t>m</w:t>
            </w:r>
            <w:r>
              <w:rPr>
                <w:rFonts w:hint="eastAsia" w:cs="宋体"/>
                <w:color w:val="000000"/>
                <w:vertAlign w:val="superscript"/>
                <w:lang w:val="en-US" w:eastAsia="zh-CN"/>
              </w:rPr>
              <w:t>3</w:t>
            </w:r>
            <w:r>
              <w:rPr>
                <w:rFonts w:hint="eastAsia" w:ascii="Times New Roman" w:hAnsi="Times New Roman" w:eastAsia="宋体" w:cs="宋体"/>
                <w:color w:val="000000"/>
              </w:rPr>
              <w:t>，单个</w:t>
            </w:r>
            <w:r>
              <w:rPr>
                <w:rFonts w:hint="eastAsia" w:cs="宋体"/>
                <w:color w:val="000000"/>
                <w:lang w:val="en-US" w:eastAsia="zh-CN"/>
              </w:rPr>
              <w:t>吨箱</w:t>
            </w:r>
            <w:r>
              <w:rPr>
                <w:rFonts w:ascii="Times New Roman" w:hAnsi="Times New Roman" w:eastAsia="宋体" w:cs="宋体"/>
                <w:color w:val="000000"/>
              </w:rPr>
              <w:t>循环用水量约</w:t>
            </w:r>
            <w:r>
              <w:rPr>
                <w:rFonts w:hint="eastAsia" w:cs="宋体"/>
                <w:color w:val="000000"/>
                <w:lang w:val="en-US" w:eastAsia="zh-CN"/>
              </w:rPr>
              <w:t>1</w:t>
            </w:r>
            <w:r>
              <w:rPr>
                <w:rFonts w:hint="eastAsia" w:ascii="Times New Roman" w:hAnsi="Times New Roman" w:eastAsia="宋体" w:cs="宋体"/>
                <w:color w:val="000000"/>
                <w:lang w:val="en-US" w:eastAsia="zh-CN"/>
              </w:rPr>
              <w:t>m</w:t>
            </w:r>
            <w:r>
              <w:rPr>
                <w:rFonts w:hint="eastAsia" w:cs="宋体"/>
                <w:color w:val="000000"/>
                <w:vertAlign w:val="superscript"/>
                <w:lang w:val="en-US" w:eastAsia="zh-CN"/>
              </w:rPr>
              <w:t>3</w:t>
            </w:r>
            <w:r>
              <w:rPr>
                <w:rFonts w:hint="eastAsia" w:ascii="Times New Roman" w:hAnsi="Times New Roman" w:eastAsia="宋体" w:cs="宋体"/>
                <w:color w:val="000000"/>
                <w:lang w:val="en-US" w:eastAsia="zh-CN"/>
              </w:rPr>
              <w:t>/</w:t>
            </w:r>
            <w:r>
              <w:rPr>
                <w:rFonts w:hint="eastAsia" w:cs="宋体"/>
                <w:color w:val="000000"/>
                <w:lang w:val="en-US" w:eastAsia="zh-CN"/>
              </w:rPr>
              <w:t>d</w:t>
            </w:r>
            <w:r>
              <w:rPr>
                <w:rFonts w:hint="eastAsia" w:ascii="Times New Roman" w:hAnsi="Times New Roman" w:eastAsia="宋体" w:cs="宋体"/>
                <w:color w:val="000000"/>
                <w:lang w:eastAsia="zh-CN"/>
              </w:rPr>
              <w:t>。</w:t>
            </w:r>
            <w:r>
              <w:rPr>
                <w:rFonts w:ascii="Times New Roman" w:hAnsi="Times New Roman" w:eastAsia="宋体" w:cs="宋体"/>
                <w:color w:val="000000"/>
              </w:rPr>
              <w:t>冷却循环补水量按照循环水量的</w:t>
            </w:r>
            <w:r>
              <w:rPr>
                <w:rFonts w:hint="eastAsia" w:cs="宋体"/>
                <w:color w:val="000000"/>
                <w:lang w:val="en-US" w:eastAsia="zh-CN"/>
              </w:rPr>
              <w:t>3</w:t>
            </w:r>
            <w:r>
              <w:rPr>
                <w:rFonts w:ascii="Times New Roman" w:hAnsi="Times New Roman" w:eastAsia="宋体" w:cs="宋体"/>
                <w:color w:val="000000"/>
              </w:rPr>
              <w:t>%计，则新增冷却循环补水量为</w:t>
            </w:r>
            <w:r>
              <w:rPr>
                <w:rFonts w:hint="eastAsia" w:cs="宋体"/>
                <w:color w:val="000000"/>
                <w:lang w:val="en-US" w:eastAsia="zh-CN"/>
              </w:rPr>
              <w:t>0.36</w:t>
            </w:r>
            <w:r>
              <w:rPr>
                <w:rFonts w:hint="eastAsia" w:ascii="Times New Roman" w:hAnsi="Times New Roman" w:eastAsia="宋体" w:cs="宋体"/>
                <w:color w:val="000000"/>
                <w:lang w:val="en-US" w:eastAsia="zh-CN"/>
              </w:rPr>
              <w:t>m</w:t>
            </w:r>
            <w:r>
              <w:rPr>
                <w:rFonts w:hint="eastAsia" w:cs="宋体"/>
                <w:color w:val="000000"/>
                <w:vertAlign w:val="superscript"/>
                <w:lang w:val="en-US" w:eastAsia="zh-CN"/>
              </w:rPr>
              <w:t>3</w:t>
            </w:r>
            <w:r>
              <w:rPr>
                <w:rFonts w:ascii="Times New Roman" w:hAnsi="Times New Roman" w:eastAsia="宋体" w:cs="宋体"/>
                <w:color w:val="000000"/>
              </w:rPr>
              <w:t>/</w:t>
            </w:r>
            <w:r>
              <w:rPr>
                <w:rFonts w:hint="eastAsia" w:cs="宋体"/>
                <w:color w:val="000000"/>
                <w:lang w:val="en-US" w:eastAsia="zh-CN"/>
              </w:rPr>
              <w:t>d</w:t>
            </w:r>
            <w:r>
              <w:rPr>
                <w:rFonts w:ascii="Times New Roman" w:hAnsi="Times New Roman" w:eastAsia="宋体" w:cs="宋体"/>
                <w:color w:val="000000"/>
              </w:rPr>
              <w:t>（</w:t>
            </w:r>
            <w:r>
              <w:rPr>
                <w:rFonts w:hint="eastAsia" w:cs="宋体"/>
                <w:color w:val="000000"/>
                <w:lang w:val="en-US" w:eastAsia="zh-CN"/>
              </w:rPr>
              <w:t>108</w:t>
            </w:r>
            <w:r>
              <w:rPr>
                <w:rFonts w:hint="eastAsia" w:ascii="Times New Roman" w:hAnsi="Times New Roman" w:eastAsia="宋体" w:cs="宋体"/>
                <w:color w:val="000000"/>
                <w:lang w:val="en-US" w:eastAsia="zh-CN"/>
              </w:rPr>
              <w:t>m</w:t>
            </w:r>
            <w:r>
              <w:rPr>
                <w:rFonts w:hint="eastAsia" w:cs="宋体"/>
                <w:color w:val="000000"/>
                <w:vertAlign w:val="superscript"/>
                <w:lang w:val="en-US" w:eastAsia="zh-CN"/>
              </w:rPr>
              <w:t>3</w:t>
            </w:r>
            <w:r>
              <w:rPr>
                <w:rFonts w:ascii="Times New Roman" w:hAnsi="Times New Roman" w:eastAsia="宋体" w:cs="宋体"/>
                <w:color w:val="000000"/>
              </w:rPr>
              <w:t>/</w:t>
            </w:r>
            <w:r>
              <w:rPr>
                <w:rFonts w:hint="eastAsia" w:cs="宋体"/>
                <w:color w:val="000000"/>
                <w:lang w:val="en-US" w:eastAsia="zh-CN"/>
              </w:rPr>
              <w:t>a</w:t>
            </w:r>
            <w:r>
              <w:rPr>
                <w:rFonts w:ascii="Times New Roman" w:hAnsi="Times New Roman" w:eastAsia="宋体" w:cs="宋体"/>
                <w:color w:val="000000"/>
              </w:rPr>
              <w:t>）。</w:t>
            </w:r>
            <w:r>
              <w:rPr>
                <w:rFonts w:hint="eastAsia" w:ascii="Times New Roman" w:hAnsi="Times New Roman" w:eastAsia="宋体" w:cs="宋体"/>
                <w:color w:val="000000"/>
                <w:lang w:val="en-US" w:eastAsia="zh-CN"/>
              </w:rPr>
              <w:t>冷却用水循环使用</w:t>
            </w:r>
            <w:r>
              <w:rPr>
                <w:rFonts w:hint="eastAsia" w:cs="宋体"/>
                <w:color w:val="000000"/>
                <w:lang w:val="en-US" w:eastAsia="zh-CN"/>
              </w:rPr>
              <w:t>，仅定期补水</w:t>
            </w:r>
            <w:r>
              <w:rPr>
                <w:rFonts w:hint="eastAsia" w:ascii="Times New Roman" w:hAnsi="Times New Roman" w:eastAsia="宋体" w:cs="宋体"/>
                <w:color w:val="000000"/>
                <w:lang w:eastAsia="zh-CN"/>
              </w:rPr>
              <w:t>，不外排。</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宋体"/>
                <w:lang w:val="en-US" w:eastAsia="zh-CN"/>
              </w:rPr>
            </w:pPr>
            <w:r>
              <w:rPr>
                <w:rFonts w:hint="eastAsia" w:ascii="Times New Roman" w:hAnsi="Times New Roman" w:eastAsia="宋体" w:cs="宋体"/>
                <w:lang w:val="en-US" w:eastAsia="zh-CN"/>
              </w:rPr>
              <w:t>（2）</w:t>
            </w:r>
            <w:r>
              <w:rPr>
                <w:rFonts w:hint="default" w:ascii="Times New Roman" w:hAnsi="Times New Roman" w:eastAsia="宋体" w:cs="宋体"/>
                <w:lang w:val="en-US" w:eastAsia="zh-CN"/>
              </w:rPr>
              <w:t>排水</w:t>
            </w:r>
          </w:p>
          <w:p>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①生产废水</w:t>
            </w:r>
          </w:p>
          <w:p>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highlight w:val="none"/>
                <w:lang w:val="en-US" w:eastAsia="zh-CN" w:bidi="ar-SA"/>
              </w:rPr>
              <w:t>本项目生产所用冷却水循环使用，</w:t>
            </w:r>
            <w:r>
              <w:rPr>
                <w:rFonts w:hint="eastAsia" w:cs="Times New Roman"/>
                <w:color w:val="000000"/>
                <w:kern w:val="0"/>
                <w:sz w:val="24"/>
                <w:szCs w:val="24"/>
                <w:highlight w:val="none"/>
                <w:lang w:val="en-US" w:eastAsia="zh-CN" w:bidi="ar-SA"/>
              </w:rPr>
              <w:t>不外排</w:t>
            </w:r>
            <w:r>
              <w:rPr>
                <w:rFonts w:hint="eastAsia" w:ascii="Times New Roman" w:hAnsi="Times New Roman" w:eastAsia="宋体" w:cs="Times New Roman"/>
                <w:color w:val="000000"/>
                <w:kern w:val="0"/>
                <w:sz w:val="24"/>
                <w:szCs w:val="24"/>
                <w:highlight w:val="none"/>
                <w:lang w:val="en-US" w:eastAsia="zh-CN" w:bidi="ar-SA"/>
              </w:rPr>
              <w:t>。</w:t>
            </w:r>
          </w:p>
          <w:p>
            <w:pPr>
              <w:widowControl w:val="0"/>
              <w:overflowPunct/>
              <w:autoSpaceDE/>
              <w:autoSpaceDN/>
              <w:adjustRightInd/>
              <w:snapToGrid/>
              <w:spacing w:before="0" w:after="0" w:line="360" w:lineRule="auto"/>
              <w:ind w:left="0" w:right="0" w:firstLine="480" w:firstLineChars="200"/>
              <w:jc w:val="both"/>
              <w:rPr>
                <w:rFonts w:hint="default" w:ascii="Times New Roman" w:hAnsi="Times New Roman" w:eastAsia="宋体"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②生活污水</w:t>
            </w:r>
          </w:p>
          <w:p>
            <w:pPr>
              <w:widowControl w:val="0"/>
              <w:overflowPunct/>
              <w:autoSpaceDE/>
              <w:autoSpaceDN/>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default" w:ascii="Times New Roman" w:hAnsi="Times New Roman" w:eastAsia="宋体" w:cs="Times New Roman"/>
                <w:color w:val="000000"/>
                <w:kern w:val="0"/>
                <w:sz w:val="24"/>
                <w:szCs w:val="24"/>
                <w:highlight w:val="none"/>
                <w:lang w:val="en-US" w:eastAsia="zh-CN" w:bidi="ar-SA"/>
              </w:rPr>
              <w:t>本项目</w:t>
            </w:r>
            <w:r>
              <w:rPr>
                <w:rFonts w:hint="default" w:ascii="Times New Roman" w:hAnsi="Times New Roman" w:eastAsia="宋体" w:cs="Times New Roman"/>
                <w:color w:val="000000"/>
                <w:kern w:val="2"/>
                <w:sz w:val="24"/>
                <w:szCs w:val="24"/>
                <w:highlight w:val="none"/>
                <w:lang w:val="en-US" w:eastAsia="zh-CN" w:bidi="ar-SA"/>
              </w:rPr>
              <w:t>生活污水排放系数按用水量的0.8计，则排放量为</w:t>
            </w:r>
            <w:r>
              <w:rPr>
                <w:rFonts w:hint="eastAsia" w:cs="Times New Roman"/>
                <w:color w:val="000000"/>
                <w:kern w:val="2"/>
                <w:sz w:val="24"/>
                <w:szCs w:val="24"/>
                <w:highlight w:val="none"/>
                <w:lang w:val="en-US" w:eastAsia="zh-CN" w:bidi="ar-SA"/>
              </w:rPr>
              <w:t>1.28</w:t>
            </w:r>
            <w:r>
              <w:rPr>
                <w:rFonts w:hint="default" w:ascii="Times New Roman" w:hAnsi="Times New Roman" w:eastAsia="宋体" w:cs="Times New Roman"/>
                <w:color w:val="000000"/>
                <w:kern w:val="2"/>
                <w:sz w:val="24"/>
                <w:szCs w:val="24"/>
                <w:highlight w:val="none"/>
                <w:lang w:val="en-US" w:eastAsia="zh-CN" w:bidi="ar-SA"/>
              </w:rPr>
              <w:t>m</w:t>
            </w:r>
            <w:r>
              <w:rPr>
                <w:rFonts w:hint="default" w:ascii="Times New Roman" w:hAnsi="Times New Roman" w:eastAsia="宋体" w:cs="Times New Roman"/>
                <w:color w:val="000000"/>
                <w:kern w:val="2"/>
                <w:sz w:val="24"/>
                <w:szCs w:val="24"/>
                <w:highlight w:val="none"/>
                <w:vertAlign w:val="superscript"/>
                <w:lang w:val="en-US" w:eastAsia="zh-CN" w:bidi="ar-SA"/>
              </w:rPr>
              <w:t>3</w:t>
            </w:r>
            <w:r>
              <w:rPr>
                <w:rFonts w:hint="default" w:ascii="Times New Roman" w:hAnsi="Times New Roman" w:eastAsia="宋体" w:cs="Times New Roman"/>
                <w:color w:val="000000"/>
                <w:kern w:val="2"/>
                <w:sz w:val="24"/>
                <w:szCs w:val="24"/>
                <w:highlight w:val="none"/>
                <w:lang w:val="en-US" w:eastAsia="zh-CN" w:bidi="ar-SA"/>
              </w:rPr>
              <w:t>/d</w:t>
            </w:r>
            <w:r>
              <w:rPr>
                <w:rFonts w:hint="eastAsia" w:ascii="Times New Roman" w:hAnsi="Times New Roman" w:eastAsia="宋体" w:cs="Times New Roman"/>
                <w:color w:val="000000"/>
                <w:kern w:val="2"/>
                <w:sz w:val="24"/>
                <w:szCs w:val="24"/>
                <w:highlight w:val="none"/>
                <w:vertAlign w:val="baseline"/>
                <w:lang w:val="en-US" w:eastAsia="zh-CN" w:bidi="ar-SA"/>
              </w:rPr>
              <w:t>（</w:t>
            </w:r>
            <w:r>
              <w:rPr>
                <w:rFonts w:hint="eastAsia" w:cs="Times New Roman"/>
                <w:color w:val="000000"/>
                <w:kern w:val="2"/>
                <w:sz w:val="24"/>
                <w:szCs w:val="24"/>
                <w:highlight w:val="none"/>
                <w:vertAlign w:val="baseline"/>
                <w:lang w:val="en-US" w:eastAsia="zh-CN" w:bidi="ar-SA"/>
              </w:rPr>
              <w:t>384</w:t>
            </w:r>
            <w:r>
              <w:rPr>
                <w:rFonts w:hint="eastAsia" w:ascii="Times New Roman" w:hAnsi="Times New Roman" w:eastAsia="宋体" w:cs="Times New Roman"/>
                <w:color w:val="000000"/>
                <w:kern w:val="2"/>
                <w:sz w:val="24"/>
                <w:szCs w:val="24"/>
                <w:highlight w:val="none"/>
                <w:vertAlign w:val="baseline"/>
                <w:lang w:val="en-US" w:eastAsia="zh-CN" w:bidi="ar-SA"/>
              </w:rPr>
              <w:t>m</w:t>
            </w:r>
            <w:r>
              <w:rPr>
                <w:rFonts w:hint="eastAsia" w:ascii="Times New Roman" w:hAnsi="Times New Roman" w:eastAsia="宋体" w:cs="Times New Roman"/>
                <w:color w:val="000000"/>
                <w:kern w:val="2"/>
                <w:sz w:val="24"/>
                <w:szCs w:val="24"/>
                <w:highlight w:val="none"/>
                <w:vertAlign w:val="superscript"/>
                <w:lang w:val="en-US" w:eastAsia="zh-CN" w:bidi="ar-SA"/>
              </w:rPr>
              <w:t>3</w:t>
            </w:r>
            <w:r>
              <w:rPr>
                <w:rFonts w:hint="eastAsia" w:ascii="Times New Roman" w:hAnsi="Times New Roman" w:eastAsia="宋体" w:cs="Times New Roman"/>
                <w:color w:val="000000"/>
                <w:kern w:val="2"/>
                <w:sz w:val="24"/>
                <w:szCs w:val="24"/>
                <w:highlight w:val="none"/>
                <w:vertAlign w:val="baseline"/>
                <w:lang w:val="en-US" w:eastAsia="zh-CN" w:bidi="ar-SA"/>
              </w:rPr>
              <w:t>/a）</w:t>
            </w:r>
            <w:r>
              <w:rPr>
                <w:rFonts w:hint="default" w:ascii="Times New Roman" w:hAnsi="Times New Roman" w:eastAsia="宋体" w:cs="Times New Roman"/>
                <w:color w:val="000000"/>
                <w:kern w:val="2"/>
                <w:sz w:val="24"/>
                <w:szCs w:val="24"/>
                <w:highlight w:val="none"/>
                <w:lang w:val="en-US" w:eastAsia="zh-CN" w:bidi="ar-SA"/>
              </w:rPr>
              <w:t>，</w:t>
            </w:r>
            <w:r>
              <w:rPr>
                <w:rFonts w:hint="eastAsia" w:ascii="Times New Roman" w:hAnsi="Times New Roman" w:eastAsia="宋体" w:cs="Times New Roman"/>
                <w:color w:val="000000"/>
                <w:kern w:val="2"/>
                <w:sz w:val="24"/>
                <w:szCs w:val="24"/>
                <w:highlight w:val="none"/>
                <w:lang w:val="en-US" w:eastAsia="zh-CN" w:bidi="ar-SA"/>
              </w:rPr>
              <w:t>排入</w:t>
            </w:r>
            <w:r>
              <w:rPr>
                <w:rFonts w:hint="eastAsia" w:cs="Times New Roman"/>
                <w:color w:val="000000"/>
                <w:kern w:val="2"/>
                <w:sz w:val="24"/>
                <w:szCs w:val="24"/>
                <w:highlight w:val="none"/>
                <w:lang w:val="en-US" w:eastAsia="zh-CN" w:bidi="ar-SA"/>
              </w:rPr>
              <w:t>园区</w:t>
            </w:r>
            <w:r>
              <w:rPr>
                <w:rFonts w:hint="eastAsia" w:ascii="Times New Roman" w:hAnsi="Times New Roman" w:eastAsia="宋体" w:cs="Times New Roman"/>
                <w:color w:val="000000"/>
                <w:kern w:val="2"/>
                <w:sz w:val="24"/>
                <w:szCs w:val="24"/>
                <w:highlight w:val="none"/>
                <w:lang w:val="en-US" w:eastAsia="zh-CN" w:bidi="ar-SA"/>
              </w:rPr>
              <w:t>管网，</w:t>
            </w:r>
            <w:r>
              <w:rPr>
                <w:rFonts w:ascii="Times New Roman" w:hAnsi="Times New Roman" w:eastAsia="宋体" w:cs="宋体"/>
              </w:rPr>
              <w:t>最终排入</w:t>
            </w:r>
            <w:r>
              <w:rPr>
                <w:rFonts w:hint="eastAsia" w:ascii="Times New Roman" w:hAnsi="Times New Roman" w:eastAsia="宋体" w:cs="宋体"/>
              </w:rPr>
              <w:t>污水处理厂处理。</w:t>
            </w:r>
          </w:p>
          <w:p>
            <w:pPr>
              <w:keepNext/>
              <w:keepLines/>
              <w:pageBreakBefore w:val="0"/>
              <w:widowControl w:val="0"/>
              <w:kinsoku/>
              <w:wordWrap/>
              <w:overflowPunct/>
              <w:topLinePunct w:val="0"/>
              <w:autoSpaceDE/>
              <w:autoSpaceDN/>
              <w:bidi w:val="0"/>
              <w:spacing w:line="360" w:lineRule="auto"/>
              <w:ind w:firstLine="480" w:firstLineChars="200"/>
              <w:jc w:val="both"/>
              <w:textAlignment w:val="auto"/>
              <w:outlineLvl w:val="2"/>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本项目水</w:t>
            </w:r>
            <w:r>
              <w:rPr>
                <w:rFonts w:hint="eastAsia" w:ascii="Times New Roman" w:hAnsi="Times New Roman" w:eastAsia="宋体" w:cs="宋体"/>
                <w:color w:val="auto"/>
                <w:kern w:val="2"/>
                <w:sz w:val="24"/>
                <w:szCs w:val="24"/>
                <w:highlight w:val="none"/>
                <w:lang w:val="en-US" w:eastAsia="zh-CN"/>
              </w:rPr>
              <w:t>平衡见</w:t>
            </w:r>
            <w:r>
              <w:rPr>
                <w:rFonts w:hint="eastAsia" w:ascii="Times New Roman" w:hAnsi="Times New Roman" w:eastAsia="宋体" w:cs="Times New Roman"/>
                <w:color w:val="auto"/>
                <w:kern w:val="2"/>
                <w:sz w:val="24"/>
                <w:szCs w:val="24"/>
                <w:highlight w:val="none"/>
              </w:rPr>
              <w:t>表</w:t>
            </w:r>
            <w:r>
              <w:rPr>
                <w:rFonts w:hint="eastAsia" w:ascii="Times New Roman" w:hAnsi="Times New Roman" w:cs="Times New Roman"/>
                <w:color w:val="auto"/>
                <w:kern w:val="2"/>
                <w:sz w:val="24"/>
                <w:szCs w:val="24"/>
                <w:highlight w:val="none"/>
                <w:lang w:val="en-US" w:eastAsia="zh-CN"/>
              </w:rPr>
              <w:t>2.5-1</w:t>
            </w:r>
            <w:r>
              <w:rPr>
                <w:rFonts w:hint="eastAsia" w:ascii="Times New Roman" w:hAnsi="Times New Roman" w:eastAsia="宋体" w:cs="Times New Roman"/>
                <w:color w:val="auto"/>
                <w:kern w:val="2"/>
                <w:sz w:val="24"/>
                <w:szCs w:val="24"/>
                <w:highlight w:val="none"/>
                <w:lang w:val="en-US" w:eastAsia="zh-CN"/>
              </w:rPr>
              <w:t>和图</w:t>
            </w:r>
            <w:r>
              <w:rPr>
                <w:rFonts w:hint="eastAsia" w:ascii="Times New Roman" w:hAnsi="Times New Roman" w:cs="Times New Roman"/>
                <w:color w:val="auto"/>
                <w:kern w:val="2"/>
                <w:sz w:val="24"/>
                <w:szCs w:val="24"/>
                <w:highlight w:val="none"/>
                <w:lang w:val="en-US" w:eastAsia="zh-CN"/>
              </w:rPr>
              <w:t>2.5-1</w:t>
            </w:r>
            <w:r>
              <w:rPr>
                <w:rFonts w:hint="eastAsia" w:ascii="Times New Roman" w:hAnsi="Times New Roman" w:eastAsia="宋体" w:cs="Times New Roman"/>
                <w:color w:val="auto"/>
                <w:kern w:val="2"/>
                <w:sz w:val="24"/>
                <w:szCs w:val="24"/>
                <w:highlight w:val="none"/>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0" w:firstLineChars="0"/>
              <w:jc w:val="center"/>
              <w:textAlignment w:val="auto"/>
              <w:rPr>
                <w:rFonts w:hint="default" w:ascii="Times New Roman" w:hAnsi="Times New Roman" w:eastAsia="宋体" w:cs="宋体"/>
                <w:b/>
                <w:color w:val="auto"/>
                <w:sz w:val="24"/>
                <w:szCs w:val="24"/>
                <w:highlight w:val="none"/>
                <w:lang w:val="en-US" w:eastAsia="zh-CN" w:bidi="ar-SA"/>
              </w:rPr>
            </w:pPr>
            <w:r>
              <w:rPr>
                <w:rFonts w:hint="eastAsia" w:ascii="Times New Roman" w:hAnsi="Times New Roman" w:eastAsia="宋体" w:cs="宋体"/>
                <w:b/>
                <w:color w:val="auto"/>
                <w:sz w:val="24"/>
                <w:szCs w:val="24"/>
                <w:highlight w:val="none"/>
                <w:lang w:val="en-US" w:eastAsia="zh-CN" w:bidi="ar-SA"/>
              </w:rPr>
              <w:t>表2.</w:t>
            </w:r>
            <w:r>
              <w:rPr>
                <w:rFonts w:hint="eastAsia" w:ascii="Times New Roman" w:hAnsi="Times New Roman" w:cs="宋体"/>
                <w:b/>
                <w:color w:val="auto"/>
                <w:sz w:val="24"/>
                <w:szCs w:val="24"/>
                <w:highlight w:val="none"/>
                <w:lang w:val="en-US" w:eastAsia="zh-CN" w:bidi="ar-SA"/>
              </w:rPr>
              <w:t>5</w:t>
            </w:r>
            <w:r>
              <w:rPr>
                <w:rFonts w:hint="eastAsia" w:ascii="Times New Roman" w:hAnsi="Times New Roman" w:eastAsia="宋体" w:cs="宋体"/>
                <w:b/>
                <w:color w:val="auto"/>
                <w:sz w:val="24"/>
                <w:szCs w:val="24"/>
                <w:highlight w:val="none"/>
                <w:lang w:val="en-US" w:eastAsia="zh-CN" w:bidi="ar-SA"/>
              </w:rPr>
              <w:t>-1本项目水</w:t>
            </w:r>
            <w:r>
              <w:rPr>
                <w:rFonts w:hint="default" w:ascii="Times New Roman" w:hAnsi="Times New Roman" w:eastAsia="宋体" w:cs="宋体"/>
                <w:b/>
                <w:color w:val="auto"/>
                <w:sz w:val="24"/>
                <w:szCs w:val="24"/>
                <w:highlight w:val="none"/>
                <w:lang w:val="en-US" w:eastAsia="zh-CN" w:bidi="ar-SA"/>
              </w:rPr>
              <w:t>平衡表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2268"/>
              <w:gridCol w:w="1412"/>
              <w:gridCol w:w="1268"/>
              <w:gridCol w:w="16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0" w:type="dxa"/>
                  <w:vMerge w:val="restart"/>
                  <w:tcBorders>
                    <w:tl2br w:val="nil"/>
                    <w:tr2bl w:val="nil"/>
                  </w:tcBorders>
                  <w:noWrap w:val="0"/>
                  <w:vAlign w:val="center"/>
                </w:tcPr>
                <w:p>
                  <w:pPr>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序号</w:t>
                  </w:r>
                </w:p>
              </w:tc>
              <w:tc>
                <w:tcPr>
                  <w:tcW w:w="2268" w:type="dxa"/>
                  <w:vMerge w:val="restart"/>
                  <w:tcBorders>
                    <w:tl2br w:val="nil"/>
                    <w:tr2bl w:val="nil"/>
                  </w:tcBorders>
                  <w:noWrap w:val="0"/>
                  <w:vAlign w:val="center"/>
                </w:tcPr>
                <w:p>
                  <w:pPr>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用水工序</w:t>
                  </w:r>
                </w:p>
              </w:tc>
              <w:tc>
                <w:tcPr>
                  <w:tcW w:w="1412" w:type="dxa"/>
                  <w:tcBorders>
                    <w:tl2br w:val="nil"/>
                    <w:tr2bl w:val="nil"/>
                  </w:tcBorders>
                  <w:noWrap w:val="0"/>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进水</w:t>
                  </w:r>
                  <w:r>
                    <w:rPr>
                      <w:rFonts w:hint="eastAsia" w:ascii="Times New Roman" w:hAnsi="Times New Roman" w:cs="Times New Roman"/>
                      <w:color w:val="auto"/>
                      <w:kern w:val="2"/>
                      <w:sz w:val="21"/>
                      <w:szCs w:val="21"/>
                      <w:highlight w:val="none"/>
                      <w:lang w:eastAsia="zh-CN"/>
                    </w:rPr>
                    <w:t>（</w:t>
                  </w:r>
                  <w:r>
                    <w:rPr>
                      <w:rFonts w:hint="eastAsia" w:ascii="Times New Roman" w:hAnsi="Times New Roman" w:cs="Times New Roman"/>
                      <w:color w:val="auto"/>
                      <w:kern w:val="2"/>
                      <w:sz w:val="21"/>
                      <w:szCs w:val="21"/>
                      <w:highlight w:val="none"/>
                      <w:lang w:val="en-US" w:eastAsia="zh-CN"/>
                    </w:rPr>
                    <w:t>m</w:t>
                  </w:r>
                  <w:r>
                    <w:rPr>
                      <w:rFonts w:hint="eastAsia" w:ascii="Times New Roman" w:hAnsi="Times New Roman" w:cs="Times New Roman"/>
                      <w:color w:val="auto"/>
                      <w:kern w:val="2"/>
                      <w:sz w:val="21"/>
                      <w:szCs w:val="21"/>
                      <w:highlight w:val="none"/>
                      <w:vertAlign w:val="superscript"/>
                      <w:lang w:val="en-US" w:eastAsia="zh-CN"/>
                    </w:rPr>
                    <w:t>3</w:t>
                  </w:r>
                  <w:r>
                    <w:rPr>
                      <w:rFonts w:hint="eastAsia" w:ascii="Times New Roman" w:hAnsi="Times New Roman" w:cs="Times New Roman"/>
                      <w:color w:val="auto"/>
                      <w:kern w:val="2"/>
                      <w:sz w:val="21"/>
                      <w:szCs w:val="21"/>
                      <w:highlight w:val="none"/>
                      <w:vertAlign w:val="baseline"/>
                      <w:lang w:val="en-US" w:eastAsia="zh-CN"/>
                    </w:rPr>
                    <w:t>/a</w:t>
                  </w:r>
                  <w:r>
                    <w:rPr>
                      <w:rFonts w:hint="eastAsia" w:ascii="Times New Roman" w:hAnsi="Times New Roman" w:cs="Times New Roman"/>
                      <w:color w:val="auto"/>
                      <w:kern w:val="2"/>
                      <w:sz w:val="21"/>
                      <w:szCs w:val="21"/>
                      <w:highlight w:val="none"/>
                      <w:lang w:eastAsia="zh-CN"/>
                    </w:rPr>
                    <w:t>）</w:t>
                  </w:r>
                </w:p>
              </w:tc>
              <w:tc>
                <w:tcPr>
                  <w:tcW w:w="12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出水</w:t>
                  </w:r>
                  <w:r>
                    <w:rPr>
                      <w:rFonts w:hint="eastAsia" w:ascii="Times New Roman" w:hAnsi="Times New Roman" w:cs="Times New Roman"/>
                      <w:color w:val="auto"/>
                      <w:kern w:val="2"/>
                      <w:sz w:val="21"/>
                      <w:szCs w:val="21"/>
                      <w:highlight w:val="none"/>
                      <w:lang w:eastAsia="zh-CN"/>
                    </w:rPr>
                    <w:t>（</w:t>
                  </w:r>
                  <w:r>
                    <w:rPr>
                      <w:rFonts w:hint="eastAsia" w:ascii="Times New Roman" w:hAnsi="Times New Roman" w:cs="Times New Roman"/>
                      <w:color w:val="auto"/>
                      <w:kern w:val="2"/>
                      <w:sz w:val="21"/>
                      <w:szCs w:val="21"/>
                      <w:highlight w:val="none"/>
                      <w:lang w:val="en-US" w:eastAsia="zh-CN"/>
                    </w:rPr>
                    <w:t>m</w:t>
                  </w:r>
                  <w:r>
                    <w:rPr>
                      <w:rFonts w:hint="eastAsia" w:ascii="Times New Roman" w:hAnsi="Times New Roman" w:cs="Times New Roman"/>
                      <w:color w:val="auto"/>
                      <w:kern w:val="2"/>
                      <w:sz w:val="21"/>
                      <w:szCs w:val="21"/>
                      <w:highlight w:val="none"/>
                      <w:vertAlign w:val="superscript"/>
                      <w:lang w:val="en-US" w:eastAsia="zh-CN"/>
                    </w:rPr>
                    <w:t>3</w:t>
                  </w:r>
                  <w:r>
                    <w:rPr>
                      <w:rFonts w:hint="eastAsia" w:ascii="Times New Roman" w:hAnsi="Times New Roman" w:cs="Times New Roman"/>
                      <w:color w:val="auto"/>
                      <w:kern w:val="2"/>
                      <w:sz w:val="21"/>
                      <w:szCs w:val="21"/>
                      <w:highlight w:val="none"/>
                      <w:vertAlign w:val="baseline"/>
                      <w:lang w:val="en-US" w:eastAsia="zh-CN"/>
                    </w:rPr>
                    <w:t>/a</w:t>
                  </w:r>
                  <w:r>
                    <w:rPr>
                      <w:rFonts w:hint="eastAsia" w:ascii="Times New Roman" w:hAnsi="Times New Roman" w:cs="Times New Roman"/>
                      <w:color w:val="auto"/>
                      <w:kern w:val="2"/>
                      <w:sz w:val="21"/>
                      <w:szCs w:val="21"/>
                      <w:highlight w:val="none"/>
                      <w:lang w:eastAsia="zh-CN"/>
                    </w:rPr>
                    <w:t>）</w:t>
                  </w:r>
                </w:p>
              </w:tc>
              <w:tc>
                <w:tcPr>
                  <w:tcW w:w="1696" w:type="dxa"/>
                  <w:tcBorders>
                    <w:tl2br w:val="nil"/>
                    <w:tr2bl w:val="nil"/>
                  </w:tcBorders>
                  <w:noWrap w:val="0"/>
                  <w:vAlign w:val="center"/>
                </w:tcPr>
                <w:p>
                  <w:pPr>
                    <w:spacing w:line="240" w:lineRule="auto"/>
                    <w:jc w:val="center"/>
                    <w:rPr>
                      <w:rFonts w:hint="eastAsia" w:ascii="Times New Roman" w:hAnsi="Times New Roman" w:cs="Times New Roman"/>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0" w:type="dxa"/>
                  <w:vMerge w:val="continue"/>
                  <w:tcBorders>
                    <w:tl2br w:val="nil"/>
                    <w:tr2bl w:val="nil"/>
                  </w:tcBorders>
                  <w:noWrap w:val="0"/>
                  <w:vAlign w:val="center"/>
                </w:tcPr>
                <w:p>
                  <w:pPr>
                    <w:spacing w:line="240" w:lineRule="auto"/>
                    <w:jc w:val="center"/>
                    <w:rPr>
                      <w:rFonts w:ascii="Times New Roman" w:hAnsi="Times New Roman" w:cs="Times New Roman"/>
                      <w:color w:val="auto"/>
                      <w:kern w:val="2"/>
                      <w:sz w:val="21"/>
                      <w:szCs w:val="21"/>
                      <w:highlight w:val="none"/>
                    </w:rPr>
                  </w:pPr>
                </w:p>
              </w:tc>
              <w:tc>
                <w:tcPr>
                  <w:tcW w:w="2268" w:type="dxa"/>
                  <w:vMerge w:val="continue"/>
                  <w:tcBorders>
                    <w:tl2br w:val="nil"/>
                    <w:tr2bl w:val="nil"/>
                  </w:tcBorders>
                  <w:noWrap w:val="0"/>
                  <w:vAlign w:val="center"/>
                </w:tcPr>
                <w:p>
                  <w:pPr>
                    <w:spacing w:line="240" w:lineRule="auto"/>
                    <w:jc w:val="center"/>
                    <w:rPr>
                      <w:rFonts w:ascii="Times New Roman" w:hAnsi="Times New Roman" w:cs="Times New Roman"/>
                      <w:color w:val="auto"/>
                      <w:kern w:val="2"/>
                      <w:sz w:val="21"/>
                      <w:szCs w:val="21"/>
                      <w:highlight w:val="none"/>
                    </w:rPr>
                  </w:pPr>
                </w:p>
              </w:tc>
              <w:tc>
                <w:tcPr>
                  <w:tcW w:w="1412" w:type="dxa"/>
                  <w:tcBorders>
                    <w:tl2br w:val="nil"/>
                    <w:tr2bl w:val="nil"/>
                  </w:tcBorders>
                  <w:noWrap w:val="0"/>
                  <w:vAlign w:val="center"/>
                </w:tcPr>
                <w:p>
                  <w:pPr>
                    <w:spacing w:line="240" w:lineRule="auto"/>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kern w:val="2"/>
                      <w:sz w:val="21"/>
                      <w:szCs w:val="21"/>
                      <w:highlight w:val="none"/>
                    </w:rPr>
                    <w:t>新鲜水</w:t>
                  </w:r>
                  <w:r>
                    <w:rPr>
                      <w:rFonts w:hint="eastAsia" w:cs="Times New Roman"/>
                      <w:color w:val="auto"/>
                      <w:kern w:val="2"/>
                      <w:sz w:val="21"/>
                      <w:szCs w:val="21"/>
                      <w:highlight w:val="none"/>
                      <w:lang w:val="en-US" w:eastAsia="zh-CN"/>
                    </w:rPr>
                    <w:t>用量</w:t>
                  </w:r>
                </w:p>
              </w:tc>
              <w:tc>
                <w:tcPr>
                  <w:tcW w:w="1268" w:type="dxa"/>
                  <w:tcBorders>
                    <w:tl2br w:val="nil"/>
                    <w:tr2bl w:val="nil"/>
                  </w:tcBorders>
                  <w:noWrap w:val="0"/>
                  <w:vAlign w:val="center"/>
                </w:tcPr>
                <w:p>
                  <w:pPr>
                    <w:spacing w:line="240" w:lineRule="auto"/>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kern w:val="2"/>
                      <w:sz w:val="21"/>
                      <w:szCs w:val="21"/>
                      <w:highlight w:val="none"/>
                    </w:rPr>
                    <w:t>损耗水</w:t>
                  </w:r>
                </w:p>
              </w:tc>
              <w:tc>
                <w:tcPr>
                  <w:tcW w:w="1696" w:type="dxa"/>
                  <w:tcBorders>
                    <w:tl2br w:val="nil"/>
                    <w:tr2bl w:val="nil"/>
                  </w:tcBorders>
                  <w:noWrap w:val="0"/>
                  <w:vAlign w:val="center"/>
                </w:tcPr>
                <w:p>
                  <w:pPr>
                    <w:spacing w:line="240" w:lineRule="auto"/>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kern w:val="2"/>
                      <w:sz w:val="21"/>
                      <w:szCs w:val="21"/>
                      <w:highlight w:val="none"/>
                    </w:rPr>
                    <w:t>外排水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0" w:type="dxa"/>
                  <w:tcBorders>
                    <w:tl2br w:val="nil"/>
                    <w:tr2bl w:val="nil"/>
                  </w:tcBorders>
                  <w:noWrap/>
                  <w:vAlign w:val="center"/>
                </w:tcPr>
                <w:p>
                  <w:pPr>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1</w:t>
                  </w:r>
                </w:p>
              </w:tc>
              <w:tc>
                <w:tcPr>
                  <w:tcW w:w="2268" w:type="dxa"/>
                  <w:tcBorders>
                    <w:tl2br w:val="nil"/>
                    <w:tr2bl w:val="nil"/>
                  </w:tcBorders>
                  <w:noWrap w:val="0"/>
                  <w:vAlign w:val="center"/>
                </w:tcPr>
                <w:p>
                  <w:pPr>
                    <w:keepNext w:val="0"/>
                    <w:keepLines w:val="0"/>
                    <w:widowControl/>
                    <w:suppressLineNumbers w:val="0"/>
                    <w:spacing w:line="240" w:lineRule="auto"/>
                    <w:jc w:val="center"/>
                    <w:textAlignment w:val="center"/>
                    <w:rPr>
                      <w:rFonts w:ascii="Times New Roman" w:hAnsi="Times New Roman"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生活用水</w:t>
                  </w:r>
                </w:p>
              </w:tc>
              <w:tc>
                <w:tcPr>
                  <w:tcW w:w="141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000000"/>
                      <w:kern w:val="0"/>
                      <w:sz w:val="21"/>
                      <w:szCs w:val="21"/>
                      <w:u w:val="none"/>
                      <w:lang w:val="en-US" w:eastAsia="zh-CN" w:bidi="ar"/>
                    </w:rPr>
                    <w:t>480</w:t>
                  </w:r>
                </w:p>
              </w:tc>
              <w:tc>
                <w:tcPr>
                  <w:tcW w:w="126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000000"/>
                      <w:kern w:val="0"/>
                      <w:sz w:val="21"/>
                      <w:szCs w:val="21"/>
                      <w:u w:val="none"/>
                      <w:lang w:val="en-US" w:eastAsia="zh-CN" w:bidi="ar"/>
                    </w:rPr>
                    <w:t>96</w:t>
                  </w:r>
                </w:p>
              </w:tc>
              <w:tc>
                <w:tcPr>
                  <w:tcW w:w="169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000000"/>
                      <w:kern w:val="0"/>
                      <w:sz w:val="21"/>
                      <w:szCs w:val="21"/>
                      <w:u w:val="none"/>
                      <w:lang w:val="en-US" w:eastAsia="zh-CN" w:bidi="ar"/>
                    </w:rPr>
                    <w:t>384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0" w:type="dxa"/>
                  <w:tcBorders>
                    <w:tl2br w:val="nil"/>
                    <w:tr2bl w:val="nil"/>
                  </w:tcBorders>
                  <w:noWrap/>
                  <w:vAlign w:val="center"/>
                </w:tcPr>
                <w:p>
                  <w:pPr>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2</w:t>
                  </w:r>
                </w:p>
              </w:tc>
              <w:tc>
                <w:tcPr>
                  <w:tcW w:w="226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冷却用水</w:t>
                  </w:r>
                </w:p>
              </w:tc>
              <w:tc>
                <w:tcPr>
                  <w:tcW w:w="141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000000"/>
                      <w:kern w:val="0"/>
                      <w:sz w:val="21"/>
                      <w:szCs w:val="21"/>
                      <w:u w:val="none"/>
                      <w:lang w:val="en-US" w:eastAsia="zh-CN" w:bidi="ar"/>
                    </w:rPr>
                    <w:t>108</w:t>
                  </w:r>
                </w:p>
              </w:tc>
              <w:tc>
                <w:tcPr>
                  <w:tcW w:w="126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000000"/>
                      <w:kern w:val="0"/>
                      <w:sz w:val="21"/>
                      <w:szCs w:val="21"/>
                      <w:u w:val="none"/>
                      <w:lang w:val="en-US" w:eastAsia="zh-CN" w:bidi="ar"/>
                    </w:rPr>
                    <w:t>108</w:t>
                  </w:r>
                </w:p>
              </w:tc>
              <w:tc>
                <w:tcPr>
                  <w:tcW w:w="1696" w:type="dxa"/>
                  <w:tcBorders>
                    <w:tl2br w:val="nil"/>
                    <w:tr2bl w:val="nil"/>
                  </w:tcBorders>
                  <w:noWrap/>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8" w:type="dxa"/>
                  <w:gridSpan w:val="2"/>
                  <w:tcBorders>
                    <w:tl2br w:val="nil"/>
                    <w:tr2bl w:val="nil"/>
                  </w:tcBorders>
                  <w:noWrap/>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小计</w:t>
                  </w:r>
                </w:p>
              </w:tc>
              <w:tc>
                <w:tcPr>
                  <w:tcW w:w="1412" w:type="dxa"/>
                  <w:tcBorders>
                    <w:tl2br w:val="nil"/>
                    <w:tr2bl w:val="nil"/>
                  </w:tcBorders>
                  <w:noWrap/>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588</w:t>
                  </w:r>
                </w:p>
              </w:tc>
              <w:tc>
                <w:tcPr>
                  <w:tcW w:w="1268" w:type="dxa"/>
                  <w:tcBorders>
                    <w:tl2br w:val="nil"/>
                    <w:tr2bl w:val="nil"/>
                  </w:tcBorders>
                  <w:noWrap/>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204</w:t>
                  </w:r>
                </w:p>
              </w:tc>
              <w:tc>
                <w:tcPr>
                  <w:tcW w:w="1696" w:type="dxa"/>
                  <w:tcBorders>
                    <w:tl2br w:val="nil"/>
                    <w:tr2bl w:val="nil"/>
                  </w:tcBorders>
                  <w:noWrap/>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384</w:t>
                  </w:r>
                </w:p>
              </w:tc>
            </w:tr>
          </w:tbl>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both"/>
              <w:textAlignment w:val="auto"/>
              <w:rPr>
                <w:rFonts w:hint="eastAsia" w:ascii="Times New Roman" w:hAnsi="Times New Roman" w:eastAsia="宋体" w:cs="宋体"/>
                <w:lang w:val="en-US" w:eastAsia="zh-CN"/>
              </w:rPr>
            </w:pP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both"/>
              <w:textAlignment w:val="auto"/>
              <w:rPr>
                <w:rFonts w:hint="eastAsia" w:ascii="Times New Roman" w:hAnsi="Times New Roman" w:eastAsia="宋体" w:cs="宋体"/>
                <w:lang w:val="en-US" w:eastAsia="zh-CN"/>
              </w:rPr>
            </w:pP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both"/>
              <w:textAlignment w:val="auto"/>
              <w:rPr>
                <w:rFonts w:hint="eastAsia" w:ascii="Times New Roman" w:hAnsi="Times New Roman" w:eastAsia="宋体" w:cs="宋体"/>
                <w:lang w:val="en-US" w:eastAsia="zh-CN"/>
              </w:rPr>
            </w:pP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both"/>
              <w:textAlignment w:val="auto"/>
              <w:rPr>
                <w:rFonts w:hint="eastAsia" w:ascii="Times New Roman" w:hAnsi="Times New Roman" w:eastAsia="宋体" w:cs="宋体"/>
                <w:lang w:val="en-US" w:eastAsia="zh-CN"/>
              </w:rPr>
            </w:pP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both"/>
              <w:textAlignment w:val="auto"/>
              <w:rPr>
                <w:rFonts w:hint="eastAsia" w:ascii="Times New Roman" w:hAnsi="Times New Roman" w:eastAsia="宋体" w:cs="宋体"/>
                <w:lang w:val="en-US" w:eastAsia="zh-CN"/>
              </w:rPr>
            </w:pP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both"/>
              <w:textAlignment w:val="auto"/>
              <w:rPr>
                <w:rFonts w:hint="eastAsia" w:ascii="Times New Roman" w:hAnsi="Times New Roman" w:eastAsia="宋体" w:cs="宋体"/>
                <w:lang w:val="en-US" w:eastAsia="zh-CN"/>
              </w:rPr>
            </w:pP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both"/>
              <w:textAlignment w:val="auto"/>
              <w:rPr>
                <w:rFonts w:hint="eastAsia" w:ascii="Times New Roman" w:hAnsi="Times New Roman" w:eastAsia="宋体" w:cs="宋体"/>
                <w:lang w:val="en-US" w:eastAsia="zh-CN"/>
              </w:rPr>
            </w:pPr>
            <w:r>
              <w:rPr>
                <w:sz w:val="24"/>
              </w:rPr>
              <mc:AlternateContent>
                <mc:Choice Requires="wpg">
                  <w:drawing>
                    <wp:anchor distT="0" distB="0" distL="114300" distR="114300" simplePos="0" relativeHeight="251659264" behindDoc="0" locked="0" layoutInCell="1" allowOverlap="1">
                      <wp:simplePos x="0" y="0"/>
                      <wp:positionH relativeFrom="column">
                        <wp:posOffset>521970</wp:posOffset>
                      </wp:positionH>
                      <wp:positionV relativeFrom="paragraph">
                        <wp:posOffset>78740</wp:posOffset>
                      </wp:positionV>
                      <wp:extent cx="4393565" cy="1579245"/>
                      <wp:effectExtent l="4445" t="0" r="0" b="0"/>
                      <wp:wrapNone/>
                      <wp:docPr id="12" name="组合 12"/>
                      <wp:cNvGraphicFramePr/>
                      <a:graphic xmlns:a="http://schemas.openxmlformats.org/drawingml/2006/main">
                        <a:graphicData uri="http://schemas.microsoft.com/office/word/2010/wordprocessingGroup">
                          <wpg:wgp>
                            <wpg:cNvGrpSpPr/>
                            <wpg:grpSpPr>
                              <a:xfrm>
                                <a:off x="0" y="0"/>
                                <a:ext cx="4393565" cy="1579245"/>
                                <a:chOff x="6015" y="454931"/>
                                <a:chExt cx="6919" cy="2487"/>
                              </a:xfrm>
                            </wpg:grpSpPr>
                            <wpg:grpSp>
                              <wpg:cNvPr id="13" name="组合 66"/>
                              <wpg:cNvGrpSpPr/>
                              <wpg:grpSpPr>
                                <a:xfrm rot="0">
                                  <a:off x="6015" y="454931"/>
                                  <a:ext cx="6919" cy="2487"/>
                                  <a:chOff x="6042" y="539950"/>
                                  <a:chExt cx="6919" cy="2487"/>
                                </a:xfrm>
                              </wpg:grpSpPr>
                              <wps:wsp>
                                <wps:cNvPr id="19" name="肘形连接符 2"/>
                                <wps:cNvCnPr>
                                  <a:stCxn id="39" idx="3"/>
                                </wps:cNvCnPr>
                                <wps:spPr>
                                  <a:xfrm>
                                    <a:off x="7065" y="541448"/>
                                    <a:ext cx="1426" cy="562"/>
                                  </a:xfrm>
                                  <a:prstGeom prst="bentConnector3">
                                    <a:avLst>
                                      <a:gd name="adj1" fmla="val 47896"/>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cNvPr id="15" name="组合 38"/>
                                <wpg:cNvGrpSpPr/>
                                <wpg:grpSpPr>
                                  <a:xfrm rot="0">
                                    <a:off x="6042" y="539950"/>
                                    <a:ext cx="6919" cy="2487"/>
                                    <a:chOff x="6447" y="259100"/>
                                    <a:chExt cx="6919" cy="2487"/>
                                  </a:xfrm>
                                </wpg:grpSpPr>
                                <wpg:grpSp>
                                  <wpg:cNvPr id="20" name="组合 24"/>
                                  <wpg:cNvGrpSpPr/>
                                  <wpg:grpSpPr>
                                    <a:xfrm rot="0">
                                      <a:off x="6447" y="259100"/>
                                      <a:ext cx="6919" cy="2487"/>
                                      <a:chOff x="5874" y="241679"/>
                                      <a:chExt cx="6919" cy="2487"/>
                                    </a:xfrm>
                                  </wpg:grpSpPr>
                                  <wpg:grpSp>
                                    <wpg:cNvPr id="25" name="组合 6"/>
                                    <wpg:cNvGrpSpPr/>
                                    <wpg:grpSpPr>
                                      <a:xfrm rot="0">
                                        <a:off x="5874" y="241679"/>
                                        <a:ext cx="6919" cy="2487"/>
                                        <a:chOff x="5874" y="266557"/>
                                        <a:chExt cx="6919" cy="2487"/>
                                      </a:xfrm>
                                    </wpg:grpSpPr>
                                    <wps:wsp>
                                      <wps:cNvPr id="32" name="肘形连接符 2"/>
                                      <wps:cNvCnPr>
                                        <a:stCxn id="39" idx="3"/>
                                        <a:endCxn id="54" idx="1"/>
                                      </wps:cNvCnPr>
                                      <wps:spPr>
                                        <a:xfrm flipV="1">
                                          <a:off x="6897" y="267294"/>
                                          <a:ext cx="1374" cy="761"/>
                                        </a:xfrm>
                                        <a:prstGeom prst="bentConnector3">
                                          <a:avLst>
                                            <a:gd name="adj1" fmla="val 50000"/>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cNvPr id="26" name="组合 19"/>
                                      <wpg:cNvGrpSpPr/>
                                      <wpg:grpSpPr>
                                        <a:xfrm>
                                          <a:off x="5874" y="266557"/>
                                          <a:ext cx="6919" cy="2487"/>
                                          <a:chOff x="5425" y="266557"/>
                                          <a:chExt cx="6919" cy="2487"/>
                                        </a:xfrm>
                                      </wpg:grpSpPr>
                                      <wpg:grpSp>
                                        <wpg:cNvPr id="27" name="组合 46"/>
                                        <wpg:cNvGrpSpPr/>
                                        <wpg:grpSpPr>
                                          <a:xfrm rot="0">
                                            <a:off x="5425" y="266557"/>
                                            <a:ext cx="6919" cy="2250"/>
                                            <a:chOff x="5671" y="273436"/>
                                            <a:chExt cx="6919" cy="2250"/>
                                          </a:xfrm>
                                        </wpg:grpSpPr>
                                        <wpg:grpSp>
                                          <wpg:cNvPr id="28" name="组合 38"/>
                                          <wpg:cNvGrpSpPr/>
                                          <wpg:grpSpPr>
                                            <a:xfrm rot="0">
                                              <a:off x="5671" y="273436"/>
                                              <a:ext cx="6919" cy="1780"/>
                                              <a:chOff x="5522" y="266818"/>
                                              <a:chExt cx="6919" cy="1780"/>
                                            </a:xfrm>
                                          </wpg:grpSpPr>
                                          <wps:wsp>
                                            <wps:cNvPr id="37" name="肘形连接符 29"/>
                                            <wps:cNvCnPr/>
                                            <wps:spPr>
                                              <a:xfrm flipV="1">
                                                <a:off x="9216" y="267561"/>
                                                <a:ext cx="858" cy="5"/>
                                              </a:xfrm>
                                              <a:prstGeom prst="bentConnector3">
                                                <a:avLst>
                                                  <a:gd name="adj1" fmla="val 50117"/>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cNvPr id="29" name="组合 35"/>
                                            <wpg:cNvGrpSpPr/>
                                            <wpg:grpSpPr>
                                              <a:xfrm rot="0">
                                                <a:off x="5522" y="266818"/>
                                                <a:ext cx="6919" cy="1780"/>
                                                <a:chOff x="5522" y="266818"/>
                                                <a:chExt cx="6919" cy="1780"/>
                                              </a:xfrm>
                                            </wpg:grpSpPr>
                                            <wps:wsp>
                                              <wps:cNvPr id="64" name="矩形 64"/>
                                              <wps:cNvSpPr/>
                                              <wps:spPr>
                                                <a:xfrm>
                                                  <a:off x="7186" y="267508"/>
                                                  <a:ext cx="927" cy="477"/>
                                                </a:xfrm>
                                                <a:prstGeom prst="rect">
                                                  <a:avLst/>
                                                </a:prstGeom>
                                                <a:noFill/>
                                                <a:ln>
                                                  <a:noFill/>
                                                </a:ln>
                                                <a:effectLst/>
                                              </wps:spPr>
                                              <wps:txbx>
                                                <w:txbxContent>
                                                  <w:p>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480</w:t>
                                                    </w:r>
                                                  </w:p>
                                                </w:txbxContent>
                                              </wps:txbx>
                                              <wps:bodyPr upright="1"/>
                                            </wps:wsp>
                                            <wps:wsp>
                                              <wps:cNvPr id="39" name="矩形 37"/>
                                              <wps:cNvSpPr/>
                                              <wps:spPr>
                                                <a:xfrm>
                                                  <a:off x="5522" y="268034"/>
                                                  <a:ext cx="1023" cy="564"/>
                                                </a:xfrm>
                                                <a:prstGeom prst="rect">
                                                  <a:avLst/>
                                                </a:prstGeom>
                                                <a:noFill/>
                                                <a:ln w="9525" cap="flat" cmpd="sng">
                                                  <a:solidFill>
                                                    <a:srgbClr val="000000"/>
                                                  </a:solidFill>
                                                  <a:prstDash val="solid"/>
                                                  <a:miter/>
                                                  <a:headEnd type="none" w="med" len="med"/>
                                                  <a:tailEnd type="none" w="med" len="med"/>
                                                </a:ln>
                                                <a:effectLst/>
                                              </wps:spPr>
                                              <wps:txbx>
                                                <w:txbxContent>
                                                  <w:p>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ascii="Times New Roman" w:hAnsi="Times New Roman" w:eastAsia="宋体" w:cs="Times New Roman"/>
                                                        <w:kern w:val="0"/>
                                                        <w:sz w:val="21"/>
                                                        <w:szCs w:val="24"/>
                                                        <w:lang w:val="en-US" w:eastAsia="zh-CN" w:bidi="ar-SA"/>
                                                      </w:rPr>
                                                      <w:t>新鲜水</w:t>
                                                    </w:r>
                                                  </w:p>
                                                </w:txbxContent>
                                              </wps:txbx>
                                              <wps:bodyPr upright="1"/>
                                            </wps:wsp>
                                            <wps:wsp>
                                              <wps:cNvPr id="54" name="矩形 54"/>
                                              <wps:cNvSpPr/>
                                              <wps:spPr>
                                                <a:xfrm>
                                                  <a:off x="7919" y="267316"/>
                                                  <a:ext cx="1312" cy="477"/>
                                                </a:xfrm>
                                                <a:prstGeom prst="rect">
                                                  <a:avLst/>
                                                </a:prstGeom>
                                                <a:noFill/>
                                                <a:ln w="9525" cap="flat" cmpd="sng">
                                                  <a:solidFill>
                                                    <a:srgbClr val="000000"/>
                                                  </a:solidFill>
                                                  <a:prstDash val="solid"/>
                                                  <a:miter/>
                                                  <a:headEnd type="none" w="med" len="med"/>
                                                  <a:tailEnd type="none" w="med" len="med"/>
                                                </a:ln>
                                                <a:effectLst/>
                                              </wps:spPr>
                                              <wps:txbx>
                                                <w:txbxContent>
                                                  <w:p>
                                                    <w:pPr>
                                                      <w:widowControl w:val="0"/>
                                                      <w:overflowPunct w:val="0"/>
                                                      <w:autoSpaceDE w:val="0"/>
                                                      <w:autoSpaceDN w:val="0"/>
                                                      <w:adjustRightInd w:val="0"/>
                                                      <w:snapToGrid w:val="0"/>
                                                      <w:spacing w:before="0" w:after="0" w:line="320" w:lineRule="exact"/>
                                                      <w:ind w:left="0" w:right="0" w:firstLine="0" w:firstLineChars="0"/>
                                                      <w:jc w:val="center"/>
                                                      <w:rPr>
                                                        <w:rFonts w:hint="eastAsia" w:ascii="Times New Roman" w:hAnsi="Times New Roman" w:eastAsia="宋体" w:cs="Times New Roman"/>
                                                        <w:kern w:val="0"/>
                                                        <w:sz w:val="21"/>
                                                        <w:szCs w:val="24"/>
                                                        <w:lang w:val="en-US" w:eastAsia="zh-CN" w:bidi="ar-SA"/>
                                                      </w:rPr>
                                                    </w:pPr>
                                                    <w:r>
                                                      <w:rPr>
                                                        <w:rFonts w:hint="eastAsia" w:ascii="Times New Roman" w:hAnsi="Times New Roman" w:eastAsia="宋体" w:cs="Times New Roman"/>
                                                        <w:kern w:val="0"/>
                                                        <w:sz w:val="21"/>
                                                        <w:szCs w:val="24"/>
                                                        <w:lang w:val="en-US" w:eastAsia="zh-CN" w:bidi="ar-SA"/>
                                                      </w:rPr>
                                                      <w:t>生活用水</w:t>
                                                    </w:r>
                                                  </w:p>
                                                </w:txbxContent>
                                              </wps:txbx>
                                              <wps:bodyPr upright="1"/>
                                            </wps:wsp>
                                            <wps:wsp>
                                              <wps:cNvPr id="42" name="矩形 42"/>
                                              <wps:cNvSpPr/>
                                              <wps:spPr>
                                                <a:xfrm>
                                                  <a:off x="8247" y="266818"/>
                                                  <a:ext cx="976" cy="477"/>
                                                </a:xfrm>
                                                <a:prstGeom prst="rect">
                                                  <a:avLst/>
                                                </a:prstGeom>
                                                <a:noFill/>
                                                <a:ln>
                                                  <a:noFill/>
                                                </a:ln>
                                                <a:effectLst/>
                                              </wps:spPr>
                                              <wps:txbx>
                                                <w:txbxContent>
                                                  <w:p>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96</w:t>
                                                    </w:r>
                                                  </w:p>
                                                </w:txbxContent>
                                              </wps:txbx>
                                              <wps:bodyPr upright="1"/>
                                            </wps:wsp>
                                            <wps:wsp>
                                              <wps:cNvPr id="47" name="矩形 47"/>
                                              <wps:cNvSpPr/>
                                              <wps:spPr>
                                                <a:xfrm>
                                                  <a:off x="9134" y="267537"/>
                                                  <a:ext cx="1132" cy="477"/>
                                                </a:xfrm>
                                                <a:prstGeom prst="rect">
                                                  <a:avLst/>
                                                </a:prstGeom>
                                                <a:noFill/>
                                                <a:ln>
                                                  <a:noFill/>
                                                </a:ln>
                                                <a:effectLst/>
                                              </wps:spPr>
                                              <wps:txbx>
                                                <w:txbxContent>
                                                  <w:p>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384</w:t>
                                                    </w:r>
                                                  </w:p>
                                                </w:txbxContent>
                                              </wps:txbx>
                                              <wps:bodyPr upright="1"/>
                                            </wps:wsp>
                                            <wps:wsp>
                                              <wps:cNvPr id="45" name="矩形 45"/>
                                              <wps:cNvSpPr/>
                                              <wps:spPr>
                                                <a:xfrm>
                                                  <a:off x="10046" y="267324"/>
                                                  <a:ext cx="2395" cy="639"/>
                                                </a:xfrm>
                                                <a:prstGeom prst="rect">
                                                  <a:avLst/>
                                                </a:prstGeom>
                                                <a:noFill/>
                                                <a:ln>
                                                  <a:noFill/>
                                                </a:ln>
                                                <a:effectLst/>
                                              </wps:spPr>
                                              <wps:txbx>
                                                <w:txbxContent>
                                                  <w:p>
                                                    <w:pPr>
                                                      <w:rPr>
                                                        <w:rFonts w:hint="default"/>
                                                        <w:sz w:val="21"/>
                                                        <w:szCs w:val="21"/>
                                                        <w:lang w:val="en-US" w:eastAsia="zh-CN"/>
                                                      </w:rPr>
                                                    </w:pPr>
                                                    <w:r>
                                                      <w:rPr>
                                                        <w:rFonts w:hint="eastAsia" w:cs="Times New Roman"/>
                                                        <w:color w:val="000000"/>
                                                        <w:kern w:val="2"/>
                                                        <w:sz w:val="21"/>
                                                        <w:szCs w:val="21"/>
                                                        <w:highlight w:val="none"/>
                                                        <w:lang w:val="en-US" w:eastAsia="zh-CN" w:bidi="ar-SA"/>
                                                      </w:rPr>
                                                      <w:t>园区管网</w:t>
                                                    </w:r>
                                                  </w:p>
                                                </w:txbxContent>
                                              </wps:txbx>
                                              <wps:bodyPr upright="1"/>
                                            </wps:wsp>
                                          </wpg:grpSp>
                                        </wpg:grpSp>
                                        <wps:wsp>
                                          <wps:cNvPr id="40" name="矩形 30"/>
                                          <wps:cNvSpPr/>
                                          <wps:spPr>
                                            <a:xfrm>
                                              <a:off x="8098" y="275209"/>
                                              <a:ext cx="1312" cy="477"/>
                                            </a:xfrm>
                                            <a:prstGeom prst="rect">
                                              <a:avLst/>
                                            </a:prstGeom>
                                            <a:noFill/>
                                            <a:ln w="9525" cap="flat" cmpd="sng">
                                              <a:solidFill>
                                                <a:srgbClr val="000000"/>
                                              </a:solidFill>
                                              <a:prstDash val="solid"/>
                                              <a:miter/>
                                              <a:headEnd type="none" w="med" len="med"/>
                                              <a:tailEnd type="none" w="med" len="med"/>
                                            </a:ln>
                                            <a:effectLst/>
                                          </wps:spPr>
                                          <wps:txbx>
                                            <w:txbxContent>
                                              <w:p>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冷却</w:t>
                                                </w:r>
                                                <w:r>
                                                  <w:rPr>
                                                    <w:rFonts w:hint="eastAsia" w:ascii="Times New Roman" w:hAnsi="Times New Roman" w:cs="Times New Roman"/>
                                                    <w:kern w:val="0"/>
                                                    <w:sz w:val="21"/>
                                                    <w:szCs w:val="24"/>
                                                    <w:lang w:val="en-US" w:eastAsia="zh-CN" w:bidi="ar-SA"/>
                                                  </w:rPr>
                                                  <w:t>用水</w:t>
                                                </w:r>
                                              </w:p>
                                            </w:txbxContent>
                                          </wps:txbx>
                                          <wps:bodyPr upright="1"/>
                                        </wps:wsp>
                                      </wpg:grpSp>
                                      <wps:wsp>
                                        <wps:cNvPr id="43" name="矩形 4"/>
                                        <wps:cNvSpPr/>
                                        <wps:spPr>
                                          <a:xfrm>
                                            <a:off x="7013" y="268627"/>
                                            <a:ext cx="1004" cy="417"/>
                                          </a:xfrm>
                                          <a:prstGeom prst="rect">
                                            <a:avLst/>
                                          </a:prstGeom>
                                          <a:noFill/>
                                          <a:ln>
                                            <a:noFill/>
                                          </a:ln>
                                          <a:effectLst/>
                                        </wps:spPr>
                                        <wps:txbx>
                                          <w:txbxContent>
                                            <w:p>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108</w:t>
                                              </w:r>
                                            </w:p>
                                          </w:txbxContent>
                                        </wps:txbx>
                                        <wps:bodyPr upright="1"/>
                                      </wps:wsp>
                                      <wps:wsp>
                                        <wps:cNvPr id="44" name="矩形 16"/>
                                        <wps:cNvSpPr/>
                                        <wps:spPr>
                                          <a:xfrm>
                                            <a:off x="7865" y="267592"/>
                                            <a:ext cx="902" cy="477"/>
                                          </a:xfrm>
                                          <a:prstGeom prst="rect">
                                            <a:avLst/>
                                          </a:prstGeom>
                                          <a:noFill/>
                                          <a:ln>
                                            <a:noFill/>
                                          </a:ln>
                                          <a:effectLst/>
                                        </wps:spPr>
                                        <wps:txbx>
                                          <w:txbxContent>
                                            <w:p>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108</w:t>
                                              </w:r>
                                            </w:p>
                                          </w:txbxContent>
                                        </wps:txbx>
                                        <wps:bodyPr upright="1"/>
                                      </wps:wsp>
                                    </wpg:grpSp>
                                  </wpg:grpSp>
                                  <wps:wsp>
                                    <wps:cNvPr id="79" name="矩形 79"/>
                                    <wps:cNvSpPr/>
                                    <wps:spPr>
                                      <a:xfrm>
                                        <a:off x="9291" y="243103"/>
                                        <a:ext cx="1148" cy="477"/>
                                      </a:xfrm>
                                      <a:prstGeom prst="rect">
                                        <a:avLst/>
                                      </a:prstGeom>
                                      <a:noFill/>
                                      <a:ln>
                                        <a:noFill/>
                                      </a:ln>
                                      <a:effectLst/>
                                    </wps:spPr>
                                    <wps:txbx>
                                      <w:txbxContent>
                                        <w:p>
                                          <w:pPr>
                                            <w:widowControl w:val="0"/>
                                            <w:overflowPunct w:val="0"/>
                                            <w:autoSpaceDE w:val="0"/>
                                            <w:autoSpaceDN w:val="0"/>
                                            <w:adjustRightInd w:val="0"/>
                                            <w:snapToGrid w:val="0"/>
                                            <w:spacing w:before="0" w:after="0" w:line="320" w:lineRule="exact"/>
                                            <w:ind w:left="0" w:right="0" w:firstLine="0" w:firstLineChars="0"/>
                                            <w:jc w:val="left"/>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12</w:t>
                                          </w:r>
                                        </w:p>
                                      </w:txbxContent>
                                    </wps:txbx>
                                    <wps:bodyPr upright="1"/>
                                  </wps:wsp>
                                  <wps:wsp>
                                    <wps:cNvPr id="83" name="直接连接符 48"/>
                                    <wps:cNvCnPr/>
                                    <wps:spPr>
                                      <a:xfrm flipV="1">
                                        <a:off x="8284" y="243151"/>
                                        <a:ext cx="230" cy="297"/>
                                      </a:xfrm>
                                      <a:prstGeom prst="line">
                                        <a:avLst/>
                                      </a:prstGeom>
                                      <a:ln w="9525" cap="sq" cmpd="sng">
                                        <a:solidFill>
                                          <a:srgbClr val="000000"/>
                                        </a:solidFill>
                                        <a:prstDash val="sysDot"/>
                                        <a:headEnd type="none" w="med" len="med"/>
                                        <a:tailEnd type="triangle" w="med" len="med"/>
                                      </a:ln>
                                      <a:effectLst/>
                                    </wps:spPr>
                                    <wps:bodyPr upright="1"/>
                                  </wps:wsp>
                                  <wps:wsp>
                                    <wps:cNvPr id="84" name="直接连接符 48"/>
                                    <wps:cNvCnPr/>
                                    <wps:spPr>
                                      <a:xfrm flipV="1">
                                        <a:off x="8269" y="241948"/>
                                        <a:ext cx="390" cy="240"/>
                                      </a:xfrm>
                                      <a:prstGeom prst="line">
                                        <a:avLst/>
                                      </a:prstGeom>
                                      <a:ln w="9525" cap="sq" cmpd="sng">
                                        <a:solidFill>
                                          <a:srgbClr val="000000"/>
                                        </a:solidFill>
                                        <a:prstDash val="sysDot"/>
                                        <a:headEnd type="none" w="med" len="med"/>
                                        <a:tailEnd type="triangle" w="med" len="med"/>
                                      </a:ln>
                                      <a:effectLst/>
                                    </wps:spPr>
                                    <wps:bodyPr upright="1"/>
                                  </wps:wsp>
                                </wpg:grpSp>
                                <wps:wsp>
                                  <wps:cNvPr id="36" name="矩形 43"/>
                                  <wps:cNvSpPr/>
                                  <wps:spPr>
                                    <a:xfrm>
                                      <a:off x="7419" y="260614"/>
                                      <a:ext cx="877" cy="523"/>
                                    </a:xfrm>
                                    <a:prstGeom prst="rect">
                                      <a:avLst/>
                                    </a:prstGeom>
                                    <a:noFill/>
                                    <a:ln>
                                      <a:noFill/>
                                    </a:ln>
                                    <a:effectLst/>
                                  </wps:spPr>
                                  <wps:txbx>
                                    <w:txbxContent>
                                      <w:p>
                                        <w:pPr>
                                          <w:rPr>
                                            <w:rFonts w:hint="default"/>
                                            <w:lang w:val="en-US" w:eastAsia="zh-CN"/>
                                          </w:rPr>
                                        </w:pPr>
                                        <w:r>
                                          <w:rPr>
                                            <w:rFonts w:hint="eastAsia" w:cs="Times New Roman"/>
                                            <w:sz w:val="21"/>
                                            <w:szCs w:val="21"/>
                                            <w:highlight w:val="none"/>
                                            <w:lang w:val="en-US" w:eastAsia="zh-CN" w:bidi="ar-SA"/>
                                          </w:rPr>
                                          <w:t>588</w:t>
                                        </w:r>
                                      </w:p>
                                    </w:txbxContent>
                                  </wps:txbx>
                                  <wps:bodyPr upright="1"/>
                                </wps:wsp>
                              </wpg:grpSp>
                            </wpg:grpSp>
                            <wps:wsp>
                              <wps:cNvPr id="31" name="肘形连接符 29"/>
                              <wps:cNvCnPr>
                                <a:stCxn id="40" idx="3"/>
                                <a:endCxn id="40" idx="0"/>
                              </wps:cNvCnPr>
                              <wps:spPr>
                                <a:xfrm flipH="1" flipV="1">
                                  <a:off x="9098" y="456704"/>
                                  <a:ext cx="656" cy="239"/>
                                </a:xfrm>
                                <a:prstGeom prst="bentConnector4">
                                  <a:avLst>
                                    <a:gd name="adj1" fmla="val -98323"/>
                                    <a:gd name="adj2" fmla="val 256904"/>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41.1pt;margin-top:6.2pt;height:124.35pt;width:345.95pt;z-index:251659264;mso-width-relative:page;mso-height-relative:page;" coordorigin="6015,454931" coordsize="6919,2487" o:gfxdata="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">
                      <o:lock v:ext="edit" aspectratio="f"/>
                      <v:group id="组合 66" o:spid="_x0000_s1026" o:spt="203" style="position:absolute;left:6015;top:454931;height:2487;width:6919;" coordorigin="6042,539950" coordsize="6919,2487"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肘形连接符 2" o:spid="_x0000_s1026" o:spt="34" type="#_x0000_t34" style="position:absolute;left:7065;top:541448;height:562;width:1426;" filled="f" stroked="t" coordsize="21600,21600" o:gfxdata="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WjmG5AAAA2wAA&#10;AA8AAAAAAAAAAQAgAAAAIgAAAGRycy9kb3ducmV2LnhtbFBLAQIUABQAAAAIAIdO4kAzLwWeOwAA&#10;ADkAAAAQAAAAAAAAAAEAIAAAAAgBAABkcnMvc2hhcGV4bWwueG1sUEsFBgAAAAAGAAYAWwEAALID&#10;AAAAAA==&#10;" adj="10346">
                          <v:fill on="f" focussize="0,0"/>
                          <v:stroke weight="0.5pt" color="#000000 [3204]" miterlimit="8" joinstyle="miter" endarrow="block"/>
                          <v:imagedata o:title=""/>
                          <o:lock v:ext="edit" aspectratio="f"/>
                        </v:shape>
                        <v:group id="组合 38" o:spid="_x0000_s1026" o:spt="203" style="position:absolute;left:6042;top:539950;height:2487;width:6919;" coordorigin="6447,259100" coordsize="6919,2487"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group id="组合 24" o:spid="_x0000_s1026" o:spt="203" style="position:absolute;left:6447;top:259100;height:2487;width:6919;" coordorigin="5874,241679" coordsize="6919,2487"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group id="组合 6" o:spid="_x0000_s1026" o:spt="203" style="position:absolute;left:5874;top:241679;height:2487;width:6919;" coordorigin="5874,266557" coordsize="6919,2487"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肘形连接符 2" o:spid="_x0000_s1026" o:spt="34" type="#_x0000_t34" style="position:absolute;left:6897;top:267294;flip:y;height:761;width:1374;" filled="f" stroked="t" coordsize="21600,21600" o:gfxdata="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Mil2/&#10;AAAA2wAAAA8AAAAAAAAAAQAgAAAAIgAAAGRycy9kb3ducmV2LnhtbFBLAQIUABQAAAAIAIdO4kAz&#10;LwWeOwAAADkAAAAQAAAAAAAAAAEAIAAAAA4BAABkcnMvc2hhcGV4bWwueG1sUEsFBgAAAAAGAAYA&#10;WwEAALgDAAAAAA==&#10;" adj="10800">
                                <v:fill on="f" focussize="0,0"/>
                                <v:stroke weight="0.5pt" color="#000000 [3204]" miterlimit="8" joinstyle="miter" endarrow="block"/>
                                <v:imagedata o:title=""/>
                                <o:lock v:ext="edit" aspectratio="f"/>
                              </v:shape>
                              <v:group id="组合 19" o:spid="_x0000_s1026" o:spt="203" style="position:absolute;left:5874;top:266557;height:2487;width:6919;" coordorigin="5425,266557" coordsize="6919,2487"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group id="组合 46" o:spid="_x0000_s1026" o:spt="203" style="position:absolute;left:5425;top:266557;height:2250;width:6919;" coordorigin="5671,273436" coordsize="6919,2250"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group id="组合 38" o:spid="_x0000_s1026" o:spt="203" style="position:absolute;left:5671;top:273436;height:1780;width:6919;" coordorigin="5522,266818" coordsize="6919,1780"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肘形连接符 29" o:spid="_x0000_s1026" o:spt="34" type="#_x0000_t34" style="position:absolute;left:9216;top:267561;flip:y;height:5;width:858;" filled="f" stroked="t" coordsize="21600,21600" o:gfxdata="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4tVL4A&#10;AADbAAAADwAAAAAAAAABACAAAAAiAAAAZHJzL2Rvd25yZXYueG1sUEsBAhQAFAAAAAgAh07iQDMv&#10;BZ47AAAAOQAAABAAAAAAAAAAAQAgAAAADQEAAGRycy9zaGFwZXhtbC54bWxQSwUGAAAAAAYABgBb&#10;AQAAtwMAAAAA&#10;" adj="10825">
                                      <v:fill on="f" focussize="0,0"/>
                                      <v:stroke weight="0.5pt" color="#000000 [3204]" miterlimit="8" joinstyle="miter" endarrow="block"/>
                                      <v:imagedata o:title=""/>
                                      <o:lock v:ext="edit" aspectratio="f"/>
                                    </v:shape>
                                    <v:group id="组合 35" o:spid="_x0000_s1026" o:spt="203" style="position:absolute;left:5522;top:266818;height:1780;width:6919;" coordorigin="5522,266818" coordsize="6919,1780"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rect id="_x0000_s1026" o:spid="_x0000_s1026" o:spt="1" style="position:absolute;left:7186;top:267508;height:477;width:927;" filled="f" stroked="f" coordsize="21600,21600" o:gfxdata="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AtF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480</w:t>
                                              </w:r>
                                            </w:p>
                                          </w:txbxContent>
                                        </v:textbox>
                                      </v:rect>
                                      <v:rect id="矩形 37" o:spid="_x0000_s1026" o:spt="1" style="position:absolute;left:5522;top:268034;height:564;width:1023;" filled="f" stroked="t" coordsize="21600,21600" o:gfxdata="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d+i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ascii="Times New Roman" w:hAnsi="Times New Roman" w:eastAsia="宋体" w:cs="Times New Roman"/>
                                                  <w:kern w:val="0"/>
                                                  <w:sz w:val="21"/>
                                                  <w:szCs w:val="24"/>
                                                  <w:lang w:val="en-US" w:eastAsia="zh-CN" w:bidi="ar-SA"/>
                                                </w:rPr>
                                                <w:t>新鲜水</w:t>
                                              </w:r>
                                            </w:p>
                                          </w:txbxContent>
                                        </v:textbox>
                                      </v:rect>
                                      <v:rect id="_x0000_s1026" o:spid="_x0000_s1026" o:spt="1" style="position:absolute;left:7919;top:267316;height:477;width:1312;" filled="f" stroked="t" coordsize="21600,21600" o:gfxdata="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5Wc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widowControl w:val="0"/>
                                                <w:overflowPunct w:val="0"/>
                                                <w:autoSpaceDE w:val="0"/>
                                                <w:autoSpaceDN w:val="0"/>
                                                <w:adjustRightInd w:val="0"/>
                                                <w:snapToGrid w:val="0"/>
                                                <w:spacing w:before="0" w:after="0" w:line="320" w:lineRule="exact"/>
                                                <w:ind w:left="0" w:right="0" w:firstLine="0" w:firstLineChars="0"/>
                                                <w:jc w:val="center"/>
                                                <w:rPr>
                                                  <w:rFonts w:hint="eastAsia" w:ascii="Times New Roman" w:hAnsi="Times New Roman" w:eastAsia="宋体" w:cs="Times New Roman"/>
                                                  <w:kern w:val="0"/>
                                                  <w:sz w:val="21"/>
                                                  <w:szCs w:val="24"/>
                                                  <w:lang w:val="en-US" w:eastAsia="zh-CN" w:bidi="ar-SA"/>
                                                </w:rPr>
                                              </w:pPr>
                                              <w:r>
                                                <w:rPr>
                                                  <w:rFonts w:hint="eastAsia" w:ascii="Times New Roman" w:hAnsi="Times New Roman" w:eastAsia="宋体" w:cs="Times New Roman"/>
                                                  <w:kern w:val="0"/>
                                                  <w:sz w:val="21"/>
                                                  <w:szCs w:val="24"/>
                                                  <w:lang w:val="en-US" w:eastAsia="zh-CN" w:bidi="ar-SA"/>
                                                </w:rPr>
                                                <w:t>生活用水</w:t>
                                              </w:r>
                                            </w:p>
                                          </w:txbxContent>
                                        </v:textbox>
                                      </v:rect>
                                      <v:rect id="_x0000_s1026" o:spid="_x0000_s1026" o:spt="1" style="position:absolute;left:8247;top:266818;height:477;width:976;" filled="f" stroked="f" coordsize="21600,21600" o:gfxdata="UEsDBAoAAAAAAIdO4kAAAAAAAAAAAAAAAAAEAAAAZHJzL1BLAwQUAAAACACHTuJAnBKw4b0AAADb&#10;AAAADwAAAGRycy9kb3ducmV2LnhtbEWPQYvCMBSE7wv+h/CEvSyaKot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rD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96</w:t>
                                              </w:r>
                                            </w:p>
                                          </w:txbxContent>
                                        </v:textbox>
                                      </v:rect>
                                      <v:rect id="_x0000_s1026" o:spid="_x0000_s1026" o:spt="1" style="position:absolute;left:9134;top:267537;height:477;width:1132;" filled="f" stroked="f" coordsize="21600,21600" o:gfxdata="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UTe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384</w:t>
                                              </w:r>
                                            </w:p>
                                          </w:txbxContent>
                                        </v:textbox>
                                      </v:rect>
                                      <v:rect id="_x0000_s1026" o:spid="_x0000_s1026" o:spt="1" style="position:absolute;left:10046;top:267324;height:639;width:2395;" filled="f" stroked="f" coordsize="21600,21600" o:gfxdata="UEsDBAoAAAAAAIdO4kAAAAAAAAAAAAAAAAAEAAAAZHJzL1BLAwQUAAAACACHTuJAE/solb4AAADb&#10;AAAADwAAAGRycy9kb3ducmV2LnhtbEWPQWvCQBSE7wX/w/KEXopuIq2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ol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sz w:val="21"/>
                                                  <w:szCs w:val="21"/>
                                                  <w:lang w:val="en-US" w:eastAsia="zh-CN"/>
                                                </w:rPr>
                                              </w:pPr>
                                              <w:r>
                                                <w:rPr>
                                                  <w:rFonts w:hint="eastAsia" w:cs="Times New Roman"/>
                                                  <w:color w:val="000000"/>
                                                  <w:kern w:val="2"/>
                                                  <w:sz w:val="21"/>
                                                  <w:szCs w:val="21"/>
                                                  <w:highlight w:val="none"/>
                                                  <w:lang w:val="en-US" w:eastAsia="zh-CN" w:bidi="ar-SA"/>
                                                </w:rPr>
                                                <w:t>园区管网</w:t>
                                              </w:r>
                                            </w:p>
                                          </w:txbxContent>
                                        </v:textbox>
                                      </v:rect>
                                    </v:group>
                                  </v:group>
                                  <v:rect id="矩形 30" o:spid="_x0000_s1026" o:spt="1" style="position:absolute;left:8098;top:275209;height:477;width:1312;" filled="f" stroked="t" coordsize="21600,21600" o:gfxdata="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dBUK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冷却</w:t>
                                          </w:r>
                                          <w:r>
                                            <w:rPr>
                                              <w:rFonts w:hint="eastAsia" w:ascii="Times New Roman" w:hAnsi="Times New Roman" w:cs="Times New Roman"/>
                                              <w:kern w:val="0"/>
                                              <w:sz w:val="21"/>
                                              <w:szCs w:val="24"/>
                                              <w:lang w:val="en-US" w:eastAsia="zh-CN" w:bidi="ar-SA"/>
                                            </w:rPr>
                                            <w:t>用水</w:t>
                                          </w:r>
                                        </w:p>
                                      </w:txbxContent>
                                    </v:textbox>
                                  </v:rect>
                                </v:group>
                                <v:rect id="矩形 4" o:spid="_x0000_s1026" o:spt="1" style="position:absolute;left:7013;top:268627;height:417;width:1004;" filled="f" stroked="f" coordsize="21600,21600" o:gfxdata="UEsDBAoAAAAAAIdO4kAAAAAAAAAAAAAAAAAEAAAAZHJzL1BLAwQUAAAACACHTuJA814Ver4AAADb&#10;AAAADwAAAGRycy9kb3ducmV2LnhtbEWPQWvCQBSE7wX/w/KEXopuYou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4Ve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108</w:t>
                                        </w:r>
                                      </w:p>
                                    </w:txbxContent>
                                  </v:textbox>
                                </v:rect>
                                <v:rect id="矩形 16" o:spid="_x0000_s1026" o:spt="1" style="position:absolute;left:7865;top:267592;height:477;width:902;" filled="f" stroked="f" coordsize="21600,21600" o:gfxdata="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eND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108</w:t>
                                        </w:r>
                                      </w:p>
                                    </w:txbxContent>
                                  </v:textbox>
                                </v:rect>
                              </v:group>
                            </v:group>
                            <v:rect id="_x0000_s1026" o:spid="_x0000_s1026" o:spt="1" style="position:absolute;left:9291;top:243103;height:477;width:1148;" filled="f" stroked="f" coordsize="21600,21600" o:gfxdata="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a6C2/&#10;AAAA2wAAAA8AAAAAAAAAAQAgAAAAIgAAAGRycy9kb3ducmV2LnhtbFBLAQIUABQAAAAIAIdO4kAz&#10;LwWeOwAAADkAAAAQAAAAAAAAAAEAIAAAAA4BAABkcnMvc2hhcGV4bWwueG1sUEsFBgAAAAAGAAYA&#10;WwEAALgDAAAAAA==&#10;">
                              <v:fill on="f" focussize="0,0"/>
                              <v:stroke on="f"/>
                              <v:imagedata o:title=""/>
                              <o:lock v:ext="edit" aspectratio="f"/>
                              <v:textbox>
                                <w:txbxContent>
                                  <w:p>
                                    <w:pPr>
                                      <w:widowControl w:val="0"/>
                                      <w:overflowPunct w:val="0"/>
                                      <w:autoSpaceDE w:val="0"/>
                                      <w:autoSpaceDN w:val="0"/>
                                      <w:adjustRightInd w:val="0"/>
                                      <w:snapToGrid w:val="0"/>
                                      <w:spacing w:before="0" w:after="0" w:line="320" w:lineRule="exact"/>
                                      <w:ind w:left="0" w:right="0" w:firstLine="0" w:firstLineChars="0"/>
                                      <w:jc w:val="left"/>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12</w:t>
                                    </w:r>
                                  </w:p>
                                </w:txbxContent>
                              </v:textbox>
                            </v:rect>
                            <v:line id="直接连接符 48" o:spid="_x0000_s1026" o:spt="20" style="position:absolute;left:8284;top:243151;flip:y;height:297;width:230;" filled="f" stroked="t" coordsize="21600,21600" o:gfxdata="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vpML4A&#10;AADbAAAADwAAAAAAAAABACAAAAAiAAAAZHJzL2Rvd25yZXYueG1sUEsBAhQAFAAAAAgAh07iQDMv&#10;BZ47AAAAOQAAABAAAAAAAAAAAQAgAAAADQEAAGRycy9zaGFwZXhtbC54bWxQSwUGAAAAAAYABgBb&#10;AQAAtwMAAAAA&#10;">
                              <v:fill on="f" focussize="0,0"/>
                              <v:stroke color="#000000" joinstyle="round" dashstyle="1 1" endcap="square" endarrow="block"/>
                              <v:imagedata o:title=""/>
                              <o:lock v:ext="edit" aspectratio="f"/>
                            </v:line>
                            <v:line id="直接连接符 48" o:spid="_x0000_s1026" o:spt="20" style="position:absolute;left:8269;top:241948;flip:y;height:240;width:390;" filled="f" stroked="t" coordsize="21600,21600" o:gfxdata="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JxRL4A&#10;AADbAAAADwAAAAAAAAABACAAAAAiAAAAZHJzL2Rvd25yZXYueG1sUEsBAhQAFAAAAAgAh07iQDMv&#10;BZ47AAAAOQAAABAAAAAAAAAAAQAgAAAADQEAAGRycy9zaGFwZXhtbC54bWxQSwUGAAAAAAYABgBb&#10;AQAAtwMAAAAA&#10;">
                              <v:fill on="f" focussize="0,0"/>
                              <v:stroke color="#000000" joinstyle="round" dashstyle="1 1" endcap="square" endarrow="block"/>
                              <v:imagedata o:title=""/>
                              <o:lock v:ext="edit" aspectratio="f"/>
                            </v:line>
                          </v:group>
                          <v:rect id="矩形 43" o:spid="_x0000_s1026" o:spt="1" style="position:absolute;left:7419;top:260614;height:523;width:877;" filled="f" stroked="f" coordsize="21600,21600" o:gfxdata="UEsDBAoAAAAAAIdO4kAAAAAAAAAAAAAAAAAEAAAAZHJzL1BLAwQUAAAACACHTuJAuy/Fn70AAADb&#10;AAAADwAAAGRycy9kb3ducmV2LnhtbEWPQYvCMBSE78L+h/AWvMiaqiB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8Wf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lang w:val="en-US" w:eastAsia="zh-CN"/>
                                    </w:rPr>
                                  </w:pPr>
                                  <w:r>
                                    <w:rPr>
                                      <w:rFonts w:hint="eastAsia" w:cs="Times New Roman"/>
                                      <w:sz w:val="21"/>
                                      <w:szCs w:val="21"/>
                                      <w:highlight w:val="none"/>
                                      <w:lang w:val="en-US" w:eastAsia="zh-CN" w:bidi="ar-SA"/>
                                    </w:rPr>
                                    <w:t>588</w:t>
                                  </w:r>
                                </w:p>
                              </w:txbxContent>
                            </v:textbox>
                          </v:rect>
                        </v:group>
                      </v:group>
                      <v:shape id="肘形连接符 29" o:spid="_x0000_s1026" o:spt="35" type="#_x0000_t35" style="position:absolute;left:9098;top:456704;flip:x y;height:239;width:656;" filled="f" stroked="t" coordsize="21600,21600" o:gfxdata="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Lg8IugAAANsA&#10;AAAPAAAAAAAAAAEAIAAAACIAAABkcnMvZG93bnJldi54bWxQSwECFAAUAAAACACHTuJAMy8FnjsA&#10;AAA5AAAAEAAAAAAAAAABACAAAAAJAQAAZHJzL3NoYXBleG1sLnhtbFBLBQYAAAAABgAGAFsBAACz&#10;AwAAAAA=&#10;" adj="-21238,55491">
                        <v:fill on="f" focussize="0,0"/>
                        <v:stroke weight="0.5pt" color="#000000 [3204]" miterlimit="8" joinstyle="miter" endarrow="block"/>
                        <v:imagedata o:title=""/>
                        <o:lock v:ext="edit" aspectratio="f"/>
                      </v:shape>
                    </v:group>
                  </w:pict>
                </mc:Fallback>
              </mc:AlternateConten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center"/>
              <w:textAlignment w:val="auto"/>
              <w:rPr>
                <w:rFonts w:hint="eastAsia" w:ascii="Times New Roman" w:hAnsi="Times New Roman" w:eastAsia="宋体" w:cs="宋体"/>
                <w:b/>
                <w:color w:val="auto"/>
                <w:sz w:val="24"/>
                <w:szCs w:val="24"/>
                <w:highlight w:val="none"/>
                <w:lang w:val="en-US" w:eastAsia="zh-CN" w:bidi="ar-SA"/>
              </w:rPr>
            </w:pP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center"/>
              <w:textAlignment w:val="auto"/>
              <w:rPr>
                <w:rFonts w:hint="eastAsia" w:ascii="Times New Roman" w:hAnsi="Times New Roman" w:eastAsia="宋体" w:cs="宋体"/>
                <w:b/>
                <w:color w:val="auto"/>
                <w:sz w:val="24"/>
                <w:szCs w:val="24"/>
                <w:highlight w:val="none"/>
                <w:lang w:val="en-US" w:eastAsia="zh-CN" w:bidi="ar-SA"/>
              </w:rPr>
            </w:pP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center"/>
              <w:textAlignment w:val="auto"/>
              <w:rPr>
                <w:rFonts w:hint="eastAsia" w:ascii="Times New Roman" w:hAnsi="Times New Roman" w:eastAsia="宋体" w:cs="宋体"/>
                <w:b/>
                <w:color w:val="auto"/>
                <w:sz w:val="24"/>
                <w:szCs w:val="24"/>
                <w:highlight w:val="none"/>
                <w:lang w:val="en-US" w:eastAsia="zh-CN" w:bidi="ar-SA"/>
              </w:rPr>
            </w:pP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center"/>
              <w:textAlignment w:val="auto"/>
              <w:rPr>
                <w:rFonts w:hint="eastAsia" w:ascii="Times New Roman" w:hAnsi="Times New Roman" w:eastAsia="宋体" w:cs="宋体"/>
                <w:b/>
                <w:color w:val="auto"/>
                <w:sz w:val="24"/>
                <w:szCs w:val="24"/>
                <w:highlight w:val="none"/>
                <w:lang w:val="en-US" w:eastAsia="zh-CN" w:bidi="ar-SA"/>
              </w:rPr>
            </w:pP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both"/>
              <w:textAlignment w:val="auto"/>
              <w:rPr>
                <w:rFonts w:hint="eastAsia" w:ascii="Times New Roman" w:hAnsi="Times New Roman" w:eastAsia="宋体" w:cs="宋体"/>
                <w:b/>
                <w:color w:val="auto"/>
                <w:sz w:val="24"/>
                <w:szCs w:val="24"/>
                <w:highlight w:val="none"/>
                <w:lang w:val="en-US" w:eastAsia="zh-CN" w:bidi="ar-SA"/>
              </w:rPr>
            </w:pPr>
          </w:p>
          <w:p>
            <w:pPr>
              <w:pStyle w:val="8"/>
              <w:rPr>
                <w:rFonts w:hint="eastAsia"/>
                <w:lang w:val="en-US" w:eastAsia="zh-CN"/>
              </w:rPr>
            </w:pP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center"/>
              <w:textAlignment w:val="auto"/>
              <w:rPr>
                <w:rFonts w:hint="default" w:ascii="Times New Roman" w:hAnsi="Times New Roman" w:eastAsia="宋体" w:cs="宋体"/>
                <w:b/>
                <w:color w:val="auto"/>
                <w:sz w:val="24"/>
                <w:szCs w:val="24"/>
                <w:highlight w:val="none"/>
                <w:lang w:val="en-US" w:eastAsia="zh-CN" w:bidi="ar-SA"/>
              </w:rPr>
            </w:pPr>
            <w:r>
              <w:rPr>
                <w:rFonts w:hint="eastAsia" w:ascii="Times New Roman" w:hAnsi="Times New Roman" w:eastAsia="宋体" w:cs="宋体"/>
                <w:b/>
                <w:color w:val="auto"/>
                <w:sz w:val="24"/>
                <w:szCs w:val="24"/>
                <w:highlight w:val="none"/>
                <w:lang w:val="en-US" w:eastAsia="zh-CN" w:bidi="ar-SA"/>
              </w:rPr>
              <w:t>图2.</w:t>
            </w:r>
            <w:r>
              <w:rPr>
                <w:rFonts w:hint="eastAsia" w:ascii="Times New Roman" w:hAnsi="Times New Roman" w:cs="宋体"/>
                <w:b/>
                <w:color w:val="auto"/>
                <w:sz w:val="24"/>
                <w:szCs w:val="24"/>
                <w:highlight w:val="none"/>
                <w:lang w:val="en-US" w:eastAsia="zh-CN" w:bidi="ar-SA"/>
              </w:rPr>
              <w:t>5</w:t>
            </w:r>
            <w:r>
              <w:rPr>
                <w:rFonts w:hint="eastAsia" w:ascii="Times New Roman" w:hAnsi="Times New Roman" w:eastAsia="宋体" w:cs="宋体"/>
                <w:b/>
                <w:color w:val="auto"/>
                <w:sz w:val="24"/>
                <w:szCs w:val="24"/>
                <w:highlight w:val="none"/>
                <w:lang w:val="en-US" w:eastAsia="zh-CN" w:bidi="ar-SA"/>
              </w:rPr>
              <w:t>-1本项目水</w:t>
            </w:r>
            <w:r>
              <w:rPr>
                <w:rFonts w:hint="default" w:ascii="Times New Roman" w:hAnsi="Times New Roman" w:eastAsia="宋体" w:cs="宋体"/>
                <w:b/>
                <w:color w:val="auto"/>
                <w:sz w:val="24"/>
                <w:szCs w:val="24"/>
                <w:highlight w:val="none"/>
                <w:lang w:val="en-US" w:eastAsia="zh-CN" w:bidi="ar-SA"/>
              </w:rPr>
              <w:t>平衡</w:t>
            </w:r>
            <w:r>
              <w:rPr>
                <w:rFonts w:hint="eastAsia" w:ascii="Times New Roman" w:hAnsi="Times New Roman" w:eastAsia="宋体" w:cs="宋体"/>
                <w:b/>
                <w:color w:val="auto"/>
                <w:sz w:val="24"/>
                <w:szCs w:val="24"/>
                <w:highlight w:val="none"/>
                <w:lang w:val="en-US" w:eastAsia="zh-CN" w:bidi="ar-SA"/>
              </w:rPr>
              <w:t>图（t/a）</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firstLine="480" w:firstLineChars="200"/>
              <w:jc w:val="left"/>
              <w:textAlignment w:val="auto"/>
              <w:rPr>
                <w:rFonts w:hint="default" w:ascii="Times New Roman" w:hAnsi="Times New Roman" w:eastAsia="宋体" w:cs="宋体"/>
                <w:lang w:val="en-US" w:eastAsia="zh-CN"/>
              </w:rPr>
            </w:pPr>
            <w:r>
              <w:rPr>
                <w:rFonts w:hint="eastAsia" w:ascii="Times New Roman" w:hAnsi="Times New Roman" w:eastAsia="宋体" w:cs="宋体"/>
                <w:lang w:val="en-US" w:eastAsia="zh-CN"/>
              </w:rPr>
              <w:t>（3）</w:t>
            </w:r>
            <w:r>
              <w:rPr>
                <w:rFonts w:hint="default" w:ascii="Times New Roman" w:hAnsi="Times New Roman" w:eastAsia="宋体" w:cs="宋体"/>
                <w:lang w:val="en-US" w:eastAsia="zh-CN"/>
              </w:rPr>
              <w:t>供电</w:t>
            </w:r>
          </w:p>
          <w:p>
            <w:pPr>
              <w:overflowPunct/>
              <w:autoSpaceDE/>
              <w:autoSpaceDN/>
              <w:adjustRightInd/>
              <w:snapToGrid/>
              <w:spacing w:before="0" w:after="0" w:line="360" w:lineRule="auto"/>
              <w:ind w:left="0" w:right="0" w:firstLine="480" w:firstLineChars="200"/>
              <w:jc w:val="both"/>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bidi="ar-SA"/>
              </w:rPr>
              <w:t>本项目供电由</w:t>
            </w:r>
            <w:r>
              <w:rPr>
                <w:rFonts w:hint="eastAsia" w:cs="Times New Roman"/>
                <w:kern w:val="2"/>
                <w:sz w:val="24"/>
                <w:szCs w:val="24"/>
                <w:lang w:val="en-US" w:eastAsia="zh-CN" w:bidi="ar-SA"/>
              </w:rPr>
              <w:t>园区电网供电</w:t>
            </w:r>
            <w:r>
              <w:rPr>
                <w:rFonts w:hint="default" w:ascii="Times New Roman" w:hAnsi="Times New Roman" w:eastAsia="宋体" w:cs="Times New Roman"/>
                <w:kern w:val="2"/>
                <w:sz w:val="24"/>
                <w:szCs w:val="24"/>
                <w:lang w:val="en-US" w:eastAsia="zh-CN" w:bidi="ar-SA"/>
              </w:rPr>
              <w:t>。</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宋体"/>
                <w:lang w:val="en-US" w:eastAsia="zh-CN"/>
              </w:rPr>
            </w:pPr>
            <w:r>
              <w:rPr>
                <w:rFonts w:hint="eastAsia" w:ascii="Times New Roman" w:hAnsi="Times New Roman" w:eastAsia="宋体" w:cs="宋体"/>
                <w:lang w:val="en-US" w:eastAsia="zh-CN"/>
              </w:rPr>
              <w:t>（4）</w:t>
            </w:r>
            <w:r>
              <w:rPr>
                <w:rFonts w:hint="default" w:ascii="Times New Roman" w:hAnsi="Times New Roman" w:eastAsia="宋体" w:cs="宋体"/>
                <w:lang w:val="en-US" w:eastAsia="zh-CN"/>
              </w:rPr>
              <w:t>供热</w:t>
            </w:r>
          </w:p>
          <w:p>
            <w:pPr>
              <w:widowControl w:val="0"/>
              <w:overflowPunct w:val="0"/>
              <w:autoSpaceDE w:val="0"/>
              <w:autoSpaceDN w:val="0"/>
              <w:adjustRightInd w:val="0"/>
              <w:snapToGrid w:val="0"/>
              <w:spacing w:before="0" w:after="0" w:line="360" w:lineRule="auto"/>
              <w:ind w:right="0" w:firstLine="480" w:firstLineChars="200"/>
              <w:jc w:val="both"/>
              <w:rPr>
                <w:rFonts w:hint="default" w:ascii="Times New Roman" w:hAnsi="Times New Roman" w:eastAsia="宋体" w:cs="Times New Roman"/>
                <w:kern w:val="2"/>
                <w:sz w:val="24"/>
                <w:szCs w:val="28"/>
                <w:lang w:val="en-US" w:eastAsia="zh-CN" w:bidi="ar-SA"/>
              </w:rPr>
            </w:pPr>
            <w:r>
              <w:rPr>
                <w:rFonts w:hint="eastAsia" w:ascii="Times New Roman" w:hAnsi="Times New Roman" w:eastAsia="宋体" w:cs="Times New Roman"/>
                <w:kern w:val="2"/>
                <w:sz w:val="24"/>
                <w:szCs w:val="28"/>
                <w:lang w:val="en-US" w:eastAsia="zh-CN" w:bidi="ar-SA"/>
              </w:rPr>
              <w:t>本项目冬季生活</w:t>
            </w:r>
            <w:r>
              <w:rPr>
                <w:rFonts w:hint="eastAsia" w:cs="Times New Roman"/>
                <w:kern w:val="2"/>
                <w:sz w:val="24"/>
                <w:szCs w:val="28"/>
                <w:lang w:val="en-US" w:eastAsia="zh-CN" w:bidi="ar-SA"/>
              </w:rPr>
              <w:t>供热采用</w:t>
            </w:r>
            <w:r>
              <w:rPr>
                <w:rFonts w:hint="eastAsia" w:ascii="Times New Roman" w:hAnsi="Times New Roman" w:eastAsia="宋体" w:cs="Times New Roman"/>
                <w:kern w:val="2"/>
                <w:sz w:val="24"/>
                <w:szCs w:val="28"/>
                <w:lang w:val="en-US" w:eastAsia="zh-CN" w:bidi="ar-SA"/>
              </w:rPr>
              <w:t>电加热</w:t>
            </w:r>
            <w:r>
              <w:rPr>
                <w:rFonts w:hint="eastAsia" w:cs="Times New Roman"/>
                <w:kern w:val="2"/>
                <w:sz w:val="24"/>
                <w:szCs w:val="28"/>
                <w:lang w:val="en-US" w:eastAsia="zh-CN" w:bidi="ar-SA"/>
              </w:rPr>
              <w:t>设备供热</w:t>
            </w:r>
            <w:r>
              <w:rPr>
                <w:rFonts w:hint="default" w:ascii="Times New Roman" w:hAnsi="Times New Roman" w:eastAsia="宋体" w:cs="Times New Roman"/>
                <w:kern w:val="2"/>
                <w:sz w:val="24"/>
                <w:szCs w:val="28"/>
                <w:lang w:val="en-US" w:eastAsia="zh-CN" w:bidi="ar-SA"/>
              </w:rPr>
              <w:t>。</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left"/>
              <w:textAlignment w:val="auto"/>
              <w:outlineLvl w:val="1"/>
              <w:rPr>
                <w:rFonts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2.</w:t>
            </w:r>
            <w:r>
              <w:rPr>
                <w:rFonts w:hint="eastAsia" w:cs="黑体"/>
                <w:b/>
                <w:sz w:val="28"/>
                <w:szCs w:val="30"/>
                <w:lang w:val="en-US" w:eastAsia="zh-CN" w:bidi="ar-SA"/>
              </w:rPr>
              <w:t>6</w:t>
            </w:r>
            <w:r>
              <w:rPr>
                <w:rFonts w:ascii="Times New Roman" w:hAnsi="Times New Roman" w:eastAsia="宋体" w:cs="黑体"/>
                <w:b/>
                <w:sz w:val="28"/>
                <w:szCs w:val="30"/>
                <w:lang w:val="en-US" w:eastAsia="zh-CN" w:bidi="ar-SA"/>
              </w:rPr>
              <w:t>厂区平面布置</w:t>
            </w:r>
          </w:p>
          <w:p>
            <w:pPr>
              <w:widowControl w:val="0"/>
              <w:overflowPunct w:val="0"/>
              <w:autoSpaceDE w:val="0"/>
              <w:autoSpaceDN w:val="0"/>
              <w:adjustRightInd w:val="0"/>
              <w:snapToGrid w:val="0"/>
              <w:spacing w:before="0" w:after="0" w:line="360" w:lineRule="auto"/>
              <w:ind w:left="0" w:right="0" w:firstLine="480" w:firstLineChars="200"/>
              <w:jc w:val="both"/>
              <w:rPr>
                <w:rFonts w:hint="eastAsia" w:ascii="Times New Roman" w:hAnsi="Times New Roman" w:eastAsia="宋体" w:cs="Times New Roman"/>
                <w:b w:val="0"/>
                <w:bCs w:val="0"/>
                <w:color w:val="auto"/>
                <w:highlight w:val="yellow"/>
                <w:lang w:val="en-US" w:eastAsia="zh-CN"/>
              </w:rPr>
            </w:pPr>
            <w:r>
              <w:rPr>
                <w:rFonts w:hint="default" w:ascii="Times New Roman" w:hAnsi="Times New Roman" w:eastAsia="宋体" w:cs="Times New Roman"/>
                <w:b w:val="0"/>
                <w:bCs w:val="0"/>
                <w:color w:val="000000"/>
                <w:sz w:val="24"/>
                <w:szCs w:val="24"/>
                <w:highlight w:val="none"/>
                <w:lang w:val="en-US" w:eastAsia="zh-CN" w:bidi="ar-SA"/>
              </w:rPr>
              <w:t>本项目</w:t>
            </w:r>
            <w:r>
              <w:rPr>
                <w:rFonts w:hint="eastAsia" w:ascii="Times New Roman" w:hAnsi="Times New Roman" w:eastAsia="宋体" w:cs="Times New Roman"/>
                <w:b w:val="0"/>
                <w:bCs w:val="0"/>
                <w:color w:val="000000"/>
                <w:sz w:val="24"/>
                <w:szCs w:val="24"/>
                <w:highlight w:val="none"/>
                <w:lang w:val="en-US" w:eastAsia="zh-CN" w:bidi="ar-SA"/>
              </w:rPr>
              <w:t>所在新疆伟康高科管业有限公司</w:t>
            </w:r>
            <w:r>
              <w:rPr>
                <w:rFonts w:hint="default" w:ascii="Times New Roman" w:hAnsi="Times New Roman" w:eastAsia="宋体" w:cs="Times New Roman"/>
                <w:b w:val="0"/>
                <w:bCs w:val="0"/>
                <w:color w:val="auto"/>
                <w:kern w:val="2"/>
                <w:sz w:val="24"/>
                <w:szCs w:val="24"/>
                <w:highlight w:val="none"/>
                <w:lang w:val="en-US" w:eastAsia="zh-CN" w:bidi="ar-SA"/>
              </w:rPr>
              <w:t>厂区</w:t>
            </w:r>
            <w:r>
              <w:rPr>
                <w:rFonts w:hint="eastAsia" w:cs="Times New Roman"/>
                <w:b w:val="0"/>
                <w:bCs w:val="0"/>
                <w:color w:val="auto"/>
                <w:kern w:val="2"/>
                <w:sz w:val="24"/>
                <w:szCs w:val="24"/>
                <w:highlight w:val="none"/>
                <w:lang w:val="en-US" w:eastAsia="zh-CN" w:bidi="ar-SA"/>
              </w:rPr>
              <w:t>北侧</w:t>
            </w:r>
            <w:r>
              <w:rPr>
                <w:rFonts w:hint="default" w:ascii="Times New Roman" w:hAnsi="Times New Roman" w:eastAsia="宋体" w:cs="Times New Roman"/>
                <w:b w:val="0"/>
                <w:bCs w:val="0"/>
                <w:color w:val="auto"/>
                <w:kern w:val="2"/>
                <w:sz w:val="24"/>
                <w:szCs w:val="24"/>
                <w:highlight w:val="none"/>
                <w:lang w:val="en-US" w:eastAsia="zh-CN" w:bidi="ar-SA"/>
              </w:rPr>
              <w:t>为入口，</w:t>
            </w:r>
            <w:r>
              <w:rPr>
                <w:rFonts w:hint="eastAsia" w:cs="Times New Roman"/>
                <w:b w:val="0"/>
                <w:bCs w:val="0"/>
                <w:color w:val="000000"/>
                <w:kern w:val="2"/>
                <w:sz w:val="24"/>
                <w:szCs w:val="24"/>
                <w:highlight w:val="none"/>
                <w:lang w:val="en-US" w:eastAsia="zh-CN" w:bidi="ar-SA"/>
              </w:rPr>
              <w:t>办公生活楼位于厂区北侧，</w:t>
            </w:r>
            <w:r>
              <w:rPr>
                <w:rFonts w:hint="default" w:ascii="Times New Roman" w:hAnsi="Times New Roman" w:eastAsia="宋体" w:cs="Times New Roman"/>
                <w:b w:val="0"/>
                <w:bCs w:val="0"/>
                <w:color w:val="auto"/>
                <w:kern w:val="2"/>
                <w:sz w:val="24"/>
                <w:szCs w:val="24"/>
                <w:highlight w:val="none"/>
                <w:lang w:val="en-US" w:eastAsia="zh-CN" w:bidi="ar-SA"/>
              </w:rPr>
              <w:t>靠近厂区主入口和主要道路，便于人员出入。</w:t>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本项目</w:t>
            </w:r>
            <w:r>
              <w:rPr>
                <w:rFonts w:hint="eastAsia" w:cs="Times New Roman"/>
                <w:b w:val="0"/>
                <w:bCs w:val="0"/>
                <w:color w:val="auto"/>
                <w:kern w:val="2"/>
                <w:sz w:val="24"/>
                <w:szCs w:val="24"/>
                <w:highlight w:val="none"/>
                <w:lang w:val="en-US" w:eastAsia="zh-CN" w:bidi="ar-SA"/>
              </w:rPr>
              <w:t>租赁的生产车间位于办公生活楼南侧，内部布设4条电线电缆生产线，其中挤出机、紫外光交联、喷码机等设备均相邻布设</w:t>
            </w:r>
            <w:r>
              <w:rPr>
                <w:rFonts w:hint="eastAsia" w:ascii="Times New Roman" w:hAnsi="Times New Roman" w:eastAsia="宋体" w:cs="Times New Roman"/>
                <w:b w:val="0"/>
                <w:bCs w:val="0"/>
                <w:color w:val="auto"/>
                <w:kern w:val="2"/>
                <w:sz w:val="24"/>
                <w:szCs w:val="24"/>
                <w:highlight w:val="none"/>
                <w:lang w:val="en-US" w:eastAsia="zh-CN" w:bidi="ar-SA"/>
              </w:rPr>
              <w:t>。</w:t>
            </w:r>
            <w:r>
              <w:rPr>
                <w:rFonts w:ascii="Times New Roman" w:hAnsi="Times New Roman" w:eastAsia="宋体" w:cs="宋体"/>
              </w:rPr>
              <w:t>整个建筑空间利用和布局合理，功能分区明确，组织协作良好。</w:t>
            </w:r>
            <w:r>
              <w:rPr>
                <w:rFonts w:hint="default" w:ascii="Times New Roman" w:hAnsi="Times New Roman" w:eastAsia="宋体" w:cs="Times New Roman"/>
                <w:b w:val="0"/>
                <w:bCs w:val="0"/>
                <w:color w:val="auto"/>
                <w:kern w:val="2"/>
                <w:sz w:val="24"/>
                <w:szCs w:val="24"/>
                <w:highlight w:val="none"/>
                <w:lang w:val="en-US" w:eastAsia="zh-CN" w:bidi="ar-SA"/>
              </w:rPr>
              <w:t>厂区内道路为混凝土地面，道路环状布置，可以满足消防车辆及其它车辆通行要求。</w:t>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项目所处位置地势平坦，根据本产品的工艺、运输、消防、安全的要求，结合地形等因素，按照国家有关标准和规定，对生产、运输、绿化进行了优化，并供有完善的供水、供电、排水等设施。</w:t>
            </w:r>
          </w:p>
          <w:p>
            <w:pPr>
              <w:widowControl w:val="0"/>
              <w:overflowPunct w:val="0"/>
              <w:autoSpaceDE/>
              <w:autoSpaceDN/>
              <w:adjustRightInd/>
              <w:snapToGrid w:val="0"/>
              <w:spacing w:before="0" w:after="120" w:line="360" w:lineRule="auto"/>
              <w:ind w:left="0" w:leftChars="0" w:right="0" w:firstLine="480" w:firstLineChars="200"/>
              <w:jc w:val="both"/>
              <w:textAlignment w:val="auto"/>
              <w:rPr>
                <w:rFonts w:hint="default" w:ascii="Times New Roman" w:hAnsi="Times New Roman" w:eastAsia="宋体" w:cs="宋体"/>
                <w:snapToGrid w:val="0"/>
                <w:sz w:val="24"/>
                <w:szCs w:val="21"/>
                <w:lang w:val="en-US" w:eastAsia="zh-CN" w:bidi="ar-SA"/>
              </w:rPr>
            </w:pPr>
            <w:r>
              <w:rPr>
                <w:rFonts w:hint="default" w:ascii="Times New Roman" w:hAnsi="Times New Roman" w:eastAsia="宋体" w:cs="Times New Roman"/>
                <w:kern w:val="0"/>
                <w:sz w:val="24"/>
                <w:szCs w:val="22"/>
                <w:lang w:val="en-US" w:eastAsia="zh-CN" w:bidi="ar-SA"/>
              </w:rPr>
              <w:t>因此，本项目布置功能布置明确，各单元由厂内道路衔接。平面布置按照企业生产要求，合理划分场内的功能区域，布置紧凑合理，生产线结构紧凑，工艺流程顺畅，交通运输安全方便。项目总平面布置图见图</w:t>
            </w:r>
            <w:r>
              <w:rPr>
                <w:rFonts w:hint="eastAsia" w:ascii="Times New Roman" w:hAnsi="Times New Roman" w:eastAsia="宋体" w:cs="Times New Roman"/>
                <w:kern w:val="0"/>
                <w:sz w:val="24"/>
                <w:szCs w:val="22"/>
                <w:lang w:val="en-US" w:eastAsia="zh-CN" w:bidi="ar-SA"/>
              </w:rPr>
              <w:t>2.</w:t>
            </w:r>
            <w:r>
              <w:rPr>
                <w:rFonts w:hint="eastAsia" w:cs="Times New Roman"/>
                <w:kern w:val="0"/>
                <w:sz w:val="24"/>
                <w:szCs w:val="22"/>
                <w:lang w:val="en-US" w:eastAsia="zh-CN" w:bidi="ar-SA"/>
              </w:rPr>
              <w:t>6</w:t>
            </w:r>
            <w:r>
              <w:rPr>
                <w:rFonts w:hint="eastAsia" w:ascii="Times New Roman" w:hAnsi="Times New Roman" w:eastAsia="宋体" w:cs="Times New Roman"/>
                <w:kern w:val="0"/>
                <w:sz w:val="24"/>
                <w:szCs w:val="22"/>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3" w:hRule="atLeast"/>
          <w:jc w:val="center"/>
        </w:trPr>
        <w:tc>
          <w:tcPr>
            <w:tcW w:w="486" w:type="dxa"/>
            <w:vAlign w:val="center"/>
          </w:tcPr>
          <w:p>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lang w:val="en-US" w:eastAsia="zh-Hans"/>
              </w:rPr>
            </w:pPr>
          </w:p>
          <w:p>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lang w:val="en-US" w:eastAsia="zh-Hans"/>
              </w:rPr>
            </w:pPr>
          </w:p>
          <w:p>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lang w:val="en-US" w:eastAsia="zh-Hans"/>
              </w:rPr>
            </w:pPr>
          </w:p>
          <w:p>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lang w:val="en-US" w:eastAsia="zh-Hans"/>
              </w:rPr>
            </w:pPr>
          </w:p>
          <w:p>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lang w:val="en-US" w:eastAsia="zh-Hans"/>
              </w:rPr>
            </w:pPr>
          </w:p>
          <w:p>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lang w:val="en-US" w:eastAsia="zh-Hans"/>
              </w:rPr>
            </w:pPr>
          </w:p>
          <w:p>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lang w:val="en-US" w:eastAsia="zh-Hans"/>
              </w:rPr>
            </w:pPr>
          </w:p>
          <w:p>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lang w:val="en-US" w:eastAsia="zh-Hans"/>
              </w:rPr>
            </w:pPr>
          </w:p>
          <w:p>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lang w:val="en-US" w:eastAsia="zh-Hans"/>
              </w:rPr>
            </w:pPr>
          </w:p>
          <w:p>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lang w:val="en-US" w:eastAsia="zh-Hans"/>
              </w:rPr>
            </w:pPr>
          </w:p>
          <w:p>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lang w:val="en-US" w:eastAsia="zh-Hans"/>
              </w:rPr>
            </w:pPr>
          </w:p>
          <w:p>
            <w:pPr>
              <w:widowControl w:val="0"/>
              <w:overflowPunct w:val="0"/>
              <w:autoSpaceDE w:val="0"/>
              <w:autoSpaceDN w:val="0"/>
              <w:adjustRightInd w:val="0"/>
              <w:snapToGrid w:val="0"/>
              <w:spacing w:before="0" w:after="0" w:line="400" w:lineRule="exact"/>
              <w:ind w:left="0" w:leftChars="0" w:right="0" w:rightChars="0" w:firstLine="0" w:firstLineChars="0"/>
              <w:jc w:val="both"/>
              <w:rPr>
                <w:rFonts w:ascii="Times New Roman" w:hAnsi="Times New Roman" w:eastAsia="宋体" w:cs="宋体"/>
              </w:rPr>
            </w:pPr>
            <w:r>
              <w:rPr>
                <w:rFonts w:hint="eastAsia" w:ascii="Times New Roman" w:hAnsi="Times New Roman" w:eastAsia="宋体" w:cs="宋体"/>
                <w:lang w:val="en-US" w:eastAsia="zh-Hans"/>
              </w:rPr>
              <w:t>工</w:t>
            </w:r>
            <w:r>
              <w:rPr>
                <w:rFonts w:ascii="Times New Roman" w:hAnsi="Times New Roman" w:eastAsia="宋体" w:cs="宋体"/>
              </w:rPr>
              <w:t>艺流程和产排污环节</w:t>
            </w:r>
          </w:p>
          <w:p>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sz w:val="28"/>
                <w:szCs w:val="22"/>
                <w:lang w:val="en-US" w:eastAsia="zh-CN" w:bidi="ar-SA"/>
              </w:rPr>
            </w:pPr>
          </w:p>
          <w:p>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rPr>
            </w:pPr>
          </w:p>
          <w:p>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sz w:val="28"/>
                <w:szCs w:val="22"/>
                <w:lang w:val="en-US" w:eastAsia="zh-CN" w:bidi="ar-SA"/>
              </w:rPr>
            </w:pPr>
          </w:p>
          <w:p>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rPr>
            </w:pPr>
          </w:p>
          <w:p>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sz w:val="28"/>
                <w:szCs w:val="22"/>
                <w:lang w:val="en-US" w:eastAsia="zh-CN" w:bidi="ar-SA"/>
              </w:rPr>
            </w:pPr>
          </w:p>
          <w:p>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rPr>
            </w:pPr>
          </w:p>
          <w:p>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sz w:val="28"/>
                <w:szCs w:val="22"/>
                <w:lang w:val="en-US" w:eastAsia="zh-CN" w:bidi="ar-SA"/>
              </w:rPr>
            </w:pPr>
          </w:p>
          <w:p>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rPr>
            </w:pPr>
          </w:p>
          <w:p>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sz w:val="28"/>
                <w:szCs w:val="22"/>
                <w:lang w:val="en-US" w:eastAsia="zh-CN" w:bidi="ar-SA"/>
              </w:rPr>
            </w:pPr>
          </w:p>
          <w:p>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rPr>
            </w:pPr>
          </w:p>
          <w:p>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sz w:val="28"/>
                <w:szCs w:val="22"/>
                <w:lang w:val="en-US" w:eastAsia="zh-CN" w:bidi="ar-SA"/>
              </w:rPr>
            </w:pPr>
          </w:p>
          <w:p>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rPr>
            </w:pPr>
          </w:p>
          <w:p>
            <w:pPr>
              <w:keepNext/>
              <w:keepLines/>
              <w:widowControl w:val="0"/>
              <w:overflowPunct w:val="0"/>
              <w:autoSpaceDE w:val="0"/>
              <w:autoSpaceDN w:val="0"/>
              <w:adjustRightInd w:val="0"/>
              <w:snapToGrid w:val="0"/>
              <w:spacing w:before="0" w:beforeLines="0" w:beforeAutospacing="0" w:after="0" w:afterLines="0" w:afterAutospacing="0" w:line="560" w:lineRule="atLeast"/>
              <w:ind w:left="0" w:leftChars="0" w:right="0" w:rightChars="0" w:firstLine="0" w:firstLineChars="0"/>
              <w:jc w:val="center"/>
              <w:outlineLvl w:val="9"/>
              <w:rPr>
                <w:rFonts w:ascii="Times New Roman" w:hAnsi="Times New Roman" w:eastAsia="宋体" w:cs="宋体"/>
                <w:b/>
                <w:sz w:val="28"/>
                <w:szCs w:val="22"/>
                <w:vertAlign w:val="baseline"/>
                <w:lang w:val="en-US" w:eastAsia="zh-CN" w:bidi="ar-SA"/>
              </w:rPr>
            </w:pPr>
          </w:p>
        </w:tc>
        <w:tc>
          <w:tcPr>
            <w:tcW w:w="8585" w:type="dxa"/>
            <w:vAlign w:val="top"/>
          </w:tcPr>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left"/>
              <w:textAlignment w:val="auto"/>
              <w:outlineLvl w:val="1"/>
              <w:rPr>
                <w:rFonts w:hint="eastAsia"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2.</w:t>
            </w:r>
            <w:r>
              <w:rPr>
                <w:rFonts w:hint="eastAsia" w:cs="黑体"/>
                <w:b/>
                <w:sz w:val="28"/>
                <w:szCs w:val="30"/>
                <w:lang w:val="en-US" w:eastAsia="zh-CN" w:bidi="ar-SA"/>
              </w:rPr>
              <w:t>7</w:t>
            </w:r>
            <w:r>
              <w:rPr>
                <w:rFonts w:hint="eastAsia" w:ascii="Times New Roman" w:hAnsi="Times New Roman" w:eastAsia="宋体" w:cs="黑体"/>
                <w:b/>
                <w:sz w:val="28"/>
                <w:szCs w:val="30"/>
                <w:lang w:val="en-US" w:eastAsia="zh-CN" w:bidi="ar-SA"/>
              </w:rPr>
              <w:t>施工期工艺流程及产污环节</w:t>
            </w:r>
          </w:p>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outlineLvl w:val="1"/>
              <w:rPr>
                <w:rFonts w:hint="eastAsia" w:ascii="Times New Roman" w:hAnsi="Times New Roman" w:eastAsia="宋体" w:cs="宋体"/>
                <w:lang w:val="en-US" w:eastAsia="zh-CN"/>
              </w:rPr>
            </w:pPr>
            <w:r>
              <w:rPr>
                <w:rFonts w:hint="default" w:ascii="Times New Roman" w:hAnsi="Times New Roman" w:eastAsia="宋体" w:cs="宋体"/>
                <w:lang w:val="en-US" w:eastAsia="zh-CN"/>
              </w:rPr>
              <w:drawing>
                <wp:anchor distT="0" distB="0" distL="114300" distR="114300" simplePos="0" relativeHeight="251662336" behindDoc="1" locked="0" layoutInCell="1" allowOverlap="1">
                  <wp:simplePos x="0" y="0"/>
                  <wp:positionH relativeFrom="column">
                    <wp:posOffset>131445</wp:posOffset>
                  </wp:positionH>
                  <wp:positionV relativeFrom="paragraph">
                    <wp:posOffset>581660</wp:posOffset>
                  </wp:positionV>
                  <wp:extent cx="4705350" cy="2190750"/>
                  <wp:effectExtent l="0" t="0" r="0" b="0"/>
                  <wp:wrapNone/>
                  <wp:docPr id="10" name="图片 10" descr="172251370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22513707443"/>
                          <pic:cNvPicPr>
                            <a:picLocks noChangeAspect="1"/>
                          </pic:cNvPicPr>
                        </pic:nvPicPr>
                        <pic:blipFill>
                          <a:blip r:embed="rId18"/>
                          <a:stretch>
                            <a:fillRect/>
                          </a:stretch>
                        </pic:blipFill>
                        <pic:spPr>
                          <a:xfrm>
                            <a:off x="0" y="0"/>
                            <a:ext cx="4705350" cy="2190750"/>
                          </a:xfrm>
                          <a:prstGeom prst="rect">
                            <a:avLst/>
                          </a:prstGeom>
                        </pic:spPr>
                      </pic:pic>
                    </a:graphicData>
                  </a:graphic>
                </wp:anchor>
              </w:drawing>
            </w:r>
            <w:r>
              <w:rPr>
                <w:rFonts w:hint="eastAsia" w:ascii="Times New Roman" w:hAnsi="Times New Roman" w:eastAsia="宋体" w:cs="宋体"/>
                <w:color w:val="000000"/>
              </w:rPr>
              <w:t>本项目</w:t>
            </w:r>
            <w:r>
              <w:rPr>
                <w:rFonts w:hint="eastAsia" w:ascii="Times New Roman" w:hAnsi="Times New Roman" w:eastAsia="宋体" w:cs="宋体"/>
                <w:color w:val="000000"/>
                <w:lang w:val="en-US" w:eastAsia="zh-CN"/>
              </w:rPr>
              <w:t>租赁新疆伟康高科管业有限公司已建厂房用于生产建设</w:t>
            </w:r>
            <w:r>
              <w:rPr>
                <w:rFonts w:hint="eastAsia" w:ascii="Times New Roman" w:hAnsi="Times New Roman" w:eastAsia="宋体" w:cs="宋体"/>
                <w:color w:val="000000"/>
              </w:rPr>
              <w:t>，</w:t>
            </w:r>
            <w:r>
              <w:rPr>
                <w:rFonts w:hint="eastAsia" w:ascii="Times New Roman" w:hAnsi="Times New Roman" w:eastAsia="宋体" w:cs="宋体"/>
                <w:color w:val="000000"/>
                <w:lang w:val="en-US" w:eastAsia="zh-CN"/>
              </w:rPr>
              <w:t>经现场踏勘，</w:t>
            </w:r>
            <w:r>
              <w:rPr>
                <w:rFonts w:hint="eastAsia" w:ascii="Times New Roman" w:hAnsi="Times New Roman" w:eastAsia="宋体" w:cs="宋体"/>
                <w:color w:val="000000"/>
              </w:rPr>
              <w:t>本项目</w:t>
            </w:r>
            <w:r>
              <w:rPr>
                <w:rFonts w:hint="eastAsia" w:ascii="Times New Roman" w:hAnsi="Times New Roman" w:eastAsia="宋体" w:cs="宋体"/>
                <w:color w:val="000000"/>
                <w:lang w:val="en-US" w:eastAsia="zh-CN"/>
              </w:rPr>
              <w:t>需进行少量装饰工程、设备安装、环保措施的建设。</w:t>
            </w:r>
            <w:r>
              <w:rPr>
                <w:rFonts w:hint="eastAsia" w:ascii="Times New Roman" w:hAnsi="Times New Roman" w:eastAsia="宋体" w:cs="宋体"/>
              </w:rPr>
              <w:t>期</w:t>
            </w:r>
            <w:r>
              <w:rPr>
                <w:rFonts w:ascii="Times New Roman" w:hAnsi="Times New Roman" w:eastAsia="宋体" w:cs="宋体"/>
              </w:rPr>
              <w:t>间产生施工</w:t>
            </w:r>
            <w:r>
              <w:rPr>
                <w:rFonts w:hint="eastAsia" w:ascii="Times New Roman" w:hAnsi="Times New Roman" w:eastAsia="宋体" w:cs="宋体"/>
              </w:rPr>
              <w:t>扬尘、装修废气，</w:t>
            </w:r>
            <w:r>
              <w:rPr>
                <w:rFonts w:ascii="Times New Roman" w:hAnsi="Times New Roman" w:eastAsia="宋体" w:cs="宋体"/>
              </w:rPr>
              <w:t>噪声、</w:t>
            </w:r>
            <w:r>
              <w:rPr>
                <w:rFonts w:hint="eastAsia" w:ascii="Times New Roman" w:hAnsi="Times New Roman" w:eastAsia="宋体" w:cs="宋体"/>
                <w:lang w:val="en-US" w:eastAsia="zh-CN"/>
              </w:rPr>
              <w:t>少量施工</w:t>
            </w:r>
            <w:r>
              <w:rPr>
                <w:rFonts w:ascii="Times New Roman" w:hAnsi="Times New Roman" w:eastAsia="宋体" w:cs="宋体"/>
              </w:rPr>
              <w:t>垃圾</w:t>
            </w:r>
            <w:r>
              <w:rPr>
                <w:rFonts w:hint="eastAsia" w:ascii="Times New Roman" w:hAnsi="Times New Roman" w:eastAsia="宋体" w:cs="宋体"/>
              </w:rPr>
              <w:t>等，其生产工艺流程及产污节点见图</w:t>
            </w:r>
            <w:r>
              <w:rPr>
                <w:rFonts w:hint="eastAsia" w:ascii="Times New Roman" w:hAnsi="Times New Roman" w:eastAsia="宋体" w:cs="宋体"/>
                <w:lang w:val="en-US" w:eastAsia="zh-CN"/>
              </w:rPr>
              <w:t>2.</w:t>
            </w:r>
            <w:r>
              <w:rPr>
                <w:rFonts w:hint="eastAsia" w:cs="宋体"/>
                <w:lang w:val="en-US" w:eastAsia="zh-CN"/>
              </w:rPr>
              <w:t>7</w:t>
            </w:r>
            <w:r>
              <w:rPr>
                <w:rFonts w:hint="eastAsia" w:ascii="Times New Roman" w:hAnsi="Times New Roman" w:eastAsia="宋体" w:cs="宋体"/>
                <w:lang w:val="en-US" w:eastAsia="zh-CN"/>
              </w:rPr>
              <w:t>-1。</w:t>
            </w:r>
          </w:p>
          <w:p>
            <w:pPr>
              <w:overflowPunct w:val="0"/>
              <w:autoSpaceDE w:val="0"/>
              <w:autoSpaceDN w:val="0"/>
              <w:adjustRightInd w:val="0"/>
              <w:snapToGrid w:val="0"/>
              <w:spacing w:before="0" w:after="0" w:line="500" w:lineRule="exact"/>
              <w:ind w:left="0" w:right="0" w:firstLine="480" w:firstLineChars="200"/>
              <w:jc w:val="left"/>
              <w:rPr>
                <w:rFonts w:hint="default" w:ascii="Times New Roman" w:hAnsi="Times New Roman" w:eastAsia="宋体" w:cs="宋体"/>
                <w:lang w:val="en-US" w:eastAsia="zh-CN"/>
              </w:rPr>
            </w:pPr>
          </w:p>
          <w:p>
            <w:pPr>
              <w:overflowPunct w:val="0"/>
              <w:autoSpaceDE w:val="0"/>
              <w:autoSpaceDN w:val="0"/>
              <w:bidi w:val="0"/>
              <w:adjustRightInd w:val="0"/>
              <w:snapToGrid w:val="0"/>
              <w:spacing w:before="0" w:after="0" w:line="500" w:lineRule="exact"/>
              <w:ind w:left="0" w:right="0" w:firstLine="480" w:firstLineChars="200"/>
              <w:jc w:val="left"/>
              <w:rPr>
                <w:rFonts w:hint="default" w:ascii="Times New Roman" w:hAnsi="Times New Roman" w:eastAsia="宋体" w:cs="宋体"/>
              </w:rPr>
            </w:pPr>
          </w:p>
          <w:p>
            <w:pPr>
              <w:overflowPunct w:val="0"/>
              <w:autoSpaceDE w:val="0"/>
              <w:autoSpaceDN w:val="0"/>
              <w:bidi w:val="0"/>
              <w:adjustRightInd w:val="0"/>
              <w:snapToGrid w:val="0"/>
              <w:spacing w:before="0" w:after="0" w:line="500" w:lineRule="exact"/>
              <w:ind w:left="0" w:right="0" w:firstLine="480" w:firstLineChars="200"/>
              <w:jc w:val="left"/>
              <w:rPr>
                <w:rFonts w:hint="default" w:ascii="Times New Roman" w:hAnsi="Times New Roman" w:eastAsia="宋体" w:cs="宋体"/>
              </w:rPr>
            </w:pPr>
          </w:p>
          <w:p>
            <w:pPr>
              <w:overflowPunct w:val="0"/>
              <w:autoSpaceDE w:val="0"/>
              <w:autoSpaceDN w:val="0"/>
              <w:bidi w:val="0"/>
              <w:adjustRightInd w:val="0"/>
              <w:snapToGrid w:val="0"/>
              <w:spacing w:before="0" w:after="0" w:line="500" w:lineRule="exact"/>
              <w:ind w:left="0" w:right="0" w:firstLine="480" w:firstLineChars="200"/>
              <w:jc w:val="left"/>
              <w:rPr>
                <w:rFonts w:hint="default" w:ascii="Times New Roman" w:hAnsi="Times New Roman" w:eastAsia="宋体" w:cs="宋体"/>
              </w:rPr>
            </w:pPr>
          </w:p>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lang w:val="en-US" w:eastAsia="zh-CN"/>
              </w:rPr>
            </w:pPr>
          </w:p>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lang w:val="en-US" w:eastAsia="zh-CN"/>
              </w:rPr>
            </w:pPr>
          </w:p>
          <w:p>
            <w:pPr>
              <w:widowControl w:val="0"/>
              <w:overflowPunct w:val="0"/>
              <w:autoSpaceDE w:val="0"/>
              <w:autoSpaceDN w:val="0"/>
              <w:bidi w:val="0"/>
              <w:adjustRightInd w:val="0"/>
              <w:snapToGrid w:val="0"/>
              <w:spacing w:before="0" w:after="0" w:line="360" w:lineRule="auto"/>
              <w:ind w:left="0" w:right="0" w:firstLine="0" w:firstLineChars="0"/>
              <w:jc w:val="center"/>
              <w:rPr>
                <w:rFonts w:hint="default" w:ascii="Times New Roman" w:hAnsi="Times New Roman" w:eastAsia="宋体" w:cs="宋体"/>
                <w:b/>
                <w:bCs/>
                <w:lang w:val="en-US" w:eastAsia="zh-CN"/>
              </w:rPr>
            </w:pPr>
            <w:r>
              <w:rPr>
                <w:rFonts w:hint="default" w:ascii="Times New Roman" w:hAnsi="Times New Roman" w:eastAsia="宋体" w:cs="宋体"/>
                <w:b/>
                <w:bCs/>
                <w:lang w:val="en-US" w:eastAsia="zh-CN"/>
              </w:rPr>
              <w:t>图</w:t>
            </w:r>
            <w:r>
              <w:rPr>
                <w:rFonts w:hint="eastAsia" w:ascii="Times New Roman" w:hAnsi="Times New Roman" w:eastAsia="宋体" w:cs="宋体"/>
                <w:b/>
                <w:bCs/>
                <w:lang w:val="en-US" w:eastAsia="zh-CN"/>
              </w:rPr>
              <w:t>2.</w:t>
            </w:r>
            <w:r>
              <w:rPr>
                <w:rFonts w:hint="eastAsia" w:cs="宋体"/>
                <w:b/>
                <w:bCs/>
                <w:lang w:val="en-US" w:eastAsia="zh-CN"/>
              </w:rPr>
              <w:t>7</w:t>
            </w:r>
            <w:r>
              <w:rPr>
                <w:rFonts w:hint="eastAsia" w:ascii="Times New Roman" w:hAnsi="Times New Roman" w:eastAsia="宋体" w:cs="宋体"/>
                <w:b/>
                <w:bCs/>
                <w:lang w:val="en-US" w:eastAsia="zh-CN"/>
              </w:rPr>
              <w:t xml:space="preserve">-1 </w:t>
            </w:r>
            <w:r>
              <w:rPr>
                <w:rFonts w:hint="default" w:ascii="Times New Roman" w:hAnsi="Times New Roman" w:eastAsia="宋体" w:cs="宋体"/>
                <w:b/>
                <w:bCs/>
                <w:lang w:val="en-US" w:eastAsia="zh-CN"/>
              </w:rPr>
              <w:t xml:space="preserve"> 施工期工艺流程及产污节点图</w:t>
            </w:r>
          </w:p>
          <w:p>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宋体"/>
              </w:rPr>
            </w:pPr>
            <w:r>
              <w:rPr>
                <w:rFonts w:hint="default" w:ascii="Times New Roman" w:hAnsi="Times New Roman" w:eastAsia="宋体" w:cs="宋体"/>
              </w:rPr>
              <w:t>废气：运输过程产生的扬尘、装修废气及施工设备和运输设备产生的废气。</w:t>
            </w:r>
          </w:p>
          <w:p>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宋体"/>
              </w:rPr>
            </w:pPr>
            <w:r>
              <w:rPr>
                <w:rFonts w:hint="default" w:ascii="Times New Roman" w:hAnsi="Times New Roman" w:eastAsia="宋体" w:cs="宋体"/>
              </w:rPr>
              <w:t>废水：主要为</w:t>
            </w:r>
            <w:r>
              <w:rPr>
                <w:rFonts w:hint="eastAsia" w:ascii="Times New Roman" w:hAnsi="Times New Roman" w:eastAsia="宋体" w:cs="宋体"/>
                <w:lang w:val="en-US" w:eastAsia="zh-CN"/>
              </w:rPr>
              <w:t>生活污水</w:t>
            </w:r>
            <w:r>
              <w:rPr>
                <w:rFonts w:hint="default" w:ascii="Times New Roman" w:hAnsi="Times New Roman" w:eastAsia="宋体" w:cs="宋体"/>
              </w:rPr>
              <w:t>。</w:t>
            </w:r>
          </w:p>
          <w:p>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宋体"/>
              </w:rPr>
            </w:pPr>
            <w:r>
              <w:rPr>
                <w:rFonts w:hint="default" w:ascii="Times New Roman" w:hAnsi="Times New Roman" w:eastAsia="宋体" w:cs="宋体"/>
              </w:rPr>
              <w:t>噪声：</w:t>
            </w:r>
            <w:r>
              <w:rPr>
                <w:rFonts w:hint="eastAsia" w:ascii="Times New Roman" w:hAnsi="Times New Roman" w:eastAsia="宋体" w:cs="宋体"/>
                <w:lang w:val="en-US" w:eastAsia="zh-CN"/>
              </w:rPr>
              <w:t>设备安装阶段使用</w:t>
            </w:r>
            <w:r>
              <w:rPr>
                <w:rFonts w:hint="default" w:ascii="Times New Roman" w:hAnsi="Times New Roman" w:eastAsia="宋体" w:cs="宋体"/>
              </w:rPr>
              <w:t>的电焊机、空压机等，运输车辆产生的噪声、设备安装过程中产生的噪声。</w:t>
            </w:r>
          </w:p>
          <w:p>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宋体"/>
              </w:rPr>
            </w:pPr>
            <w:r>
              <w:rPr>
                <w:rFonts w:hint="default" w:ascii="Times New Roman" w:hAnsi="Times New Roman" w:eastAsia="宋体" w:cs="宋体"/>
              </w:rPr>
              <w:t>废渣：主要来源于</w:t>
            </w:r>
            <w:r>
              <w:rPr>
                <w:rFonts w:hint="eastAsia" w:ascii="Times New Roman" w:hAnsi="Times New Roman" w:eastAsia="宋体" w:cs="宋体"/>
                <w:lang w:val="en-US" w:eastAsia="zh-CN"/>
              </w:rPr>
              <w:t>废弃包装材料</w:t>
            </w:r>
            <w:r>
              <w:rPr>
                <w:rFonts w:hint="default" w:ascii="Times New Roman" w:hAnsi="Times New Roman" w:eastAsia="宋体" w:cs="宋体"/>
              </w:rPr>
              <w:t>及施工人员产生的生活垃圾。</w:t>
            </w:r>
          </w:p>
          <w:p>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宋体"/>
              </w:rPr>
            </w:pPr>
            <w:r>
              <w:rPr>
                <w:rFonts w:hint="default" w:ascii="Times New Roman" w:hAnsi="Times New Roman" w:eastAsia="宋体" w:cs="宋体"/>
              </w:rPr>
              <w:t>项目施工期主要污染源分析如表</w:t>
            </w:r>
            <w:r>
              <w:rPr>
                <w:rFonts w:hint="eastAsia" w:ascii="Times New Roman" w:hAnsi="Times New Roman" w:eastAsia="宋体" w:cs="宋体"/>
                <w:lang w:val="en-US" w:eastAsia="zh-CN"/>
              </w:rPr>
              <w:t>2.6-1</w:t>
            </w:r>
            <w:r>
              <w:rPr>
                <w:rFonts w:hint="default" w:ascii="Times New Roman" w:hAnsi="Times New Roman" w:eastAsia="宋体" w:cs="宋体"/>
              </w:rPr>
              <w:t>。</w:t>
            </w:r>
          </w:p>
          <w:p>
            <w:pPr>
              <w:widowControl w:val="0"/>
              <w:overflowPunct w:val="0"/>
              <w:autoSpaceDE w:val="0"/>
              <w:autoSpaceDN w:val="0"/>
              <w:bidi w:val="0"/>
              <w:adjustRightInd w:val="0"/>
              <w:snapToGrid w:val="0"/>
              <w:spacing w:before="0" w:after="0" w:line="360" w:lineRule="auto"/>
              <w:ind w:left="0" w:right="0" w:firstLine="0" w:firstLineChars="0"/>
              <w:jc w:val="center"/>
              <w:rPr>
                <w:rFonts w:hint="eastAsia" w:ascii="Times New Roman" w:hAnsi="Times New Roman" w:eastAsia="宋体" w:cs="宋体"/>
                <w:b/>
                <w:bCs/>
                <w:lang w:val="en-US" w:eastAsia="zh-CN"/>
              </w:rPr>
            </w:pPr>
            <w:r>
              <w:rPr>
                <w:rFonts w:hint="eastAsia" w:ascii="Times New Roman" w:hAnsi="Times New Roman" w:eastAsia="宋体" w:cs="宋体"/>
                <w:b/>
                <w:bCs/>
                <w:lang w:val="en-US" w:eastAsia="zh-CN"/>
              </w:rPr>
              <w:t>表2.6-1施工期主要污染工序一览表</w:t>
            </w:r>
          </w:p>
          <w:tbl>
            <w:tblPr>
              <w:tblStyle w:val="14"/>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2041"/>
              <w:gridCol w:w="2002"/>
              <w:gridCol w:w="33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污染类别</w:t>
                  </w:r>
                </w:p>
              </w:tc>
              <w:tc>
                <w:tcPr>
                  <w:tcW w:w="2041"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污染源名称</w:t>
                  </w:r>
                </w:p>
              </w:tc>
              <w:tc>
                <w:tcPr>
                  <w:tcW w:w="20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产生工序</w:t>
                  </w:r>
                </w:p>
              </w:tc>
              <w:tc>
                <w:tcPr>
                  <w:tcW w:w="337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主要污染因子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废气</w:t>
                  </w:r>
                </w:p>
              </w:tc>
              <w:tc>
                <w:tcPr>
                  <w:tcW w:w="2041"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施工场地</w:t>
                  </w:r>
                </w:p>
              </w:tc>
              <w:tc>
                <w:tcPr>
                  <w:tcW w:w="20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施工过程</w:t>
                  </w:r>
                </w:p>
              </w:tc>
              <w:tc>
                <w:tcPr>
                  <w:tcW w:w="337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扬尘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041"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机械动力设备</w:t>
                  </w:r>
                </w:p>
              </w:tc>
              <w:tc>
                <w:tcPr>
                  <w:tcW w:w="20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机械设备运行</w:t>
                  </w:r>
                </w:p>
              </w:tc>
              <w:tc>
                <w:tcPr>
                  <w:tcW w:w="337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尾气</w:t>
                  </w:r>
                  <w:r>
                    <w:rPr>
                      <w:rFonts w:hint="default" w:ascii="Times New Roman" w:hAnsi="Times New Roman" w:eastAsia="宋体" w:cs="宋体"/>
                      <w:sz w:val="21"/>
                      <w:szCs w:val="21"/>
                      <w:lang w:val="en-US" w:eastAsia="zh-CN"/>
                    </w:rPr>
                    <w:t>(SO</w:t>
                  </w:r>
                  <w:r>
                    <w:rPr>
                      <w:rFonts w:hint="default" w:ascii="Times New Roman" w:hAnsi="Times New Roman" w:eastAsia="宋体" w:cs="宋体"/>
                      <w:sz w:val="21"/>
                      <w:szCs w:val="21"/>
                      <w:vertAlign w:val="subscript"/>
                      <w:lang w:val="en-US" w:eastAsia="zh-CN"/>
                    </w:rPr>
                    <w:t>2</w:t>
                  </w:r>
                  <w:r>
                    <w:rPr>
                      <w:rFonts w:hint="eastAsia" w:ascii="Times New Roman" w:hAnsi="Times New Roman" w:eastAsia="宋体" w:cs="宋体"/>
                      <w:sz w:val="21"/>
                      <w:szCs w:val="21"/>
                      <w:lang w:val="en-US" w:eastAsia="zh-CN"/>
                    </w:rPr>
                    <w:t>、颗粒物、总烃、</w:t>
                  </w:r>
                  <w:r>
                    <w:rPr>
                      <w:rFonts w:hint="default" w:ascii="Times New Roman" w:hAnsi="Times New Roman" w:eastAsia="宋体" w:cs="宋体"/>
                      <w:sz w:val="21"/>
                      <w:szCs w:val="21"/>
                      <w:lang w:val="en-US" w:eastAsia="zh-CN"/>
                    </w:rPr>
                    <w:t>CO</w:t>
                  </w:r>
                  <w:r>
                    <w:rPr>
                      <w:rFonts w:hint="eastAsia" w:ascii="Times New Roman" w:hAnsi="Times New Roman" w:eastAsia="宋体" w:cs="宋体"/>
                      <w:sz w:val="21"/>
                      <w:szCs w:val="21"/>
                      <w:lang w:val="en-US" w:eastAsia="zh-CN"/>
                    </w:rPr>
                    <w:t>、</w:t>
                  </w:r>
                  <w:r>
                    <w:rPr>
                      <w:rFonts w:hint="default" w:ascii="Times New Roman" w:hAnsi="Times New Roman" w:eastAsia="宋体" w:cs="宋体"/>
                      <w:sz w:val="21"/>
                      <w:szCs w:val="21"/>
                      <w:lang w:val="en-US" w:eastAsia="zh-CN"/>
                    </w:rPr>
                    <w:t>NOx)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废水</w:t>
                  </w:r>
                </w:p>
              </w:tc>
              <w:tc>
                <w:tcPr>
                  <w:tcW w:w="2041"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生活污水</w:t>
                  </w:r>
                </w:p>
              </w:tc>
              <w:tc>
                <w:tcPr>
                  <w:tcW w:w="20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人员施工、生活</w:t>
                  </w:r>
                </w:p>
              </w:tc>
              <w:tc>
                <w:tcPr>
                  <w:tcW w:w="337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pH、COD、BOD</w:t>
                  </w:r>
                  <w:r>
                    <w:rPr>
                      <w:rFonts w:hint="eastAsia" w:ascii="Times New Roman" w:hAnsi="Times New Roman" w:eastAsia="宋体" w:cs="宋体"/>
                      <w:sz w:val="21"/>
                      <w:szCs w:val="21"/>
                      <w:vertAlign w:val="subscript"/>
                      <w:lang w:val="en-US" w:eastAsia="zh-CN"/>
                    </w:rPr>
                    <w:t>5</w:t>
                  </w:r>
                  <w:r>
                    <w:rPr>
                      <w:rFonts w:hint="eastAsia" w:ascii="Times New Roman" w:hAnsi="Times New Roman" w:eastAsia="宋体" w:cs="宋体"/>
                      <w:sz w:val="21"/>
                      <w:szCs w:val="21"/>
                      <w:lang w:val="en-US" w:eastAsia="zh-CN"/>
                    </w:rPr>
                    <w:t>、SS、氨氮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噪声</w:t>
                  </w:r>
                </w:p>
              </w:tc>
              <w:tc>
                <w:tcPr>
                  <w:tcW w:w="2041"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施工设备</w:t>
                  </w:r>
                </w:p>
              </w:tc>
              <w:tc>
                <w:tcPr>
                  <w:tcW w:w="20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施工设备运行</w:t>
                  </w:r>
                </w:p>
              </w:tc>
              <w:tc>
                <w:tcPr>
                  <w:tcW w:w="337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041"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运输车辆</w:t>
                  </w:r>
                </w:p>
              </w:tc>
              <w:tc>
                <w:tcPr>
                  <w:tcW w:w="20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运输车辆行驶</w:t>
                  </w:r>
                </w:p>
              </w:tc>
              <w:tc>
                <w:tcPr>
                  <w:tcW w:w="337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交通噪声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041"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施工人员</w:t>
                  </w:r>
                </w:p>
              </w:tc>
              <w:tc>
                <w:tcPr>
                  <w:tcW w:w="20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人员施工、生活</w:t>
                  </w:r>
                </w:p>
              </w:tc>
              <w:tc>
                <w:tcPr>
                  <w:tcW w:w="337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生活噪声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固体废物</w:t>
                  </w:r>
                </w:p>
              </w:tc>
              <w:tc>
                <w:tcPr>
                  <w:tcW w:w="2041"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施工垃圾</w:t>
                  </w:r>
                </w:p>
              </w:tc>
              <w:tc>
                <w:tcPr>
                  <w:tcW w:w="20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施工过程</w:t>
                  </w:r>
                </w:p>
              </w:tc>
              <w:tc>
                <w:tcPr>
                  <w:tcW w:w="337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废弃包装材料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041"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生活固废</w:t>
                  </w:r>
                </w:p>
              </w:tc>
              <w:tc>
                <w:tcPr>
                  <w:tcW w:w="20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施工人员生活</w:t>
                  </w:r>
                </w:p>
              </w:tc>
              <w:tc>
                <w:tcPr>
                  <w:tcW w:w="337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生活垃圾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生态</w:t>
                  </w:r>
                </w:p>
              </w:tc>
              <w:tc>
                <w:tcPr>
                  <w:tcW w:w="7419" w:type="dxa"/>
                  <w:gridSpan w:val="3"/>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本项目场地已基本完成场地平整，生态现状植被覆盖率低，野生动物少</w:t>
                  </w:r>
                </w:p>
              </w:tc>
            </w:tr>
          </w:tbl>
          <w:p>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left"/>
              <w:textAlignment w:val="auto"/>
              <w:outlineLvl w:val="1"/>
              <w:rPr>
                <w:rFonts w:hint="default"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2.</w:t>
            </w:r>
            <w:r>
              <w:rPr>
                <w:rFonts w:hint="eastAsia" w:cs="黑体"/>
                <w:b/>
                <w:sz w:val="28"/>
                <w:szCs w:val="30"/>
                <w:lang w:val="en-US" w:eastAsia="zh-CN" w:bidi="ar-SA"/>
              </w:rPr>
              <w:t>8</w:t>
            </w:r>
            <w:r>
              <w:rPr>
                <w:rFonts w:hint="eastAsia" w:ascii="Times New Roman" w:hAnsi="Times New Roman" w:eastAsia="宋体" w:cs="黑体"/>
                <w:b/>
                <w:sz w:val="28"/>
                <w:szCs w:val="30"/>
                <w:lang w:val="en-US" w:eastAsia="zh-CN" w:bidi="ar-SA"/>
              </w:rPr>
              <w:t>运营期</w:t>
            </w:r>
            <w:r>
              <w:rPr>
                <w:rFonts w:hint="default" w:ascii="Times New Roman" w:hAnsi="Times New Roman" w:eastAsia="宋体" w:cs="黑体"/>
                <w:b/>
                <w:sz w:val="28"/>
                <w:szCs w:val="30"/>
                <w:lang w:val="en-US" w:eastAsia="zh-CN" w:bidi="ar-SA"/>
              </w:rPr>
              <w:t>工艺流程简述</w:t>
            </w:r>
          </w:p>
          <w:p>
            <w:pPr>
              <w:numPr>
                <w:ilvl w:val="0"/>
                <w:numId w:val="0"/>
              </w:numPr>
              <w:spacing w:line="360" w:lineRule="auto"/>
              <w:ind w:firstLine="480" w:firstLineChars="200"/>
              <w:rPr>
                <w:rFonts w:hint="default" w:ascii="Times New Roman" w:hAnsi="Times New Roman" w:eastAsia="宋体" w:cs="宋体"/>
                <w:lang w:val="en-US" w:eastAsia="zh-CN"/>
              </w:rPr>
            </w:pPr>
            <w:r>
              <w:rPr>
                <w:rFonts w:hint="eastAsia" w:ascii="Times New Roman" w:eastAsia="宋体"/>
                <w:lang w:val="en-US" w:eastAsia="zh-CN"/>
              </w:rPr>
              <w:t xml:space="preserve"> </w:t>
            </w:r>
            <w:r>
              <w:rPr>
                <w:rFonts w:hint="eastAsia" w:ascii="Times New Roman" w:hAnsi="Times New Roman" w:eastAsia="宋体" w:cs="宋体"/>
                <w:lang w:val="en-US" w:eastAsia="zh-CN"/>
              </w:rPr>
              <w:t>本项目电力电缆、控制电缆、架空绝缘电缆</w:t>
            </w:r>
            <w:r>
              <w:rPr>
                <w:rFonts w:hint="eastAsia" w:cs="宋体"/>
                <w:lang w:val="en-US" w:eastAsia="zh-CN"/>
              </w:rPr>
              <w:t>产品</w:t>
            </w:r>
            <w:r>
              <w:rPr>
                <w:rFonts w:hint="eastAsia" w:ascii="Times New Roman" w:hAnsi="Times New Roman" w:eastAsia="宋体" w:cs="宋体"/>
                <w:lang w:val="en-US" w:eastAsia="zh-CN"/>
              </w:rPr>
              <w:t>主要生产工艺相同，均为</w:t>
            </w:r>
            <w:r>
              <w:rPr>
                <w:rFonts w:hint="eastAsia" w:cs="宋体"/>
                <w:lang w:val="en-US" w:eastAsia="zh-CN"/>
              </w:rPr>
              <w:t>拉丝、</w:t>
            </w:r>
            <w:r>
              <w:rPr>
                <w:rFonts w:hint="eastAsia" w:ascii="Times New Roman" w:hAnsi="Times New Roman" w:eastAsia="宋体" w:cs="宋体"/>
                <w:lang w:val="en-US" w:eastAsia="zh-CN"/>
              </w:rPr>
              <w:t>绞丝、挤塑、成缆、挤护外套、喷码等，具体工艺流程如下：</w:t>
            </w:r>
          </w:p>
          <w:p>
            <w:pPr>
              <w:numPr>
                <w:ilvl w:val="0"/>
                <w:numId w:val="2"/>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物料入场</w:t>
            </w:r>
          </w:p>
          <w:p>
            <w:pPr>
              <w:numPr>
                <w:ilvl w:val="0"/>
                <w:numId w:val="0"/>
              </w:numPr>
              <w:spacing w:line="360" w:lineRule="auto"/>
              <w:ind w:firstLine="480" w:firstLineChars="200"/>
              <w:rPr>
                <w:rFonts w:hint="eastAsia" w:ascii="Times New Roman" w:hAnsi="Times New Roman" w:eastAsia="宋体" w:cs="宋体"/>
                <w:color w:val="auto"/>
                <w:sz w:val="24"/>
                <w:szCs w:val="22"/>
                <w:lang w:val="en-US" w:eastAsia="zh-CN" w:bidi="ar-SA"/>
              </w:rPr>
            </w:pPr>
            <w:r>
              <w:rPr>
                <w:rFonts w:hint="eastAsia" w:ascii="Times New Roman" w:hAnsi="Times New Roman" w:eastAsia="宋体" w:cs="宋体"/>
                <w:color w:val="auto"/>
                <w:sz w:val="24"/>
                <w:szCs w:val="22"/>
                <w:lang w:val="en-US" w:eastAsia="zh-CN" w:bidi="ar-SA"/>
              </w:rPr>
              <w:t>本项目原料均由汽车运输进场，进场后根据用量需要在车间内原料堆放区暂存，由于</w:t>
            </w:r>
            <w:r>
              <w:rPr>
                <w:rFonts w:hint="eastAsia" w:cs="宋体"/>
                <w:color w:val="auto"/>
                <w:sz w:val="24"/>
                <w:szCs w:val="22"/>
                <w:lang w:val="en-US" w:eastAsia="zh-CN" w:bidi="ar-SA"/>
              </w:rPr>
              <w:t>原料</w:t>
            </w:r>
            <w:r>
              <w:rPr>
                <w:rFonts w:hint="eastAsia" w:ascii="Times New Roman" w:hAnsi="Times New Roman" w:eastAsia="宋体" w:cs="宋体"/>
                <w:color w:val="auto"/>
                <w:sz w:val="24"/>
                <w:szCs w:val="22"/>
                <w:lang w:val="en-US" w:eastAsia="zh-CN" w:bidi="ar-SA"/>
              </w:rPr>
              <w:t>运输量较小，平均一周运输一次，因此可忽略移动源尾气以及噪声。因此该过程主要会产生废包装材料S1。</w:t>
            </w:r>
          </w:p>
          <w:p>
            <w:pPr>
              <w:numPr>
                <w:ilvl w:val="0"/>
                <w:numId w:val="2"/>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铜、铝拉丝</w:t>
            </w:r>
          </w:p>
          <w:p>
            <w:pPr>
              <w:numPr>
                <w:ilvl w:val="0"/>
                <w:numId w:val="0"/>
              </w:numPr>
              <w:spacing w:line="360" w:lineRule="auto"/>
              <w:ind w:firstLine="480" w:firstLineChars="200"/>
              <w:rPr>
                <w:rFonts w:hint="default" w:ascii="Times New Roman" w:eastAsia="宋体"/>
                <w:lang w:val="en-US" w:eastAsia="zh-CN"/>
              </w:rPr>
            </w:pPr>
            <w:r>
              <w:rPr>
                <w:rFonts w:hint="eastAsia" w:ascii="Times New Roman" w:eastAsia="宋体"/>
                <w:lang w:val="en-US" w:eastAsia="zh-CN"/>
              </w:rPr>
              <w:t>在常温下，利用拉丝机通过一道拉伸模具的模孔，从</w:t>
            </w:r>
            <w:r>
              <w:rPr>
                <w:rFonts w:hint="eastAsia" w:ascii="Times New Roman"/>
                <w:lang w:val="en-US" w:eastAsia="zh-CN"/>
              </w:rPr>
              <w:t>铜</w:t>
            </w:r>
            <w:r>
              <w:rPr>
                <w:rFonts w:hint="eastAsia" w:ascii="Times New Roman" w:eastAsia="宋体"/>
                <w:lang w:val="en-US" w:eastAsia="zh-CN"/>
              </w:rPr>
              <w:t>（铝）</w:t>
            </w:r>
            <w:r>
              <w:rPr>
                <w:rFonts w:hint="eastAsia" w:ascii="Times New Roman"/>
                <w:lang w:val="en-US" w:eastAsia="zh-CN"/>
              </w:rPr>
              <w:t>杆</w:t>
            </w:r>
            <w:r>
              <w:rPr>
                <w:rFonts w:hint="eastAsia" w:ascii="Times New Roman" w:eastAsia="宋体"/>
                <w:lang w:val="en-US" w:eastAsia="zh-CN"/>
              </w:rPr>
              <w:t>拉至0.4~2.8mm的铜（铝）丝，使铜杆（铝）截面减小、长度增加、强度提高。主要操作要点是：将进线头轧尖，穿出第一模子35cm左右，并把模子固定在穿模机的模座上，用穿模机上的夹钳夹住线关，开动穿模机，使穿模机滚筒绕约10~15圈，用以上方法依次将所有模具穿好，并将线头绕过牵收固定在收线盘上；根据线径大小调节好收线张力，开动拉丝油及拉丝机拉动。检查成品是否符合要求，符合要求方能开机；线盘排线应整齐，收线张力易适宜，收线不得过满，离盘边不小于15mm；每盘下线要小心，不要有碰伤铜线，品字型放在指定的区位，并按要求进行完工检验。经检验合格挂上合格标签，并且做好记录。本项目使用的拉丝油，是用于铜及其合金的拉拔工艺的一种助剂。</w:t>
            </w:r>
            <w:r>
              <w:rPr>
                <w:rFonts w:hint="eastAsia" w:cs="宋体"/>
                <w:color w:val="000000"/>
                <w:highlight w:val="none"/>
                <w:lang w:val="en-US" w:eastAsia="zh-CN"/>
              </w:rPr>
              <w:t>使用时不另加水进行调配</w:t>
            </w:r>
            <w:r>
              <w:rPr>
                <w:rFonts w:hint="eastAsia" w:ascii="Times New Roman" w:eastAsia="宋体"/>
                <w:lang w:val="en-US" w:eastAsia="zh-CN"/>
              </w:rPr>
              <w:t>。在铜线拉丝中，铜线与拉丝模、导向轮之间产生摩擦，拉丝油作用主要是润滑和冷却，减少金属间的摩擦，并带走所产生的热量。拉丝油还具备着防止铜线氧化、不粘线、清洗性、无泡沫、无毒、稳定的理化性能。拉丝油在拉丝油</w:t>
            </w:r>
            <w:r>
              <w:rPr>
                <w:rFonts w:hint="eastAsia"/>
                <w:lang w:val="en-US" w:eastAsia="zh-CN"/>
              </w:rPr>
              <w:t>防渗吨箱</w:t>
            </w:r>
            <w:r>
              <w:rPr>
                <w:rFonts w:hint="eastAsia" w:ascii="Times New Roman" w:eastAsia="宋体"/>
                <w:lang w:val="en-US" w:eastAsia="zh-CN"/>
              </w:rPr>
              <w:t>内循环使用，不外排</w:t>
            </w:r>
            <w:r>
              <w:rPr>
                <w:rFonts w:hint="eastAsia"/>
                <w:lang w:val="en-US" w:eastAsia="zh-CN"/>
              </w:rPr>
              <w:t>，定期补给损耗量</w:t>
            </w:r>
            <w:r>
              <w:rPr>
                <w:rFonts w:hint="eastAsia" w:ascii="Times New Roman" w:eastAsia="宋体"/>
                <w:lang w:val="en-US" w:eastAsia="zh-CN"/>
              </w:rPr>
              <w:t>。此部分</w:t>
            </w:r>
            <w:r>
              <w:rPr>
                <w:rFonts w:hint="eastAsia"/>
                <w:lang w:val="en-US" w:eastAsia="zh-CN"/>
              </w:rPr>
              <w:t>拉丝油</w:t>
            </w:r>
            <w:r>
              <w:rPr>
                <w:rFonts w:hint="eastAsia" w:ascii="Times New Roman" w:eastAsia="宋体"/>
                <w:lang w:val="en-US" w:eastAsia="zh-CN"/>
              </w:rPr>
              <w:t>产生</w:t>
            </w:r>
            <w:r>
              <w:rPr>
                <w:rFonts w:hint="eastAsia"/>
                <w:lang w:val="en-US" w:eastAsia="zh-CN"/>
              </w:rPr>
              <w:t>拉丝有机废气G1以及</w:t>
            </w:r>
            <w:r>
              <w:rPr>
                <w:rFonts w:hint="eastAsia" w:ascii="Times New Roman" w:eastAsia="宋体"/>
                <w:lang w:val="en-US" w:eastAsia="zh-CN"/>
              </w:rPr>
              <w:t>拉丝机机械设备运行噪声N1。</w:t>
            </w:r>
          </w:p>
          <w:p>
            <w:pPr>
              <w:numPr>
                <w:ilvl w:val="0"/>
                <w:numId w:val="2"/>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退火</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电线电缆导体经过拉丝加工后，均存在硬化现象，抗拉强度和屈服强度明显增加，塑性和韧性普遍降低。因此必须进行退火处理，以消除内部应力及缺陷，使之恢复到之前的物理及机械性能。本项目导体经退火处理后，导线柔软，不易被拉断。同时导体的电阻率降低2.1%，减小了线路损耗。</w:t>
            </w:r>
          </w:p>
          <w:p>
            <w:pPr>
              <w:numPr>
                <w:ilvl w:val="0"/>
                <w:numId w:val="2"/>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绞丝</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为了提高电线电缆的柔软度，以便于敷设安装，导电线芯采取多根单丝绞合而成。从导电线芯的绞合形式上，可分为规则绞合和非规则绞合。非规则绞合又分为束绞、同心复绞、特殊绞合等。为了减少导线的占用面积、缩小电缆的几何尺寸，在绞合导体的同时采用紧压形式，使普通圆形变异为半圆、扇形、瓦形和紧压的圆形。此部分还会产生绞丝机机械设备运行噪声N2、废金属线S2。</w:t>
            </w:r>
          </w:p>
          <w:p>
            <w:pPr>
              <w:numPr>
                <w:ilvl w:val="0"/>
                <w:numId w:val="2"/>
              </w:numPr>
              <w:spacing w:line="360" w:lineRule="auto"/>
              <w:ind w:left="-2" w:leftChars="0" w:firstLine="482" w:firstLineChars="0"/>
              <w:rPr>
                <w:rFonts w:hint="eastAsia" w:ascii="Times New Roman" w:eastAsia="宋体"/>
                <w:highlight w:val="none"/>
                <w:lang w:val="en-US" w:eastAsia="zh-CN"/>
              </w:rPr>
            </w:pPr>
            <w:r>
              <w:rPr>
                <w:rFonts w:hint="eastAsia" w:ascii="Times New Roman" w:eastAsia="宋体"/>
                <w:highlight w:val="none"/>
                <w:lang w:val="en-US" w:eastAsia="zh-CN"/>
              </w:rPr>
              <w:t>挤塑</w:t>
            </w:r>
          </w:p>
          <w:p>
            <w:pPr>
              <w:numPr>
                <w:ilvl w:val="0"/>
                <w:numId w:val="0"/>
              </w:numPr>
              <w:spacing w:line="360" w:lineRule="auto"/>
              <w:ind w:firstLine="480" w:firstLineChars="200"/>
              <w:rPr>
                <w:rFonts w:hint="eastAsia" w:ascii="Times New Roman" w:eastAsia="宋体"/>
                <w:highlight w:val="yellow"/>
                <w:lang w:val="en-US" w:eastAsia="zh-CN"/>
              </w:rPr>
            </w:pPr>
            <w:r>
              <w:rPr>
                <w:rFonts w:hint="eastAsia" w:ascii="Times New Roman" w:eastAsia="宋体"/>
                <w:highlight w:val="none"/>
                <w:lang w:val="en-US" w:eastAsia="zh-CN"/>
              </w:rPr>
              <w:t>经绞制机绞制后的单丝导体或复丝，通过加入聚乙烯颗粒将金属包裹起来，采用</w:t>
            </w:r>
            <w:r>
              <w:rPr>
                <w:rFonts w:hint="eastAsia"/>
                <w:highlight w:val="none"/>
                <w:lang w:val="en-US" w:eastAsia="zh-CN"/>
              </w:rPr>
              <w:t>一层</w:t>
            </w:r>
            <w:r>
              <w:rPr>
                <w:rFonts w:hint="eastAsia" w:ascii="Times New Roman" w:eastAsia="宋体"/>
                <w:highlight w:val="none"/>
                <w:lang w:val="en-US" w:eastAsia="zh-CN"/>
              </w:rPr>
              <w:t>共挤技术，聚乙烯绝缘颗粒料经挤出机加热</w:t>
            </w:r>
            <w:r>
              <w:rPr>
                <w:rFonts w:hint="eastAsia" w:ascii="Times New Roman"/>
                <w:highlight w:val="none"/>
                <w:lang w:val="en-US" w:eastAsia="zh-CN"/>
              </w:rPr>
              <w:t>，</w:t>
            </w:r>
            <w:r>
              <w:rPr>
                <w:rFonts w:hint="eastAsia" w:ascii="Times New Roman" w:eastAsia="宋体"/>
                <w:highlight w:val="none"/>
                <w:lang w:val="en-US" w:eastAsia="zh-CN"/>
              </w:rPr>
              <w:t>导体屏蔽、绝缘、绝缘屏蔽同时挤出，包裹至导体线芯表面。挤塑会产生少量</w:t>
            </w:r>
            <w:r>
              <w:rPr>
                <w:rFonts w:hint="eastAsia"/>
                <w:highlight w:val="none"/>
                <w:lang w:val="en-US" w:eastAsia="zh-CN"/>
              </w:rPr>
              <w:t>挤塑</w:t>
            </w:r>
            <w:r>
              <w:rPr>
                <w:rFonts w:hint="eastAsia" w:ascii="Times New Roman" w:eastAsia="宋体"/>
                <w:highlight w:val="none"/>
                <w:lang w:val="en-US" w:eastAsia="zh-CN"/>
              </w:rPr>
              <w:t>废气G</w:t>
            </w:r>
            <w:r>
              <w:rPr>
                <w:rFonts w:hint="eastAsia"/>
                <w:highlight w:val="none"/>
                <w:lang w:val="en-US" w:eastAsia="zh-CN"/>
              </w:rPr>
              <w:t>2</w:t>
            </w:r>
            <w:r>
              <w:rPr>
                <w:rFonts w:hint="eastAsia" w:ascii="Times New Roman" w:eastAsia="宋体"/>
                <w:highlight w:val="none"/>
                <w:lang w:val="en-US" w:eastAsia="zh-CN"/>
              </w:rPr>
              <w:t>、废塑料S3以及挤出机设备运行噪声N3。</w:t>
            </w:r>
          </w:p>
          <w:p>
            <w:pPr>
              <w:numPr>
                <w:ilvl w:val="0"/>
                <w:numId w:val="2"/>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紫外光交联</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挤出绝缘后的半成品经紫外光交联设备进行紫外光交联，紫外光交联设备采用紫外线作为热源，将包覆在导电线芯上的绝缘层送入特制的设备中进行常温光照交联。紫外光对人体主要危害是主要是直接照射时伤害眼角膜和皮肤，此设备紫外线在设备内部，故对人体无影响。</w:t>
            </w:r>
            <w:r>
              <w:rPr>
                <w:rFonts w:hint="eastAsia"/>
                <w:lang w:val="en-US" w:eastAsia="zh-CN"/>
              </w:rPr>
              <w:t>此部分会产生交联废气G3、紫外光交联设备运行噪声N4</w:t>
            </w:r>
            <w:r>
              <w:rPr>
                <w:rFonts w:hint="eastAsia" w:ascii="Times New Roman" w:eastAsia="宋体"/>
                <w:lang w:val="en-US" w:eastAsia="zh-CN"/>
              </w:rPr>
              <w:t>。</w:t>
            </w:r>
          </w:p>
          <w:p>
            <w:pPr>
              <w:numPr>
                <w:ilvl w:val="0"/>
                <w:numId w:val="2"/>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冷却</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挤塑</w:t>
            </w:r>
            <w:r>
              <w:rPr>
                <w:rFonts w:hint="eastAsia"/>
                <w:lang w:val="en-US" w:eastAsia="zh-CN"/>
              </w:rPr>
              <w:t>、紫外光交联</w:t>
            </w:r>
            <w:r>
              <w:rPr>
                <w:rFonts w:hint="eastAsia" w:ascii="Times New Roman" w:eastAsia="宋体"/>
                <w:lang w:val="en-US" w:eastAsia="zh-CN"/>
              </w:rPr>
              <w:t>后的绝缘线芯表面温度较高，经冷却水冷却成型，冷却水W1循环使用。</w:t>
            </w:r>
          </w:p>
          <w:p>
            <w:pPr>
              <w:numPr>
                <w:ilvl w:val="0"/>
                <w:numId w:val="2"/>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成缆</w:t>
            </w:r>
          </w:p>
          <w:p>
            <w:pPr>
              <w:numPr>
                <w:ilvl w:val="0"/>
                <w:numId w:val="0"/>
              </w:numPr>
              <w:spacing w:line="360" w:lineRule="auto"/>
              <w:ind w:firstLine="480" w:firstLineChars="200"/>
              <w:rPr>
                <w:rFonts w:hint="default" w:ascii="Times New Roman" w:eastAsia="宋体"/>
                <w:lang w:val="en-US" w:eastAsia="zh-CN"/>
              </w:rPr>
            </w:pPr>
            <w:r>
              <w:rPr>
                <w:rFonts w:hint="eastAsia" w:ascii="Times New Roman" w:eastAsia="宋体"/>
                <w:lang w:val="en-US" w:eastAsia="zh-CN"/>
              </w:rPr>
              <w:t>对于多芯的电缆为了保证成型度、减小电缆的外形，一般都需要将其绞合为圆形。绞合的机理与导体绞制相仿，由于绞制节径较大，大多采用无退扭方式。成缆的技术要求：一是杜绝异型绝缘线芯翻身而导致电缆的扭弯；二是防止绝缘层被划伤。大部分电缆在成缆的同时伴随另外两个工序的完成：一个是填充，保证成缆后电缆的圆整和稳定；一个是绑扎，保证缆芯不松散。此部分产生成缆机设备运行噪声N</w:t>
            </w:r>
            <w:r>
              <w:rPr>
                <w:rFonts w:hint="eastAsia"/>
                <w:lang w:val="en-US" w:eastAsia="zh-CN"/>
              </w:rPr>
              <w:t>5</w:t>
            </w:r>
            <w:r>
              <w:rPr>
                <w:rFonts w:hint="eastAsia" w:ascii="Times New Roman" w:eastAsia="宋体"/>
                <w:lang w:val="en-US" w:eastAsia="zh-CN"/>
              </w:rPr>
              <w:t>。</w:t>
            </w:r>
          </w:p>
          <w:p>
            <w:pPr>
              <w:numPr>
                <w:ilvl w:val="0"/>
                <w:numId w:val="2"/>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挤护外套</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经成缆后的绝缘线芯，加入护套料，通过挤出机将其挤出。该过程中护套料为聚氯乙烯料，同时根据电缆需要使用低烟无卤阻料，加强耐火性能。</w:t>
            </w:r>
            <w:r>
              <w:rPr>
                <w:rFonts w:hint="eastAsia"/>
                <w:lang w:val="en-US" w:eastAsia="zh-CN"/>
              </w:rPr>
              <w:t>其中</w:t>
            </w:r>
            <w:r>
              <w:rPr>
                <w:rFonts w:hint="eastAsia" w:ascii="Times New Roman" w:hAnsi="Times New Roman" w:eastAsia="宋体" w:cs="宋体"/>
                <w:lang w:val="en-US" w:eastAsia="zh-CN"/>
              </w:rPr>
              <w:t>架空绝缘电缆</w:t>
            </w:r>
            <w:r>
              <w:rPr>
                <w:rFonts w:hint="eastAsia" w:cs="宋体"/>
                <w:lang w:val="en-US" w:eastAsia="zh-CN"/>
              </w:rPr>
              <w:t>产品仅使用</w:t>
            </w:r>
            <w:r>
              <w:rPr>
                <w:rFonts w:hint="eastAsia" w:ascii="Times New Roman" w:eastAsia="宋体"/>
                <w:lang w:val="en-US" w:eastAsia="zh-CN"/>
              </w:rPr>
              <w:t>低烟无卤阻料</w:t>
            </w:r>
            <w:r>
              <w:rPr>
                <w:rFonts w:hint="eastAsia"/>
                <w:lang w:val="en-US" w:eastAsia="zh-CN"/>
              </w:rPr>
              <w:t>，不使用聚氯乙烯料。</w:t>
            </w:r>
            <w:r>
              <w:rPr>
                <w:rFonts w:hint="eastAsia" w:ascii="Times New Roman" w:eastAsia="宋体"/>
                <w:lang w:val="en-US" w:eastAsia="zh-CN"/>
              </w:rPr>
              <w:t>此工艺中聚氯乙烯以及低烟无卤阻燃聚烯烃电缆料经过挤出机时产生少量</w:t>
            </w:r>
            <w:r>
              <w:rPr>
                <w:rFonts w:hint="eastAsia"/>
                <w:lang w:val="en-US" w:eastAsia="zh-CN"/>
              </w:rPr>
              <w:t>挤护外套</w:t>
            </w:r>
            <w:r>
              <w:rPr>
                <w:rFonts w:hint="eastAsia" w:ascii="Times New Roman" w:eastAsia="宋体"/>
                <w:lang w:val="en-US" w:eastAsia="zh-CN"/>
              </w:rPr>
              <w:t>废气G</w:t>
            </w:r>
            <w:r>
              <w:rPr>
                <w:rFonts w:hint="eastAsia"/>
                <w:lang w:val="en-US" w:eastAsia="zh-CN"/>
              </w:rPr>
              <w:t>4</w:t>
            </w:r>
            <w:r>
              <w:rPr>
                <w:rFonts w:hint="eastAsia" w:ascii="Times New Roman" w:eastAsia="宋体"/>
                <w:lang w:val="en-US" w:eastAsia="zh-CN"/>
              </w:rPr>
              <w:t>、废塑料S3以及挤出机设备运行噪声N3。</w:t>
            </w:r>
          </w:p>
          <w:p>
            <w:pPr>
              <w:numPr>
                <w:ilvl w:val="0"/>
                <w:numId w:val="2"/>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冷却</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挤护外套后的绝缘线芯表面温度较高，经循环冷却水冷却成型，冷却水W1循环使用。</w:t>
            </w:r>
          </w:p>
          <w:p>
            <w:pPr>
              <w:numPr>
                <w:ilvl w:val="0"/>
                <w:numId w:val="2"/>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检验和喷码</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成品电线电缆送至耐压试验区，按照产品相关标准，依次检验长度、圆整度、直径、护套厚度、导体单丝直径、绝缘厚度、电导率、耐压等级。符合出厂标准后均在车间内进行标识喷码，此部分会产生喷码有机废气G</w:t>
            </w:r>
            <w:r>
              <w:rPr>
                <w:rFonts w:hint="eastAsia"/>
                <w:lang w:val="en-US" w:eastAsia="zh-CN"/>
              </w:rPr>
              <w:t>5</w:t>
            </w:r>
            <w:r>
              <w:rPr>
                <w:rFonts w:hint="eastAsia" w:ascii="Times New Roman" w:eastAsia="宋体"/>
                <w:lang w:val="en-US" w:eastAsia="zh-CN"/>
              </w:rPr>
              <w:t>、不合格品S4、废油墨盒S5、喷码机设备运行噪声N</w:t>
            </w:r>
            <w:r>
              <w:rPr>
                <w:rFonts w:hint="eastAsia"/>
                <w:lang w:val="en-US" w:eastAsia="zh-CN"/>
              </w:rPr>
              <w:t>6</w:t>
            </w:r>
            <w:r>
              <w:rPr>
                <w:rFonts w:hint="eastAsia" w:ascii="Times New Roman" w:eastAsia="宋体"/>
                <w:lang w:val="en-US" w:eastAsia="zh-CN"/>
              </w:rPr>
              <w:t>。</w:t>
            </w:r>
          </w:p>
          <w:p>
            <w:pPr>
              <w:numPr>
                <w:ilvl w:val="0"/>
                <w:numId w:val="0"/>
              </w:numPr>
              <w:spacing w:line="360" w:lineRule="auto"/>
              <w:ind w:firstLine="480" w:firstLineChars="200"/>
              <w:rPr>
                <w:rFonts w:hint="default" w:ascii="Times New Roman" w:hAnsi="Times New Roman" w:eastAsia="宋体" w:cs="宋体"/>
                <w:lang w:val="en-US" w:eastAsia="zh-CN"/>
              </w:rPr>
            </w:pPr>
            <w:r>
              <w:rPr>
                <w:rFonts w:hint="eastAsia" w:cs="宋体"/>
                <w:lang w:val="en-US" w:eastAsia="zh-CN"/>
              </w:rPr>
              <w:t>拉丝、</w:t>
            </w:r>
            <w:r>
              <w:rPr>
                <w:rFonts w:hint="eastAsia" w:ascii="Times New Roman" w:hAnsi="Times New Roman" w:eastAsia="宋体" w:cs="宋体"/>
                <w:lang w:val="en-US" w:eastAsia="zh-CN"/>
              </w:rPr>
              <w:t>挤塑</w:t>
            </w:r>
            <w:r>
              <w:rPr>
                <w:rFonts w:hint="eastAsia" w:cs="宋体"/>
                <w:lang w:val="en-US" w:eastAsia="zh-CN"/>
              </w:rPr>
              <w:t>、紫外光交联</w:t>
            </w:r>
            <w:r>
              <w:rPr>
                <w:rFonts w:hint="eastAsia" w:ascii="Times New Roman" w:hAnsi="Times New Roman" w:eastAsia="宋体" w:cs="宋体"/>
                <w:lang w:val="en-US" w:eastAsia="zh-CN"/>
              </w:rPr>
              <w:t>、挤护外套、喷码工段废气设置一套</w:t>
            </w:r>
            <w:r>
              <w:rPr>
                <w:rFonts w:hint="eastAsia" w:cs="宋体"/>
                <w:lang w:val="en-US" w:eastAsia="zh-CN"/>
              </w:rPr>
              <w:t>水洗填料塔+</w:t>
            </w:r>
            <w:r>
              <w:rPr>
                <w:rFonts w:hint="eastAsia" w:ascii="Times New Roman" w:hAnsi="Times New Roman" w:eastAsia="宋体" w:cs="宋体"/>
                <w:lang w:val="en-US" w:eastAsia="zh-CN"/>
              </w:rPr>
              <w:t>活性炭吸附+脱附+催化燃烧进行处置，处置后经20m排气筒排放，此部分产生风机设备运行噪声N7、废活性炭S6、废催化剂S7</w:t>
            </w:r>
            <w:r>
              <w:rPr>
                <w:rFonts w:hint="eastAsia" w:cs="宋体"/>
                <w:lang w:val="en-US" w:eastAsia="zh-CN"/>
              </w:rPr>
              <w:t>、废盐酸S8、废填料S9</w:t>
            </w:r>
            <w:r>
              <w:rPr>
                <w:rFonts w:hint="eastAsia" w:ascii="Times New Roman" w:hAnsi="Times New Roman" w:eastAsia="宋体" w:cs="宋体"/>
                <w:lang w:val="en-US" w:eastAsia="zh-CN"/>
              </w:rPr>
              <w:t>。</w:t>
            </w:r>
          </w:p>
          <w:p>
            <w:pPr>
              <w:numPr>
                <w:ilvl w:val="0"/>
                <w:numId w:val="2"/>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成缆</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绝缘线经管绞机成缆后收线至工装轮上。成缆对于多芯的电缆为了保证成型度、减小电缆的外形，一般都需要将其绞合为圆形。此部分产生成缆机设备运行噪声N</w:t>
            </w:r>
            <w:r>
              <w:rPr>
                <w:rFonts w:hint="eastAsia"/>
                <w:lang w:val="en-US" w:eastAsia="zh-CN"/>
              </w:rPr>
              <w:t>5</w:t>
            </w:r>
            <w:r>
              <w:rPr>
                <w:rFonts w:hint="eastAsia" w:ascii="Times New Roman" w:eastAsia="宋体"/>
                <w:lang w:val="en-US" w:eastAsia="zh-CN"/>
              </w:rPr>
              <w:t>。</w:t>
            </w:r>
          </w:p>
          <w:p>
            <w:pPr>
              <w:numPr>
                <w:ilvl w:val="0"/>
                <w:numId w:val="2"/>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包装成品</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电缆加工完成后按照相应长度包装，此过程产生部分废包装材料S1。</w:t>
            </w: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r>
              <w:rPr>
                <w:sz w:val="24"/>
              </w:rPr>
              <mc:AlternateContent>
                <mc:Choice Requires="wpg">
                  <w:drawing>
                    <wp:anchor distT="0" distB="0" distL="114300" distR="114300" simplePos="0" relativeHeight="251670528" behindDoc="0" locked="0" layoutInCell="1" allowOverlap="1">
                      <wp:simplePos x="0" y="0"/>
                      <wp:positionH relativeFrom="column">
                        <wp:posOffset>129540</wp:posOffset>
                      </wp:positionH>
                      <wp:positionV relativeFrom="paragraph">
                        <wp:posOffset>173990</wp:posOffset>
                      </wp:positionV>
                      <wp:extent cx="5236210" cy="48116490"/>
                      <wp:effectExtent l="94615" t="0" r="3175" b="3810"/>
                      <wp:wrapNone/>
                      <wp:docPr id="75" name="组合 75"/>
                      <wp:cNvGraphicFramePr/>
                      <a:graphic xmlns:a="http://schemas.openxmlformats.org/drawingml/2006/main">
                        <a:graphicData uri="http://schemas.microsoft.com/office/word/2010/wordprocessingGroup">
                          <wpg:wgp>
                            <wpg:cNvGrpSpPr/>
                            <wpg:grpSpPr>
                              <a:xfrm>
                                <a:off x="0" y="0"/>
                                <a:ext cx="5236210" cy="48116490"/>
                                <a:chOff x="6147" y="635484"/>
                                <a:chExt cx="8246" cy="75774"/>
                              </a:xfrm>
                            </wpg:grpSpPr>
                            <wpg:grpSp>
                              <wpg:cNvPr id="49" name="组合 49"/>
                              <wpg:cNvGrpSpPr/>
                              <wpg:grpSpPr>
                                <a:xfrm>
                                  <a:off x="6147" y="635484"/>
                                  <a:ext cx="8247" cy="75775"/>
                                  <a:chOff x="6147" y="584121"/>
                                  <a:chExt cx="8247" cy="75775"/>
                                </a:xfrm>
                              </wpg:grpSpPr>
                              <wpg:grpSp>
                                <wpg:cNvPr id="379" name="组合 379"/>
                                <wpg:cNvGrpSpPr/>
                                <wpg:grpSpPr>
                                  <a:xfrm>
                                    <a:off x="6147" y="584121"/>
                                    <a:ext cx="8247" cy="75775"/>
                                    <a:chOff x="5248" y="549879"/>
                                    <a:chExt cx="8247" cy="75775"/>
                                  </a:xfrm>
                                </wpg:grpSpPr>
                                <wps:wsp>
                                  <wps:cNvPr id="299" name="肘形连接符 299"/>
                                  <wps:cNvCnPr>
                                    <a:stCxn id="145" idx="1"/>
                                    <a:endCxn id="56" idx="0"/>
                                  </wps:cNvCnPr>
                                  <wps:spPr>
                                    <a:xfrm rot="10800000" flipV="1">
                                      <a:off x="6779" y="550930"/>
                                      <a:ext cx="1203" cy="3574"/>
                                    </a:xfrm>
                                    <a:prstGeom prst="bentConnector2">
                                      <a:avLst/>
                                    </a:prstGeom>
                                    <a:noFill/>
                                    <a:ln w="12700" cap="flat" cmpd="sng" algn="ctr">
                                      <a:solidFill>
                                        <a:sysClr val="windowText" lastClr="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g:grpSp>
                                  <wpg:cNvPr id="38" name="组合 38"/>
                                  <wpg:cNvGrpSpPr/>
                                  <wpg:grpSpPr>
                                    <a:xfrm>
                                      <a:off x="5248" y="549879"/>
                                      <a:ext cx="8247" cy="75775"/>
                                      <a:chOff x="5180" y="566888"/>
                                      <a:chExt cx="8247" cy="75775"/>
                                    </a:xfrm>
                                  </wpg:grpSpPr>
                                  <wpg:grpSp>
                                    <wpg:cNvPr id="23" name="组合 23"/>
                                    <wpg:cNvGrpSpPr/>
                                    <wpg:grpSpPr>
                                      <a:xfrm>
                                        <a:off x="5180" y="566888"/>
                                        <a:ext cx="8247" cy="75775"/>
                                        <a:chOff x="5221" y="550247"/>
                                        <a:chExt cx="8247" cy="75778"/>
                                      </a:xfrm>
                                    </wpg:grpSpPr>
                                    <wpg:grpSp>
                                      <wpg:cNvPr id="33" name="组合 33"/>
                                      <wpg:cNvGrpSpPr/>
                                      <wpg:grpSpPr>
                                        <a:xfrm>
                                          <a:off x="5221" y="550247"/>
                                          <a:ext cx="8247" cy="75778"/>
                                          <a:chOff x="6150" y="602574"/>
                                          <a:chExt cx="8247" cy="76268"/>
                                        </a:xfrm>
                                      </wpg:grpSpPr>
                                      <wpg:grpSp>
                                        <wpg:cNvPr id="34" name="组合 51"/>
                                        <wpg:cNvGrpSpPr/>
                                        <wpg:grpSpPr>
                                          <a:xfrm>
                                            <a:off x="6150" y="602574"/>
                                            <a:ext cx="8247" cy="76268"/>
                                            <a:chOff x="6150" y="602574"/>
                                            <a:chExt cx="8247" cy="76268"/>
                                          </a:xfrm>
                                        </wpg:grpSpPr>
                                        <wpg:grpSp>
                                          <wpg:cNvPr id="35" name="组合 330"/>
                                          <wpg:cNvGrpSpPr/>
                                          <wpg:grpSpPr>
                                            <a:xfrm>
                                              <a:off x="6150" y="602574"/>
                                              <a:ext cx="6420" cy="76268"/>
                                              <a:chOff x="6150" y="534090"/>
                                              <a:chExt cx="6420" cy="76268"/>
                                            </a:xfrm>
                                          </wpg:grpSpPr>
                                          <wpg:grpSp>
                                            <wpg:cNvPr id="41" name="组合 328"/>
                                            <wpg:cNvGrpSpPr/>
                                            <wpg:grpSpPr>
                                              <a:xfrm>
                                                <a:off x="6936" y="534090"/>
                                                <a:ext cx="5634" cy="76268"/>
                                                <a:chOff x="6932" y="534090"/>
                                                <a:chExt cx="5756" cy="78914"/>
                                              </a:xfrm>
                                            </wpg:grpSpPr>
                                            <wps:wsp>
                                              <wps:cNvPr id="320" name="文本框 30"/>
                                              <wps:cNvSpPr txBox="1"/>
                                              <wps:spPr>
                                                <a:xfrm>
                                                  <a:off x="10149" y="541196"/>
                                                  <a:ext cx="1464" cy="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N</w:t>
                                                    </w:r>
                                                    <w:r>
                                                      <w:rPr>
                                                        <w:rFonts w:hint="eastAsia" w:cs="宋体"/>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1" name="直接箭头连接符 321"/>
                                              <wps:cNvCnPr/>
                                              <wps:spPr>
                                                <a:xfrm flipV="1">
                                                  <a:off x="9739" y="541468"/>
                                                  <a:ext cx="376" cy="203"/>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cNvPr id="46" name="组合 327"/>
                                              <wpg:cNvGrpSpPr/>
                                              <wpg:grpSpPr>
                                                <a:xfrm>
                                                  <a:off x="6932" y="534090"/>
                                                  <a:ext cx="5756" cy="78914"/>
                                                  <a:chOff x="6932" y="534090"/>
                                                  <a:chExt cx="5756" cy="78914"/>
                                                </a:xfrm>
                                              </wpg:grpSpPr>
                                              <wps:wsp>
                                                <wps:cNvPr id="322" name="文本框 30"/>
                                                <wps:cNvSpPr txBox="1"/>
                                                <wps:spPr>
                                                  <a:xfrm>
                                                    <a:off x="10133" y="542042"/>
                                                    <a:ext cx="1673" cy="4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4</w:t>
                                                      </w:r>
                                                      <w:r>
                                                        <w:rPr>
                                                          <w:rFonts w:hint="eastAsia" w:ascii="Times New Roman" w:hAnsi="Times New Roman" w:eastAsia="宋体" w:cs="宋体"/>
                                                          <w:lang w:val="en-US" w:eastAsia="zh-CN"/>
                                                        </w:rPr>
                                                        <w:t>、S</w:t>
                                                      </w:r>
                                                      <w:r>
                                                        <w:rPr>
                                                          <w:rFonts w:hint="eastAsia" w:cs="宋体"/>
                                                          <w:lang w:val="en-US" w:eastAsia="zh-CN"/>
                                                        </w:rPr>
                                                        <w:t>3</w:t>
                                                      </w:r>
                                                      <w:r>
                                                        <w:rPr>
                                                          <w:rFonts w:hint="eastAsia" w:ascii="Times New Roman" w:hAnsi="Times New Roman" w:eastAsia="宋体" w:cs="宋体"/>
                                                          <w:lang w:val="en-US" w:eastAsia="zh-CN"/>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3" name="直接箭头连接符 323"/>
                                                <wps:cNvCnPr/>
                                                <wps:spPr>
                                                  <a:xfrm flipV="1">
                                                    <a:off x="9722" y="542342"/>
                                                    <a:ext cx="376" cy="203"/>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cNvPr id="48" name="组合 326"/>
                                                <wpg:cNvGrpSpPr/>
                                                <wpg:grpSpPr>
                                                  <a:xfrm>
                                                    <a:off x="6932" y="534090"/>
                                                    <a:ext cx="5756" cy="78914"/>
                                                    <a:chOff x="6932" y="534090"/>
                                                    <a:chExt cx="5756" cy="78914"/>
                                                  </a:xfrm>
                                                </wpg:grpSpPr>
                                                <wps:wsp>
                                                  <wps:cNvPr id="324" name="文本框 30"/>
                                                  <wps:cNvSpPr txBox="1"/>
                                                  <wps:spPr>
                                                    <a:xfrm>
                                                      <a:off x="10188" y="545928"/>
                                                      <a:ext cx="1463" cy="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S1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50" name="组合 319"/>
                                                  <wpg:cNvGrpSpPr/>
                                                  <wpg:grpSpPr>
                                                    <a:xfrm>
                                                      <a:off x="6932" y="534090"/>
                                                      <a:ext cx="5756" cy="78914"/>
                                                      <a:chOff x="6542" y="534032"/>
                                                      <a:chExt cx="6262" cy="82135"/>
                                                    </a:xfrm>
                                                  </wpg:grpSpPr>
                                                  <wpg:grpSp>
                                                    <wpg:cNvPr id="53" name="组合 316"/>
                                                    <wpg:cNvGrpSpPr/>
                                                    <wpg:grpSpPr>
                                                      <a:xfrm>
                                                        <a:off x="6542" y="534032"/>
                                                        <a:ext cx="6262" cy="82135"/>
                                                        <a:chOff x="6482" y="534422"/>
                                                        <a:chExt cx="6262" cy="82135"/>
                                                      </a:xfrm>
                                                    </wpg:grpSpPr>
                                                    <wpg:grpSp>
                                                      <wpg:cNvPr id="55" name="组合 168"/>
                                                      <wpg:cNvGrpSpPr/>
                                                      <wpg:grpSpPr>
                                                        <a:xfrm>
                                                          <a:off x="6482" y="534422"/>
                                                          <a:ext cx="6262" cy="82135"/>
                                                          <a:chOff x="6694" y="500895"/>
                                                          <a:chExt cx="6262" cy="82135"/>
                                                        </a:xfrm>
                                                      </wpg:grpSpPr>
                                                      <wps:wsp>
                                                        <wps:cNvPr id="289" name="文本框 30"/>
                                                        <wps:cNvSpPr txBox="1"/>
                                                        <wps:spPr>
                                                          <a:xfrm>
                                                            <a:off x="10158" y="506512"/>
                                                            <a:ext cx="1592" cy="4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cs="宋体"/>
                                                                  <w:lang w:val="en-US" w:eastAsia="zh-CN"/>
                                                                </w:rPr>
                                                                <w:t>G3、N4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12"/>
                                                        <wps:cNvSpPr txBox="1"/>
                                                        <wps:spPr>
                                                          <a:xfrm>
                                                            <a:off x="6694" y="505908"/>
                                                            <a:ext cx="1656" cy="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聚乙烯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1" name="直接箭头连接符 13"/>
                                                        <wps:cNvCnPr/>
                                                        <wps:spPr>
                                                          <a:xfrm>
                                                            <a:off x="8325" y="506247"/>
                                                            <a:ext cx="644" cy="15"/>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2" name="文本框 14"/>
                                                        <wps:cNvSpPr txBox="1"/>
                                                        <wps:spPr>
                                                          <a:xfrm>
                                                            <a:off x="10093" y="504419"/>
                                                            <a:ext cx="1577" cy="4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N</w:t>
                                                              </w:r>
                                                              <w:r>
                                                                <w:rPr>
                                                                  <w:rFonts w:hint="eastAsia" w:cs="宋体"/>
                                                                  <w:lang w:val="en-US" w:eastAsia="zh-CN"/>
                                                                </w:rPr>
                                                                <w:t>2、S2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直接箭头连接符 35"/>
                                                        <wps:cNvCnPr/>
                                                        <wps:spPr>
                                                          <a:xfrm flipH="1">
                                                            <a:off x="9665" y="508319"/>
                                                            <a:ext cx="4" cy="48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3" name="文本框 38"/>
                                                        <wps:cNvSpPr txBox="1"/>
                                                        <wps:spPr>
                                                          <a:xfrm>
                                                            <a:off x="11210" y="513592"/>
                                                            <a:ext cx="1746"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文本框 143"/>
                                                        <wps:cNvSpPr txBox="1"/>
                                                        <wps:spPr>
                                                          <a:xfrm>
                                                            <a:off x="6891" y="500895"/>
                                                            <a:ext cx="5664" cy="5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铜丝、铝丝</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文本框 144"/>
                                                        <wps:cNvSpPr txBox="1"/>
                                                        <wps:spPr>
                                                          <a:xfrm>
                                                            <a:off x="10105" y="501296"/>
                                                            <a:ext cx="2147" cy="4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cs="宋体"/>
                                                                  <w:lang w:val="en-US" w:eastAsia="zh-CN"/>
                                                                </w:rPr>
                                                                <w:t>S1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文本框 7"/>
                                                        <wps:cNvSpPr txBox="1"/>
                                                        <wps:spPr>
                                                          <a:xfrm>
                                                            <a:off x="8859" y="501768"/>
                                                            <a:ext cx="1703"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原料堆放区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直接箭头连接符 146"/>
                                                        <wps:cNvCnPr/>
                                                        <wps:spPr>
                                                          <a:xfrm>
                                                            <a:off x="9693" y="501337"/>
                                                            <a:ext cx="6"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47" name="直接箭头连接符 147"/>
                                                        <wps:cNvCnPr/>
                                                        <wps:spPr>
                                                          <a:xfrm flipV="1">
                                                            <a:off x="9757" y="501527"/>
                                                            <a:ext cx="409" cy="212"/>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48" name="直接箭头连接符 148"/>
                                                        <wps:cNvCnPr>
                                                          <a:endCxn id="90" idx="0"/>
                                                        </wps:cNvCnPr>
                                                        <wps:spPr>
                                                          <a:xfrm>
                                                            <a:off x="6759" y="582442"/>
                                                            <a:ext cx="13" cy="588"/>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49" name="直接箭头连接符 149"/>
                                                        <wps:cNvCnPr/>
                                                        <wps:spPr>
                                                          <a:xfrm>
                                                            <a:off x="9633" y="503437"/>
                                                            <a:ext cx="6"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4" name="直接箭头连接符 150"/>
                                                        <wps:cNvCnPr/>
                                                        <wps:spPr>
                                                          <a:xfrm>
                                                            <a:off x="9648" y="504457"/>
                                                            <a:ext cx="6"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5" name="直接箭头连接符 151"/>
                                                        <wps:cNvCnPr/>
                                                        <wps:spPr>
                                                          <a:xfrm>
                                                            <a:off x="9648" y="505507"/>
                                                            <a:ext cx="6"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52" name="直接箭头连接符 152"/>
                                                        <wps:cNvCnPr/>
                                                        <wps:spPr>
                                                          <a:xfrm>
                                                            <a:off x="9663" y="506527"/>
                                                            <a:ext cx="6"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53" name="直接箭头连接符 153"/>
                                                        <wps:cNvCnPr/>
                                                        <wps:spPr>
                                                          <a:xfrm flipV="1">
                                                            <a:off x="9757" y="502622"/>
                                                            <a:ext cx="409" cy="212"/>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54" name="直接箭头连接符 154"/>
                                                        <wps:cNvCnPr/>
                                                        <wps:spPr>
                                                          <a:xfrm flipV="1">
                                                            <a:off x="9712" y="504722"/>
                                                            <a:ext cx="409" cy="212"/>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55" name="直接箭头连接符 155"/>
                                                        <wps:cNvCnPr/>
                                                        <wps:spPr>
                                                          <a:xfrm flipV="1">
                                                            <a:off x="9697" y="505697"/>
                                                            <a:ext cx="409" cy="212"/>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56" name="文本框 156"/>
                                                        <wps:cNvSpPr txBox="1"/>
                                                        <wps:spPr>
                                                          <a:xfrm>
                                                            <a:off x="10108" y="505501"/>
                                                            <a:ext cx="2279" cy="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2</w:t>
                                                              </w:r>
                                                              <w:r>
                                                                <w:rPr>
                                                                  <w:rFonts w:hint="eastAsia" w:ascii="Times New Roman" w:hAnsi="Times New Roman" w:eastAsia="宋体" w:cs="宋体"/>
                                                                  <w:lang w:val="en-US" w:eastAsia="zh-CN"/>
                                                                </w:rPr>
                                                                <w:t>、S</w:t>
                                                              </w:r>
                                                              <w:r>
                                                                <w:rPr>
                                                                  <w:rFonts w:hint="eastAsia" w:cs="宋体"/>
                                                                  <w:lang w:val="en-US" w:eastAsia="zh-CN"/>
                                                                </w:rPr>
                                                                <w:t>3、N3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直接箭头连接符 158"/>
                                                        <wps:cNvCnPr/>
                                                        <wps:spPr>
                                                          <a:xfrm flipV="1">
                                                            <a:off x="9712" y="506747"/>
                                                            <a:ext cx="409" cy="212"/>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59" name="文本框 159"/>
                                                        <wps:cNvSpPr txBox="1"/>
                                                        <wps:spPr>
                                                          <a:xfrm>
                                                            <a:off x="8997" y="502915"/>
                                                            <a:ext cx="1387"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拉丝</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6" name="文本框 160"/>
                                                        <wps:cNvSpPr txBox="1"/>
                                                        <wps:spPr>
                                                          <a:xfrm>
                                                            <a:off x="9022" y="503896"/>
                                                            <a:ext cx="1403"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退火</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1" name="文本框 161"/>
                                                        <wps:cNvSpPr txBox="1"/>
                                                        <wps:spPr>
                                                          <a:xfrm>
                                                            <a:off x="9016" y="504902"/>
                                                            <a:ext cx="1388"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绞丝</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文本框 162"/>
                                                        <wps:cNvSpPr txBox="1"/>
                                                        <wps:spPr>
                                                          <a:xfrm>
                                                            <a:off x="8956" y="505972"/>
                                                            <a:ext cx="1388"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挤塑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7" name="文本框 163"/>
                                                        <wps:cNvSpPr txBox="1"/>
                                                        <wps:spPr>
                                                          <a:xfrm>
                                                            <a:off x="8837" y="506964"/>
                                                            <a:ext cx="1703"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紫外光交联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8" name="文本框 165"/>
                                                        <wps:cNvSpPr txBox="1"/>
                                                        <wps:spPr>
                                                          <a:xfrm>
                                                            <a:off x="10138" y="502381"/>
                                                            <a:ext cx="2655" cy="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cs="宋体"/>
                                                                  <w:lang w:val="en-US" w:eastAsia="zh-CN"/>
                                                                </w:rPr>
                                                                <w:t>G1、N1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直接箭头连接符 167"/>
                                                        <wps:cNvCnPr>
                                                          <a:stCxn id="318" idx="3"/>
                                                          <a:endCxn id="293" idx="1"/>
                                                        </wps:cNvCnPr>
                                                        <wps:spPr>
                                                          <a:xfrm flipV="1">
                                                            <a:off x="10404" y="513858"/>
                                                            <a:ext cx="806" cy="24"/>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grpSp>
                                                      <wpg:cNvPr id="58" name="组合 315"/>
                                                      <wpg:cNvGrpSpPr/>
                                                      <wpg:grpSpPr>
                                                        <a:xfrm>
                                                          <a:off x="8654" y="542280"/>
                                                          <a:ext cx="3612" cy="4475"/>
                                                          <a:chOff x="8834" y="537495"/>
                                                          <a:chExt cx="3612" cy="4475"/>
                                                        </a:xfrm>
                                                      </wpg:grpSpPr>
                                                      <wps:wsp>
                                                        <wps:cNvPr id="300" name="文本框 30"/>
                                                        <wps:cNvSpPr txBox="1"/>
                                                        <wps:spPr>
                                                          <a:xfrm>
                                                            <a:off x="10156" y="540959"/>
                                                            <a:ext cx="1592" cy="4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N</w:t>
                                                              </w:r>
                                                              <w:r>
                                                                <w:rPr>
                                                                  <w:rFonts w:hint="eastAsia" w:cs="宋体"/>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1" name="文本框 14"/>
                                                        <wps:cNvSpPr txBox="1"/>
                                                        <wps:spPr>
                                                          <a:xfrm>
                                                            <a:off x="10014" y="538928"/>
                                                            <a:ext cx="1577" cy="4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W1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2" name="直接箭头连接符 302"/>
                                                        <wps:cNvCnPr/>
                                                        <wps:spPr>
                                                          <a:xfrm>
                                                            <a:off x="9646" y="537958"/>
                                                            <a:ext cx="8" cy="442"/>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03" name="直接箭头连接符 150"/>
                                                        <wps:cNvCnPr/>
                                                        <wps:spPr>
                                                          <a:xfrm>
                                                            <a:off x="9570" y="538963"/>
                                                            <a:ext cx="6"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04" name="直接箭头连接符 151"/>
                                                        <wps:cNvCnPr/>
                                                        <wps:spPr>
                                                          <a:xfrm>
                                                            <a:off x="9570" y="540013"/>
                                                            <a:ext cx="6"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05" name="直接箭头连接符 305"/>
                                                        <wps:cNvCnPr/>
                                                        <wps:spPr>
                                                          <a:xfrm>
                                                            <a:off x="9661" y="541000"/>
                                                            <a:ext cx="7"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06" name="直接箭头连接符 306"/>
                                                        <wps:cNvCnPr/>
                                                        <wps:spPr>
                                                          <a:xfrm flipV="1">
                                                            <a:off x="9633" y="539229"/>
                                                            <a:ext cx="409" cy="211"/>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07" name="直接箭头连接符 307"/>
                                                        <wps:cNvCnPr/>
                                                        <wps:spPr>
                                                          <a:xfrm flipV="1">
                                                            <a:off x="9618" y="540203"/>
                                                            <a:ext cx="409" cy="212"/>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08" name="文本框 308"/>
                                                        <wps:cNvSpPr txBox="1"/>
                                                        <wps:spPr>
                                                          <a:xfrm>
                                                            <a:off x="10030" y="539947"/>
                                                            <a:ext cx="2416" cy="4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5</w:t>
                                                              </w:r>
                                                              <w:r>
                                                                <w:rPr>
                                                                  <w:rFonts w:hint="eastAsia" w:ascii="Times New Roman" w:hAnsi="Times New Roman" w:eastAsia="宋体" w:cs="宋体"/>
                                                                  <w:lang w:val="en-US" w:eastAsia="zh-CN"/>
                                                                </w:rPr>
                                                                <w:t>、N</w:t>
                                                              </w:r>
                                                              <w:r>
                                                                <w:rPr>
                                                                  <w:rFonts w:hint="eastAsia" w:cs="宋体"/>
                                                                  <w:lang w:val="en-US" w:eastAsia="zh-CN"/>
                                                                </w:rPr>
                                                                <w:t>6、S4、S5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9" name="直接箭头连接符 309"/>
                                                        <wps:cNvCnPr/>
                                                        <wps:spPr>
                                                          <a:xfrm flipV="1">
                                                            <a:off x="9710" y="541221"/>
                                                            <a:ext cx="409" cy="213"/>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10" name="文本框 310"/>
                                                        <wps:cNvSpPr txBox="1"/>
                                                        <wps:spPr>
                                                          <a:xfrm>
                                                            <a:off x="8979" y="537495"/>
                                                            <a:ext cx="1387" cy="5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成缆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1" name="文本框 160"/>
                                                        <wps:cNvSpPr txBox="1"/>
                                                        <wps:spPr>
                                                          <a:xfrm>
                                                            <a:off x="9036" y="538418"/>
                                                            <a:ext cx="1403" cy="5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挤护外套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2" name="文本框 312"/>
                                                        <wps:cNvSpPr txBox="1"/>
                                                        <wps:spPr>
                                                          <a:xfrm>
                                                            <a:off x="8939" y="539409"/>
                                                            <a:ext cx="1342" cy="5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冷却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3" name="文本框 313"/>
                                                        <wps:cNvSpPr txBox="1"/>
                                                        <wps:spPr>
                                                          <a:xfrm>
                                                            <a:off x="8834" y="540478"/>
                                                            <a:ext cx="1668"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检验和喷码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4" name="文本框 163"/>
                                                        <wps:cNvSpPr txBox="1"/>
                                                        <wps:spPr>
                                                          <a:xfrm>
                                                            <a:off x="8984" y="541438"/>
                                                            <a:ext cx="1388"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成缆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317" name="直接箭头连接符 317"/>
                                                    <wps:cNvCnPr/>
                                                    <wps:spPr>
                                                      <a:xfrm>
                                                        <a:off x="9541" y="546315"/>
                                                        <a:ext cx="7"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18" name="文本框 163"/>
                                                    <wps:cNvSpPr txBox="1"/>
                                                    <wps:spPr>
                                                      <a:xfrm>
                                                        <a:off x="8864" y="546751"/>
                                                        <a:ext cx="1388"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25" name="直接箭头连接符 325"/>
                                                  <wps:cNvCnPr/>
                                                  <wps:spPr>
                                                    <a:xfrm flipV="1">
                                                      <a:off x="9779" y="546154"/>
                                                      <a:ext cx="376" cy="202"/>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grpSp>
                                          </wpg:grpSp>
                                          <wps:wsp>
                                            <wps:cNvPr id="329" name="文本框 329"/>
                                            <wps:cNvSpPr txBox="1"/>
                                            <wps:spPr>
                                              <a:xfrm>
                                                <a:off x="6150" y="543370"/>
                                                <a:ext cx="2055" cy="23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图例：</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废气：G</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废水：W</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噪声：N</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固废：S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9" name="组合 49"/>
                                          <wpg:cNvGrpSpPr/>
                                          <wpg:grpSpPr>
                                            <a:xfrm>
                                              <a:off x="10220" y="605387"/>
                                              <a:ext cx="4177" cy="7505"/>
                                              <a:chOff x="10220" y="605387"/>
                                              <a:chExt cx="4177" cy="7505"/>
                                            </a:xfrm>
                                          </wpg:grpSpPr>
                                          <wps:wsp>
                                            <wps:cNvPr id="60" name="直接箭头连接符 20"/>
                                            <wps:cNvCnPr>
                                              <a:stCxn id="162" idx="3"/>
                                              <a:endCxn id="62" idx="1"/>
                                            </wps:cNvCnPr>
                                            <wps:spPr>
                                              <a:xfrm>
                                                <a:off x="10220" y="607537"/>
                                                <a:ext cx="1927" cy="3"/>
                                              </a:xfrm>
                                              <a:prstGeom prst="straightConnector1">
                                                <a:avLst/>
                                              </a:prstGeom>
                                              <a:noFill/>
                                              <a:ln w="12700" cap="flat" cmpd="sng" algn="ctr">
                                                <a:solidFill>
                                                  <a:sysClr val="windowText" lastClr="000000"/>
                                                </a:solidFill>
                                                <a:prstDash val="sysDot"/>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61" name="肘形连接符 27"/>
                                            <wps:cNvCnPr>
                                              <a:stCxn id="311" idx="3"/>
                                              <a:endCxn id="62" idx="2"/>
                                            </wps:cNvCnPr>
                                            <wps:spPr>
                                              <a:xfrm flipV="1">
                                                <a:off x="10334" y="608100"/>
                                                <a:ext cx="2932" cy="2892"/>
                                              </a:xfrm>
                                              <a:prstGeom prst="bentConnector2">
                                                <a:avLst/>
                                              </a:prstGeom>
                                              <a:noFill/>
                                              <a:ln w="12700" cap="flat" cmpd="sng" algn="ctr">
                                                <a:solidFill>
                                                  <a:sysClr val="windowText" lastClr="000000"/>
                                                </a:solidFill>
                                                <a:prstDash val="sysDot"/>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62" name="文本框 163"/>
                                            <wps:cNvSpPr txBox="1"/>
                                            <wps:spPr>
                                              <a:xfrm>
                                                <a:off x="12147" y="606979"/>
                                                <a:ext cx="2238" cy="11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水洗填料塔+活性炭吸附+脱附+催化燃烧20m排气筒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肘形连接符 29"/>
                                            <wps:cNvCnPr>
                                              <a:stCxn id="313" idx="3"/>
                                              <a:endCxn id="62" idx="2"/>
                                            </wps:cNvCnPr>
                                            <wps:spPr>
                                              <a:xfrm flipV="1">
                                                <a:off x="10391" y="608100"/>
                                                <a:ext cx="2875" cy="4792"/>
                                              </a:xfrm>
                                              <a:prstGeom prst="bentConnector2">
                                                <a:avLst/>
                                              </a:prstGeom>
                                              <a:noFill/>
                                              <a:ln w="12700" cap="flat" cmpd="sng" algn="ctr">
                                                <a:solidFill>
                                                  <a:sysClr val="windowText" lastClr="000000"/>
                                                </a:solidFill>
                                                <a:prstDash val="sysDot"/>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65" name="直接箭头连接符 30"/>
                                            <wps:cNvCnPr>
                                              <a:stCxn id="28" idx="0"/>
                                            </wps:cNvCnPr>
                                            <wps:spPr>
                                              <a:xfrm flipV="1">
                                                <a:off x="13139" y="605941"/>
                                                <a:ext cx="1" cy="1113"/>
                                              </a:xfrm>
                                              <a:prstGeom prst="straightConnector1">
                                                <a:avLst/>
                                              </a:prstGeom>
                                              <a:noFill/>
                                              <a:ln w="12700" cap="flat" cmpd="sng" algn="ctr">
                                                <a:solidFill>
                                                  <a:sysClr val="windowText" lastClr="000000"/>
                                                </a:solidFill>
                                                <a:prstDash val="solid"/>
                                                <a:miter lim="800000"/>
                                                <a:tailEnd type="arrow"/>
                                              </a:ln>
                                              <a:effectLst/>
                                            </wps:spPr>
                                            <wps:style>
                                              <a:lnRef idx="2">
                                                <a:schemeClr val="accent1"/>
                                              </a:lnRef>
                                              <a:fillRef idx="0">
                                                <a:srgbClr val="FFFFFF"/>
                                              </a:fillRef>
                                              <a:effectRef idx="0">
                                                <a:srgbClr val="FFFFFF"/>
                                              </a:effectRef>
                                              <a:fontRef idx="minor">
                                                <a:schemeClr val="tx1"/>
                                              </a:fontRef>
                                            </wps:style>
                                            <wps:bodyPr/>
                                          </wps:wsp>
                                          <wps:wsp>
                                            <wps:cNvPr id="67" name="文本框 163"/>
                                            <wps:cNvSpPr txBox="1"/>
                                            <wps:spPr>
                                              <a:xfrm>
                                                <a:off x="12177" y="605387"/>
                                                <a:ext cx="1564" cy="5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DA001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48"/>
                                            <wps:cNvSpPr txBox="1"/>
                                            <wps:spPr>
                                              <a:xfrm>
                                                <a:off x="13217" y="605831"/>
                                                <a:ext cx="1180" cy="10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S</w:t>
                                                  </w:r>
                                                  <w:r>
                                                    <w:rPr>
                                                      <w:rFonts w:hint="eastAsia" w:cs="宋体"/>
                                                      <w:lang w:val="en-US" w:eastAsia="zh-CN"/>
                                                    </w:rPr>
                                                    <w:t>6、S7、S8、S9、N7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69" name="直接箭头连接符 46"/>
                                        <wps:cNvCnPr/>
                                        <wps:spPr>
                                          <a:xfrm flipV="1">
                                            <a:off x="13132" y="606852"/>
                                            <a:ext cx="368" cy="197"/>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grpSp>
                                      <wpg:cNvPr id="22" name="组合 22"/>
                                      <wpg:cNvGrpSpPr/>
                                      <wpg:grpSpPr>
                                        <a:xfrm>
                                          <a:off x="5225" y="551297"/>
                                          <a:ext cx="2906" cy="7761"/>
                                          <a:chOff x="5225" y="551297"/>
                                          <a:chExt cx="2906" cy="7761"/>
                                        </a:xfrm>
                                      </wpg:grpSpPr>
                                      <wps:wsp>
                                        <wps:cNvPr id="14" name="文本框 14"/>
                                        <wps:cNvSpPr txBox="1"/>
                                        <wps:spPr>
                                          <a:xfrm>
                                            <a:off x="5226" y="558193"/>
                                            <a:ext cx="2374" cy="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sz w:val="24"/>
                                                  <w:szCs w:val="24"/>
                                                  <w:lang w:val="en-US" w:eastAsia="zh-CN"/>
                                                </w:rPr>
                                              </w:pPr>
                                              <w:r>
                                                <w:rPr>
                                                  <w:rFonts w:hint="eastAsia" w:cs="宋体"/>
                                                  <w:sz w:val="24"/>
                                                  <w:szCs w:val="24"/>
                                                  <w:lang w:val="en-US" w:eastAsia="zh-CN"/>
                                                </w:rPr>
                                                <w:t>聚氯乙烯、</w:t>
                                              </w:r>
                                              <w:r>
                                                <w:rPr>
                                                  <w:rFonts w:hint="eastAsia" w:ascii="Times New Roman" w:hAnsi="Times New Roman" w:eastAsia="宋体" w:cs="宋体"/>
                                                  <w:color w:val="auto"/>
                                                  <w:sz w:val="24"/>
                                                  <w:szCs w:val="24"/>
                                                  <w:lang w:val="en-US" w:eastAsia="zh-CN" w:bidi="ar-SA"/>
                                                </w:rPr>
                                                <w:t>低烟无卤阻燃聚烯烃电缆料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直接箭头连接符 13"/>
                                        <wps:cNvCnPr/>
                                        <wps:spPr>
                                          <a:xfrm>
                                            <a:off x="7551" y="558536"/>
                                            <a:ext cx="580" cy="14"/>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1" name="肘形连接符 21"/>
                                        <wps:cNvCnPr>
                                          <a:stCxn id="145" idx="1"/>
                                          <a:endCxn id="14" idx="1"/>
                                        </wps:cNvCnPr>
                                        <wps:spPr>
                                          <a:xfrm rot="10800000" flipV="1">
                                            <a:off x="5225" y="551297"/>
                                            <a:ext cx="2729" cy="7327"/>
                                          </a:xfrm>
                                          <a:prstGeom prst="bentConnector3">
                                            <a:avLst>
                                              <a:gd name="adj1" fmla="val 105240"/>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g:grpSp>
                                  </wpg:grpSp>
                                  <wpg:grpSp>
                                    <wpg:cNvPr id="30" name="组合 30"/>
                                    <wpg:cNvGrpSpPr/>
                                    <wpg:grpSpPr>
                                      <a:xfrm>
                                        <a:off x="8034" y="572901"/>
                                        <a:ext cx="2520" cy="916"/>
                                        <a:chOff x="8266" y="573951"/>
                                        <a:chExt cx="2520" cy="916"/>
                                      </a:xfrm>
                                    </wpg:grpSpPr>
                                    <wps:wsp>
                                      <wps:cNvPr id="7" name="文本框 30"/>
                                      <wps:cNvSpPr txBox="1"/>
                                      <wps:spPr>
                                        <a:xfrm>
                                          <a:off x="9429" y="573951"/>
                                          <a:ext cx="1357" cy="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cs="宋体"/>
                                                <w:lang w:val="en-US" w:eastAsia="zh-CN"/>
                                              </w:rPr>
                                              <w:t>W1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直接箭头连接符 11"/>
                                      <wps:cNvCnPr/>
                                      <wps:spPr>
                                        <a:xfrm flipV="1">
                                          <a:off x="8953" y="574212"/>
                                          <a:ext cx="368" cy="194"/>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7" name="直接箭头连接符 35"/>
                                      <wps:cNvCnPr/>
                                      <wps:spPr>
                                        <a:xfrm flipH="1">
                                          <a:off x="8879" y="573977"/>
                                          <a:ext cx="4" cy="446"/>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4" name="文本框 24"/>
                                      <wps:cNvSpPr txBox="1"/>
                                      <wps:spPr>
                                        <a:xfrm>
                                          <a:off x="8266" y="574377"/>
                                          <a:ext cx="1290" cy="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冷却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5" name="直接箭头连接符 5"/>
                                <wps:cNvCnPr/>
                                <wps:spPr>
                                  <a:xfrm>
                                    <a:off x="9601" y="585488"/>
                                    <a:ext cx="6" cy="408"/>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s:wsp>
                              <wps:cNvPr id="73" name="肘形连接符 27"/>
                              <wps:cNvCnPr>
                                <a:stCxn id="297" idx="3"/>
                                <a:endCxn id="62" idx="1"/>
                              </wps:cNvCnPr>
                              <wps:spPr>
                                <a:xfrm flipV="1">
                                  <a:off x="10393" y="640417"/>
                                  <a:ext cx="1751" cy="912"/>
                                </a:xfrm>
                                <a:prstGeom prst="bentConnector3">
                                  <a:avLst>
                                    <a:gd name="adj1" fmla="val 50029"/>
                                  </a:avLst>
                                </a:prstGeom>
                                <a:noFill/>
                                <a:ln w="12700" cap="flat" cmpd="sng" algn="ctr">
                                  <a:solidFill>
                                    <a:sysClr val="windowText" lastClr="000000"/>
                                  </a:solidFill>
                                  <a:prstDash val="sysDot"/>
                                  <a:miter lim="800000"/>
                                  <a:tailEnd type="triangle"/>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0.2pt;margin-top:13.7pt;height:3788.7pt;width:412.3pt;z-index:251670528;mso-width-relative:page;mso-height-relative:page;" coordorigin="6147,635484" coordsize="8246,75774" o:gfxdata="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">
                      <o:lock v:ext="edit" aspectratio="f"/>
                      <v:group id="_x0000_s1026" o:spid="_x0000_s1026" o:spt="203" style="position:absolute;left:6147;top:635484;height:75775;width:8247;" coordorigin="6147,584121" coordsize="8247,75775"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6147;top:584121;height:75775;width:8247;" coordorigin="5248,549879" coordsize="8247,75775" o:gfxdata="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WIp0MAAAADcAAAADwAAAAAAAAABACAAAAAiAAAAZHJzL2Rvd25yZXYu&#10;eG1sUEsBAhQAFAAAAAgAh07iQDMvBZ47AAAAOQAAABUAAAAAAAAAAQAgAAAADwEAAGRycy9ncm91&#10;cHNoYXBleG1sLnhtbFBLBQYAAAAABgAGAGABAADMAwAAAAA=&#10;">
                          <o:lock v:ext="edit" aspectratio="f"/>
                          <v:shape id="_x0000_s1026" o:spid="_x0000_s1026" o:spt="33" type="#_x0000_t33" style="position:absolute;left:6779;top:550930;flip:y;height:3574;width:1203;rotation:11796480f;" filled="f" stroked="t" coordsize="21600,21600" o:gfxdata="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y05g&#10;wAAAANwAAAAPAAAAAAAAAAEAIAAAACIAAABkcnMvZG93bnJldi54bWxQSwECFAAUAAAACACHTuJA&#10;My8FnjsAAAA5AAAAEAAAAAAAAAABACAAAAAPAQAAZHJzL3NoYXBleG1sLnhtbFBLBQYAAAAABgAG&#10;AFsBAAC5AwAAAAA=&#10;">
                            <v:fill on="f" focussize="0,0"/>
                            <v:stroke weight="1pt" color="#000000 [3204]" miterlimit="8" joinstyle="miter" endarrow="block"/>
                            <v:imagedata o:title=""/>
                            <o:lock v:ext="edit" aspectratio="f"/>
                          </v:shape>
                          <v:group id="_x0000_s1026" o:spid="_x0000_s1026" o:spt="203" style="position:absolute;left:5248;top:549879;height:75775;width:8247;" coordorigin="5180,566888" coordsize="8247,75775"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5180;top:566888;height:75775;width:8247;" coordorigin="5221,550247" coordsize="8247,75778"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5221;top:550247;height:75778;width:8247;" coordorigin="6150,602574" coordsize="8247,76268"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group id="组合 51" o:spid="_x0000_s1026" o:spt="203" style="position:absolute;left:6150;top:602574;height:76268;width:8247;" coordorigin="6150,602574" coordsize="8247,76268"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group id="组合 330" o:spid="_x0000_s1026" o:spt="203" style="position:absolute;left:6150;top:602574;height:76268;width:6420;" coordorigin="6150,534090" coordsize="6420,76268"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group id="组合 328" o:spid="_x0000_s1026" o:spt="203" style="position:absolute;left:6936;top:534090;height:76268;width:5634;" coordorigin="6932,534090" coordsize="5756,78914"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文本框 30" o:spid="_x0000_s1026" o:spt="202" type="#_x0000_t202" style="position:absolute;left:10149;top:541196;height:446;width:1464;" fillcolor="#FFFFFF [3201]" filled="t" stroked="f" coordsize="21600,21600" o:gfxdata="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R62jE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N</w:t>
                                              </w:r>
                                              <w:r>
                                                <w:rPr>
                                                  <w:rFonts w:hint="eastAsia" w:cs="宋体"/>
                                                  <w:lang w:val="en-US" w:eastAsia="zh-CN"/>
                                                </w:rPr>
                                                <w:t>5</w:t>
                                              </w:r>
                                            </w:p>
                                          </w:txbxContent>
                                        </v:textbox>
                                      </v:shape>
                                      <v:shape id="_x0000_s1026" o:spid="_x0000_s1026" o:spt="32" type="#_x0000_t32" style="position:absolute;left:9739;top:541468;flip:y;height:203;width:376;" filled="f" stroked="t" coordsize="21600,21600" o:gfxdata="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S9rW8AAAA&#10;3AAAAA8AAAAAAAAAAQAgAAAAIgAAAGRycy9kb3ducmV2LnhtbFBLAQIUABQAAAAIAIdO4kAzLwWe&#10;OwAAADkAAAAQAAAAAAAAAAEAIAAAAAsBAABkcnMvc2hhcGV4bWwueG1sUEsFBgAAAAAGAAYAWwEA&#10;ALUDAAAAAA==&#10;">
                                        <v:fill on="f" focussize="0,0"/>
                                        <v:stroke weight="1pt" color="#000000 [3204]" miterlimit="8" joinstyle="miter" dashstyle="1 1" endarrow="block"/>
                                        <v:imagedata o:title=""/>
                                        <o:lock v:ext="edit" aspectratio="f"/>
                                      </v:shape>
                                      <v:group id="组合 327" o:spid="_x0000_s1026" o:spt="203" style="position:absolute;left:6932;top:534090;height:78914;width:5756;" coordorigin="6932,534090" coordsize="5756,78914"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文本框 30" o:spid="_x0000_s1026" o:spt="202" type="#_x0000_t202" style="position:absolute;left:10133;top:542042;height:473;width:1673;" fillcolor="#FFFFFF [3201]" filled="t" stroked="f" coordsize="21600,21600" o:gfxdata="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1Uyi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4</w:t>
                                                </w:r>
                                                <w:r>
                                                  <w:rPr>
                                                    <w:rFonts w:hint="eastAsia" w:ascii="Times New Roman" w:hAnsi="Times New Roman" w:eastAsia="宋体" w:cs="宋体"/>
                                                    <w:lang w:val="en-US" w:eastAsia="zh-CN"/>
                                                  </w:rPr>
                                                  <w:t>、S</w:t>
                                                </w:r>
                                                <w:r>
                                                  <w:rPr>
                                                    <w:rFonts w:hint="eastAsia" w:cs="宋体"/>
                                                    <w:lang w:val="en-US" w:eastAsia="zh-CN"/>
                                                  </w:rPr>
                                                  <w:t>3</w:t>
                                                </w:r>
                                                <w:r>
                                                  <w:rPr>
                                                    <w:rFonts w:hint="eastAsia" w:ascii="Times New Roman" w:hAnsi="Times New Roman" w:eastAsia="宋体" w:cs="宋体"/>
                                                    <w:lang w:val="en-US" w:eastAsia="zh-CN"/>
                                                  </w:rPr>
                                                  <w:t>、N3</w:t>
                                                </w:r>
                                              </w:p>
                                            </w:txbxContent>
                                          </v:textbox>
                                        </v:shape>
                                        <v:shape id="_x0000_s1026" o:spid="_x0000_s1026" o:spt="32" type="#_x0000_t32" style="position:absolute;left:9722;top:542342;flip:y;height:203;width:376;" filled="f" stroked="t" coordsize="21600,21600" o:gfxdata="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zNWb4A&#10;AADcAAAADwAAAAAAAAABACAAAAAiAAAAZHJzL2Rvd25yZXYueG1sUEsBAhQAFAAAAAgAh07iQDMv&#10;BZ47AAAAOQAAABAAAAAAAAAAAQAgAAAADQEAAGRycy9zaGFwZXhtbC54bWxQSwUGAAAAAAYABgBb&#10;AQAAtwMAAAAA&#10;">
                                          <v:fill on="f" focussize="0,0"/>
                                          <v:stroke weight="1pt" color="#000000 [3204]" miterlimit="8" joinstyle="miter" dashstyle="1 1" endarrow="block"/>
                                          <v:imagedata o:title=""/>
                                          <o:lock v:ext="edit" aspectratio="f"/>
                                        </v:shape>
                                        <v:group id="组合 326" o:spid="_x0000_s1026" o:spt="203" style="position:absolute;left:6932;top:534090;height:78914;width:5756;" coordorigin="6932,534090" coordsize="5756,78914"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文本框 30" o:spid="_x0000_s1026" o:spt="202" type="#_x0000_t202" style="position:absolute;left:10188;top:545928;height:458;width:1463;" fillcolor="#FFFFFF [3201]" filled="t" stroked="f" coordsize="21600,21600" o:gfxdata="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Bux7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S1</w:t>
                                                  </w:r>
                                                </w:p>
                                              </w:txbxContent>
                                            </v:textbox>
                                          </v:shape>
                                          <v:group id="组合 319" o:spid="_x0000_s1026" o:spt="203" style="position:absolute;left:6932;top:534090;height:78914;width:5756;" coordorigin="6542,534032" coordsize="6262,82135"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组合 316" o:spid="_x0000_s1026" o:spt="203" style="position:absolute;left:6542;top:534032;height:82135;width:6262;" coordorigin="6482,534422" coordsize="6262,82135"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group id="组合 168" o:spid="_x0000_s1026" o:spt="203" style="position:absolute;left:6482;top:534422;height:82135;width:6262;" coordorigin="6694,500895" coordsize="6262,82135"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shape id="文本框 30" o:spid="_x0000_s1026" o:spt="202" type="#_x0000_t202" style="position:absolute;left:10158;top:506512;height:478;width:1592;" fillcolor="#FFFFFF [3201]" filled="t" stroked="f" coordsize="21600,21600" o:gfxdata="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aR/r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cs="宋体"/>
                                                            <w:lang w:val="en-US" w:eastAsia="zh-CN"/>
                                                          </w:rPr>
                                                          <w:t>G3、N4</w:t>
                                                        </w:r>
                                                      </w:p>
                                                    </w:txbxContent>
                                                  </v:textbox>
                                                </v:shape>
                                                <v:shape id="文本框 12" o:spid="_x0000_s1026" o:spt="202" type="#_x0000_t202" style="position:absolute;left:6694;top:505908;height:758;width:1656;" fillcolor="#FFFFFF [3201]" filled="t" stroked="f" coordsize="21600,21600" o:gfxdata="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1/Lpm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聚乙烯</w:t>
                                                        </w:r>
                                                      </w:p>
                                                    </w:txbxContent>
                                                  </v:textbox>
                                                </v:shape>
                                                <v:shape id="直接箭头连接符 13" o:spid="_x0000_s1026" o:spt="32" type="#_x0000_t32" style="position:absolute;left:8325;top:506247;height:15;width:644;" filled="f" stroked="t" coordsize="21600,21600" o:gfxdata="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jeZu8AAAA&#10;3AAAAA8AAAAAAAAAAQAgAAAAIgAAAGRycy9kb3ducmV2LnhtbFBLAQIUABQAAAAIAIdO4kAzLwWe&#10;OwAAADkAAAAQAAAAAAAAAAEAIAAAAAsBAABkcnMvc2hhcGV4bWwueG1sUEsFBgAAAAAGAAYAWwEA&#10;ALUDAAAAAA==&#10;">
                                                  <v:fill on="f" focussize="0,0"/>
                                                  <v:stroke weight="0.5pt" color="#000000 [3204]" miterlimit="8" joinstyle="miter" endarrow="block"/>
                                                  <v:imagedata o:title=""/>
                                                  <o:lock v:ext="edit" aspectratio="f"/>
                                                </v:shape>
                                                <v:shape id="文本框 14" o:spid="_x0000_s1026" o:spt="202" type="#_x0000_t202" style="position:absolute;left:10093;top:504419;height:449;width:1577;" fillcolor="#FFFFFF [3201]" filled="t" stroked="f" coordsize="21600,21600" o:gfxdata="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rlVK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N</w:t>
                                                        </w:r>
                                                        <w:r>
                                                          <w:rPr>
                                                            <w:rFonts w:hint="eastAsia" w:cs="宋体"/>
                                                            <w:lang w:val="en-US" w:eastAsia="zh-CN"/>
                                                          </w:rPr>
                                                          <w:t>2、S2</w:t>
                                                        </w:r>
                                                      </w:p>
                                                    </w:txbxContent>
                                                  </v:textbox>
                                                </v:shape>
                                                <v:shape id="直接箭头连接符 35" o:spid="_x0000_s1026" o:spt="32" type="#_x0000_t32" style="position:absolute;left:9665;top:508319;flip:x;height:483;width:4;" filled="f" stroked="t" coordsize="21600,21600" o:gfxdata="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5AWr4A&#10;AADbAAAADwAAAAAAAAABACAAAAAiAAAAZHJzL2Rvd25yZXYueG1sUEsBAhQAFAAAAAgAh07iQDMv&#10;BZ47AAAAOQAAABAAAAAAAAAAAQAgAAAADQEAAGRycy9zaGFwZXhtbC54bWxQSwUGAAAAAAYABgBb&#10;AQAAtwMAAAAA&#10;">
                                                  <v:fill on="f" focussize="0,0"/>
                                                  <v:stroke weight="0.5pt" color="#000000 [3204]" miterlimit="8" joinstyle="miter" endarrow="block"/>
                                                  <v:imagedata o:title=""/>
                                                  <o:lock v:ext="edit" aspectratio="f"/>
                                                </v:shape>
                                                <v:shape id="文本框 38" o:spid="_x0000_s1026" o:spt="202" type="#_x0000_t202" style="position:absolute;left:11210;top:513592;height:532;width:1746;" fillcolor="#FFFFFF [3201]" filled="t" stroked="t" coordsize="21600,21600" o:gfxdata="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WXy6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成品</w:t>
                                                        </w:r>
                                                      </w:p>
                                                    </w:txbxContent>
                                                  </v:textbox>
                                                </v:shape>
                                                <v:shape id="_x0000_s1026" o:spid="_x0000_s1026" o:spt="202" type="#_x0000_t202" style="position:absolute;left:6891;top:500895;height:532;width:5664;" fillcolor="#FFFFFF [3201]" filled="t" stroked="f" coordsize="21600,21600" o:gfxdata="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In3y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铜丝、铝丝</w:t>
                                                        </w:r>
                                                      </w:p>
                                                    </w:txbxContent>
                                                  </v:textbox>
                                                </v:shape>
                                                <v:shape id="_x0000_s1026" o:spid="_x0000_s1026" o:spt="202" type="#_x0000_t202" style="position:absolute;left:10105;top:501296;height:416;width:2147;" fillcolor="#FFFFFF [3201]" filled="t" stroked="f" coordsize="21600,21600" o:gfxdata="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y+WG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cs="宋体"/>
                                                            <w:lang w:val="en-US" w:eastAsia="zh-CN"/>
                                                          </w:rPr>
                                                          <w:t>S1</w:t>
                                                        </w:r>
                                                      </w:p>
                                                    </w:txbxContent>
                                                  </v:textbox>
                                                </v:shape>
                                                <v:shape id="文本框 7" o:spid="_x0000_s1026" o:spt="202" type="#_x0000_t202" style="position:absolute;left:8859;top:501768;height:532;width:1703;" fillcolor="#FFFFFF [3201]" filled="t" stroked="t" coordsize="21600,21600" o:gfxdata="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rkMb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原料堆放区</w:t>
                                                        </w:r>
                                                      </w:p>
                                                    </w:txbxContent>
                                                  </v:textbox>
                                                </v:shape>
                                                <v:shape id="_x0000_s1026" o:spid="_x0000_s1026" o:spt="32" type="#_x0000_t32" style="position:absolute;left:9693;top:501337;height:443;width:6;" filled="f" stroked="t" coordsize="21600,21600" o:gfxdata="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j6zUugAAANwA&#10;AAAPAAAAAAAAAAEAIAAAACIAAABkcnMvZG93bnJldi54bWxQSwECFAAUAAAACACHTuJAMy8FnjsA&#10;AAA5AAAAEAAAAAAAAAABACAAAAAJAQAAZHJzL3NoYXBleG1sLnhtbFBLBQYAAAAABgAGAFsBAACz&#10;AwAAAAA=&#10;">
                                                  <v:fill on="f" focussize="0,0"/>
                                                  <v:stroke weight="0.5pt" color="#000000 [3204]" miterlimit="8" joinstyle="miter" endarrow="block"/>
                                                  <v:imagedata o:title=""/>
                                                  <o:lock v:ext="edit" aspectratio="f"/>
                                                </v:shape>
                                                <v:shape id="_x0000_s1026" o:spid="_x0000_s1026" o:spt="32" type="#_x0000_t32" style="position:absolute;left:9757;top:501527;flip:y;height:212;width:409;" filled="f" stroked="t" coordsize="21600,21600" o:gfxdata="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sQBu8AAAA&#10;3AAAAA8AAAAAAAAAAQAgAAAAIgAAAGRycy9kb3ducmV2LnhtbFBLAQIUABQAAAAIAIdO4kAzLwWe&#10;OwAAADkAAAAQAAAAAAAAAAEAIAAAAAsBAABkcnMvc2hhcGV4bWwueG1sUEsFBgAAAAAGAAYAWwEA&#10;ALUDAAAAAA==&#10;">
                                                  <v:fill on="f" focussize="0,0"/>
                                                  <v:stroke weight="1pt" color="#000000 [3204]" miterlimit="8" joinstyle="miter" dashstyle="1 1" endarrow="block"/>
                                                  <v:imagedata o:title=""/>
                                                  <o:lock v:ext="edit" aspectratio="f"/>
                                                </v:shape>
                                                <v:shape id="_x0000_s1026" o:spid="_x0000_s1026" o:spt="32" type="#_x0000_t32" style="position:absolute;left:6759;top:582442;height:588;width:13;" filled="f" stroked="t" coordsize="21600,21600" o:gfxdata="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ydPb4A&#10;AADcAAAADwAAAAAAAAABACAAAAAiAAAAZHJzL2Rvd25yZXYueG1sUEsBAhQAFAAAAAgAh07iQDMv&#10;BZ47AAAAOQAAABAAAAAAAAAAAQAgAAAADQEAAGRycy9zaGFwZXhtbC54bWxQSwUGAAAAAAYABgBb&#10;AQAAtwMAAAAA&#10;">
                                                  <v:fill on="f" focussize="0,0"/>
                                                  <v:stroke weight="0.5pt" color="#000000 [3204]" miterlimit="8" joinstyle="miter" endarrow="block"/>
                                                  <v:imagedata o:title=""/>
                                                  <o:lock v:ext="edit" aspectratio="f"/>
                                                </v:shape>
                                                <v:shape id="_x0000_s1026" o:spid="_x0000_s1026" o:spt="32" type="#_x0000_t32" style="position:absolute;left:9633;top:503437;height:443;width:6;" filled="f" stroked="t" coordsize="21600,21600" o:gfxdata="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A4prsAAADc&#10;AAAADwAAAAAAAAABACAAAAAiAAAAZHJzL2Rvd25yZXYueG1sUEsBAhQAFAAAAAgAh07iQDMvBZ47&#10;AAAAOQAAABAAAAAAAAAAAQAgAAAACgEAAGRycy9zaGFwZXhtbC54bWxQSwUGAAAAAAYABgBbAQAA&#10;tAMAAAAA&#10;">
                                                  <v:fill on="f" focussize="0,0"/>
                                                  <v:stroke weight="0.5pt" color="#000000 [3204]" miterlimit="8" joinstyle="miter" endarrow="block"/>
                                                  <v:imagedata o:title=""/>
                                                  <o:lock v:ext="edit" aspectratio="f"/>
                                                </v:shape>
                                                <v:shape id="直接箭头连接符 150" o:spid="_x0000_s1026" o:spt="32" type="#_x0000_t32" style="position:absolute;left:9648;top:504457;height:443;width:6;" filled="f" stroked="t" coordsize="21600,21600" o:gfxdata="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TaA74A&#10;AADcAAAADwAAAAAAAAABACAAAAAiAAAAZHJzL2Rvd25yZXYueG1sUEsBAhQAFAAAAAgAh07iQDMv&#10;BZ47AAAAOQAAABAAAAAAAAAAAQAgAAAADQEAAGRycy9zaGFwZXhtbC54bWxQSwUGAAAAAAYABgBb&#10;AQAAtwMAAAAA&#10;">
                                                  <v:fill on="f" focussize="0,0"/>
                                                  <v:stroke weight="0.5pt" color="#000000 [3204]" miterlimit="8" joinstyle="miter" endarrow="block"/>
                                                  <v:imagedata o:title=""/>
                                                  <o:lock v:ext="edit" aspectratio="f"/>
                                                </v:shape>
                                                <v:shape id="直接箭头连接符 151" o:spid="_x0000_s1026" o:spt="32" type="#_x0000_t32" style="position:absolute;left:9648;top:505507;height:443;width:6;" filled="f" stroked="t" coordsize="21600,21600" o:gfxdata="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h/mL4A&#10;AADcAAAADwAAAAAAAAABACAAAAAiAAAAZHJzL2Rvd25yZXYueG1sUEsBAhQAFAAAAAgAh07iQDMv&#10;BZ47AAAAOQAAABAAAAAAAAAAAQAgAAAADQEAAGRycy9zaGFwZXhtbC54bWxQSwUGAAAAAAYABgBb&#10;AQAAtwMAAAAA&#10;">
                                                  <v:fill on="f" focussize="0,0"/>
                                                  <v:stroke weight="0.5pt" color="#000000 [3204]" miterlimit="8" joinstyle="miter" endarrow="block"/>
                                                  <v:imagedata o:title=""/>
                                                  <o:lock v:ext="edit" aspectratio="f"/>
                                                </v:shape>
                                                <v:shape id="_x0000_s1026" o:spid="_x0000_s1026" o:spt="32" type="#_x0000_t32" style="position:absolute;left:9663;top:506527;height:443;width:6;" filled="f" stroked="t" coordsize="21600,21600" o:gfxdata="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tPAq5AAAA3AAA&#10;AA8AAAAAAAAAAQAgAAAAIgAAAGRycy9kb3ducmV2LnhtbFBLAQIUABQAAAAIAIdO4kAzLwWeOwAA&#10;ADkAAAAQAAAAAAAAAAEAIAAAAAgBAABkcnMvc2hhcGV4bWwueG1sUEsFBgAAAAAGAAYAWwEAALID&#10;AAAAAA==&#10;">
                                                  <v:fill on="f" focussize="0,0"/>
                                                  <v:stroke weight="0.5pt" color="#000000 [3204]" miterlimit="8" joinstyle="miter" endarrow="block"/>
                                                  <v:imagedata o:title=""/>
                                                  <o:lock v:ext="edit" aspectratio="f"/>
                                                </v:shape>
                                                <v:shape id="_x0000_s1026" o:spid="_x0000_s1026" o:spt="32" type="#_x0000_t32" style="position:absolute;left:9757;top:502622;flip:y;height:212;width:409;" filled="f" stroked="t" coordsize="21600,21600" o:gfxdata="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7QxbsAAADc&#10;AAAADwAAAAAAAAABACAAAAAiAAAAZHJzL2Rvd25yZXYueG1sUEsBAhQAFAAAAAgAh07iQDMvBZ47&#10;AAAAOQAAABAAAAAAAAAAAQAgAAAACgEAAGRycy9zaGFwZXhtbC54bWxQSwUGAAAAAAYABgBbAQAA&#10;tAMAAAAA&#10;">
                                                  <v:fill on="f" focussize="0,0"/>
                                                  <v:stroke weight="1pt" color="#000000 [3204]" miterlimit="8" joinstyle="miter" dashstyle="1 1" endarrow="block"/>
                                                  <v:imagedata o:title=""/>
                                                  <o:lock v:ext="edit" aspectratio="f"/>
                                                </v:shape>
                                                <v:shape id="_x0000_s1026" o:spid="_x0000_s1026" o:spt="32" type="#_x0000_t32" style="position:absolute;left:9712;top:504722;flip:y;height:212;width:409;" filled="f" stroked="t" coordsize="21600,21600" o:gfxdata="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nSLG8AAAA&#10;3AAAAA8AAAAAAAAAAQAgAAAAIgAAAGRycy9kb3ducmV2LnhtbFBLAQIUABQAAAAIAIdO4kAzLwWe&#10;OwAAADkAAAAQAAAAAAAAAAEAIAAAAAsBAABkcnMvc2hhcGV4bWwueG1sUEsFBgAAAAAGAAYAWwEA&#10;ALUDAAAAAA==&#10;">
                                                  <v:fill on="f" focussize="0,0"/>
                                                  <v:stroke weight="1pt" color="#000000 [3204]" miterlimit="8" joinstyle="miter" dashstyle="1 1" endarrow="block"/>
                                                  <v:imagedata o:title=""/>
                                                  <o:lock v:ext="edit" aspectratio="f"/>
                                                </v:shape>
                                                <v:shape id="_x0000_s1026" o:spid="_x0000_s1026" o:spt="32" type="#_x0000_t32" style="position:absolute;left:9697;top:505697;flip:y;height:212;width:409;" filled="f" stroked="t" coordsize="21600,21600" o:gfxdata="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r7Sq8AAAA&#10;3AAAAA8AAAAAAAAAAQAgAAAAIgAAAGRycy9kb3ducmV2LnhtbFBLAQIUABQAAAAIAIdO4kAzLwWe&#10;OwAAADkAAAAQAAAAAAAAAAEAIAAAAAsBAABkcnMvc2hhcGV4bWwueG1sUEsFBgAAAAAGAAYAWwEA&#10;ALUDAAAAAA==&#10;">
                                                  <v:fill on="f" focussize="0,0"/>
                                                  <v:stroke weight="1pt" color="#000000 [3204]" miterlimit="8" joinstyle="miter" dashstyle="1 1" endarrow="block"/>
                                                  <v:imagedata o:title=""/>
                                                  <o:lock v:ext="edit" aspectratio="f"/>
                                                </v:shape>
                                                <v:shape id="_x0000_s1026" o:spid="_x0000_s1026" o:spt="202" type="#_x0000_t202" style="position:absolute;left:10108;top:505501;height:511;width:2279;" fillcolor="#FFFFFF [3201]" filled="t" stroked="f" coordsize="21600,21600" o:gfxdata="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jEi3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2</w:t>
                                                        </w:r>
                                                        <w:r>
                                                          <w:rPr>
                                                            <w:rFonts w:hint="eastAsia" w:ascii="Times New Roman" w:hAnsi="Times New Roman" w:eastAsia="宋体" w:cs="宋体"/>
                                                            <w:lang w:val="en-US" w:eastAsia="zh-CN"/>
                                                          </w:rPr>
                                                          <w:t>、S</w:t>
                                                        </w:r>
                                                        <w:r>
                                                          <w:rPr>
                                                            <w:rFonts w:hint="eastAsia" w:cs="宋体"/>
                                                            <w:lang w:val="en-US" w:eastAsia="zh-CN"/>
                                                          </w:rPr>
                                                          <w:t>3、N3</w:t>
                                                        </w:r>
                                                      </w:p>
                                                    </w:txbxContent>
                                                  </v:textbox>
                                                </v:shape>
                                                <v:shape id="_x0000_s1026" o:spid="_x0000_s1026" o:spt="32" type="#_x0000_t32" style="position:absolute;left:9712;top:506747;flip:y;height:212;width:409;" filled="f" stroked="t" coordsize="21600,21600" o:gfxdata="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qQrS/&#10;AAAA3AAAAA8AAAAAAAAAAQAgAAAAIgAAAGRycy9kb3ducmV2LnhtbFBLAQIUABQAAAAIAIdO4kAz&#10;LwWeOwAAADkAAAAQAAAAAAAAAAEAIAAAAA4BAABkcnMvc2hhcGV4bWwueG1sUEsFBgAAAAAGAAYA&#10;WwEAALgDAAAAAA==&#10;">
                                                  <v:fill on="f" focussize="0,0"/>
                                                  <v:stroke weight="1pt" color="#000000 [3204]" miterlimit="8" joinstyle="miter" dashstyle="1 1" endarrow="block"/>
                                                  <v:imagedata o:title=""/>
                                                  <o:lock v:ext="edit" aspectratio="f"/>
                                                </v:shape>
                                                <v:shape id="_x0000_s1026" o:spid="_x0000_s1026" o:spt="202" type="#_x0000_t202" style="position:absolute;left:8997;top:502915;height:532;width:1387;" fillcolor="#FFFFFF [3201]" filled="t" stroked="t" coordsize="21600,21600" o:gfxdata="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ItkLa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拉丝</w:t>
                                                        </w:r>
                                                      </w:p>
                                                    </w:txbxContent>
                                                  </v:textbox>
                                                </v:shape>
                                                <v:shape id="文本框 160" o:spid="_x0000_s1026" o:spt="202" type="#_x0000_t202" style="position:absolute;left:9022;top:503896;height:532;width:1403;" fillcolor="#FFFFFF [3201]" filled="t" stroked="t" coordsize="21600,21600" o:gfxdata="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3yK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退火</w:t>
                                                        </w:r>
                                                      </w:p>
                                                    </w:txbxContent>
                                                  </v:textbox>
                                                </v:shape>
                                                <v:shape id="_x0000_s1026" o:spid="_x0000_s1026" o:spt="202" type="#_x0000_t202" style="position:absolute;left:9016;top:504902;height:532;width:1388;" fillcolor="#FFFFFF [3201]" filled="t" stroked="t" coordsize="21600,21600" o:gfxdata="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jdWD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绞丝</w:t>
                                                        </w:r>
                                                      </w:p>
                                                    </w:txbxContent>
                                                  </v:textbox>
                                                </v:shape>
                                                <v:shape id="_x0000_s1026" o:spid="_x0000_s1026" o:spt="202" type="#_x0000_t202" style="position:absolute;left:8956;top:505972;height:532;width:1388;" fillcolor="#FFFFFF [3201]" filled="t" stroked="t" coordsize="21600,21600" o:gfxdata="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uXIe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挤塑</w:t>
                                                        </w:r>
                                                      </w:p>
                                                    </w:txbxContent>
                                                  </v:textbox>
                                                </v:shape>
                                                <v:shape id="文本框 163" o:spid="_x0000_s1026" o:spt="202" type="#_x0000_t202" style="position:absolute;left:8837;top:506964;height:532;width:1703;" fillcolor="#FFFFFF [3201]" filled="t" stroked="t" coordsize="21600,21600" o:gfxdata="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ierm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紫外光交联</w:t>
                                                        </w:r>
                                                      </w:p>
                                                    </w:txbxContent>
                                                  </v:textbox>
                                                </v:shape>
                                                <v:shape id="文本框 165" o:spid="_x0000_s1026" o:spt="202" type="#_x0000_t202" style="position:absolute;left:10138;top:502381;height:446;width:2655;" fillcolor="#FFFFFF [3201]" filled="t" stroked="f" coordsize="21600,21600" o:gfxdata="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6w6K4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cs="宋体"/>
                                                            <w:lang w:val="en-US" w:eastAsia="zh-CN"/>
                                                          </w:rPr>
                                                          <w:t>G1、N1</w:t>
                                                        </w:r>
                                                      </w:p>
                                                    </w:txbxContent>
                                                  </v:textbox>
                                                </v:shape>
                                                <v:shape id="_x0000_s1026" o:spid="_x0000_s1026" o:spt="32" type="#_x0000_t32" style="position:absolute;left:10404;top:513858;flip:y;height:24;width:806;" filled="f" stroked="t" coordsize="21600,21600" o:gfxdata="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Gzdy8AAAA&#10;3AAAAA8AAAAAAAAAAQAgAAAAIgAAAGRycy9kb3ducmV2LnhtbFBLAQIUABQAAAAIAIdO4kAzLwWe&#10;OwAAADkAAAAQAAAAAAAAAAEAIAAAAAsBAABkcnMvc2hhcGV4bWwueG1sUEsFBgAAAAAGAAYAWwEA&#10;ALUDAAAAAA==&#10;">
                                                  <v:fill on="f" focussize="0,0"/>
                                                  <v:stroke weight="0.5pt" color="#000000 [3204]" miterlimit="8" joinstyle="miter" endarrow="block"/>
                                                  <v:imagedata o:title=""/>
                                                  <o:lock v:ext="edit" aspectratio="f"/>
                                                </v:shape>
                                              </v:group>
                                              <v:group id="组合 315" o:spid="_x0000_s1026" o:spt="203" style="position:absolute;left:8654;top:542280;height:4475;width:3612;" coordorigin="8834,537495" coordsize="3612,4475"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文本框 30" o:spid="_x0000_s1026" o:spt="202" type="#_x0000_t202" style="position:absolute;left:10156;top:540959;height:478;width:1592;" fillcolor="#FFFFFF [3201]" filled="t" stroked="f" coordsize="21600,21600" o:gfxdata="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XjSk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N</w:t>
                                                        </w:r>
                                                        <w:r>
                                                          <w:rPr>
                                                            <w:rFonts w:hint="eastAsia" w:cs="宋体"/>
                                                            <w:lang w:val="en-US" w:eastAsia="zh-CN"/>
                                                          </w:rPr>
                                                          <w:t>5</w:t>
                                                        </w:r>
                                                      </w:p>
                                                    </w:txbxContent>
                                                  </v:textbox>
                                                </v:shape>
                                                <v:shape id="文本框 14" o:spid="_x0000_s1026" o:spt="202" type="#_x0000_t202" style="position:absolute;left:10014;top:538928;height:447;width:1577;" fillcolor="#FFFFFF [3201]" filled="t" stroked="f" coordsize="21600,21600" o:gfxdata="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EpE/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W1</w:t>
                                                        </w:r>
                                                      </w:p>
                                                    </w:txbxContent>
                                                  </v:textbox>
                                                </v:shape>
                                                <v:shape id="_x0000_s1026" o:spid="_x0000_s1026" o:spt="32" type="#_x0000_t32" style="position:absolute;left:9646;top:537958;height:442;width:8;" filled="f" stroked="t" coordsize="21600,21600" o:gfxdata="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Gn32vQAA&#10;ANwAAAAPAAAAAAAAAAEAIAAAACIAAABkcnMvZG93bnJldi54bWxQSwECFAAUAAAACACHTuJAMy8F&#10;njsAAAA5AAAAEAAAAAAAAAABACAAAAAMAQAAZHJzL3NoYXBleG1sLnhtbFBLBQYAAAAABgAGAFsB&#10;AAC2AwAAAAA=&#10;">
                                                  <v:fill on="f" focussize="0,0"/>
                                                  <v:stroke weight="0.5pt" color="#000000 [3204]" miterlimit="8" joinstyle="miter" endarrow="block"/>
                                                  <v:imagedata o:title=""/>
                                                  <o:lock v:ext="edit" aspectratio="f"/>
                                                </v:shape>
                                                <v:shape id="直接箭头连接符 150" o:spid="_x0000_s1026" o:spt="32" type="#_x0000_t32" style="position:absolute;left:9570;top:538963;height:443;width:6;" filled="f" stroked="t" coordsize="21600,21600" o:gfxdata="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W2G28AAAA&#10;3AAAAA8AAAAAAAAAAQAgAAAAIgAAAGRycy9kb3ducmV2LnhtbFBLAQIUABQAAAAIAIdO4kAzLwWe&#10;OwAAADkAAAAQAAAAAAAAAAEAIAAAAAsBAABkcnMvc2hhcGV4bWwueG1sUEsFBgAAAAAGAAYAWwEA&#10;ALUDAAAAAA==&#10;">
                                                  <v:fill on="f" focussize="0,0"/>
                                                  <v:stroke weight="0.5pt" color="#000000 [3204]" miterlimit="8" joinstyle="miter" endarrow="block"/>
                                                  <v:imagedata o:title=""/>
                                                  <o:lock v:ext="edit" aspectratio="f"/>
                                                </v:shape>
                                                <v:shape id="直接箭头连接符 151" o:spid="_x0000_s1026" o:spt="32" type="#_x0000_t32" style="position:absolute;left:9570;top:540013;height:443;width:6;" filled="f" stroked="t" coordsize="21600,21600" o:gfxdata="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0AZvQAA&#10;ANwAAAAPAAAAAAAAAAEAIAAAACIAAABkcnMvZG93bnJldi54bWxQSwECFAAUAAAACACHTuJAMy8F&#10;njsAAAA5AAAAEAAAAAAAAAABACAAAAAMAQAAZHJzL3NoYXBleG1sLnhtbFBLBQYAAAAABgAGAFsB&#10;AAC2AwAAAAA=&#10;">
                                                  <v:fill on="f" focussize="0,0"/>
                                                  <v:stroke weight="0.5pt" color="#000000 [3204]" miterlimit="8" joinstyle="miter" endarrow="block"/>
                                                  <v:imagedata o:title=""/>
                                                  <o:lock v:ext="edit" aspectratio="f"/>
                                                </v:shape>
                                                <v:shape id="_x0000_s1026" o:spid="_x0000_s1026" o:spt="32" type="#_x0000_t32" style="position:absolute;left:9661;top:541000;height:443;width:7;" filled="f" stroked="t" coordsize="21600,21600" o:gfxdata="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8+WCvQAA&#10;ANwAAAAPAAAAAAAAAAEAIAAAACIAAABkcnMvZG93bnJldi54bWxQSwECFAAUAAAACACHTuJAMy8F&#10;njsAAAA5AAAAEAAAAAAAAAABACAAAAAMAQAAZHJzL3NoYXBleG1sLnhtbFBLBQYAAAAABgAGAFsB&#10;AAC2AwAAAAA=&#10;">
                                                  <v:fill on="f" focussize="0,0"/>
                                                  <v:stroke weight="0.5pt" color="#000000 [3204]" miterlimit="8" joinstyle="miter" endarrow="block"/>
                                                  <v:imagedata o:title=""/>
                                                  <o:lock v:ext="edit" aspectratio="f"/>
                                                </v:shape>
                                                <v:shape id="_x0000_s1026" o:spid="_x0000_s1026" o:spt="32" type="#_x0000_t32" style="position:absolute;left:9633;top:539229;flip:y;height:211;width:409;" filled="f" stroked="t" coordsize="21600,21600" o:gfxdata="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DjKhvQAA&#10;ANwAAAAPAAAAAAAAAAEAIAAAACIAAABkcnMvZG93bnJldi54bWxQSwECFAAUAAAACACHTuJAMy8F&#10;njsAAAA5AAAAEAAAAAAAAAABACAAAAAMAQAAZHJzL3NoYXBleG1sLnhtbFBLBQYAAAAABgAGAFsB&#10;AAC2AwAAAAA=&#10;">
                                                  <v:fill on="f" focussize="0,0"/>
                                                  <v:stroke weight="1pt" color="#000000 [3204]" miterlimit="8" joinstyle="miter" dashstyle="1 1" endarrow="block"/>
                                                  <v:imagedata o:title=""/>
                                                  <o:lock v:ext="edit" aspectratio="f"/>
                                                </v:shape>
                                                <v:shape id="_x0000_s1026" o:spid="_x0000_s1026" o:spt="32" type="#_x0000_t32" style="position:absolute;left:9618;top:540203;flip:y;height:212;width:409;" filled="f" stroked="t" coordsize="21600,21600" o:gfxdata="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KXOr4A&#10;AADcAAAADwAAAAAAAAABACAAAAAiAAAAZHJzL2Rvd25yZXYueG1sUEsBAhQAFAAAAAgAh07iQDMv&#10;BZ47AAAAOQAAABAAAAAAAAAAAQAgAAAADQEAAGRycy9zaGFwZXhtbC54bWxQSwUGAAAAAAYABgBb&#10;AQAAtwMAAAAA&#10;">
                                                  <v:fill on="f" focussize="0,0"/>
                                                  <v:stroke weight="1pt" color="#000000 [3204]" miterlimit="8" joinstyle="miter" dashstyle="1 1" endarrow="block"/>
                                                  <v:imagedata o:title=""/>
                                                  <o:lock v:ext="edit" aspectratio="f"/>
                                                </v:shape>
                                                <v:shape id="_x0000_s1026" o:spid="_x0000_s1026" o:spt="202" type="#_x0000_t202" style="position:absolute;left:10030;top:539947;height:463;width:2416;" fillcolor="#FFFFFF [3201]" filled="t" stroked="f" coordsize="21600,21600" o:gfxdata="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kKDii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5</w:t>
                                                        </w:r>
                                                        <w:r>
                                                          <w:rPr>
                                                            <w:rFonts w:hint="eastAsia" w:ascii="Times New Roman" w:hAnsi="Times New Roman" w:eastAsia="宋体" w:cs="宋体"/>
                                                            <w:lang w:val="en-US" w:eastAsia="zh-CN"/>
                                                          </w:rPr>
                                                          <w:t>、N</w:t>
                                                        </w:r>
                                                        <w:r>
                                                          <w:rPr>
                                                            <w:rFonts w:hint="eastAsia" w:cs="宋体"/>
                                                            <w:lang w:val="en-US" w:eastAsia="zh-CN"/>
                                                          </w:rPr>
                                                          <w:t>6、S4、S5</w:t>
                                                        </w:r>
                                                      </w:p>
                                                    </w:txbxContent>
                                                  </v:textbox>
                                                </v:shape>
                                                <v:shape id="_x0000_s1026" o:spid="_x0000_s1026" o:spt="32" type="#_x0000_t32" style="position:absolute;left:9710;top:541221;flip:y;height:213;width:409;" filled="f" stroked="t" coordsize="21600,21600" o:gfxdata="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kabTvQAA&#10;ANwAAAAPAAAAAAAAAAEAIAAAACIAAABkcnMvZG93bnJldi54bWxQSwECFAAUAAAACACHTuJAMy8F&#10;njsAAAA5AAAAEAAAAAAAAAABACAAAAAMAQAAZHJzL3NoYXBleG1sLnhtbFBLBQYAAAAABgAGAFsB&#10;AAC2AwAAAAA=&#10;">
                                                  <v:fill on="f" focussize="0,0"/>
                                                  <v:stroke weight="1pt" color="#000000 [3204]" miterlimit="8" joinstyle="miter" dashstyle="1 1" endarrow="block"/>
                                                  <v:imagedata o:title=""/>
                                                  <o:lock v:ext="edit" aspectratio="f"/>
                                                </v:shape>
                                                <v:shape id="_x0000_s1026" o:spid="_x0000_s1026" o:spt="202" type="#_x0000_t202" style="position:absolute;left:8979;top:537495;height:531;width:1387;" fillcolor="#FFFFFF [3201]" filled="t" stroked="t" coordsize="21600,21600" o:gfxdata="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LnuC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成缆</w:t>
                                                        </w:r>
                                                      </w:p>
                                                    </w:txbxContent>
                                                  </v:textbox>
                                                </v:shape>
                                                <v:shape id="文本框 160" o:spid="_x0000_s1026" o:spt="202" type="#_x0000_t202" style="position:absolute;left:9036;top:538418;height:564;width:1403;" fillcolor="#FFFFFF [3201]" filled="t" stroked="t" coordsize="21600,21600" o:gfxdata="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39UuR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挤护外套</w:t>
                                                        </w:r>
                                                      </w:p>
                                                    </w:txbxContent>
                                                  </v:textbox>
                                                </v:shape>
                                                <v:shape id="_x0000_s1026" o:spid="_x0000_s1026" o:spt="202" type="#_x0000_t202" style="position:absolute;left:8939;top:539409;height:531;width:1342;" fillcolor="#FFFFFF [3201]" filled="t" stroked="t" coordsize="21600,21600" o:gfxdata="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fV5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冷却</w:t>
                                                        </w:r>
                                                      </w:p>
                                                    </w:txbxContent>
                                                  </v:textbox>
                                                </v:shape>
                                                <v:shape id="_x0000_s1026" o:spid="_x0000_s1026" o:spt="202" type="#_x0000_t202" style="position:absolute;left:8834;top:540478;height:532;width:1668;" fillcolor="#FFFFFF [3201]" filled="t" stroked="t" coordsize="21600,21600" o:gfxdata="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a3B9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检验和喷码</w:t>
                                                        </w:r>
                                                      </w:p>
                                                    </w:txbxContent>
                                                  </v:textbox>
                                                </v:shape>
                                                <v:shape id="文本框 163" o:spid="_x0000_s1026" o:spt="202" type="#_x0000_t202" style="position:absolute;left:8984;top:541438;height:532;width:1388;" fillcolor="#FFFFFF [3201]" filled="t" stroked="t" coordsize="21600,21600" o:gfxdata="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C6Am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成缆</w:t>
                                                        </w:r>
                                                      </w:p>
                                                    </w:txbxContent>
                                                  </v:textbox>
                                                </v:shape>
                                              </v:group>
                                            </v:group>
                                            <v:shape id="_x0000_s1026" o:spid="_x0000_s1026" o:spt="32" type="#_x0000_t32" style="position:absolute;left:9541;top:546315;height:443;width:7;" filled="f" stroked="t" coordsize="21600,21600" o:gfxdata="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0SLO8AAAA&#10;3AAAAA8AAAAAAAAAAQAgAAAAIgAAAGRycy9kb3ducmV2LnhtbFBLAQIUABQAAAAIAIdO4kAzLwWe&#10;OwAAADkAAAAQAAAAAAAAAAEAIAAAAAsBAABkcnMvc2hhcGV4bWwueG1sUEsFBgAAAAAGAAYAWwEA&#10;ALUDAAAAAA==&#10;">
                                              <v:fill on="f" focussize="0,0"/>
                                              <v:stroke weight="0.5pt" color="#000000 [3204]" miterlimit="8" joinstyle="miter" endarrow="block"/>
                                              <v:imagedata o:title=""/>
                                              <o:lock v:ext="edit" aspectratio="f"/>
                                            </v:shape>
                                            <v:shape id="文本框 163" o:spid="_x0000_s1026" o:spt="202" type="#_x0000_t202" style="position:absolute;left:8864;top:546751;height:532;width:1388;" fillcolor="#FFFFFF [3201]" filled="t" stroked="t" coordsize="21600,21600" o:gfxdata="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s/iD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包装</w:t>
                                                    </w:r>
                                                  </w:p>
                                                </w:txbxContent>
                                              </v:textbox>
                                            </v:shape>
                                          </v:group>
                                          <v:shape id="_x0000_s1026" o:spid="_x0000_s1026" o:spt="32" type="#_x0000_t32" style="position:absolute;left:9779;top:546154;flip:y;height:202;width:376;" filled="f" stroked="t" coordsize="21600,21600" o:gfxdata="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fC2vQAA&#10;ANwAAAAPAAAAAAAAAAEAIAAAACIAAABkcnMvZG93bnJldi54bWxQSwECFAAUAAAACACHTuJAMy8F&#10;njsAAAA5AAAAEAAAAAAAAAABACAAAAAMAQAAZHJzL3NoYXBleG1sLnhtbFBLBQYAAAAABgAGAFsB&#10;AAC2AwAAAAA=&#10;">
                                            <v:fill on="f" focussize="0,0"/>
                                            <v:stroke weight="1pt" color="#000000 [3204]" miterlimit="8" joinstyle="miter" dashstyle="1 1" endarrow="block"/>
                                            <v:imagedata o:title=""/>
                                            <o:lock v:ext="edit" aspectratio="f"/>
                                          </v:shape>
                                        </v:group>
                                      </v:group>
                                    </v:group>
                                    <v:shape id="_x0000_s1026" o:spid="_x0000_s1026" o:spt="202" type="#_x0000_t202" style="position:absolute;left:6150;top:543370;height:2356;width:2055;" fillcolor="#FFFFFF [3201]" filled="t" stroked="t" coordsize="21600,21600" o:gfxdata="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740q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图例：</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废气：G</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废水：W</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噪声：N</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固废：S</w:t>
                                            </w:r>
                                          </w:p>
                                        </w:txbxContent>
                                      </v:textbox>
                                    </v:shape>
                                  </v:group>
                                  <v:group id="组合 49" o:spid="_x0000_s1026" o:spt="203" style="position:absolute;left:10220;top:605387;height:7505;width:4177;" coordorigin="10220,605387" coordsize="4177,7505"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直接箭头连接符 20" o:spid="_x0000_s1026" o:spt="32" type="#_x0000_t32" style="position:absolute;left:10220;top:607537;height:3;width:1927;" filled="f" stroked="t" coordsize="21600,21600" o:gfxdata="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srs+8AAAA&#10;2wAAAA8AAAAAAAAAAQAgAAAAIgAAAGRycy9kb3ducmV2LnhtbFBLAQIUABQAAAAIAIdO4kAzLwWe&#10;OwAAADkAAAAQAAAAAAAAAAEAIAAAAAsBAABkcnMvc2hhcGV4bWwueG1sUEsFBgAAAAAGAAYAWwEA&#10;ALUDAAAAAA==&#10;">
                                      <v:fill on="f" focussize="0,0"/>
                                      <v:stroke weight="1pt" color="#000000 [3204]" miterlimit="8" joinstyle="miter" dashstyle="1 1" endarrow="block"/>
                                      <v:imagedata o:title=""/>
                                      <o:lock v:ext="edit" aspectratio="f"/>
                                    </v:shape>
                                    <v:shape id="肘形连接符 27" o:spid="_x0000_s1026" o:spt="33" type="#_x0000_t33" style="position:absolute;left:10334;top:608100;flip:y;height:2892;width:2932;" filled="f" stroked="t" coordsize="21600,21600" o:gfxdata="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gaO74A&#10;AADbAAAADwAAAAAAAAABACAAAAAiAAAAZHJzL2Rvd25yZXYueG1sUEsBAhQAFAAAAAgAh07iQDMv&#10;BZ47AAAAOQAAABAAAAAAAAAAAQAgAAAADQEAAGRycy9zaGFwZXhtbC54bWxQSwUGAAAAAAYABgBb&#10;AQAAtwMAAAAA&#10;">
                                      <v:fill on="f" focussize="0,0"/>
                                      <v:stroke weight="1pt" color="#000000 [3204]" miterlimit="8" joinstyle="miter" dashstyle="1 1" endarrow="block"/>
                                      <v:imagedata o:title=""/>
                                      <o:lock v:ext="edit" aspectratio="f"/>
                                    </v:shape>
                                    <v:shape id="文本框 163" o:spid="_x0000_s1026" o:spt="202" type="#_x0000_t202" style="position:absolute;left:12147;top:606979;height:1119;width:2238;" fillcolor="#FFFFFF [3201]" filled="t" stroked="t" coordsize="21600,21600" o:gfxdata="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tsyr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水洗填料塔+活性炭吸附+脱附+催化燃烧20m排气筒</w:t>
                                            </w:r>
                                          </w:p>
                                        </w:txbxContent>
                                      </v:textbox>
                                    </v:shape>
                                    <v:shape id="肘形连接符 29" o:spid="_x0000_s1026" o:spt="33" type="#_x0000_t33" style="position:absolute;left:10391;top:608100;flip:y;height:4792;width:2875;" filled="f" stroked="t" coordsize="21600,21600" o:gfxdata="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Yh174A&#10;AADbAAAADwAAAAAAAAABACAAAAAiAAAAZHJzL2Rvd25yZXYueG1sUEsBAhQAFAAAAAgAh07iQDMv&#10;BZ47AAAAOQAAABAAAAAAAAAAAQAgAAAADQEAAGRycy9zaGFwZXhtbC54bWxQSwUGAAAAAAYABgBb&#10;AQAAtwMAAAAA&#10;">
                                      <v:fill on="f" focussize="0,0"/>
                                      <v:stroke weight="1pt" color="#000000 [3204]" miterlimit="8" joinstyle="miter" dashstyle="1 1" endarrow="block"/>
                                      <v:imagedata o:title=""/>
                                      <o:lock v:ext="edit" aspectratio="f"/>
                                    </v:shape>
                                    <v:shape id="直接箭头连接符 30" o:spid="_x0000_s1026" o:spt="32" type="#_x0000_t32" style="position:absolute;left:13139;top:605941;flip:y;height:1113;width:1;" filled="f" stroked="t" coordsize="21600,21600" o:gfxdata="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9m1K/&#10;AAAA2wAAAA8AAAAAAAAAAQAgAAAAIgAAAGRycy9kb3ducmV2LnhtbFBLAQIUABQAAAAIAIdO4kAz&#10;LwWeOwAAADkAAAAQAAAAAAAAAAEAIAAAAA4BAABkcnMvc2hhcGV4bWwueG1sUEsFBgAAAAAGAAYA&#10;WwEAALgDAAAAAA==&#10;">
                                      <v:fill on="f" focussize="0,0"/>
                                      <v:stroke weight="1pt" color="#000000 [3204]" miterlimit="8" joinstyle="miter" endarrow="open"/>
                                      <v:imagedata o:title=""/>
                                      <o:lock v:ext="edit" aspectratio="f"/>
                                    </v:shape>
                                    <v:shape id="文本框 163" o:spid="_x0000_s1026" o:spt="202" type="#_x0000_t202" style="position:absolute;left:12177;top:605387;height:557;width:1564;" fillcolor="#FFFFFF [3201]" filled="t" stroked="f" coordsize="21600,21600" o:gfxdata="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fQb+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jc w:val="center"/>
                                              <w:rPr>
                                                <w:rFonts w:hint="default"/>
                                                <w:lang w:val="en-US" w:eastAsia="zh-CN"/>
                                              </w:rPr>
                                            </w:pPr>
                                            <w:r>
                                              <w:rPr>
                                                <w:rFonts w:hint="eastAsia"/>
                                                <w:lang w:val="en-US" w:eastAsia="zh-CN"/>
                                              </w:rPr>
                                              <w:t>DA001</w:t>
                                            </w:r>
                                          </w:p>
                                        </w:txbxContent>
                                      </v:textbox>
                                    </v:shape>
                                    <v:shape id="文本框 48" o:spid="_x0000_s1026" o:spt="202" type="#_x0000_t202" style="position:absolute;left:13217;top:605831;height:1073;width:1180;" fillcolor="#FFFFFF [3201]" filled="t" stroked="f" coordsize="21600,21600" o:gfxdata="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N3A1c2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S</w:t>
                                            </w:r>
                                            <w:r>
                                              <w:rPr>
                                                <w:rFonts w:hint="eastAsia" w:cs="宋体"/>
                                                <w:lang w:val="en-US" w:eastAsia="zh-CN"/>
                                              </w:rPr>
                                              <w:t>6、S7、S8、S9、N7</w:t>
                                            </w:r>
                                          </w:p>
                                        </w:txbxContent>
                                      </v:textbox>
                                    </v:shape>
                                  </v:group>
                                </v:group>
                                <v:shape id="直接箭头连接符 46" o:spid="_x0000_s1026" o:spt="32" type="#_x0000_t32" style="position:absolute;left:13132;top:606852;flip:y;height:197;width:368;" filled="f" stroked="t" coordsize="21600,21600" o:gfxdata="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a8K4vQAA&#10;ANsAAAAPAAAAAAAAAAEAIAAAACIAAABkcnMvZG93bnJldi54bWxQSwECFAAUAAAACACHTuJAMy8F&#10;njsAAAA5AAAAEAAAAAAAAAABACAAAAAMAQAAZHJzL3NoYXBleG1sLnhtbFBLBQYAAAAABgAGAFsB&#10;AAC2AwAAAAA=&#10;">
                                  <v:fill on="f" focussize="0,0"/>
                                  <v:stroke weight="1pt" color="#000000 [3204]" miterlimit="8" joinstyle="miter" dashstyle="1 1" endarrow="block"/>
                                  <v:imagedata o:title=""/>
                                  <o:lock v:ext="edit" aspectratio="f"/>
                                </v:shape>
                              </v:group>
                              <v:group id="_x0000_s1026" o:spid="_x0000_s1026" o:spt="203" style="position:absolute;left:5225;top:551297;height:7761;width:2906;" coordorigin="5225,551297" coordsize="2906,7761"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5226;top:558193;height:865;width:2374;" fillcolor="#FFFFFF [3201]" filled="t" stroked="f" coordsize="21600,21600" o:gfxdata="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Ei6y1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jc w:val="center"/>
                                          <w:rPr>
                                            <w:rFonts w:hint="default" w:ascii="Times New Roman" w:hAnsi="Times New Roman" w:eastAsia="宋体" w:cs="宋体"/>
                                            <w:sz w:val="24"/>
                                            <w:szCs w:val="24"/>
                                            <w:lang w:val="en-US" w:eastAsia="zh-CN"/>
                                          </w:rPr>
                                        </w:pPr>
                                        <w:r>
                                          <w:rPr>
                                            <w:rFonts w:hint="eastAsia" w:cs="宋体"/>
                                            <w:sz w:val="24"/>
                                            <w:szCs w:val="24"/>
                                            <w:lang w:val="en-US" w:eastAsia="zh-CN"/>
                                          </w:rPr>
                                          <w:t>聚氯乙烯、</w:t>
                                        </w:r>
                                        <w:r>
                                          <w:rPr>
                                            <w:rFonts w:hint="eastAsia" w:ascii="Times New Roman" w:hAnsi="Times New Roman" w:eastAsia="宋体" w:cs="宋体"/>
                                            <w:color w:val="auto"/>
                                            <w:sz w:val="24"/>
                                            <w:szCs w:val="24"/>
                                            <w:lang w:val="en-US" w:eastAsia="zh-CN" w:bidi="ar-SA"/>
                                          </w:rPr>
                                          <w:t>低烟无卤阻燃聚烯烃电缆料</w:t>
                                        </w:r>
                                      </w:p>
                                    </w:txbxContent>
                                  </v:textbox>
                                </v:shape>
                                <v:shape id="直接箭头连接符 13" o:spid="_x0000_s1026" o:spt="32" type="#_x0000_t32" style="position:absolute;left:7551;top:558536;height:14;width:580;" filled="f" stroked="t" coordsize="21600,21600" o:gfxdata="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3l0gugAAANsA&#10;AAAPAAAAAAAAAAEAIAAAACIAAABkcnMvZG93bnJldi54bWxQSwECFAAUAAAACACHTuJAMy8FnjsA&#10;AAA5AAAAEAAAAAAAAAABACAAAAAJAQAAZHJzL3NoYXBleG1sLnhtbFBLBQYAAAAABgAGAFsBAACz&#10;AwAAAAA=&#10;">
                                  <v:fill on="f" focussize="0,0"/>
                                  <v:stroke weight="0.5pt" color="#000000 [3204]" miterlimit="8" joinstyle="miter" endarrow="block"/>
                                  <v:imagedata o:title=""/>
                                  <o:lock v:ext="edit" aspectratio="f"/>
                                </v:shape>
                                <v:shape id="_x0000_s1026" o:spid="_x0000_s1026" o:spt="34" type="#_x0000_t34" style="position:absolute;left:5225;top:551297;flip:y;height:7327;width:2729;rotation:11796480f;" filled="f" stroked="t" coordsize="21600,21600" o:gfxdata="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CtK8AAAA&#10;2wAAAA8AAAAAAAAAAQAgAAAAIgAAAGRycy9kb3ducmV2LnhtbFBLAQIUABQAAAAIAIdO4kAzLwWe&#10;OwAAADkAAAAQAAAAAAAAAAEAIAAAAAsBAABkcnMvc2hhcGV4bWwueG1sUEsFBgAAAAAGAAYAWwEA&#10;ALUDAAAAAA==&#10;" adj="22732">
                                  <v:fill on="f" focussize="0,0"/>
                                  <v:stroke weight="1pt" color="#000000 [3213]" miterlimit="8" joinstyle="miter" endarrow="block"/>
                                  <v:imagedata o:title=""/>
                                  <o:lock v:ext="edit" aspectratio="f"/>
                                </v:shape>
                              </v:group>
                            </v:group>
                            <v:group id="_x0000_s1026" o:spid="_x0000_s1026" o:spt="203" style="position:absolute;left:8034;top:572901;height:916;width:2520;" coordorigin="8266,573951" coordsize="2520,916"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文本框 30" o:spid="_x0000_s1026" o:spt="202" type="#_x0000_t202" style="position:absolute;left:9429;top:573951;height:429;width:1357;"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cs="宋体"/>
                                          <w:lang w:val="en-US" w:eastAsia="zh-CN"/>
                                        </w:rPr>
                                        <w:t>W1</w:t>
                                      </w:r>
                                    </w:p>
                                  </w:txbxContent>
                                </v:textbox>
                              </v:shape>
                              <v:shape id="_x0000_s1026" o:spid="_x0000_s1026" o:spt="32" type="#_x0000_t32" style="position:absolute;left:8953;top:574212;flip:y;height:194;width:368;" filled="f" stroked="t" coordsize="21600,21600" o:gfxdata="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bvcO5AAAA2wAA&#10;AA8AAAAAAAAAAQAgAAAAIgAAAGRycy9kb3ducmV2LnhtbFBLAQIUABQAAAAIAIdO4kAzLwWeOwAA&#10;ADkAAAAQAAAAAAAAAAEAIAAAAAgBAABkcnMvc2hhcGV4bWwueG1sUEsFBgAAAAAGAAYAWwEAALID&#10;AAAAAA==&#10;">
                                <v:fill on="f" focussize="0,0"/>
                                <v:stroke weight="1pt" color="#000000 [3204]" miterlimit="8" joinstyle="miter" dashstyle="1 1" endarrow="block"/>
                                <v:imagedata o:title=""/>
                                <o:lock v:ext="edit" aspectratio="f"/>
                              </v:shape>
                              <v:shape id="直接箭头连接符 35" o:spid="_x0000_s1026" o:spt="32" type="#_x0000_t32" style="position:absolute;left:8879;top:573977;flip:x;height:446;width:4;" filled="f" stroked="t" coordsize="21600,21600" o:gfxdata="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U+Zq8AAAA&#10;2wAAAA8AAAAAAAAAAQAgAAAAIgAAAGRycy9kb3ducmV2LnhtbFBLAQIUABQAAAAIAIdO4kAzLwWe&#10;OwAAADkAAAAQAAAAAAAAAAEAIAAAAAsBAABkcnMvc2hhcGV4bWwueG1sUEsFBgAAAAAGAAYAWwEA&#10;ALUDAAAAAA==&#10;">
                                <v:fill on="f" focussize="0,0"/>
                                <v:stroke weight="0.5pt" color="#000000 [3204]" miterlimit="8" joinstyle="miter" endarrow="block"/>
                                <v:imagedata o:title=""/>
                                <o:lock v:ext="edit" aspectratio="f"/>
                              </v:shape>
                              <v:shape id="_x0000_s1026" o:spid="_x0000_s1026" o:spt="202" type="#_x0000_t202" style="position:absolute;left:8266;top:574377;height:490;width:1290;" fillcolor="#FFFFFF [3201]" filled="t" stroked="t" coordsize="21600,21600" o:gfxdata="UEsDBAoAAAAAAIdO4kAAAAAAAAAAAAAAAAAEAAAAZHJzL1BLAwQUAAAACACHTuJATaNOmLcAAADb&#10;AAAADwAAAGRycy9kb3ducmV2LnhtbEWPwQrCMBBE74L/EFbwpqlVRK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o06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冷却</w:t>
                                      </w:r>
                                    </w:p>
                                  </w:txbxContent>
                                </v:textbox>
                              </v:shape>
                            </v:group>
                          </v:group>
                        </v:group>
                        <v:shape id="_x0000_s1026" o:spid="_x0000_s1026" o:spt="32" type="#_x0000_t32" style="position:absolute;left:9601;top:585488;height:408;width:6;" filled="f" stroked="t" coordsize="21600,21600" o:gfxdata="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hOq8AAAA&#10;2gAAAA8AAAAAAAAAAQAgAAAAIgAAAGRycy9kb3ducmV2LnhtbFBLAQIUABQAAAAIAIdO4kAzLwWe&#10;OwAAADkAAAAQAAAAAAAAAAEAIAAAAAsBAABkcnMvc2hhcGV4bWwueG1sUEsFBgAAAAAGAAYAWwEA&#10;ALUDAAAAAA==&#10;">
                          <v:fill on="f" focussize="0,0"/>
                          <v:stroke weight="0.5pt" color="#000000 [3204]" miterlimit="8" joinstyle="miter" endarrow="block"/>
                          <v:imagedata o:title=""/>
                          <o:lock v:ext="edit" aspectratio="f"/>
                        </v:shape>
                      </v:group>
                      <v:shape id="肘形连接符 27" o:spid="_x0000_s1026" o:spt="34" type="#_x0000_t34" style="position:absolute;left:10393;top:640417;flip:y;height:912;width:1751;" filled="f" stroked="t" coordsize="21600,21600" o:gfxdata="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e87vQAA&#10;ANsAAAAPAAAAAAAAAAEAIAAAACIAAABkcnMvZG93bnJldi54bWxQSwECFAAUAAAACACHTuJAMy8F&#10;njsAAAA5AAAAEAAAAAAAAAABACAAAAAMAQAAZHJzL3NoYXBleG1sLnhtbFBLBQYAAAAABgAGAFsB&#10;AAC2AwAAAAA=&#10;" adj="10806">
                        <v:fill on="f" focussize="0,0"/>
                        <v:stroke weight="1pt" color="#000000 [3204]" miterlimit="8" joinstyle="miter" dashstyle="1 1" endarrow="block"/>
                        <v:imagedata o:title=""/>
                        <o:lock v:ext="edit" aspectratio="f"/>
                      </v:shape>
                    </v:group>
                  </w:pict>
                </mc:Fallback>
              </mc:AlternateContent>
            </w: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widowControl w:val="0"/>
              <w:numPr>
                <w:ilvl w:val="0"/>
                <w:numId w:val="0"/>
              </w:numPr>
              <w:spacing w:line="320" w:lineRule="exact"/>
              <w:jc w:val="both"/>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widowControl w:val="0"/>
              <w:autoSpaceDE/>
              <w:autoSpaceDN/>
              <w:adjustRightInd/>
              <w:spacing w:after="120" w:line="240" w:lineRule="auto"/>
              <w:ind w:left="0" w:leftChars="0" w:firstLine="0" w:firstLineChars="0"/>
              <w:jc w:val="both"/>
              <w:textAlignment w:val="auto"/>
              <w:rPr>
                <w:rFonts w:hint="eastAsia" w:ascii="Times New Roman" w:hAnsi="Times New Roman" w:eastAsia="宋体" w:cs="宋体"/>
                <w:color w:val="auto"/>
                <w:kern w:val="2"/>
                <w:sz w:val="21"/>
                <w:szCs w:val="24"/>
                <w:lang w:val="en-US" w:eastAsia="zh-CN" w:bidi="ar-SA"/>
              </w:rPr>
            </w:pPr>
          </w:p>
          <w:p>
            <w:pPr>
              <w:rPr>
                <w:rFonts w:hint="eastAsia"/>
                <w:lang w:val="en-US" w:eastAsia="zh-CN"/>
              </w:rPr>
            </w:pPr>
          </w:p>
          <w:p>
            <w:pPr>
              <w:widowControl w:val="0"/>
              <w:autoSpaceDE w:val="0"/>
              <w:autoSpaceDN w:val="0"/>
              <w:adjustRightInd w:val="0"/>
              <w:spacing w:line="360" w:lineRule="auto"/>
              <w:jc w:val="both"/>
              <w:rPr>
                <w:rFonts w:hint="default"/>
                <w:lang w:val="en-US" w:eastAsia="zh-CN"/>
              </w:rPr>
            </w:pPr>
          </w:p>
          <w:p>
            <w:pPr>
              <w:bidi w:val="0"/>
              <w:rPr>
                <w:rFonts w:hint="default" w:ascii="Times New Roman" w:hAnsi="Times New Roman" w:eastAsia="宋体" w:cs="宋体"/>
                <w:color w:val="auto"/>
                <w:sz w:val="24"/>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both"/>
              <w:rPr>
                <w:rFonts w:hint="default"/>
                <w:b/>
                <w:bCs/>
                <w:lang w:val="en-US" w:eastAsia="zh-CN"/>
              </w:rPr>
            </w:pPr>
          </w:p>
          <w:p>
            <w:pPr>
              <w:bidi w:val="0"/>
              <w:jc w:val="center"/>
              <w:rPr>
                <w:rFonts w:hint="default"/>
                <w:b/>
                <w:bCs/>
                <w:lang w:val="en-US" w:eastAsia="zh-CN"/>
              </w:rPr>
            </w:pPr>
            <w:r>
              <w:rPr>
                <w:rFonts w:hint="default"/>
                <w:b/>
                <w:bCs/>
                <w:lang w:val="en-US" w:eastAsia="zh-CN"/>
              </w:rPr>
              <w:t>图2.</w:t>
            </w:r>
            <w:r>
              <w:rPr>
                <w:rFonts w:hint="eastAsia" w:ascii="Times New Roman" w:eastAsia="宋体"/>
                <w:b/>
                <w:bCs/>
                <w:lang w:val="en-US" w:eastAsia="zh-CN"/>
              </w:rPr>
              <w:t>8</w:t>
            </w:r>
            <w:r>
              <w:rPr>
                <w:rFonts w:hint="default"/>
                <w:b/>
                <w:bCs/>
                <w:lang w:val="en-US" w:eastAsia="zh-CN"/>
              </w:rPr>
              <w:t>-1  运营期电力电缆、控制电缆、架空绝缘电缆工艺流程及排污节点图</w:t>
            </w:r>
          </w:p>
          <w:p>
            <w:pPr>
              <w:spacing w:line="360" w:lineRule="auto"/>
              <w:rPr>
                <w:rFonts w:hint="eastAsia" w:ascii="Times New Roman" w:hAnsi="Times New Roman" w:eastAsia="宋体" w:cs="宋体"/>
                <w:lang w:val="en-US" w:eastAsia="zh-CN"/>
              </w:rPr>
            </w:pPr>
          </w:p>
          <w:p>
            <w:pPr>
              <w:spacing w:line="360" w:lineRule="auto"/>
              <w:ind w:firstLine="482"/>
              <w:rPr>
                <w:rFonts w:hint="default" w:ascii="Times New Roman" w:hAnsi="Times New Roman" w:eastAsia="宋体" w:cs="宋体"/>
                <w:lang w:val="en-US" w:eastAsia="zh-CN"/>
              </w:rPr>
            </w:pPr>
            <w:r>
              <w:rPr>
                <w:rFonts w:hint="eastAsia" w:ascii="Times New Roman" w:hAnsi="Times New Roman" w:eastAsia="宋体" w:cs="宋体"/>
                <w:lang w:val="en-US" w:eastAsia="zh-CN"/>
              </w:rPr>
              <w:t>本项目电线、防火电缆生产工艺部分工段与电力电缆、控制电缆、架空绝缘电缆保持一致。由于使用设备</w:t>
            </w:r>
            <w:r>
              <w:rPr>
                <w:rFonts w:hint="eastAsia" w:cs="宋体"/>
                <w:lang w:val="en-US" w:eastAsia="zh-CN"/>
              </w:rPr>
              <w:t>大多为共用设备</w:t>
            </w:r>
            <w:r>
              <w:rPr>
                <w:rFonts w:hint="eastAsia" w:ascii="Times New Roman" w:hAnsi="Times New Roman" w:eastAsia="宋体" w:cs="宋体"/>
                <w:lang w:val="en-US" w:eastAsia="zh-CN"/>
              </w:rPr>
              <w:t>，因此重复产污环节均统一标识。</w:t>
            </w:r>
          </w:p>
          <w:p>
            <w:pPr>
              <w:spacing w:line="360" w:lineRule="auto"/>
              <w:ind w:firstLine="482"/>
              <w:rPr>
                <w:rFonts w:hint="eastAsia" w:ascii="Times New Roman" w:hAnsi="Times New Roman" w:eastAsia="宋体" w:cs="宋体"/>
                <w:lang w:val="en-US" w:eastAsia="zh-CN"/>
              </w:rPr>
            </w:pPr>
            <w:r>
              <w:rPr>
                <w:rFonts w:hint="eastAsia" w:ascii="Times New Roman" w:hAnsi="Times New Roman" w:eastAsia="宋体" w:cs="宋体"/>
                <w:lang w:val="en-US" w:eastAsia="zh-CN"/>
              </w:rPr>
              <w:t>电线工艺流程简述如下：</w:t>
            </w:r>
          </w:p>
          <w:p>
            <w:pPr>
              <w:numPr>
                <w:ilvl w:val="0"/>
                <w:numId w:val="3"/>
              </w:numPr>
              <w:spacing w:line="360" w:lineRule="auto"/>
              <w:ind w:left="-2" w:leftChars="0" w:firstLine="482" w:firstLineChars="0"/>
              <w:rPr>
                <w:rFonts w:hint="eastAsia" w:ascii="Times New Roman" w:hAnsi="Times New Roman" w:eastAsia="宋体" w:cs="宋体"/>
                <w:lang w:val="en-US" w:eastAsia="zh-CN"/>
              </w:rPr>
            </w:pPr>
            <w:r>
              <w:rPr>
                <w:rFonts w:hint="eastAsia" w:ascii="Times New Roman" w:hAnsi="Times New Roman" w:eastAsia="宋体" w:cs="宋体"/>
                <w:lang w:val="en-US" w:eastAsia="zh-CN"/>
              </w:rPr>
              <w:t>物料入场</w:t>
            </w:r>
          </w:p>
          <w:p>
            <w:pPr>
              <w:numPr>
                <w:ilvl w:val="0"/>
                <w:numId w:val="0"/>
              </w:numPr>
              <w:spacing w:line="360" w:lineRule="auto"/>
              <w:ind w:firstLine="480" w:firstLineChars="200"/>
              <w:rPr>
                <w:rFonts w:hint="eastAsia" w:ascii="Times New Roman" w:hAnsi="Times New Roman" w:eastAsia="宋体" w:cs="宋体"/>
                <w:color w:val="auto"/>
                <w:sz w:val="24"/>
                <w:szCs w:val="22"/>
                <w:lang w:val="en-US" w:eastAsia="zh-CN" w:bidi="ar-SA"/>
              </w:rPr>
            </w:pPr>
            <w:r>
              <w:rPr>
                <w:rFonts w:hint="eastAsia" w:ascii="Times New Roman" w:hAnsi="Times New Roman" w:eastAsia="宋体" w:cs="宋体"/>
                <w:color w:val="auto"/>
                <w:sz w:val="24"/>
                <w:szCs w:val="22"/>
                <w:lang w:val="en-US" w:eastAsia="zh-CN" w:bidi="ar-SA"/>
              </w:rPr>
              <w:t>本项目原料均由汽车运输进场，进场后根据用量需要在车间内原料堆放区暂存，该过程主要会产生废包装材料S1。</w:t>
            </w:r>
          </w:p>
          <w:p>
            <w:pPr>
              <w:numPr>
                <w:ilvl w:val="0"/>
                <w:numId w:val="3"/>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铜、铝拉丝</w:t>
            </w:r>
          </w:p>
          <w:p>
            <w:pPr>
              <w:numPr>
                <w:ilvl w:val="0"/>
                <w:numId w:val="0"/>
              </w:numPr>
              <w:spacing w:line="360" w:lineRule="auto"/>
              <w:ind w:firstLine="480" w:firstLineChars="200"/>
              <w:rPr>
                <w:rFonts w:hint="default" w:ascii="Times New Roman" w:eastAsia="宋体"/>
                <w:lang w:val="en-US" w:eastAsia="zh-CN"/>
              </w:rPr>
            </w:pPr>
            <w:r>
              <w:rPr>
                <w:rFonts w:hint="eastAsia" w:ascii="Times New Roman" w:eastAsia="宋体"/>
                <w:lang w:val="en-US" w:eastAsia="zh-CN"/>
              </w:rPr>
              <w:t>利用铜、铝杆拉丝，拉丝与电缆生产线均在同一套设备进行。此部分</w:t>
            </w:r>
            <w:r>
              <w:rPr>
                <w:rFonts w:hint="eastAsia"/>
                <w:lang w:val="en-US" w:eastAsia="zh-CN"/>
              </w:rPr>
              <w:t>拉丝油</w:t>
            </w:r>
            <w:r>
              <w:rPr>
                <w:rFonts w:hint="eastAsia" w:ascii="Times New Roman" w:eastAsia="宋体"/>
                <w:lang w:val="en-US" w:eastAsia="zh-CN"/>
              </w:rPr>
              <w:t>产生</w:t>
            </w:r>
            <w:r>
              <w:rPr>
                <w:rFonts w:hint="eastAsia"/>
                <w:lang w:val="en-US" w:eastAsia="zh-CN"/>
              </w:rPr>
              <w:t>拉丝有机废气G1以及</w:t>
            </w:r>
            <w:r>
              <w:rPr>
                <w:rFonts w:hint="eastAsia" w:ascii="Times New Roman" w:eastAsia="宋体"/>
                <w:lang w:val="en-US" w:eastAsia="zh-CN"/>
              </w:rPr>
              <w:t>拉丝机机械设备运行噪声N1。</w:t>
            </w:r>
          </w:p>
          <w:p>
            <w:pPr>
              <w:numPr>
                <w:ilvl w:val="0"/>
                <w:numId w:val="3"/>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退火</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电线导体经过拉丝加工后，进行退火处理。</w:t>
            </w:r>
          </w:p>
          <w:p>
            <w:pPr>
              <w:numPr>
                <w:ilvl w:val="0"/>
                <w:numId w:val="3"/>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绞丝</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导电线芯采取多根单丝绞合而成，绞丝与电缆生产线均在同一套设备进行。此部分还会产生绞丝机机械设备运行噪声N2、废金属线S2。</w:t>
            </w:r>
          </w:p>
          <w:p>
            <w:pPr>
              <w:numPr>
                <w:ilvl w:val="0"/>
                <w:numId w:val="3"/>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挤塑</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经绞制机绞制后的单丝导体或复丝，</w:t>
            </w:r>
            <w:r>
              <w:rPr>
                <w:rFonts w:hint="eastAsia"/>
                <w:lang w:val="en-US" w:eastAsia="zh-CN"/>
              </w:rPr>
              <w:t>根据不同电线需求，分别添加聚乙烯、聚氯乙烯或者低烟无卤阻燃聚烯烃电缆料</w:t>
            </w:r>
            <w:r>
              <w:rPr>
                <w:rFonts w:hint="eastAsia" w:ascii="Times New Roman" w:eastAsia="宋体"/>
                <w:lang w:val="en-US" w:eastAsia="zh-CN"/>
              </w:rPr>
              <w:t>将金属包裹起来，采用</w:t>
            </w:r>
            <w:r>
              <w:rPr>
                <w:rFonts w:hint="eastAsia"/>
                <w:lang w:val="en-US" w:eastAsia="zh-CN"/>
              </w:rPr>
              <w:t>一层</w:t>
            </w:r>
            <w:r>
              <w:rPr>
                <w:rFonts w:hint="eastAsia" w:ascii="Times New Roman" w:eastAsia="宋体"/>
                <w:lang w:val="en-US" w:eastAsia="zh-CN"/>
              </w:rPr>
              <w:t>共挤技术，挤塑与电缆生产线均在挤出机进行。挤塑会产生少量</w:t>
            </w:r>
            <w:r>
              <w:rPr>
                <w:rFonts w:hint="eastAsia"/>
                <w:lang w:val="en-US" w:eastAsia="zh-CN"/>
              </w:rPr>
              <w:t>挤塑</w:t>
            </w:r>
            <w:r>
              <w:rPr>
                <w:rFonts w:hint="eastAsia" w:ascii="Times New Roman" w:eastAsia="宋体"/>
                <w:lang w:val="en-US" w:eastAsia="zh-CN"/>
              </w:rPr>
              <w:t>废气G</w:t>
            </w:r>
            <w:r>
              <w:rPr>
                <w:rFonts w:hint="eastAsia"/>
                <w:lang w:val="en-US" w:eastAsia="zh-CN"/>
              </w:rPr>
              <w:t>2</w:t>
            </w:r>
            <w:r>
              <w:rPr>
                <w:rFonts w:hint="eastAsia" w:ascii="Times New Roman" w:eastAsia="宋体"/>
                <w:lang w:val="en-US" w:eastAsia="zh-CN"/>
              </w:rPr>
              <w:t>、废塑料S3以及挤出机设备运行噪声N3。</w:t>
            </w:r>
          </w:p>
          <w:p>
            <w:pPr>
              <w:numPr>
                <w:ilvl w:val="0"/>
                <w:numId w:val="3"/>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紫外光交联</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挤出绝缘后的半成品经紫外光交联设备进行紫外光交联</w:t>
            </w:r>
            <w:r>
              <w:rPr>
                <w:rFonts w:hint="eastAsia"/>
                <w:lang w:val="en-US" w:eastAsia="zh-CN"/>
              </w:rPr>
              <w:t>，仅使用聚乙烯、低烟无卤阻燃聚烯烃电缆料挤塑的需要进行</w:t>
            </w:r>
            <w:r>
              <w:rPr>
                <w:rFonts w:hint="eastAsia" w:ascii="Times New Roman" w:eastAsia="宋体"/>
                <w:lang w:val="en-US" w:eastAsia="zh-CN"/>
              </w:rPr>
              <w:t>紫外光交联，</w:t>
            </w:r>
            <w:r>
              <w:rPr>
                <w:rFonts w:hint="eastAsia"/>
                <w:lang w:val="en-US" w:eastAsia="zh-CN"/>
              </w:rPr>
              <w:t>此部分会产生交联废气G3、紫外光交联设备运行噪声N4</w:t>
            </w:r>
            <w:r>
              <w:rPr>
                <w:rFonts w:hint="eastAsia" w:ascii="Times New Roman" w:eastAsia="宋体"/>
                <w:lang w:val="en-US" w:eastAsia="zh-CN"/>
              </w:rPr>
              <w:t>。</w:t>
            </w:r>
          </w:p>
          <w:p>
            <w:pPr>
              <w:numPr>
                <w:ilvl w:val="0"/>
                <w:numId w:val="3"/>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冷却</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挤塑后的绝缘线芯表面温度较高，经冷却水冷却成型，冷却水W1循环使用。</w:t>
            </w:r>
          </w:p>
          <w:p>
            <w:pPr>
              <w:numPr>
                <w:ilvl w:val="0"/>
                <w:numId w:val="3"/>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检验和喷码</w:t>
            </w:r>
          </w:p>
          <w:p>
            <w:pPr>
              <w:numPr>
                <w:ilvl w:val="0"/>
                <w:numId w:val="0"/>
              </w:numPr>
              <w:spacing w:line="360" w:lineRule="auto"/>
              <w:ind w:firstLine="480" w:firstLineChars="200"/>
              <w:rPr>
                <w:rFonts w:hint="default" w:ascii="Times New Roman" w:eastAsia="宋体"/>
                <w:lang w:val="en-US" w:eastAsia="zh-CN"/>
              </w:rPr>
            </w:pPr>
            <w:r>
              <w:rPr>
                <w:rFonts w:hint="eastAsia" w:ascii="Times New Roman" w:eastAsia="宋体"/>
                <w:lang w:val="en-US" w:eastAsia="zh-CN"/>
              </w:rPr>
              <w:t>成品电线送至耐压试验区，按照产品相关标准依次检验。符合出厂标准后均在车间内进行标识喷码，此部分会产生喷码有机废气G</w:t>
            </w:r>
            <w:r>
              <w:rPr>
                <w:rFonts w:hint="eastAsia"/>
                <w:lang w:val="en-US" w:eastAsia="zh-CN"/>
              </w:rPr>
              <w:t>5</w:t>
            </w:r>
            <w:r>
              <w:rPr>
                <w:rFonts w:hint="eastAsia" w:ascii="Times New Roman" w:eastAsia="宋体"/>
                <w:lang w:val="en-US" w:eastAsia="zh-CN"/>
              </w:rPr>
              <w:t>、不合格品S4、废油墨盒S5、喷码机设备运行噪声N</w:t>
            </w:r>
            <w:r>
              <w:rPr>
                <w:rFonts w:hint="eastAsia"/>
                <w:lang w:val="en-US" w:eastAsia="zh-CN"/>
              </w:rPr>
              <w:t>6</w:t>
            </w:r>
            <w:r>
              <w:rPr>
                <w:rFonts w:hint="eastAsia" w:ascii="Times New Roman" w:eastAsia="宋体"/>
                <w:lang w:val="en-US" w:eastAsia="zh-CN"/>
              </w:rPr>
              <w:t>。</w:t>
            </w:r>
          </w:p>
          <w:p>
            <w:pPr>
              <w:numPr>
                <w:ilvl w:val="0"/>
                <w:numId w:val="3"/>
              </w:numPr>
              <w:spacing w:line="360" w:lineRule="auto"/>
              <w:ind w:left="-2" w:leftChars="0" w:firstLine="482" w:firstLineChars="0"/>
              <w:rPr>
                <w:rFonts w:hint="eastAsia" w:ascii="Times New Roman" w:eastAsia="宋体"/>
                <w:lang w:val="en-US" w:eastAsia="zh-CN"/>
              </w:rPr>
            </w:pPr>
            <w:r>
              <w:rPr>
                <w:rFonts w:hint="eastAsia" w:ascii="Times New Roman" w:eastAsia="宋体"/>
                <w:lang w:val="en-US" w:eastAsia="zh-CN"/>
              </w:rPr>
              <w:t>包装成品</w:t>
            </w:r>
          </w:p>
          <w:p>
            <w:pPr>
              <w:numPr>
                <w:ilvl w:val="0"/>
                <w:numId w:val="0"/>
              </w:numPr>
              <w:spacing w:line="360" w:lineRule="auto"/>
              <w:ind w:left="480" w:leftChars="0"/>
              <w:rPr>
                <w:rFonts w:hint="default"/>
                <w:lang w:val="en-US" w:eastAsia="zh-CN"/>
              </w:rPr>
            </w:pPr>
            <w:r>
              <w:rPr>
                <w:rFonts w:hint="eastAsia" w:ascii="Times New Roman" w:eastAsia="宋体"/>
                <w:lang w:val="en-US" w:eastAsia="zh-CN"/>
              </w:rPr>
              <w:t>电缆加工完成后按照相应长度包装，此过程产生部分废包装材料S1。</w:t>
            </w:r>
          </w:p>
          <w:p>
            <w:pPr>
              <w:widowControl w:val="0"/>
              <w:numPr>
                <w:ilvl w:val="0"/>
                <w:numId w:val="0"/>
              </w:numPr>
              <w:spacing w:line="320" w:lineRule="exact"/>
              <w:jc w:val="both"/>
              <w:rPr>
                <w:rFonts w:hint="eastAsia"/>
                <w:lang w:val="en-US" w:eastAsia="zh-CN"/>
              </w:rPr>
            </w:pPr>
            <w:r>
              <w:rPr>
                <w:sz w:val="24"/>
              </w:rPr>
              <mc:AlternateContent>
                <mc:Choice Requires="wpg">
                  <w:drawing>
                    <wp:anchor distT="0" distB="0" distL="114300" distR="114300" simplePos="0" relativeHeight="251669504" behindDoc="0" locked="0" layoutInCell="1" allowOverlap="1">
                      <wp:simplePos x="0" y="0"/>
                      <wp:positionH relativeFrom="column">
                        <wp:posOffset>31750</wp:posOffset>
                      </wp:positionH>
                      <wp:positionV relativeFrom="paragraph">
                        <wp:posOffset>106045</wp:posOffset>
                      </wp:positionV>
                      <wp:extent cx="5313680" cy="26395680"/>
                      <wp:effectExtent l="4445" t="0" r="15875" b="7620"/>
                      <wp:wrapNone/>
                      <wp:docPr id="66" name="组合 66"/>
                      <wp:cNvGraphicFramePr/>
                      <a:graphic xmlns:a="http://schemas.openxmlformats.org/drawingml/2006/main">
                        <a:graphicData uri="http://schemas.microsoft.com/office/word/2010/wordprocessingGroup">
                          <wpg:wgp>
                            <wpg:cNvGrpSpPr/>
                            <wpg:grpSpPr>
                              <a:xfrm>
                                <a:off x="0" y="0"/>
                                <a:ext cx="5313680" cy="26395680"/>
                                <a:chOff x="5993" y="670555"/>
                                <a:chExt cx="8368" cy="41568"/>
                              </a:xfrm>
                            </wpg:grpSpPr>
                            <wpg:grpSp>
                              <wpg:cNvPr id="459" name="组合 459"/>
                              <wpg:cNvGrpSpPr/>
                              <wpg:grpSpPr>
                                <a:xfrm>
                                  <a:off x="5993" y="670555"/>
                                  <a:ext cx="8368" cy="41568"/>
                                  <a:chOff x="5139" y="584086"/>
                                  <a:chExt cx="8368" cy="41568"/>
                                </a:xfrm>
                              </wpg:grpSpPr>
                              <wpg:grpSp>
                                <wpg:cNvPr id="380" name="组合 380"/>
                                <wpg:cNvGrpSpPr/>
                                <wpg:grpSpPr>
                                  <a:xfrm>
                                    <a:off x="5139" y="584086"/>
                                    <a:ext cx="8369" cy="41568"/>
                                    <a:chOff x="5112" y="586813"/>
                                    <a:chExt cx="8369" cy="41568"/>
                                  </a:xfrm>
                                </wpg:grpSpPr>
                                <wpg:grpSp>
                                  <wpg:cNvPr id="259" name="组合 259"/>
                                  <wpg:cNvGrpSpPr/>
                                  <wpg:grpSpPr>
                                    <a:xfrm>
                                      <a:off x="5112" y="586813"/>
                                      <a:ext cx="8369" cy="41568"/>
                                      <a:chOff x="5112" y="566888"/>
                                      <a:chExt cx="8369" cy="41566"/>
                                    </a:xfrm>
                                  </wpg:grpSpPr>
                                  <wpg:grpSp>
                                    <wpg:cNvPr id="261" name="组合 33"/>
                                    <wpg:cNvGrpSpPr/>
                                    <wpg:grpSpPr>
                                      <a:xfrm rot="0">
                                        <a:off x="5112" y="566888"/>
                                        <a:ext cx="8369" cy="41566"/>
                                        <a:chOff x="6082" y="602574"/>
                                        <a:chExt cx="8369" cy="41835"/>
                                      </a:xfrm>
                                    </wpg:grpSpPr>
                                    <wpg:grpSp>
                                      <wpg:cNvPr id="262" name="组合 51"/>
                                      <wpg:cNvGrpSpPr/>
                                      <wpg:grpSpPr>
                                        <a:xfrm>
                                          <a:off x="6082" y="602574"/>
                                          <a:ext cx="8369" cy="41835"/>
                                          <a:chOff x="6082" y="602574"/>
                                          <a:chExt cx="8369" cy="41835"/>
                                        </a:xfrm>
                                      </wpg:grpSpPr>
                                      <wpg:grpSp>
                                        <wpg:cNvPr id="263" name="组合 330"/>
                                        <wpg:cNvGrpSpPr/>
                                        <wpg:grpSpPr>
                                          <a:xfrm>
                                            <a:off x="6082" y="602574"/>
                                            <a:ext cx="6501" cy="41835"/>
                                            <a:chOff x="6082" y="534090"/>
                                            <a:chExt cx="6501" cy="41835"/>
                                          </a:xfrm>
                                        </wpg:grpSpPr>
                                        <wpg:grpSp>
                                          <wpg:cNvPr id="270" name="组合 326"/>
                                          <wpg:cNvGrpSpPr/>
                                          <wpg:grpSpPr>
                                            <a:xfrm rot="0">
                                              <a:off x="6322" y="534090"/>
                                              <a:ext cx="6261" cy="41835"/>
                                              <a:chOff x="6305" y="534090"/>
                                              <a:chExt cx="6397" cy="43287"/>
                                            </a:xfrm>
                                          </wpg:grpSpPr>
                                          <wps:wsp>
                                            <wps:cNvPr id="271" name="文本框 30"/>
                                            <wps:cNvSpPr txBox="1"/>
                                            <wps:spPr>
                                              <a:xfrm>
                                                <a:off x="10202" y="542363"/>
                                                <a:ext cx="1463" cy="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S1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72" name="组合 319"/>
                                            <wpg:cNvGrpSpPr/>
                                            <wpg:grpSpPr>
                                              <a:xfrm>
                                                <a:off x="6305" y="534090"/>
                                                <a:ext cx="6397" cy="43287"/>
                                                <a:chOff x="5860" y="534032"/>
                                                <a:chExt cx="6959" cy="45055"/>
                                              </a:xfrm>
                                            </wpg:grpSpPr>
                                            <wpg:grpSp>
                                              <wpg:cNvPr id="273" name="组合 316"/>
                                              <wpg:cNvGrpSpPr/>
                                              <wpg:grpSpPr>
                                                <a:xfrm>
                                                  <a:off x="5860" y="534032"/>
                                                  <a:ext cx="6959" cy="45055"/>
                                                  <a:chOff x="5800" y="534422"/>
                                                  <a:chExt cx="6959" cy="45055"/>
                                                </a:xfrm>
                                              </wpg:grpSpPr>
                                              <wpg:grpSp>
                                                <wpg:cNvPr id="274" name="组合 168"/>
                                                <wpg:cNvGrpSpPr/>
                                                <wpg:grpSpPr>
                                                  <a:xfrm>
                                                    <a:off x="5800" y="534422"/>
                                                    <a:ext cx="6959" cy="45055"/>
                                                    <a:chOff x="6012" y="500895"/>
                                                    <a:chExt cx="6959" cy="45055"/>
                                                  </a:xfrm>
                                                </wpg:grpSpPr>
                                                <wps:wsp>
                                                  <wps:cNvPr id="275" name="文本框 30"/>
                                                  <wps:cNvSpPr txBox="1"/>
                                                  <wps:spPr>
                                                    <a:xfrm>
                                                      <a:off x="10158" y="506512"/>
                                                      <a:ext cx="1592" cy="4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cs="宋体"/>
                                                            <w:lang w:val="en-US" w:eastAsia="zh-CN"/>
                                                          </w:rPr>
                                                          <w:t>G3、N4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6" name="文本框 12"/>
                                                  <wps:cNvSpPr txBox="1"/>
                                                  <wps:spPr>
                                                    <a:xfrm>
                                                      <a:off x="6012" y="505632"/>
                                                      <a:ext cx="2339" cy="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sz w:val="24"/>
                                                            <w:szCs w:val="24"/>
                                                            <w:lang w:val="en-US" w:eastAsia="zh-CN"/>
                                                          </w:rPr>
                                                        </w:pPr>
                                                        <w:r>
                                                          <w:rPr>
                                                            <w:rFonts w:hint="eastAsia" w:cs="宋体"/>
                                                            <w:lang w:val="en-US" w:eastAsia="zh-CN"/>
                                                          </w:rPr>
                                                          <w:t>聚乙烯/</w:t>
                                                        </w:r>
                                                        <w:r>
                                                          <w:rPr>
                                                            <w:rFonts w:hint="eastAsia" w:cs="宋体"/>
                                                            <w:sz w:val="24"/>
                                                            <w:szCs w:val="24"/>
                                                            <w:lang w:val="en-US" w:eastAsia="zh-CN"/>
                                                          </w:rPr>
                                                          <w:t>聚氯乙烯/</w:t>
                                                        </w:r>
                                                        <w:r>
                                                          <w:rPr>
                                                            <w:rFonts w:hint="eastAsia" w:ascii="Times New Roman" w:hAnsi="Times New Roman" w:eastAsia="宋体" w:cs="宋体"/>
                                                            <w:color w:val="auto"/>
                                                            <w:sz w:val="24"/>
                                                            <w:szCs w:val="24"/>
                                                            <w:lang w:val="en-US" w:eastAsia="zh-CN" w:bidi="ar-SA"/>
                                                          </w:rPr>
                                                          <w:t>低烟无卤阻燃聚烯烃电缆料</w:t>
                                                        </w:r>
                                                      </w:p>
                                                      <w:p>
                                                        <w:pPr>
                                                          <w:jc w:val="center"/>
                                                          <w:rPr>
                                                            <w:rFonts w:hint="default" w:ascii="Times New Roman" w:hAnsi="Times New Roman" w:eastAsia="宋体" w:cs="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7" name="直接箭头连接符 13"/>
                                                  <wps:cNvCnPr/>
                                                  <wps:spPr>
                                                    <a:xfrm>
                                                      <a:off x="8325" y="506247"/>
                                                      <a:ext cx="644" cy="15"/>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78" name="文本框 14"/>
                                                  <wps:cNvSpPr txBox="1"/>
                                                  <wps:spPr>
                                                    <a:xfrm>
                                                      <a:off x="10093" y="504419"/>
                                                      <a:ext cx="1577" cy="4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N</w:t>
                                                        </w:r>
                                                        <w:r>
                                                          <w:rPr>
                                                            <w:rFonts w:hint="eastAsia" w:cs="宋体"/>
                                                            <w:lang w:val="en-US" w:eastAsia="zh-CN"/>
                                                          </w:rPr>
                                                          <w:t>2、S2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0" name="文本框 38"/>
                                                  <wps:cNvSpPr txBox="1"/>
                                                  <wps:spPr>
                                                    <a:xfrm>
                                                      <a:off x="11225" y="509882"/>
                                                      <a:ext cx="1746"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 name="文本框 143"/>
                                                  <wps:cNvSpPr txBox="1"/>
                                                  <wps:spPr>
                                                    <a:xfrm>
                                                      <a:off x="6891" y="500895"/>
                                                      <a:ext cx="5664" cy="5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铜丝、铝丝</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2" name="文本框 144"/>
                                                  <wps:cNvSpPr txBox="1"/>
                                                  <wps:spPr>
                                                    <a:xfrm>
                                                      <a:off x="10105" y="501296"/>
                                                      <a:ext cx="2147" cy="4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cs="宋体"/>
                                                            <w:lang w:val="en-US" w:eastAsia="zh-CN"/>
                                                          </w:rPr>
                                                          <w:t>S1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3" name="文本框 7"/>
                                                  <wps:cNvSpPr txBox="1"/>
                                                  <wps:spPr>
                                                    <a:xfrm>
                                                      <a:off x="8859" y="501768"/>
                                                      <a:ext cx="1703"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原料堆放区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5" name="直接箭头连接符 146"/>
                                                  <wps:cNvCnPr/>
                                                  <wps:spPr>
                                                    <a:xfrm>
                                                      <a:off x="9693" y="501337"/>
                                                      <a:ext cx="6"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86" name="直接箭头连接符 147"/>
                                                  <wps:cNvCnPr/>
                                                  <wps:spPr>
                                                    <a:xfrm flipV="1">
                                                      <a:off x="9757" y="501527"/>
                                                      <a:ext cx="409" cy="212"/>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0" name="直接箭头连接符 148"/>
                                                  <wps:cNvCnPr>
                                                    <a:endCxn id="90" idx="0"/>
                                                  </wps:cNvCnPr>
                                                  <wps:spPr>
                                                    <a:xfrm>
                                                      <a:off x="6804" y="545362"/>
                                                      <a:ext cx="13" cy="588"/>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15" name="直接箭头连接符 149"/>
                                                  <wps:cNvCnPr/>
                                                  <wps:spPr>
                                                    <a:xfrm>
                                                      <a:off x="9633" y="503437"/>
                                                      <a:ext cx="6"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16" name="直接箭头连接符 150"/>
                                                  <wps:cNvCnPr/>
                                                  <wps:spPr>
                                                    <a:xfrm>
                                                      <a:off x="9648" y="504457"/>
                                                      <a:ext cx="6"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19" name="直接箭头连接符 151"/>
                                                  <wps:cNvCnPr/>
                                                  <wps:spPr>
                                                    <a:xfrm>
                                                      <a:off x="9648" y="505507"/>
                                                      <a:ext cx="6"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26" name="直接箭头连接符 152"/>
                                                  <wps:cNvCnPr/>
                                                  <wps:spPr>
                                                    <a:xfrm>
                                                      <a:off x="9663" y="506527"/>
                                                      <a:ext cx="6"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27" name="直接箭头连接符 153"/>
                                                  <wps:cNvCnPr/>
                                                  <wps:spPr>
                                                    <a:xfrm flipV="1">
                                                      <a:off x="9757" y="502622"/>
                                                      <a:ext cx="409" cy="212"/>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28" name="直接箭头连接符 154"/>
                                                  <wps:cNvCnPr/>
                                                  <wps:spPr>
                                                    <a:xfrm flipV="1">
                                                      <a:off x="9712" y="504722"/>
                                                      <a:ext cx="409" cy="212"/>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30" name="直接箭头连接符 155"/>
                                                  <wps:cNvCnPr/>
                                                  <wps:spPr>
                                                    <a:xfrm flipV="1">
                                                      <a:off x="9697" y="505697"/>
                                                      <a:ext cx="409" cy="212"/>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31" name="文本框 156"/>
                                                  <wps:cNvSpPr txBox="1"/>
                                                  <wps:spPr>
                                                    <a:xfrm>
                                                      <a:off x="10108" y="505501"/>
                                                      <a:ext cx="2279" cy="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2</w:t>
                                                        </w:r>
                                                        <w:r>
                                                          <w:rPr>
                                                            <w:rFonts w:hint="eastAsia" w:ascii="Times New Roman" w:hAnsi="Times New Roman" w:eastAsia="宋体" w:cs="宋体"/>
                                                            <w:lang w:val="en-US" w:eastAsia="zh-CN"/>
                                                          </w:rPr>
                                                          <w:t>、S</w:t>
                                                        </w:r>
                                                        <w:r>
                                                          <w:rPr>
                                                            <w:rFonts w:hint="eastAsia" w:cs="宋体"/>
                                                            <w:lang w:val="en-US" w:eastAsia="zh-CN"/>
                                                          </w:rPr>
                                                          <w:t>3、N3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2" name="直接箭头连接符 158"/>
                                                  <wps:cNvCnPr/>
                                                  <wps:spPr>
                                                    <a:xfrm flipV="1">
                                                      <a:off x="9712" y="506747"/>
                                                      <a:ext cx="409" cy="212"/>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33" name="文本框 159"/>
                                                  <wps:cNvSpPr txBox="1"/>
                                                  <wps:spPr>
                                                    <a:xfrm>
                                                      <a:off x="8997" y="502915"/>
                                                      <a:ext cx="1387"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拉丝</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4" name="文本框 160"/>
                                                  <wps:cNvSpPr txBox="1"/>
                                                  <wps:spPr>
                                                    <a:xfrm>
                                                      <a:off x="9022" y="503896"/>
                                                      <a:ext cx="1403"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退火</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5" name="文本框 161"/>
                                                  <wps:cNvSpPr txBox="1"/>
                                                  <wps:spPr>
                                                    <a:xfrm>
                                                      <a:off x="9016" y="504902"/>
                                                      <a:ext cx="1388"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绞丝</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6" name="文本框 162"/>
                                                  <wps:cNvSpPr txBox="1"/>
                                                  <wps:spPr>
                                                    <a:xfrm>
                                                      <a:off x="8956" y="505972"/>
                                                      <a:ext cx="1388"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挤塑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7" name="文本框 163"/>
                                                  <wps:cNvSpPr txBox="1"/>
                                                  <wps:spPr>
                                                    <a:xfrm>
                                                      <a:off x="8771" y="506964"/>
                                                      <a:ext cx="1753"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紫外光交联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8" name="文本框 165"/>
                                                  <wps:cNvSpPr txBox="1"/>
                                                  <wps:spPr>
                                                    <a:xfrm>
                                                      <a:off x="10138" y="502381"/>
                                                      <a:ext cx="2655" cy="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cs="宋体"/>
                                                            <w:lang w:val="en-US" w:eastAsia="zh-CN"/>
                                                          </w:rPr>
                                                          <w:t>G1、N1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9" name="直接箭头连接符 167"/>
                                                  <wps:cNvCnPr/>
                                                  <wps:spPr>
                                                    <a:xfrm flipV="1">
                                                      <a:off x="10443" y="510170"/>
                                                      <a:ext cx="808" cy="2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grpSp>
                                                <wpg:cNvPr id="340" name="组合 315"/>
                                                <wpg:cNvGrpSpPr/>
                                                <wpg:grpSpPr>
                                                  <a:xfrm>
                                                    <a:off x="8699" y="541915"/>
                                                    <a:ext cx="3480" cy="1011"/>
                                                    <a:chOff x="8879" y="537130"/>
                                                    <a:chExt cx="3480" cy="1011"/>
                                                  </a:xfrm>
                                                </wpg:grpSpPr>
                                                <wps:wsp>
                                                  <wps:cNvPr id="345" name="直接箭头连接符 151"/>
                                                  <wps:cNvCnPr/>
                                                  <wps:spPr>
                                                    <a:xfrm>
                                                      <a:off x="9661" y="537130"/>
                                                      <a:ext cx="7" cy="442"/>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48" name="直接箭头连接符 307"/>
                                                  <wps:cNvCnPr/>
                                                  <wps:spPr>
                                                    <a:xfrm flipV="1">
                                                      <a:off x="9694" y="537292"/>
                                                      <a:ext cx="409" cy="211"/>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49" name="文本框 308"/>
                                                  <wps:cNvSpPr txBox="1"/>
                                                  <wps:spPr>
                                                    <a:xfrm>
                                                      <a:off x="10091" y="537257"/>
                                                      <a:ext cx="2268" cy="4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5</w:t>
                                                        </w:r>
                                                        <w:r>
                                                          <w:rPr>
                                                            <w:rFonts w:hint="eastAsia" w:ascii="Times New Roman" w:hAnsi="Times New Roman" w:eastAsia="宋体" w:cs="宋体"/>
                                                            <w:lang w:val="en-US" w:eastAsia="zh-CN"/>
                                                          </w:rPr>
                                                          <w:t>、N</w:t>
                                                        </w:r>
                                                        <w:r>
                                                          <w:rPr>
                                                            <w:rFonts w:hint="eastAsia" w:cs="宋体"/>
                                                            <w:lang w:val="en-US" w:eastAsia="zh-CN"/>
                                                          </w:rPr>
                                                          <w:t>6、S4、S5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4" name="文本框 313"/>
                                                  <wps:cNvSpPr txBox="1"/>
                                                  <wps:spPr>
                                                    <a:xfrm>
                                                      <a:off x="8879" y="537610"/>
                                                      <a:ext cx="1668" cy="5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检验和喷码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356" name="直接箭头连接符 317"/>
                                              <wps:cNvCnPr/>
                                              <wps:spPr>
                                                <a:xfrm>
                                                  <a:off x="9564" y="542605"/>
                                                  <a:ext cx="8"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57" name="文本框 163"/>
                                              <wps:cNvSpPr txBox="1"/>
                                              <wps:spPr>
                                                <a:xfrm>
                                                  <a:off x="8885" y="543041"/>
                                                  <a:ext cx="1392"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58" name="直接箭头连接符 325"/>
                                            <wps:cNvCnPr/>
                                            <wps:spPr>
                                              <a:xfrm flipV="1">
                                                <a:off x="9794" y="542590"/>
                                                <a:ext cx="376" cy="201"/>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s:wsp>
                                          <wps:cNvPr id="359" name="文本框 329"/>
                                          <wps:cNvSpPr txBox="1"/>
                                          <wps:spPr>
                                            <a:xfrm>
                                              <a:off x="6082" y="540652"/>
                                              <a:ext cx="2055" cy="23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图例：</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废气：G</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废水：W</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噪声：N</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固废：S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60" name="组合 49"/>
                                        <wpg:cNvGrpSpPr/>
                                        <wpg:grpSpPr>
                                          <a:xfrm>
                                            <a:off x="10247" y="605387"/>
                                            <a:ext cx="4204" cy="4839"/>
                                            <a:chOff x="10247" y="605387"/>
                                            <a:chExt cx="4204" cy="4839"/>
                                          </a:xfrm>
                                        </wpg:grpSpPr>
                                        <wps:wsp>
                                          <wps:cNvPr id="361" name="直接箭头连接符 20"/>
                                          <wps:cNvCnPr/>
                                          <wps:spPr>
                                            <a:xfrm flipV="1">
                                              <a:off x="10247" y="607500"/>
                                              <a:ext cx="1972" cy="16"/>
                                            </a:xfrm>
                                            <a:prstGeom prst="straightConnector1">
                                              <a:avLst/>
                                            </a:prstGeom>
                                            <a:noFill/>
                                            <a:ln w="12700" cap="flat" cmpd="sng" algn="ctr">
                                              <a:solidFill>
                                                <a:sysClr val="windowText" lastClr="000000"/>
                                              </a:solidFill>
                                              <a:prstDash val="sysDot"/>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363" name="文本框 163"/>
                                          <wps:cNvSpPr txBox="1"/>
                                          <wps:spPr>
                                            <a:xfrm>
                                              <a:off x="12192" y="607054"/>
                                              <a:ext cx="2237" cy="11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水洗填料塔+活性炭吸附+脱附+催化燃烧20m排气筒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 name="肘形连接符 29"/>
                                          <wps:cNvCnPr>
                                            <a:stCxn id="354" idx="3"/>
                                            <a:endCxn id="363" idx="2"/>
                                          </wps:cNvCnPr>
                                          <wps:spPr>
                                            <a:xfrm flipV="1">
                                              <a:off x="10431" y="608204"/>
                                              <a:ext cx="2880" cy="2022"/>
                                            </a:xfrm>
                                            <a:prstGeom prst="bentConnector2">
                                              <a:avLst/>
                                            </a:prstGeom>
                                            <a:noFill/>
                                            <a:ln w="12700" cap="flat" cmpd="sng" algn="ctr">
                                              <a:solidFill>
                                                <a:sysClr val="windowText" lastClr="000000"/>
                                              </a:solidFill>
                                              <a:prstDash val="sysDot"/>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365" name="直接箭头连接符 30"/>
                                          <wps:cNvCnPr>
                                            <a:stCxn id="28" idx="0"/>
                                          </wps:cNvCnPr>
                                          <wps:spPr>
                                            <a:xfrm flipV="1">
                                              <a:off x="13139" y="605941"/>
                                              <a:ext cx="1" cy="1113"/>
                                            </a:xfrm>
                                            <a:prstGeom prst="straightConnector1">
                                              <a:avLst/>
                                            </a:prstGeom>
                                            <a:noFill/>
                                            <a:ln w="12700" cap="flat" cmpd="sng" algn="ctr">
                                              <a:solidFill>
                                                <a:sysClr val="windowText" lastClr="000000"/>
                                              </a:solidFill>
                                              <a:prstDash val="solid"/>
                                              <a:miter lim="800000"/>
                                              <a:tailEnd type="arrow"/>
                                            </a:ln>
                                            <a:effectLst/>
                                          </wps:spPr>
                                          <wps:style>
                                            <a:lnRef idx="2">
                                              <a:schemeClr val="accent1"/>
                                            </a:lnRef>
                                            <a:fillRef idx="0">
                                              <a:srgbClr val="FFFFFF"/>
                                            </a:fillRef>
                                            <a:effectRef idx="0">
                                              <a:srgbClr val="FFFFFF"/>
                                            </a:effectRef>
                                            <a:fontRef idx="minor">
                                              <a:schemeClr val="tx1"/>
                                            </a:fontRef>
                                          </wps:style>
                                          <wps:bodyPr/>
                                        </wps:wsp>
                                        <wps:wsp>
                                          <wps:cNvPr id="366" name="文本框 163"/>
                                          <wps:cNvSpPr txBox="1"/>
                                          <wps:spPr>
                                            <a:xfrm>
                                              <a:off x="12177" y="605387"/>
                                              <a:ext cx="1564" cy="5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DA001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7" name="文本框 48"/>
                                          <wps:cNvSpPr txBox="1"/>
                                          <wps:spPr>
                                            <a:xfrm>
                                              <a:off x="13367" y="605755"/>
                                              <a:ext cx="1084" cy="11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S</w:t>
                                                </w:r>
                                                <w:r>
                                                  <w:rPr>
                                                    <w:rFonts w:hint="eastAsia" w:cs="宋体"/>
                                                    <w:lang w:val="en-US" w:eastAsia="zh-CN"/>
                                                  </w:rPr>
                                                  <w:t>6、S7、S8、S9、N7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368" name="直接箭头连接符 46"/>
                                      <wps:cNvCnPr/>
                                      <wps:spPr>
                                        <a:xfrm flipV="1">
                                          <a:off x="13132" y="606852"/>
                                          <a:ext cx="368" cy="197"/>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grpSp>
                                    <wpg:cNvPr id="373" name="组合 30"/>
                                    <wpg:cNvGrpSpPr/>
                                    <wpg:grpSpPr>
                                      <a:xfrm>
                                        <a:off x="7869" y="572901"/>
                                        <a:ext cx="2685" cy="916"/>
                                        <a:chOff x="8101" y="573951"/>
                                        <a:chExt cx="2685" cy="916"/>
                                      </a:xfrm>
                                    </wpg:grpSpPr>
                                    <wps:wsp>
                                      <wps:cNvPr id="374" name="文本框 30"/>
                                      <wps:cNvSpPr txBox="1"/>
                                      <wps:spPr>
                                        <a:xfrm>
                                          <a:off x="9354" y="573951"/>
                                          <a:ext cx="1432" cy="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cs="宋体"/>
                                                <w:lang w:val="en-US" w:eastAsia="zh-CN"/>
                                              </w:rPr>
                                              <w:t>W1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5" name="直接箭头连接符 11"/>
                                      <wps:cNvCnPr/>
                                      <wps:spPr>
                                        <a:xfrm flipV="1">
                                          <a:off x="8953" y="574212"/>
                                          <a:ext cx="368" cy="194"/>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76" name="直接箭头连接符 35"/>
                                      <wps:cNvCnPr/>
                                      <wps:spPr>
                                        <a:xfrm flipH="1">
                                          <a:off x="8879" y="573977"/>
                                          <a:ext cx="4" cy="446"/>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77" name="文本框 24"/>
                                      <wps:cNvSpPr txBox="1"/>
                                      <wps:spPr>
                                        <a:xfrm>
                                          <a:off x="8101" y="574377"/>
                                          <a:ext cx="1560" cy="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冷却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378" name="肘形连接符 378"/>
                                  <wps:cNvCnPr>
                                    <a:stCxn id="283" idx="1"/>
                                    <a:endCxn id="276" idx="0"/>
                                  </wps:cNvCnPr>
                                  <wps:spPr>
                                    <a:xfrm rot="10800000" flipV="1">
                                      <a:off x="6404" y="587864"/>
                                      <a:ext cx="1510" cy="3319"/>
                                    </a:xfrm>
                                    <a:prstGeom prst="bentConnector2">
                                      <a:avLst/>
                                    </a:prstGeom>
                                    <a:noFill/>
                                    <a:ln w="12700" cap="flat" cmpd="sng" algn="ctr">
                                      <a:solidFill>
                                        <a:sysClr val="windowText" lastClr="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g:grpSp>
                              <wps:wsp>
                                <wps:cNvPr id="458" name="直接箭头连接符 149"/>
                                <wps:cNvCnPr/>
                                <wps:spPr>
                                  <a:xfrm>
                                    <a:off x="8659" y="585498"/>
                                    <a:ext cx="6" cy="409"/>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s:wsp>
                              <wps:cNvPr id="52" name="肘形连接符 29"/>
                              <wps:cNvCnPr>
                                <a:stCxn id="337" idx="3"/>
                                <a:endCxn id="363" idx="2"/>
                              </wps:cNvCnPr>
                              <wps:spPr>
                                <a:xfrm flipV="1">
                                  <a:off x="10292" y="676148"/>
                                  <a:ext cx="2930" cy="252"/>
                                </a:xfrm>
                                <a:prstGeom prst="bentConnector2">
                                  <a:avLst/>
                                </a:prstGeom>
                                <a:noFill/>
                                <a:ln w="12700" cap="flat" cmpd="sng" algn="ctr">
                                  <a:solidFill>
                                    <a:sysClr val="windowText" lastClr="000000"/>
                                  </a:solidFill>
                                  <a:prstDash val="sysDot"/>
                                  <a:miter lim="800000"/>
                                  <a:tailEnd type="triangle"/>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2.5pt;margin-top:8.35pt;height:2078.4pt;width:418.4pt;z-index:251669504;mso-width-relative:page;mso-height-relative:page;" coordorigin="5993,670555" coordsize="8368,41568" o:gfxdata="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">
                      <o:lock v:ext="edit" aspectratio="f"/>
                      <v:group id="_x0000_s1026" o:spid="_x0000_s1026" o:spt="203" style="position:absolute;left:5993;top:670555;height:41568;width:8368;" coordorigin="5139,584086" coordsize="8368,41568" o:gfxdata="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n241c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5139;top:584086;height:41568;width:8369;" coordorigin="5112,586813" coordsize="8369,41568" o:gfxdata="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NjfBquQAAANwAAAAPAAAAAAAAAAEAIAAAACIAAABkcnMvZG93bnJldi54bWxQSwEC&#10;FAAUAAAACACHTuJAMy8FnjsAAAA5AAAAFQAAAAAAAAABACAAAAAIAQAAZHJzL2dyb3Vwc2hhcGV4&#10;bWwueG1sUEsFBgAAAAAGAAYAYAEAAMUDAAAAAA==&#10;">
                          <o:lock v:ext="edit" aspectratio="f"/>
                          <v:group id="_x0000_s1026" o:spid="_x0000_s1026" o:spt="203" style="position:absolute;left:5112;top:586813;height:41568;width:8369;" coordorigin="5112,566888" coordsize="8369,41566"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group id="组合 33" o:spid="_x0000_s1026" o:spt="203" style="position:absolute;left:5112;top:566888;height:41566;width:8369;" coordorigin="6082,602574" coordsize="8369,41835" o:gfxdata="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Cy8lr0AAADcAAAADwAAAAAAAAABACAAAAAiAAAAZHJzL2Rvd25yZXYueG1s&#10;UEsBAhQAFAAAAAgAh07iQDMvBZ47AAAAOQAAABUAAAAAAAAAAQAgAAAADAEAAGRycy9ncm91cHNo&#10;YXBleG1sLnhtbFBLBQYAAAAABgAGAGABAADJAwAAAAA=&#10;">
                              <o:lock v:ext="edit" aspectratio="f"/>
                              <v:group id="组合 51" o:spid="_x0000_s1026" o:spt="203" style="position:absolute;left:6082;top:602574;height:41835;width:8369;" coordorigin="6082,602574" coordsize="8369,41835" o:gfxdata="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iLhvwAAANwAAAAPAAAAAAAAAAEAIAAAACIAAABkcnMvZG93bnJldi54&#10;bWxQSwECFAAUAAAACACHTuJAMy8FnjsAAAA5AAAAFQAAAAAAAAABACAAAAAOAQAAZHJzL2dyb3Vw&#10;c2hhcGV4bWwueG1sUEsFBgAAAAAGAAYAYAEAAMsDAAAAAA==&#10;">
                                <o:lock v:ext="edit" aspectratio="f"/>
                                <v:group id="组合 330" o:spid="_x0000_s1026" o:spt="203" style="position:absolute;left:6082;top:602574;height:41835;width:6501;" coordorigin="6082,534090" coordsize="6501,41835" o:gfxdata="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sod6vwAAANwAAAAPAAAAAAAAAAEAIAAAACIAAABkcnMvZG93bnJldi54&#10;bWxQSwECFAAUAAAACACHTuJAMy8FnjsAAAA5AAAAFQAAAAAAAAABACAAAAAOAQAAZHJzL2dyb3Vw&#10;c2hhcGV4bWwueG1sUEsFBgAAAAAGAAYAYAEAAMsDAAAAAA==&#10;">
                                  <o:lock v:ext="edit" aspectratio="f"/>
                                  <v:group id="组合 326" o:spid="_x0000_s1026" o:spt="203" style="position:absolute;left:6322;top:534090;height:41835;width:6261;" coordorigin="6305,534090" coordsize="6397,43287" o:gfxdata="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uY/QvAAAANwAAAAPAAAAAAAAAAEAIAAAACIAAABkcnMvZG93bnJldi54bWxQ&#10;SwECFAAUAAAACACHTuJAMy8FnjsAAAA5AAAAFQAAAAAAAAABACAAAAALAQAAZHJzL2dyb3Vwc2hh&#10;cGV4bWwueG1sUEsFBgAAAAAGAAYAYAEAAMgDAAAAAA==&#10;">
                                    <o:lock v:ext="edit" aspectratio="f"/>
                                    <v:shape id="文本框 30" o:spid="_x0000_s1026" o:spt="202" type="#_x0000_t202" style="position:absolute;left:10202;top:542363;height:458;width:1463;" fillcolor="#FFFFFF [3201]" filled="t" stroked="f" coordsize="21600,21600" o:gfxdata="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17d+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S1</w:t>
                                            </w:r>
                                          </w:p>
                                        </w:txbxContent>
                                      </v:textbox>
                                    </v:shape>
                                    <v:group id="组合 319" o:spid="_x0000_s1026" o:spt="203" style="position:absolute;left:6305;top:534090;height:43287;width:6397;" coordorigin="5860,534032" coordsize="6959,45055" o:gfxdata="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ntDy+AAAA3AAAAA8AAAAAAAAAAQAgAAAAIgAAAGRycy9kb3ducmV2Lnht&#10;bFBLAQIUABQAAAAIAIdO4kAzLwWeOwAAADkAAAAVAAAAAAAAAAEAIAAAAA0BAABkcnMvZ3JvdXBz&#10;aGFwZXhtbC54bWxQSwUGAAAAAAYABgBgAQAAygMAAAAA&#10;">
                                      <o:lock v:ext="edit" aspectratio="f"/>
                                      <v:group id="组合 316" o:spid="_x0000_s1026" o:spt="203" style="position:absolute;left:5860;top:534032;height:45055;width:6959;" coordorigin="5800,534422" coordsize="6959,45055" o:gfxdata="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xGnvwAAANwAAAAPAAAAAAAAAAEAIAAAACIAAABkcnMvZG93bnJldi54&#10;bWxQSwECFAAUAAAACACHTuJAMy8FnjsAAAA5AAAAFQAAAAAAAAABACAAAAAOAQAAZHJzL2dyb3Vw&#10;c2hhcGV4bWwueG1sUEsFBgAAAAAGAAYAYAEAAMsDAAAAAA==&#10;">
                                        <o:lock v:ext="edit" aspectratio="f"/>
                                        <v:group id="组合 168" o:spid="_x0000_s1026" o:spt="203" style="position:absolute;left:5800;top:534422;height:45055;width:6959;" coordorigin="6012,500895" coordsize="6959,45055" o:gfxdata="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gonTvwAAANwAAAAPAAAAAAAAAAEAIAAAACIAAABkcnMvZG93bnJldi54&#10;bWxQSwECFAAUAAAACACHTuJAMy8FnjsAAAA5AAAAFQAAAAAAAAABACAAAAAOAQAAZHJzL2dyb3Vw&#10;c2hhcGV4bWwueG1sUEsFBgAAAAAGAAYAYAEAAMsDAAAAAA==&#10;">
                                          <o:lock v:ext="edit" aspectratio="f"/>
                                          <v:shape id="文本框 30" o:spid="_x0000_s1026" o:spt="202" type="#_x0000_t202" style="position:absolute;left:10158;top:506512;height:478;width:1592;" fillcolor="#FFFFFF [3201]" filled="t" stroked="f" coordsize="21600,21600" o:gfxdata="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zuvc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cs="宋体"/>
                                                      <w:lang w:val="en-US" w:eastAsia="zh-CN"/>
                                                    </w:rPr>
                                                    <w:t>G3、N4</w:t>
                                                  </w:r>
                                                </w:p>
                                              </w:txbxContent>
                                            </v:textbox>
                                          </v:shape>
                                          <v:shape id="文本框 12" o:spid="_x0000_s1026" o:spt="202" type="#_x0000_t202" style="position:absolute;left:6012;top:505632;height:1263;width:2339;" fillcolor="#FFFFFF [3201]" filled="t" stroked="f" coordsize="21600,21600" o:gfxdata="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x1q7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jc w:val="center"/>
                                                    <w:rPr>
                                                      <w:rFonts w:hint="default" w:ascii="Times New Roman" w:hAnsi="Times New Roman" w:eastAsia="宋体" w:cs="宋体"/>
                                                      <w:sz w:val="24"/>
                                                      <w:szCs w:val="24"/>
                                                      <w:lang w:val="en-US" w:eastAsia="zh-CN"/>
                                                    </w:rPr>
                                                  </w:pPr>
                                                  <w:r>
                                                    <w:rPr>
                                                      <w:rFonts w:hint="eastAsia" w:cs="宋体"/>
                                                      <w:lang w:val="en-US" w:eastAsia="zh-CN"/>
                                                    </w:rPr>
                                                    <w:t>聚乙烯/</w:t>
                                                  </w:r>
                                                  <w:r>
                                                    <w:rPr>
                                                      <w:rFonts w:hint="eastAsia" w:cs="宋体"/>
                                                      <w:sz w:val="24"/>
                                                      <w:szCs w:val="24"/>
                                                      <w:lang w:val="en-US" w:eastAsia="zh-CN"/>
                                                    </w:rPr>
                                                    <w:t>聚氯乙烯/</w:t>
                                                  </w:r>
                                                  <w:r>
                                                    <w:rPr>
                                                      <w:rFonts w:hint="eastAsia" w:ascii="Times New Roman" w:hAnsi="Times New Roman" w:eastAsia="宋体" w:cs="宋体"/>
                                                      <w:color w:val="auto"/>
                                                      <w:sz w:val="24"/>
                                                      <w:szCs w:val="24"/>
                                                      <w:lang w:val="en-US" w:eastAsia="zh-CN" w:bidi="ar-SA"/>
                                                    </w:rPr>
                                                    <w:t>低烟无卤阻燃聚烯烃电缆料</w:t>
                                                  </w:r>
                                                </w:p>
                                                <w:p>
                                                  <w:pPr>
                                                    <w:jc w:val="center"/>
                                                    <w:rPr>
                                                      <w:rFonts w:hint="default" w:ascii="Times New Roman" w:hAnsi="Times New Roman" w:eastAsia="宋体" w:cs="宋体"/>
                                                      <w:lang w:val="en-US" w:eastAsia="zh-CN"/>
                                                    </w:rPr>
                                                  </w:pPr>
                                                </w:p>
                                              </w:txbxContent>
                                            </v:textbox>
                                          </v:shape>
                                          <v:shape id="直接箭头连接符 13" o:spid="_x0000_s1026" o:spt="32" type="#_x0000_t32" style="position:absolute;left:8325;top:506247;height:15;width:644;" filled="f" stroked="t" coordsize="21600,21600" o:gfxdata="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qijr4A&#10;AADcAAAADwAAAAAAAAABACAAAAAiAAAAZHJzL2Rvd25yZXYueG1sUEsBAhQAFAAAAAgAh07iQDMv&#10;BZ47AAAAOQAAABAAAAAAAAAAAQAgAAAADQEAAGRycy9zaGFwZXhtbC54bWxQSwUGAAAAAAYABgBb&#10;AQAAtwMAAAAA&#10;">
                                            <v:fill on="f" focussize="0,0"/>
                                            <v:stroke weight="0.5pt" color="#000000 [3204]" miterlimit="8" joinstyle="miter" endarrow="block"/>
                                            <v:imagedata o:title=""/>
                                            <o:lock v:ext="edit" aspectratio="f"/>
                                          </v:shape>
                                          <v:shape id="文本框 14" o:spid="_x0000_s1026" o:spt="202" type="#_x0000_t202" style="position:absolute;left:10093;top:504419;height:449;width:1577;" fillcolor="#FFFFFF [3201]" filled="t" stroked="f" coordsize="21600,21600" o:gfxdata="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Kz0RC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N</w:t>
                                                  </w:r>
                                                  <w:r>
                                                    <w:rPr>
                                                      <w:rFonts w:hint="eastAsia" w:cs="宋体"/>
                                                      <w:lang w:val="en-US" w:eastAsia="zh-CN"/>
                                                    </w:rPr>
                                                    <w:t>2、S2</w:t>
                                                  </w:r>
                                                </w:p>
                                              </w:txbxContent>
                                            </v:textbox>
                                          </v:shape>
                                          <v:shape id="文本框 38" o:spid="_x0000_s1026" o:spt="202" type="#_x0000_t202" style="position:absolute;left:11225;top:509882;height:532;width:1746;" fillcolor="#FFFFFF [3201]" filled="t" stroked="t" coordsize="21600,21600" o:gfxdata="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lJ0E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成品</w:t>
                                                  </w:r>
                                                </w:p>
                                              </w:txbxContent>
                                            </v:textbox>
                                          </v:shape>
                                          <v:shape id="文本框 143" o:spid="_x0000_s1026" o:spt="202" type="#_x0000_t202" style="position:absolute;left:6891;top:500895;height:532;width:5664;" fillcolor="#FFFFFF [3201]" filled="t" stroked="f" coordsize="21600,21600" o:gfxdata="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IJ34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铜丝、铝丝</w:t>
                                                  </w:r>
                                                </w:p>
                                              </w:txbxContent>
                                            </v:textbox>
                                          </v:shape>
                                          <v:shape id="文本框 144" o:spid="_x0000_s1026" o:spt="202" type="#_x0000_t202" style="position:absolute;left:10105;top:501296;height:416;width:2147;" fillcolor="#FFFFFF [3201]" filled="t" stroked="f" coordsize="21600,21600" o:gfxdata="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vIDj7gAAADc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cs="宋体"/>
                                                      <w:lang w:val="en-US" w:eastAsia="zh-CN"/>
                                                    </w:rPr>
                                                    <w:t>S1</w:t>
                                                  </w:r>
                                                </w:p>
                                              </w:txbxContent>
                                            </v:textbox>
                                          </v:shape>
                                          <v:shape id="文本框 7" o:spid="_x0000_s1026" o:spt="202" type="#_x0000_t202" style="position:absolute;left:8859;top:501768;height:532;width:1703;" fillcolor="#FFFFFF [3201]" filled="t" stroked="t" coordsize="21600,21600" o:gfxdata="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2gOpn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原料堆放区</w:t>
                                                  </w:r>
                                                </w:p>
                                              </w:txbxContent>
                                            </v:textbox>
                                          </v:shape>
                                          <v:shape id="直接箭头连接符 146" o:spid="_x0000_s1026" o:spt="32" type="#_x0000_t32" style="position:absolute;left:9693;top:501337;height:443;width:6;" filled="f" stroked="t" coordsize="21600,21600" o:gfxdata="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HpRb4A&#10;AADcAAAADwAAAAAAAAABACAAAAAiAAAAZHJzL2Rvd25yZXYueG1sUEsBAhQAFAAAAAgAh07iQDMv&#10;BZ47AAAAOQAAABAAAAAAAAAAAQAgAAAADQEAAGRycy9zaGFwZXhtbC54bWxQSwUGAAAAAAYABgBb&#10;AQAAtwMAAAAA&#10;">
                                            <v:fill on="f" focussize="0,0"/>
                                            <v:stroke weight="0.5pt" color="#000000 [3204]" miterlimit="8" joinstyle="miter" endarrow="block"/>
                                            <v:imagedata o:title=""/>
                                            <o:lock v:ext="edit" aspectratio="f"/>
                                          </v:shape>
                                          <v:shape id="直接箭头连接符 147" o:spid="_x0000_s1026" o:spt="32" type="#_x0000_t32" style="position:absolute;left:9757;top:501527;flip:y;height:212;width:409;" filled="f" stroked="t" coordsize="21600,21600" o:gfxdata="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8Pma8AAAA&#10;3AAAAA8AAAAAAAAAAQAgAAAAIgAAAGRycy9kb3ducmV2LnhtbFBLAQIUABQAAAAIAIdO4kAzLwWe&#10;OwAAADkAAAAQAAAAAAAAAAEAIAAAAAsBAABkcnMvc2hhcGV4bWwueG1sUEsFBgAAAAAGAAYAWwEA&#10;ALUDAAAAAA==&#10;">
                                            <v:fill on="f" focussize="0,0"/>
                                            <v:stroke weight="1pt" color="#000000 [3204]" miterlimit="8" joinstyle="miter" dashstyle="1 1" endarrow="block"/>
                                            <v:imagedata o:title=""/>
                                            <o:lock v:ext="edit" aspectratio="f"/>
                                          </v:shape>
                                          <v:shape id="直接箭头连接符 148" o:spid="_x0000_s1026" o:spt="32" type="#_x0000_t32" style="position:absolute;left:6804;top:545362;height:588;width:13;" filled="f" stroked="t" coordsize="21600,21600" o:gfxdata="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v3AC5AAAA3AAA&#10;AA8AAAAAAAAAAQAgAAAAIgAAAGRycy9kb3ducmV2LnhtbFBLAQIUABQAAAAIAIdO4kAzLwWeOwAA&#10;ADkAAAAQAAAAAAAAAAEAIAAAAAgBAABkcnMvc2hhcGV4bWwueG1sUEsFBgAAAAAGAAYAWwEAALID&#10;AAAAAA==&#10;">
                                            <v:fill on="f" focussize="0,0"/>
                                            <v:stroke weight="0.5pt" color="#000000 [3204]" miterlimit="8" joinstyle="miter" endarrow="block"/>
                                            <v:imagedata o:title=""/>
                                            <o:lock v:ext="edit" aspectratio="f"/>
                                          </v:shape>
                                          <v:shape id="直接箭头连接符 149" o:spid="_x0000_s1026" o:spt="32" type="#_x0000_t32" style="position:absolute;left:9633;top:503437;height:443;width:6;" filled="f" stroked="t" coordsize="21600,21600" o:gfxdata="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qc1+8AAAA&#10;3AAAAA8AAAAAAAAAAQAgAAAAIgAAAGRycy9kb3ducmV2LnhtbFBLAQIUABQAAAAIAIdO4kAzLwWe&#10;OwAAADkAAAAQAAAAAAAAAAEAIAAAAAsBAABkcnMvc2hhcGV4bWwueG1sUEsFBgAAAAAGAAYAWwEA&#10;ALUDAAAAAA==&#10;">
                                            <v:fill on="f" focussize="0,0"/>
                                            <v:stroke weight="0.5pt" color="#000000 [3204]" miterlimit="8" joinstyle="miter" endarrow="block"/>
                                            <v:imagedata o:title=""/>
                                            <o:lock v:ext="edit" aspectratio="f"/>
                                          </v:shape>
                                          <v:shape id="直接箭头连接符 150" o:spid="_x0000_s1026" o:spt="32" type="#_x0000_t32" style="position:absolute;left:9648;top:504457;height:443;width:6;" filled="f" stroked="t" coordsize="21600,21600" o:gfxdata="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47Si8AAAA&#10;3AAAAA8AAAAAAAAAAQAgAAAAIgAAAGRycy9kb3ducmV2LnhtbFBLAQIUABQAAAAIAIdO4kAzLwWe&#10;OwAAADkAAAAQAAAAAAAAAAEAIAAAAAsBAABkcnMvc2hhcGV4bWwueG1sUEsFBgAAAAAGAAYAWwEA&#10;ALUDAAAAAA==&#10;">
                                            <v:fill on="f" focussize="0,0"/>
                                            <v:stroke weight="0.5pt" color="#000000 [3204]" miterlimit="8" joinstyle="miter" endarrow="block"/>
                                            <v:imagedata o:title=""/>
                                            <o:lock v:ext="edit" aspectratio="f"/>
                                          </v:shape>
                                          <v:shape id="直接箭头连接符 151" o:spid="_x0000_s1026" o:spt="32" type="#_x0000_t32" style="position:absolute;left:9648;top:505507;height:443;width:6;" filled="f" stroked="t" coordsize="21600,21600" o:gfxdata="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Wd5WrsAAADc&#10;AAAADwAAAAAAAAABACAAAAAiAAAAZHJzL2Rvd25yZXYueG1sUEsBAhQAFAAAAAgAh07iQDMvBZ47&#10;AAAAOQAAABAAAAAAAAAAAQAgAAAACgEAAGRycy9zaGFwZXhtbC54bWxQSwUGAAAAAAYABgBbAQAA&#10;tAMAAAAA&#10;">
                                            <v:fill on="f" focussize="0,0"/>
                                            <v:stroke weight="0.5pt" color="#000000 [3204]" miterlimit="8" joinstyle="miter" endarrow="block"/>
                                            <v:imagedata o:title=""/>
                                            <o:lock v:ext="edit" aspectratio="f"/>
                                          </v:shape>
                                          <v:shape id="直接箭头连接符 152" o:spid="_x0000_s1026" o:spt="32" type="#_x0000_t32" style="position:absolute;left:9663;top:506527;height:443;width:6;" filled="f" stroked="t" coordsize="21600,21600" o:gfxdata="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QnlbsAAADc&#10;AAAADwAAAAAAAAABACAAAAAiAAAAZHJzL2Rvd25yZXYueG1sUEsBAhQAFAAAAAgAh07iQDMvBZ47&#10;AAAAOQAAABAAAAAAAAAAAQAgAAAACgEAAGRycy9zaGFwZXhtbC54bWxQSwUGAAAAAAYABgBbAQAA&#10;tAMAAAAA&#10;">
                                            <v:fill on="f" focussize="0,0"/>
                                            <v:stroke weight="0.5pt" color="#000000 [3204]" miterlimit="8" joinstyle="miter" endarrow="block"/>
                                            <v:imagedata o:title=""/>
                                            <o:lock v:ext="edit" aspectratio="f"/>
                                          </v:shape>
                                          <v:shape id="直接箭头连接符 153" o:spid="_x0000_s1026" o:spt="32" type="#_x0000_t32" style="position:absolute;left:9757;top:502622;flip:y;height:212;width:409;" filled="f" stroked="t" coordsize="21600,21600" o:gfxdata="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fLWr4A&#10;AADcAAAADwAAAAAAAAABACAAAAAiAAAAZHJzL2Rvd25yZXYueG1sUEsBAhQAFAAAAAgAh07iQDMv&#10;BZ47AAAAOQAAABAAAAAAAAAAAQAgAAAADQEAAGRycy9zaGFwZXhtbC54bWxQSwUGAAAAAAYABgBb&#10;AQAAtwMAAAAA&#10;">
                                            <v:fill on="f" focussize="0,0"/>
                                            <v:stroke weight="1pt" color="#000000 [3204]" miterlimit="8" joinstyle="miter" dashstyle="1 1" endarrow="block"/>
                                            <v:imagedata o:title=""/>
                                            <o:lock v:ext="edit" aspectratio="f"/>
                                          </v:shape>
                                          <v:shape id="直接箭头连接符 154" o:spid="_x0000_s1026" o:spt="32" type="#_x0000_t32" style="position:absolute;left:9712;top:504722;flip:y;height:212;width:409;" filled="f" stroked="t" coordsize="21600,21600" o:gfxdata="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oXyi8AAAA&#10;3AAAAA8AAAAAAAAAAQAgAAAAIgAAAGRycy9kb3ducmV2LnhtbFBLAQIUABQAAAAIAIdO4kAzLwWe&#10;OwAAADkAAAAQAAAAAAAAAAEAIAAAAAsBAABkcnMvc2hhcGV4bWwueG1sUEsFBgAAAAAGAAYAWwEA&#10;ALUDAAAAAA==&#10;">
                                            <v:fill on="f" focussize="0,0"/>
                                            <v:stroke weight="1pt" color="#000000 [3204]" miterlimit="8" joinstyle="miter" dashstyle="1 1" endarrow="block"/>
                                            <v:imagedata o:title=""/>
                                            <o:lock v:ext="edit" aspectratio="f"/>
                                          </v:shape>
                                          <v:shape id="直接箭头连接符 155" o:spid="_x0000_s1026" o:spt="32" type="#_x0000_t32" style="position:absolute;left:9697;top:505697;flip:y;height:212;width:409;" filled="f" stroked="t" coordsize="21600,21600" o:gfxdata="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sfF87sAAADc&#10;AAAADwAAAAAAAAABACAAAAAiAAAAZHJzL2Rvd25yZXYueG1sUEsBAhQAFAAAAAgAh07iQDMvBZ47&#10;AAAAOQAAABAAAAAAAAAAAQAgAAAACgEAAGRycy9zaGFwZXhtbC54bWxQSwUGAAAAAAYABgBbAQAA&#10;tAMAAAAA&#10;">
                                            <v:fill on="f" focussize="0,0"/>
                                            <v:stroke weight="1pt" color="#000000 [3204]" miterlimit="8" joinstyle="miter" dashstyle="1 1" endarrow="block"/>
                                            <v:imagedata o:title=""/>
                                            <o:lock v:ext="edit" aspectratio="f"/>
                                          </v:shape>
                                          <v:shape id="文本框 156" o:spid="_x0000_s1026" o:spt="202" type="#_x0000_t202" style="position:absolute;left:10108;top:505501;height:511;width:2279;" fillcolor="#FFFFFF [3201]" filled="t" stroked="f" coordsize="21600,21600" o:gfxdata="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W4K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2</w:t>
                                                  </w:r>
                                                  <w:r>
                                                    <w:rPr>
                                                      <w:rFonts w:hint="eastAsia" w:ascii="Times New Roman" w:hAnsi="Times New Roman" w:eastAsia="宋体" w:cs="宋体"/>
                                                      <w:lang w:val="en-US" w:eastAsia="zh-CN"/>
                                                    </w:rPr>
                                                    <w:t>、S</w:t>
                                                  </w:r>
                                                  <w:r>
                                                    <w:rPr>
                                                      <w:rFonts w:hint="eastAsia" w:cs="宋体"/>
                                                      <w:lang w:val="en-US" w:eastAsia="zh-CN"/>
                                                    </w:rPr>
                                                    <w:t>3、N3</w:t>
                                                  </w:r>
                                                </w:p>
                                              </w:txbxContent>
                                            </v:textbox>
                                          </v:shape>
                                          <v:shape id="直接箭头连接符 158" o:spid="_x0000_s1026" o:spt="32" type="#_x0000_t32" style="position:absolute;left:9712;top:506747;flip:y;height:212;width:409;" filled="f" stroked="t" coordsize="21600,21600" o:gfxdata="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n+H74A&#10;AADcAAAADwAAAAAAAAABACAAAAAiAAAAZHJzL2Rvd25yZXYueG1sUEsBAhQAFAAAAAgAh07iQDMv&#10;BZ47AAAAOQAAABAAAAAAAAAAAQAgAAAADQEAAGRycy9zaGFwZXhtbC54bWxQSwUGAAAAAAYABgBb&#10;AQAAtwMAAAAA&#10;">
                                            <v:fill on="f" focussize="0,0"/>
                                            <v:stroke weight="1pt" color="#000000 [3204]" miterlimit="8" joinstyle="miter" dashstyle="1 1" endarrow="block"/>
                                            <v:imagedata o:title=""/>
                                            <o:lock v:ext="edit" aspectratio="f"/>
                                          </v:shape>
                                          <v:shape id="文本框 159" o:spid="_x0000_s1026" o:spt="202" type="#_x0000_t202" style="position:absolute;left:8997;top:502915;height:532;width:1387;" fillcolor="#FFFFFF [3201]" filled="t" stroked="t" coordsize="21600,21600" o:gfxdata="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3iwd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拉丝</w:t>
                                                  </w:r>
                                                </w:p>
                                              </w:txbxContent>
                                            </v:textbox>
                                          </v:shape>
                                          <v:shape id="文本框 160" o:spid="_x0000_s1026" o:spt="202" type="#_x0000_t202" style="position:absolute;left:9022;top:503896;height:532;width:1403;" fillcolor="#FFFFFF [3201]" filled="t" stroked="t" coordsize="21600,21600" o:gfxdata="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N7Rp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退火</w:t>
                                                  </w:r>
                                                </w:p>
                                              </w:txbxContent>
                                            </v:textbox>
                                          </v:shape>
                                          <v:shape id="文本框 161" o:spid="_x0000_s1026" o:spt="202" type="#_x0000_t202" style="position:absolute;left:9016;top:504902;height:532;width:1388;" fillcolor="#FFFFFF [3201]" filled="t" stroked="t" coordsize="21600,21600" o:gfxdata="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exHy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绞丝</w:t>
                                                  </w:r>
                                                </w:p>
                                              </w:txbxContent>
                                            </v:textbox>
                                          </v:shape>
                                          <v:shape id="文本框 162" o:spid="_x0000_s1026" o:spt="202" type="#_x0000_t202" style="position:absolute;left:8956;top:505972;height:532;width:1388;" fillcolor="#FFFFFF [3201]" filled="t" stroked="t" coordsize="21600,21600" o:gfxdata="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qY+F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挤塑</w:t>
                                                  </w:r>
                                                </w:p>
                                              </w:txbxContent>
                                            </v:textbox>
                                          </v:shape>
                                          <v:shape id="文本框 163" o:spid="_x0000_s1026" o:spt="202" type="#_x0000_t202" style="position:absolute;left:8771;top:506964;height:532;width:1753;" fillcolor="#FFFFFF [3201]" filled="t" stroked="t" coordsize="21600,21600" o:gfxdata="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c5Soe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紫外光交联</w:t>
                                                  </w:r>
                                                </w:p>
                                              </w:txbxContent>
                                            </v:textbox>
                                          </v:shape>
                                          <v:shape id="文本框 165" o:spid="_x0000_s1026" o:spt="202" type="#_x0000_t202" style="position:absolute;left:10138;top:502381;height:446;width:2655;" fillcolor="#FFFFFF [3201]" filled="t" stroked="f" coordsize="21600,21600" o:gfxdata="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qRPIf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cs="宋体"/>
                                                      <w:lang w:val="en-US" w:eastAsia="zh-CN"/>
                                                    </w:rPr>
                                                    <w:t>G1、N1</w:t>
                                                  </w:r>
                                                </w:p>
                                              </w:txbxContent>
                                            </v:textbox>
                                          </v:shape>
                                          <v:shape id="直接箭头连接符 167" o:spid="_x0000_s1026" o:spt="32" type="#_x0000_t32" style="position:absolute;left:10443;top:510170;flip:y;height:23;width:808;" filled="f" stroked="t" coordsize="21600,21600" o:gfxdata="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ivcm/&#10;AAAA3AAAAA8AAAAAAAAAAQAgAAAAIgAAAGRycy9kb3ducmV2LnhtbFBLAQIUABQAAAAIAIdO4kAz&#10;LwWeOwAAADkAAAAQAAAAAAAAAAEAIAAAAA4BAABkcnMvc2hhcGV4bWwueG1sUEsFBgAAAAAGAAYA&#10;WwEAALgDAAAAAA==&#10;">
                                            <v:fill on="f" focussize="0,0"/>
                                            <v:stroke weight="0.5pt" color="#000000 [3204]" miterlimit="8" joinstyle="miter" endarrow="block"/>
                                            <v:imagedata o:title=""/>
                                            <o:lock v:ext="edit" aspectratio="f"/>
                                          </v:shape>
                                        </v:group>
                                        <v:group id="组合 315" o:spid="_x0000_s1026" o:spt="203" style="position:absolute;left:8699;top:541915;height:1011;width:3480;" coordorigin="8879,537130" coordsize="3480,1011" o:gfxdata="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NErwvAAAANwAAAAPAAAAAAAAAAEAIAAAACIAAABkcnMvZG93bnJldi54bWxQ&#10;SwECFAAUAAAACACHTuJAMy8FnjsAAAA5AAAAFQAAAAAAAAABACAAAAALAQAAZHJzL2dyb3Vwc2hh&#10;cGV4bWwueG1sUEsFBgAAAAAGAAYAYAEAAMgDAAAAAA==&#10;">
                                          <o:lock v:ext="edit" aspectratio="f"/>
                                          <v:shape id="直接箭头连接符 151" o:spid="_x0000_s1026" o:spt="32" type="#_x0000_t32" style="position:absolute;left:9661;top:537130;height:442;width:7;" filled="f" stroked="t" coordsize="21600,21600" o:gfxdata="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mVxCvQAA&#10;ANwAAAAPAAAAAAAAAAEAIAAAACIAAABkcnMvZG93bnJldi54bWxQSwECFAAUAAAACACHTuJAMy8F&#10;njsAAAA5AAAAEAAAAAAAAAABACAAAAAMAQAAZHJzL3NoYXBleG1sLnhtbFBLBQYAAAAABgAGAFsB&#10;AAC2AwAAAAA=&#10;">
                                            <v:fill on="f" focussize="0,0"/>
                                            <v:stroke weight="0.5pt" color="#000000 [3204]" miterlimit="8" joinstyle="miter" endarrow="block"/>
                                            <v:imagedata o:title=""/>
                                            <o:lock v:ext="edit" aspectratio="f"/>
                                          </v:shape>
                                          <v:shape id="直接箭头连接符 307" o:spid="_x0000_s1026" o:spt="32" type="#_x0000_t32" style="position:absolute;left:9694;top:537292;flip:y;height:211;width:409;" filled="f" stroked="t" coordsize="21600,21600" o:gfxdata="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3uoi8AAAA&#10;3AAAAA8AAAAAAAAAAQAgAAAAIgAAAGRycy9kb3ducmV2LnhtbFBLAQIUABQAAAAIAIdO4kAzLwWe&#10;OwAAADkAAAAQAAAAAAAAAAEAIAAAAAsBAABkcnMvc2hhcGV4bWwueG1sUEsFBgAAAAAGAAYAWwEA&#10;ALUDAAAAAA==&#10;">
                                            <v:fill on="f" focussize="0,0"/>
                                            <v:stroke weight="1pt" color="#000000 [3204]" miterlimit="8" joinstyle="miter" dashstyle="1 1" endarrow="block"/>
                                            <v:imagedata o:title=""/>
                                            <o:lock v:ext="edit" aspectratio="f"/>
                                          </v:shape>
                                          <v:shape id="文本框 308" o:spid="_x0000_s1026" o:spt="202" type="#_x0000_t202" style="position:absolute;left:10091;top:537257;height:463;width:2268;" fillcolor="#FFFFFF [3201]" filled="t" stroked="f" coordsize="21600,21600" o:gfxdata="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DiT5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5</w:t>
                                                  </w:r>
                                                  <w:r>
                                                    <w:rPr>
                                                      <w:rFonts w:hint="eastAsia" w:ascii="Times New Roman" w:hAnsi="Times New Roman" w:eastAsia="宋体" w:cs="宋体"/>
                                                      <w:lang w:val="en-US" w:eastAsia="zh-CN"/>
                                                    </w:rPr>
                                                    <w:t>、N</w:t>
                                                  </w:r>
                                                  <w:r>
                                                    <w:rPr>
                                                      <w:rFonts w:hint="eastAsia" w:cs="宋体"/>
                                                      <w:lang w:val="en-US" w:eastAsia="zh-CN"/>
                                                    </w:rPr>
                                                    <w:t>6、S4、S5</w:t>
                                                  </w:r>
                                                </w:p>
                                              </w:txbxContent>
                                            </v:textbox>
                                          </v:shape>
                                          <v:shape id="文本框 313" o:spid="_x0000_s1026" o:spt="202" type="#_x0000_t202" style="position:absolute;left:8879;top:537610;height:531;width:1668;" fillcolor="#FFFFFF [3201]" filled="t" stroked="t" coordsize="21600,21600" o:gfxdata="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6FHJ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检验和喷码</w:t>
                                                  </w:r>
                                                </w:p>
                                              </w:txbxContent>
                                            </v:textbox>
                                          </v:shape>
                                        </v:group>
                                      </v:group>
                                      <v:shape id="直接箭头连接符 317" o:spid="_x0000_s1026" o:spt="32" type="#_x0000_t32" style="position:absolute;left:9564;top:542605;height:443;width:8;" filled="f" stroked="t" coordsize="21600,21600" o:gfxdata="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JU6L4A&#10;AADcAAAADwAAAAAAAAABACAAAAAiAAAAZHJzL2Rvd25yZXYueG1sUEsBAhQAFAAAAAgAh07iQDMv&#10;BZ47AAAAOQAAABAAAAAAAAAAAQAgAAAADQEAAGRycy9zaGFwZXhtbC54bWxQSwUGAAAAAAYABgBb&#10;AQAAtwMAAAAA&#10;">
                                        <v:fill on="f" focussize="0,0"/>
                                        <v:stroke weight="0.5pt" color="#000000 [3204]" miterlimit="8" joinstyle="miter" endarrow="block"/>
                                        <v:imagedata o:title=""/>
                                        <o:lock v:ext="edit" aspectratio="f"/>
                                      </v:shape>
                                      <v:shape id="文本框 163" o:spid="_x0000_s1026" o:spt="202" type="#_x0000_t202" style="position:absolute;left:8885;top:543041;height:532;width:1392;" fillcolor="#FFFFFF [3201]" filled="t" stroked="t" coordsize="21600,21600" o:gfxdata="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6z76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包装</w:t>
                                              </w:r>
                                            </w:p>
                                          </w:txbxContent>
                                        </v:textbox>
                                      </v:shape>
                                    </v:group>
                                    <v:shape id="直接箭头连接符 325" o:spid="_x0000_s1026" o:spt="32" type="#_x0000_t32" style="position:absolute;left:9794;top:542590;flip:y;height:201;width:376;" filled="f" stroked="t" coordsize="21600,21600" o:gfxdata="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bixVugAAANwA&#10;AAAPAAAAAAAAAAEAIAAAACIAAABkcnMvZG93bnJldi54bWxQSwECFAAUAAAACACHTuJAMy8FnjsA&#10;AAA5AAAAEAAAAAAAAAABACAAAAAJAQAAZHJzL3NoYXBleG1sLnhtbFBLBQYAAAAABgAGAFsBAACz&#10;AwAAAAA=&#10;">
                                      <v:fill on="f" focussize="0,0"/>
                                      <v:stroke weight="1pt" color="#000000 [3204]" miterlimit="8" joinstyle="miter" dashstyle="1 1" endarrow="block"/>
                                      <v:imagedata o:title=""/>
                                      <o:lock v:ext="edit" aspectratio="f"/>
                                    </v:shape>
                                  </v:group>
                                  <v:shape id="文本框 329" o:spid="_x0000_s1026" o:spt="202" type="#_x0000_t202" style="position:absolute;left:6082;top:540652;height:2356;width:2055;" fillcolor="#FFFFFF [3201]" filled="t" stroked="t" coordsize="21600,21600" o:gfxdata="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le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图例：</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废气：G</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废水：W</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噪声：N</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固废：S</w:t>
                                          </w:r>
                                        </w:p>
                                      </w:txbxContent>
                                    </v:textbox>
                                  </v:shape>
                                </v:group>
                                <v:group id="组合 49" o:spid="_x0000_s1026" o:spt="203" style="position:absolute;left:10247;top:605387;height:4839;width:4204;" coordorigin="10247,605387" coordsize="4204,4839" o:gfxdata="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gRaQvAAAANwAAAAPAAAAAAAAAAEAIAAAACIAAABkcnMvZG93bnJldi54bWxQ&#10;SwECFAAUAAAACACHTuJAMy8FnjsAAAA5AAAAFQAAAAAAAAABACAAAAALAQAAZHJzL2dyb3Vwc2hh&#10;cGV4bWwueG1sUEsFBgAAAAAGAAYAYAEAAMgDAAAAAA==&#10;">
                                  <o:lock v:ext="edit" aspectratio="f"/>
                                  <v:shape id="直接箭头连接符 20" o:spid="_x0000_s1026" o:spt="32" type="#_x0000_t32" style="position:absolute;left:10247;top:607500;flip:y;height:16;width:1972;" filled="f" stroked="t" coordsize="21600,21600" o:gfxdata="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hPdb4A&#10;AADcAAAADwAAAAAAAAABACAAAAAiAAAAZHJzL2Rvd25yZXYueG1sUEsBAhQAFAAAAAgAh07iQDMv&#10;BZ47AAAAOQAAABAAAAAAAAAAAQAgAAAADQEAAGRycy9zaGFwZXhtbC54bWxQSwUGAAAAAAYABgBb&#10;AQAAtwMAAAAA&#10;">
                                    <v:fill on="f" focussize="0,0"/>
                                    <v:stroke weight="1pt" color="#000000 [3204]" miterlimit="8" joinstyle="miter" dashstyle="1 1" endarrow="block"/>
                                    <v:imagedata o:title=""/>
                                    <o:lock v:ext="edit" aspectratio="f"/>
                                  </v:shape>
                                  <v:shape id="文本框 163" o:spid="_x0000_s1026" o:spt="202" type="#_x0000_t202" style="position:absolute;left:12192;top:607054;height:1149;width:2237;" fillcolor="#FFFFFF [3201]" filled="t" stroked="t" coordsize="21600,21600" o:gfxdata="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bQMA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水洗填料塔+活性炭吸附+脱附+催化燃烧20m排气筒</w:t>
                                          </w:r>
                                        </w:p>
                                      </w:txbxContent>
                                    </v:textbox>
                                  </v:shape>
                                  <v:shape id="肘形连接符 29" o:spid="_x0000_s1026" o:spt="33" type="#_x0000_t33" style="position:absolute;left:10431;top:608204;flip:y;height:2022;width:2880;" filled="f" stroked="t" coordsize="21600,21600" o:gfxdata="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cvAe/&#10;AAAA3AAAAA8AAAAAAAAAAQAgAAAAIgAAAGRycy9kb3ducmV2LnhtbFBLAQIUABQAAAAIAIdO4kAz&#10;LwWeOwAAADkAAAAQAAAAAAAAAAEAIAAAAA4BAABkcnMvc2hhcGV4bWwueG1sUEsFBgAAAAAGAAYA&#10;WwEAALgDAAAAAA==&#10;">
                                    <v:fill on="f" focussize="0,0"/>
                                    <v:stroke weight="1pt" color="#000000 [3204]" miterlimit="8" joinstyle="miter" dashstyle="1 1" endarrow="block"/>
                                    <v:imagedata o:title=""/>
                                    <o:lock v:ext="edit" aspectratio="f"/>
                                  </v:shape>
                                  <v:shape id="直接箭头连接符 30" o:spid="_x0000_s1026" o:spt="32" type="#_x0000_t32" style="position:absolute;left:13139;top:605941;flip:y;height:1113;width:1;" filled="f" stroked="t" coordsize="21600,21600" o:gfxdata="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2MHb&#10;wAAAANwAAAAPAAAAAAAAAAEAIAAAACIAAABkcnMvZG93bnJldi54bWxQSwECFAAUAAAACACHTuJA&#10;My8FnjsAAAA5AAAAEAAAAAAAAAABACAAAAAPAQAAZHJzL3NoYXBleG1sLnhtbFBLBQYAAAAABgAG&#10;AFsBAAC5AwAAAAA=&#10;">
                                    <v:fill on="f" focussize="0,0"/>
                                    <v:stroke weight="1pt" color="#000000 [3204]" miterlimit="8" joinstyle="miter" endarrow="open"/>
                                    <v:imagedata o:title=""/>
                                    <o:lock v:ext="edit" aspectratio="f"/>
                                  </v:shape>
                                  <v:shape id="文本框 163" o:spid="_x0000_s1026" o:spt="202" type="#_x0000_t202" style="position:absolute;left:12177;top:605387;height:557;width:1564;" fillcolor="#FFFFFF [3201]" filled="t" stroked="f" coordsize="21600,21600" o:gfxdata="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k7Ou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center"/>
                                            <w:rPr>
                                              <w:rFonts w:hint="default"/>
                                              <w:lang w:val="en-US" w:eastAsia="zh-CN"/>
                                            </w:rPr>
                                          </w:pPr>
                                          <w:r>
                                            <w:rPr>
                                              <w:rFonts w:hint="eastAsia"/>
                                              <w:lang w:val="en-US" w:eastAsia="zh-CN"/>
                                            </w:rPr>
                                            <w:t>DA001</w:t>
                                          </w:r>
                                        </w:p>
                                      </w:txbxContent>
                                    </v:textbox>
                                  </v:shape>
                                  <v:shape id="文本框 48" o:spid="_x0000_s1026" o:spt="202" type="#_x0000_t202" style="position:absolute;left:13367;top:605755;height:1148;width:1084;" fillcolor="#FFFFFF [3201]" filled="t" stroked="f" coordsize="21600,21600" o:gfxdata="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aElw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S</w:t>
                                          </w:r>
                                          <w:r>
                                            <w:rPr>
                                              <w:rFonts w:hint="eastAsia" w:cs="宋体"/>
                                              <w:lang w:val="en-US" w:eastAsia="zh-CN"/>
                                            </w:rPr>
                                            <w:t>6、S7、S8、S9、N7</w:t>
                                          </w:r>
                                        </w:p>
                                      </w:txbxContent>
                                    </v:textbox>
                                  </v:shape>
                                </v:group>
                              </v:group>
                              <v:shape id="直接箭头连接符 46" o:spid="_x0000_s1026" o:spt="32" type="#_x0000_t32" style="position:absolute;left:13132;top:606852;flip:y;height:197;width:368;" filled="f" stroked="t" coordsize="21600,21600" o:gfxdata="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Lm6LsAAADc&#10;AAAADwAAAAAAAAABACAAAAAiAAAAZHJzL2Rvd25yZXYueG1sUEsBAhQAFAAAAAgAh07iQDMvBZ47&#10;AAAAOQAAABAAAAAAAAAAAQAgAAAACgEAAGRycy9zaGFwZXhtbC54bWxQSwUGAAAAAAYABgBbAQAA&#10;tAMAAAAA&#10;">
                                <v:fill on="f" focussize="0,0"/>
                                <v:stroke weight="1pt" color="#000000 [3204]" miterlimit="8" joinstyle="miter" dashstyle="1 1" endarrow="block"/>
                                <v:imagedata o:title=""/>
                                <o:lock v:ext="edit" aspectratio="f"/>
                              </v:shape>
                            </v:group>
                            <v:group id="组合 30" o:spid="_x0000_s1026" o:spt="203" style="position:absolute;left:7869;top:572901;height:916;width:2685;" coordorigin="8101,573951" coordsize="2685,916" o:gfxdata="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iKHjq+AAAA3AAAAA8AAAAAAAAAAQAgAAAAIgAAAGRycy9kb3ducmV2Lnht&#10;bFBLAQIUABQAAAAIAIdO4kAzLwWeOwAAADkAAAAVAAAAAAAAAAEAIAAAAA0BAABkcnMvZ3JvdXBz&#10;aGFwZXhtbC54bWxQSwUGAAAAAAYABgBgAQAAygMAAAAA&#10;">
                              <o:lock v:ext="edit" aspectratio="f"/>
                              <v:shape id="文本框 30" o:spid="_x0000_s1026" o:spt="202" type="#_x0000_t202" style="position:absolute;left:9354;top:573951;height:429;width:1432;" filled="f" stroked="f" coordsize="21600,21600" o:gfxdata="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MW&#10;E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cs="宋体"/>
                                          <w:lang w:val="en-US" w:eastAsia="zh-CN"/>
                                        </w:rPr>
                                        <w:t>W1</w:t>
                                      </w:r>
                                    </w:p>
                                  </w:txbxContent>
                                </v:textbox>
                              </v:shape>
                              <v:shape id="直接箭头连接符 11" o:spid="_x0000_s1026" o:spt="32" type="#_x0000_t32" style="position:absolute;left:8953;top:574212;flip:y;height:194;width:368;" filled="f" stroked="t" coordsize="21600,21600" o:gfxdata="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rfq74A&#10;AADcAAAADwAAAAAAAAABACAAAAAiAAAAZHJzL2Rvd25yZXYueG1sUEsBAhQAFAAAAAgAh07iQDMv&#10;BZ47AAAAOQAAABAAAAAAAAAAAQAgAAAADQEAAGRycy9zaGFwZXhtbC54bWxQSwUGAAAAAAYABgBb&#10;AQAAtwMAAAAA&#10;">
                                <v:fill on="f" focussize="0,0"/>
                                <v:stroke weight="1pt" color="#000000 [3204]" miterlimit="8" joinstyle="miter" dashstyle="1 1" endarrow="block"/>
                                <v:imagedata o:title=""/>
                                <o:lock v:ext="edit" aspectratio="f"/>
                              </v:shape>
                              <v:shape id="直接箭头连接符 35" o:spid="_x0000_s1026" o:spt="32" type="#_x0000_t32" style="position:absolute;left:8879;top:573977;flip:x;height:446;width:4;" filled="f" stroked="t" coordsize="21600,21600" o:gfxdata="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XkHu/&#10;AAAA3AAAAA8AAAAAAAAAAQAgAAAAIgAAAGRycy9kb3ducmV2LnhtbFBLAQIUABQAAAAIAIdO4kAz&#10;LwWeOwAAADkAAAAQAAAAAAAAAAEAIAAAAA4BAABkcnMvc2hhcGV4bWwueG1sUEsFBgAAAAAGAAYA&#10;WwEAALgDAAAAAA==&#10;">
                                <v:fill on="f" focussize="0,0"/>
                                <v:stroke weight="0.5pt" color="#000000 [3204]" miterlimit="8" joinstyle="miter" endarrow="block"/>
                                <v:imagedata o:title=""/>
                                <o:lock v:ext="edit" aspectratio="f"/>
                              </v:shape>
                              <v:shape id="文本框 24" o:spid="_x0000_s1026" o:spt="202" type="#_x0000_t202" style="position:absolute;left:8101;top:574377;height:490;width:1560;" fillcolor="#FFFFFF [3201]" filled="t" stroked="t" coordsize="21600,21600" o:gfxdata="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o+T3r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冷却</w:t>
                                      </w:r>
                                    </w:p>
                                  </w:txbxContent>
                                </v:textbox>
                              </v:shape>
                            </v:group>
                          </v:group>
                          <v:shape id="_x0000_s1026" o:spid="_x0000_s1026" o:spt="33" type="#_x0000_t33" style="position:absolute;left:6404;top:587864;flip:y;height:3319;width:1510;rotation:11796480f;" filled="f" stroked="t" coordsize="21600,21600" o:gfxdata="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oCnL4A&#10;AADcAAAADwAAAAAAAAABACAAAAAiAAAAZHJzL2Rvd25yZXYueG1sUEsBAhQAFAAAAAgAh07iQDMv&#10;BZ47AAAAOQAAABAAAAAAAAAAAQAgAAAADQEAAGRycy9zaGFwZXhtbC54bWxQSwUGAAAAAAYABgBb&#10;AQAAtwMAAAAA&#10;">
                            <v:fill on="f" focussize="0,0"/>
                            <v:stroke weight="1pt" color="#000000 [3204]" miterlimit="8" joinstyle="miter" endarrow="block"/>
                            <v:imagedata o:title=""/>
                            <o:lock v:ext="edit" aspectratio="f"/>
                          </v:shape>
                        </v:group>
                        <v:shape id="直接箭头连接符 149" o:spid="_x0000_s1026" o:spt="32" type="#_x0000_t32" style="position:absolute;left:8659;top:585498;height:409;width:6;" filled="f" stroked="t" coordsize="21600,21600" o:gfxdata="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OuoZLsAAADc&#10;AAAADwAAAAAAAAABACAAAAAiAAAAZHJzL2Rvd25yZXYueG1sUEsBAhQAFAAAAAgAh07iQDMvBZ47&#10;AAAAOQAAABAAAAAAAAAAAQAgAAAACgEAAGRycy9zaGFwZXhtbC54bWxQSwUGAAAAAAYABgBbAQAA&#10;tAMAAAAA&#10;">
                          <v:fill on="f" focussize="0,0"/>
                          <v:stroke weight="0.5pt" color="#000000 [3204]" miterlimit="8" joinstyle="miter" endarrow="block"/>
                          <v:imagedata o:title=""/>
                          <o:lock v:ext="edit" aspectratio="f"/>
                        </v:shape>
                      </v:group>
                      <v:shape id="肘形连接符 29" o:spid="_x0000_s1026" o:spt="33" type="#_x0000_t33" style="position:absolute;left:10292;top:676148;flip:y;height:252;width:2930;" filled="f" stroked="t" coordsize="21600,21600" o:gfxdata="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ZO8b4A&#10;AADbAAAADwAAAAAAAAABACAAAAAiAAAAZHJzL2Rvd25yZXYueG1sUEsBAhQAFAAAAAgAh07iQDMv&#10;BZ47AAAAOQAAABAAAAAAAAAAAQAgAAAADQEAAGRycy9zaGFwZXhtbC54bWxQSwUGAAAAAAYABgBb&#10;AQAAtwMAAAAA&#10;">
                        <v:fill on="f" focussize="0,0"/>
                        <v:stroke weight="1pt" color="#000000 [3204]" miterlimit="8" joinstyle="miter" dashstyle="1 1" endarrow="block"/>
                        <v:imagedata o:title=""/>
                        <o:lock v:ext="edit" aspectratio="f"/>
                      </v:shape>
                    </v:group>
                  </w:pict>
                </mc:Fallback>
              </mc:AlternateContent>
            </w:r>
          </w:p>
          <w:p>
            <w:pPr>
              <w:widowControl w:val="0"/>
              <w:numPr>
                <w:ilvl w:val="0"/>
                <w:numId w:val="0"/>
              </w:numPr>
              <w:spacing w:line="320" w:lineRule="exact"/>
              <w:jc w:val="both"/>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widowControl w:val="0"/>
              <w:autoSpaceDE/>
              <w:autoSpaceDN/>
              <w:adjustRightInd/>
              <w:spacing w:after="120" w:line="240" w:lineRule="auto"/>
              <w:ind w:left="0" w:leftChars="0" w:firstLine="0" w:firstLineChars="0"/>
              <w:jc w:val="both"/>
              <w:textAlignment w:val="auto"/>
              <w:rPr>
                <w:rFonts w:hint="eastAsia" w:ascii="Times New Roman" w:hAnsi="Times New Roman" w:eastAsia="宋体" w:cs="宋体"/>
                <w:color w:val="auto"/>
                <w:kern w:val="2"/>
                <w:sz w:val="21"/>
                <w:szCs w:val="24"/>
                <w:lang w:val="en-US" w:eastAsia="zh-CN" w:bidi="ar-SA"/>
              </w:rPr>
            </w:pPr>
          </w:p>
          <w:p>
            <w:pPr>
              <w:rPr>
                <w:rFonts w:hint="eastAsia"/>
                <w:lang w:val="en-US" w:eastAsia="zh-CN"/>
              </w:rPr>
            </w:pPr>
          </w:p>
          <w:p>
            <w:pPr>
              <w:widowControl w:val="0"/>
              <w:autoSpaceDE w:val="0"/>
              <w:autoSpaceDN w:val="0"/>
              <w:adjustRightInd w:val="0"/>
              <w:spacing w:line="360" w:lineRule="auto"/>
              <w:jc w:val="both"/>
              <w:rPr>
                <w:rFonts w:hint="default"/>
                <w:lang w:val="en-US" w:eastAsia="zh-CN"/>
              </w:rPr>
            </w:pPr>
          </w:p>
          <w:p>
            <w:pPr>
              <w:bidi w:val="0"/>
              <w:rPr>
                <w:rFonts w:hint="default" w:ascii="Times New Roman" w:hAnsi="Times New Roman" w:eastAsia="宋体" w:cs="宋体"/>
                <w:color w:val="auto"/>
                <w:sz w:val="24"/>
                <w:szCs w:val="22"/>
                <w:lang w:val="en-US" w:eastAsia="zh-CN" w:bidi="ar-SA"/>
              </w:rPr>
            </w:pPr>
          </w:p>
          <w:p>
            <w:pPr>
              <w:bidi w:val="0"/>
              <w:rPr>
                <w:rFonts w:hint="default"/>
                <w:lang w:val="en-US" w:eastAsia="zh-CN"/>
              </w:rPr>
            </w:pPr>
          </w:p>
          <w:p>
            <w:pPr>
              <w:bidi w:val="0"/>
              <w:jc w:val="both"/>
              <w:rPr>
                <w:rFonts w:hint="default"/>
                <w:b/>
                <w:bCs/>
                <w:lang w:val="en-US" w:eastAsia="zh-CN"/>
              </w:rPr>
            </w:pPr>
          </w:p>
          <w:p>
            <w:pPr>
              <w:bidi w:val="0"/>
              <w:jc w:val="center"/>
              <w:rPr>
                <w:rFonts w:hint="default"/>
                <w:b/>
                <w:bCs/>
                <w:lang w:val="en-US" w:eastAsia="zh-CN"/>
              </w:rPr>
            </w:pPr>
          </w:p>
          <w:p>
            <w:pPr>
              <w:bidi w:val="0"/>
              <w:spacing w:line="360" w:lineRule="auto"/>
              <w:jc w:val="center"/>
              <w:rPr>
                <w:rFonts w:hint="default"/>
                <w:lang w:val="en-US" w:eastAsia="zh-CN"/>
              </w:rPr>
            </w:pPr>
            <w:r>
              <w:rPr>
                <w:rFonts w:hint="default"/>
                <w:b/>
                <w:bCs/>
                <w:lang w:val="en-US" w:eastAsia="zh-CN"/>
              </w:rPr>
              <w:t>图2.</w:t>
            </w:r>
            <w:r>
              <w:rPr>
                <w:rFonts w:hint="eastAsia" w:ascii="Times New Roman" w:eastAsia="宋体"/>
                <w:b/>
                <w:bCs/>
                <w:lang w:val="en-US" w:eastAsia="zh-CN"/>
              </w:rPr>
              <w:t>8</w:t>
            </w:r>
            <w:r>
              <w:rPr>
                <w:rFonts w:hint="default"/>
                <w:b/>
                <w:bCs/>
                <w:lang w:val="en-US" w:eastAsia="zh-CN"/>
              </w:rPr>
              <w:t>-</w:t>
            </w:r>
            <w:r>
              <w:rPr>
                <w:rFonts w:hint="eastAsia"/>
                <w:b/>
                <w:bCs/>
                <w:lang w:val="en-US" w:eastAsia="zh-CN"/>
              </w:rPr>
              <w:t>2</w:t>
            </w:r>
            <w:r>
              <w:rPr>
                <w:rFonts w:hint="default"/>
                <w:b/>
                <w:bCs/>
                <w:lang w:val="en-US" w:eastAsia="zh-CN"/>
              </w:rPr>
              <w:t xml:space="preserve">  运营期</w:t>
            </w:r>
            <w:r>
              <w:rPr>
                <w:rFonts w:hint="eastAsia"/>
                <w:b/>
                <w:bCs/>
                <w:lang w:val="en-US" w:eastAsia="zh-CN"/>
              </w:rPr>
              <w:t>电线</w:t>
            </w:r>
            <w:r>
              <w:rPr>
                <w:rFonts w:hint="default"/>
                <w:b/>
                <w:bCs/>
                <w:lang w:val="en-US" w:eastAsia="zh-CN"/>
              </w:rPr>
              <w:t>工艺流程及排污节点图</w:t>
            </w:r>
          </w:p>
          <w:p>
            <w:pPr>
              <w:spacing w:line="360" w:lineRule="auto"/>
              <w:ind w:firstLine="482"/>
              <w:rPr>
                <w:rFonts w:hint="eastAsia" w:ascii="Times New Roman" w:hAnsi="Times New Roman" w:eastAsia="宋体" w:cs="宋体"/>
                <w:lang w:val="en-US" w:eastAsia="zh-CN"/>
              </w:rPr>
            </w:pPr>
            <w:r>
              <w:rPr>
                <w:rFonts w:hint="eastAsia" w:ascii="Times New Roman" w:hAnsi="Times New Roman" w:eastAsia="宋体" w:cs="宋体"/>
                <w:lang w:val="en-US" w:eastAsia="zh-CN"/>
              </w:rPr>
              <w:t>防火电缆工艺流程简述如下：</w:t>
            </w:r>
          </w:p>
          <w:p>
            <w:pPr>
              <w:numPr>
                <w:ilvl w:val="0"/>
                <w:numId w:val="4"/>
              </w:numPr>
              <w:spacing w:line="360" w:lineRule="auto"/>
              <w:ind w:left="-2" w:leftChars="0" w:firstLine="482" w:firstLineChars="0"/>
              <w:rPr>
                <w:rFonts w:hint="eastAsia" w:ascii="Times New Roman" w:hAnsi="Times New Roman" w:eastAsia="宋体" w:cs="宋体"/>
                <w:lang w:val="en-US" w:eastAsia="zh-CN"/>
              </w:rPr>
            </w:pPr>
            <w:r>
              <w:rPr>
                <w:rFonts w:hint="eastAsia" w:ascii="Times New Roman" w:hAnsi="Times New Roman" w:eastAsia="宋体" w:cs="宋体"/>
                <w:lang w:val="en-US" w:eastAsia="zh-CN"/>
              </w:rPr>
              <w:t>物料入场</w:t>
            </w:r>
          </w:p>
          <w:p>
            <w:pPr>
              <w:numPr>
                <w:ilvl w:val="0"/>
                <w:numId w:val="0"/>
              </w:numPr>
              <w:spacing w:line="360" w:lineRule="auto"/>
              <w:ind w:firstLine="480" w:firstLineChars="200"/>
              <w:rPr>
                <w:rFonts w:hint="eastAsia" w:ascii="Times New Roman" w:hAnsi="Times New Roman" w:eastAsia="宋体" w:cs="宋体"/>
                <w:color w:val="auto"/>
                <w:sz w:val="24"/>
                <w:szCs w:val="22"/>
                <w:lang w:val="en-US" w:eastAsia="zh-CN" w:bidi="ar-SA"/>
              </w:rPr>
            </w:pPr>
            <w:r>
              <w:rPr>
                <w:rFonts w:hint="eastAsia" w:ascii="Times New Roman" w:hAnsi="Times New Roman" w:eastAsia="宋体" w:cs="宋体"/>
                <w:color w:val="auto"/>
                <w:sz w:val="24"/>
                <w:szCs w:val="22"/>
                <w:lang w:val="en-US" w:eastAsia="zh-CN" w:bidi="ar-SA"/>
              </w:rPr>
              <w:t>本项目原料均由汽车运输进场，进场后根据用量需要在车间内原料堆放区暂存，该过程主要会产生废包装材料S1。</w:t>
            </w:r>
          </w:p>
          <w:p>
            <w:pPr>
              <w:numPr>
                <w:ilvl w:val="0"/>
                <w:numId w:val="4"/>
              </w:numPr>
              <w:spacing w:line="360" w:lineRule="auto"/>
              <w:ind w:left="-2" w:leftChars="0" w:firstLine="482" w:firstLineChars="0"/>
              <w:rPr>
                <w:rFonts w:hint="eastAsia" w:ascii="Times New Roman" w:hAnsi="Times New Roman" w:eastAsia="宋体" w:cs="宋体"/>
                <w:lang w:val="en-US" w:eastAsia="zh-CN"/>
              </w:rPr>
            </w:pPr>
            <w:r>
              <w:rPr>
                <w:rFonts w:hint="eastAsia" w:ascii="Times New Roman" w:hAnsi="Times New Roman" w:eastAsia="宋体" w:cs="宋体"/>
                <w:lang w:val="en-US" w:eastAsia="zh-CN"/>
              </w:rPr>
              <w:t>铜、铝拉丝</w:t>
            </w:r>
          </w:p>
          <w:p>
            <w:pPr>
              <w:numPr>
                <w:ilvl w:val="0"/>
                <w:numId w:val="0"/>
              </w:numPr>
              <w:spacing w:line="360" w:lineRule="auto"/>
              <w:ind w:firstLine="480" w:firstLineChars="200"/>
              <w:rPr>
                <w:rFonts w:hint="default" w:ascii="Times New Roman" w:hAnsi="Times New Roman" w:eastAsia="宋体" w:cs="宋体"/>
                <w:lang w:val="en-US" w:eastAsia="zh-CN"/>
              </w:rPr>
            </w:pPr>
            <w:r>
              <w:rPr>
                <w:rFonts w:hint="eastAsia" w:ascii="Times New Roman" w:hAnsi="Times New Roman" w:eastAsia="宋体" w:cs="宋体"/>
                <w:lang w:val="en-US" w:eastAsia="zh-CN"/>
              </w:rPr>
              <w:t>利用铜、铝杆拉丝，拉丝与电缆生产线均在同一套设备进行。此部分</w:t>
            </w:r>
            <w:r>
              <w:rPr>
                <w:rFonts w:hint="eastAsia"/>
                <w:lang w:val="en-US" w:eastAsia="zh-CN"/>
              </w:rPr>
              <w:t>拉丝油</w:t>
            </w:r>
            <w:r>
              <w:rPr>
                <w:rFonts w:hint="eastAsia" w:ascii="Times New Roman" w:eastAsia="宋体"/>
                <w:lang w:val="en-US" w:eastAsia="zh-CN"/>
              </w:rPr>
              <w:t>产生</w:t>
            </w:r>
            <w:r>
              <w:rPr>
                <w:rFonts w:hint="eastAsia"/>
                <w:lang w:val="en-US" w:eastAsia="zh-CN"/>
              </w:rPr>
              <w:t>拉丝有机废气G1以及</w:t>
            </w:r>
            <w:r>
              <w:rPr>
                <w:rFonts w:hint="eastAsia" w:ascii="Times New Roman" w:hAnsi="Times New Roman" w:eastAsia="宋体" w:cs="宋体"/>
                <w:lang w:val="en-US" w:eastAsia="zh-CN"/>
              </w:rPr>
              <w:t>拉丝机机械设备运行噪声N1。</w:t>
            </w:r>
          </w:p>
          <w:p>
            <w:pPr>
              <w:numPr>
                <w:ilvl w:val="0"/>
                <w:numId w:val="4"/>
              </w:numPr>
              <w:spacing w:line="360" w:lineRule="auto"/>
              <w:ind w:left="-2" w:leftChars="0" w:firstLine="482" w:firstLineChars="0"/>
              <w:rPr>
                <w:rFonts w:hint="eastAsia" w:ascii="Times New Roman" w:hAnsi="Times New Roman" w:eastAsia="宋体" w:cs="宋体"/>
                <w:lang w:val="en-US" w:eastAsia="zh-CN"/>
              </w:rPr>
            </w:pPr>
            <w:r>
              <w:rPr>
                <w:rFonts w:hint="eastAsia" w:ascii="Times New Roman" w:hAnsi="Times New Roman" w:eastAsia="宋体" w:cs="宋体"/>
                <w:lang w:val="en-US" w:eastAsia="zh-CN"/>
              </w:rPr>
              <w:t>退火</w:t>
            </w:r>
          </w:p>
          <w:p>
            <w:pPr>
              <w:numPr>
                <w:ilvl w:val="0"/>
                <w:numId w:val="0"/>
              </w:numPr>
              <w:spacing w:line="360" w:lineRule="auto"/>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电线导体经过拉丝加工后，进行退火处理。</w:t>
            </w:r>
          </w:p>
          <w:p>
            <w:pPr>
              <w:numPr>
                <w:ilvl w:val="0"/>
                <w:numId w:val="4"/>
              </w:numPr>
              <w:spacing w:line="360" w:lineRule="auto"/>
              <w:ind w:left="-2" w:leftChars="0" w:firstLine="482" w:firstLineChars="0"/>
              <w:rPr>
                <w:rFonts w:hint="eastAsia" w:ascii="Times New Roman" w:hAnsi="Times New Roman" w:eastAsia="宋体" w:cs="宋体"/>
                <w:lang w:val="en-US" w:eastAsia="zh-CN"/>
              </w:rPr>
            </w:pPr>
            <w:r>
              <w:rPr>
                <w:rFonts w:hint="eastAsia" w:ascii="Times New Roman" w:hAnsi="Times New Roman" w:eastAsia="宋体" w:cs="宋体"/>
                <w:lang w:val="en-US" w:eastAsia="zh-CN"/>
              </w:rPr>
              <w:t>绞丝</w:t>
            </w:r>
          </w:p>
          <w:p>
            <w:pPr>
              <w:numPr>
                <w:ilvl w:val="0"/>
                <w:numId w:val="0"/>
              </w:numPr>
              <w:spacing w:line="360" w:lineRule="auto"/>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导电线芯采取多根单丝绞合而成，绞丝与电缆生产线均在同一套设备进行。此部分还会产生绞丝机机械设备运行噪声N2、废金属线S2。</w:t>
            </w:r>
          </w:p>
          <w:p>
            <w:pPr>
              <w:numPr>
                <w:ilvl w:val="0"/>
                <w:numId w:val="4"/>
              </w:numPr>
              <w:spacing w:line="360" w:lineRule="auto"/>
              <w:ind w:left="-2" w:leftChars="0" w:firstLine="482" w:firstLineChars="0"/>
              <w:rPr>
                <w:rFonts w:hint="eastAsia" w:ascii="Times New Roman" w:hAnsi="Times New Roman" w:eastAsia="宋体" w:cs="宋体"/>
                <w:lang w:val="en-US" w:eastAsia="zh-CN"/>
              </w:rPr>
            </w:pPr>
            <w:r>
              <w:rPr>
                <w:rFonts w:hint="eastAsia" w:ascii="Times New Roman" w:hAnsi="Times New Roman" w:eastAsia="宋体" w:cs="宋体"/>
                <w:lang w:val="en-US" w:eastAsia="zh-CN"/>
              </w:rPr>
              <w:t>绕包防火带</w:t>
            </w:r>
          </w:p>
          <w:p>
            <w:pPr>
              <w:numPr>
                <w:ilvl w:val="0"/>
                <w:numId w:val="0"/>
              </w:numPr>
              <w:spacing w:line="360" w:lineRule="auto"/>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防火包带是用于缠绕各类单根</w:t>
            </w:r>
            <w:r>
              <w:rPr>
                <w:rFonts w:hint="eastAsia" w:ascii="Times New Roman" w:hAnsi="Times New Roman" w:eastAsia="宋体" w:cs="宋体"/>
                <w:lang w:val="en-US" w:eastAsia="zh-CN"/>
              </w:rPr>
              <w:fldChar w:fldCharType="begin"/>
            </w:r>
            <w:r>
              <w:rPr>
                <w:rFonts w:hint="eastAsia" w:ascii="Times New Roman" w:hAnsi="Times New Roman" w:eastAsia="宋体" w:cs="宋体"/>
                <w:lang w:val="en-US" w:eastAsia="zh-CN"/>
              </w:rPr>
              <w:instrText xml:space="preserve"> HYPERLINK "https://baike.baidu.com/item/%E7%94%B5%E7%BC%86/5942260?fromModule=lemma_inlink" \t "https://baike.baidu.com/item/%E9%98%B2%E7%81%AB%E5%8C%85%E5%B8%A6/_blank" </w:instrText>
            </w:r>
            <w:r>
              <w:rPr>
                <w:rFonts w:hint="eastAsia" w:ascii="Times New Roman" w:hAnsi="Times New Roman" w:eastAsia="宋体" w:cs="宋体"/>
                <w:lang w:val="en-US" w:eastAsia="zh-CN"/>
              </w:rPr>
              <w:fldChar w:fldCharType="separate"/>
            </w:r>
            <w:r>
              <w:rPr>
                <w:rFonts w:hint="eastAsia" w:ascii="Times New Roman" w:hAnsi="Times New Roman" w:eastAsia="宋体" w:cs="宋体"/>
                <w:lang w:val="en-US" w:eastAsia="zh-CN"/>
              </w:rPr>
              <w:t>电缆</w:t>
            </w:r>
            <w:r>
              <w:rPr>
                <w:rFonts w:hint="eastAsia" w:ascii="Times New Roman" w:hAnsi="Times New Roman" w:eastAsia="宋体" w:cs="宋体"/>
                <w:lang w:val="en-US" w:eastAsia="zh-CN"/>
              </w:rPr>
              <w:fldChar w:fldCharType="end"/>
            </w:r>
            <w:r>
              <w:rPr>
                <w:rFonts w:hint="eastAsia" w:ascii="Times New Roman" w:hAnsi="Times New Roman" w:eastAsia="宋体" w:cs="宋体"/>
                <w:lang w:val="en-US" w:eastAsia="zh-CN"/>
              </w:rPr>
              <w:t>外表，一旦火焰接触时迅速</w:t>
            </w:r>
            <w:r>
              <w:rPr>
                <w:rFonts w:hint="eastAsia" w:ascii="Times New Roman" w:hAnsi="Times New Roman" w:eastAsia="宋体" w:cs="宋体"/>
                <w:lang w:val="en-US" w:eastAsia="zh-CN"/>
              </w:rPr>
              <w:fldChar w:fldCharType="begin"/>
            </w:r>
            <w:r>
              <w:rPr>
                <w:rFonts w:hint="eastAsia" w:ascii="Times New Roman" w:hAnsi="Times New Roman" w:eastAsia="宋体" w:cs="宋体"/>
                <w:lang w:val="en-US" w:eastAsia="zh-CN"/>
              </w:rPr>
              <w:instrText xml:space="preserve"> HYPERLINK "https://baike.baidu.com/item/%E8%86%A8%E8%83%80/0?fromModule=lemma_inlink" \t "https://baike.baidu.com/item/%E9%98%B2%E7%81%AB%E5%8C%85%E5%B8%A6/_blank" </w:instrText>
            </w:r>
            <w:r>
              <w:rPr>
                <w:rFonts w:hint="eastAsia" w:ascii="Times New Roman" w:hAnsi="Times New Roman" w:eastAsia="宋体" w:cs="宋体"/>
                <w:lang w:val="en-US" w:eastAsia="zh-CN"/>
              </w:rPr>
              <w:fldChar w:fldCharType="separate"/>
            </w:r>
            <w:r>
              <w:rPr>
                <w:rFonts w:hint="eastAsia" w:ascii="Times New Roman" w:hAnsi="Times New Roman" w:eastAsia="宋体" w:cs="宋体"/>
                <w:lang w:val="en-US" w:eastAsia="zh-CN"/>
              </w:rPr>
              <w:t>膨胀</w:t>
            </w:r>
            <w:r>
              <w:rPr>
                <w:rFonts w:hint="eastAsia" w:ascii="Times New Roman" w:hAnsi="Times New Roman" w:eastAsia="宋体" w:cs="宋体"/>
                <w:lang w:val="en-US" w:eastAsia="zh-CN"/>
              </w:rPr>
              <w:fldChar w:fldCharType="end"/>
            </w:r>
            <w:r>
              <w:rPr>
                <w:rFonts w:hint="eastAsia" w:ascii="Times New Roman" w:hAnsi="Times New Roman" w:eastAsia="宋体" w:cs="宋体"/>
                <w:lang w:val="en-US" w:eastAsia="zh-CN"/>
              </w:rPr>
              <w:t>形成碳化体，防止火焰引燃电缆。本项目采用云母带进行绕包。单芯防火电缆只需进行单次绕包防火带。</w:t>
            </w:r>
          </w:p>
          <w:p>
            <w:pPr>
              <w:numPr>
                <w:ilvl w:val="0"/>
                <w:numId w:val="0"/>
              </w:numPr>
              <w:spacing w:line="360" w:lineRule="auto"/>
              <w:ind w:firstLine="480" w:firstLineChars="200"/>
              <w:rPr>
                <w:rFonts w:hint="default" w:ascii="Times New Roman" w:hAnsi="Times New Roman" w:eastAsia="宋体" w:cs="宋体"/>
                <w:lang w:val="en-US" w:eastAsia="zh-CN"/>
              </w:rPr>
            </w:pPr>
            <w:r>
              <w:rPr>
                <w:rFonts w:hint="eastAsia" w:ascii="Times New Roman" w:hAnsi="Times New Roman" w:eastAsia="宋体" w:cs="宋体"/>
                <w:lang w:val="en-US" w:eastAsia="zh-CN"/>
              </w:rPr>
              <w:t>（6）</w:t>
            </w:r>
            <w:r>
              <w:rPr>
                <w:rFonts w:hint="eastAsia" w:cs="宋体"/>
                <w:lang w:val="en-US" w:eastAsia="zh-CN"/>
              </w:rPr>
              <w:t>挤塑</w:t>
            </w:r>
          </w:p>
          <w:p>
            <w:pPr>
              <w:numPr>
                <w:ilvl w:val="0"/>
                <w:numId w:val="0"/>
              </w:numPr>
              <w:spacing w:line="360" w:lineRule="auto"/>
              <w:ind w:firstLine="480" w:firstLineChars="200"/>
              <w:rPr>
                <w:rFonts w:hint="eastAsia" w:ascii="Times New Roman" w:hAnsi="Times New Roman" w:eastAsia="宋体" w:cs="宋体"/>
                <w:lang w:val="en-US" w:eastAsia="zh-CN"/>
              </w:rPr>
            </w:pPr>
            <w:r>
              <w:rPr>
                <w:rFonts w:hint="eastAsia"/>
                <w:lang w:val="en-US" w:eastAsia="zh-CN"/>
              </w:rPr>
              <w:t>部分</w:t>
            </w:r>
            <w:r>
              <w:rPr>
                <w:rFonts w:hint="eastAsia" w:ascii="Times New Roman" w:hAnsi="Times New Roman" w:eastAsia="宋体" w:cs="宋体"/>
                <w:lang w:val="en-US" w:eastAsia="zh-CN"/>
              </w:rPr>
              <w:t>防火电缆</w:t>
            </w:r>
            <w:r>
              <w:rPr>
                <w:rFonts w:hint="eastAsia" w:cs="宋体"/>
                <w:lang w:val="en-US" w:eastAsia="zh-CN"/>
              </w:rPr>
              <w:t>根据需求，需要进行挤塑。</w:t>
            </w:r>
            <w:r>
              <w:rPr>
                <w:rFonts w:hint="eastAsia" w:ascii="Times New Roman" w:eastAsia="宋体"/>
                <w:lang w:val="en-US" w:eastAsia="zh-CN"/>
              </w:rPr>
              <w:t>通过加入聚乙烯颗粒将金属包裹起来，采用</w:t>
            </w:r>
            <w:r>
              <w:rPr>
                <w:rFonts w:hint="eastAsia"/>
                <w:lang w:val="en-US" w:eastAsia="zh-CN"/>
              </w:rPr>
              <w:t>一层</w:t>
            </w:r>
            <w:r>
              <w:rPr>
                <w:rFonts w:hint="eastAsia" w:ascii="Times New Roman" w:eastAsia="宋体"/>
                <w:lang w:val="en-US" w:eastAsia="zh-CN"/>
              </w:rPr>
              <w:t>共挤技术。挤塑会产生少量</w:t>
            </w:r>
            <w:r>
              <w:rPr>
                <w:rFonts w:hint="eastAsia"/>
                <w:lang w:val="en-US" w:eastAsia="zh-CN"/>
              </w:rPr>
              <w:t>挤塑</w:t>
            </w:r>
            <w:r>
              <w:rPr>
                <w:rFonts w:hint="eastAsia" w:ascii="Times New Roman" w:eastAsia="宋体"/>
                <w:lang w:val="en-US" w:eastAsia="zh-CN"/>
              </w:rPr>
              <w:t>废气G</w:t>
            </w:r>
            <w:r>
              <w:rPr>
                <w:rFonts w:hint="eastAsia"/>
                <w:lang w:val="en-US" w:eastAsia="zh-CN"/>
              </w:rPr>
              <w:t>2</w:t>
            </w:r>
            <w:r>
              <w:rPr>
                <w:rFonts w:hint="eastAsia" w:ascii="Times New Roman" w:eastAsia="宋体"/>
                <w:lang w:val="en-US" w:eastAsia="zh-CN"/>
              </w:rPr>
              <w:t>、废塑料S3以及挤出机设备运行噪声N3。</w:t>
            </w:r>
          </w:p>
          <w:p>
            <w:pPr>
              <w:numPr>
                <w:ilvl w:val="0"/>
                <w:numId w:val="0"/>
              </w:numPr>
              <w:spacing w:line="360" w:lineRule="auto"/>
              <w:ind w:left="480" w:leftChars="0"/>
              <w:rPr>
                <w:rFonts w:hint="eastAsia" w:ascii="Times New Roman" w:eastAsia="宋体"/>
                <w:lang w:val="en-US" w:eastAsia="zh-CN"/>
              </w:rPr>
            </w:pPr>
            <w:r>
              <w:rPr>
                <w:rFonts w:hint="eastAsia"/>
                <w:lang w:val="en-US" w:eastAsia="zh-CN"/>
              </w:rPr>
              <w:t>（7）</w:t>
            </w:r>
            <w:r>
              <w:rPr>
                <w:rFonts w:hint="eastAsia" w:ascii="Times New Roman" w:eastAsia="宋体"/>
                <w:lang w:val="en-US" w:eastAsia="zh-CN"/>
              </w:rPr>
              <w:t>紫外光交联</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挤出绝缘后的半成品经紫外光交联设备进行紫外光交联</w:t>
            </w:r>
            <w:r>
              <w:rPr>
                <w:rFonts w:hint="eastAsia"/>
                <w:lang w:val="en-US" w:eastAsia="zh-CN"/>
              </w:rPr>
              <w:t>，仅使用聚乙烯、低烟无卤阻燃聚烯烃电缆料挤塑的需要进行</w:t>
            </w:r>
            <w:r>
              <w:rPr>
                <w:rFonts w:hint="eastAsia" w:ascii="Times New Roman" w:eastAsia="宋体"/>
                <w:lang w:val="en-US" w:eastAsia="zh-CN"/>
              </w:rPr>
              <w:t>紫外光交联，</w:t>
            </w:r>
            <w:r>
              <w:rPr>
                <w:rFonts w:hint="eastAsia"/>
                <w:lang w:val="en-US" w:eastAsia="zh-CN"/>
              </w:rPr>
              <w:t>此部分会产生交联废气G3、紫外光交联设备运行噪声N4</w:t>
            </w:r>
            <w:r>
              <w:rPr>
                <w:rFonts w:hint="eastAsia" w:ascii="Times New Roman" w:eastAsia="宋体"/>
                <w:lang w:val="en-US" w:eastAsia="zh-CN"/>
              </w:rPr>
              <w:t>。</w:t>
            </w:r>
          </w:p>
          <w:p>
            <w:pPr>
              <w:numPr>
                <w:ilvl w:val="0"/>
                <w:numId w:val="0"/>
              </w:numPr>
              <w:spacing w:line="360" w:lineRule="auto"/>
              <w:ind w:left="480" w:leftChars="0"/>
              <w:rPr>
                <w:rFonts w:hint="eastAsia" w:ascii="Times New Roman" w:eastAsia="宋体"/>
                <w:lang w:val="en-US" w:eastAsia="zh-CN"/>
              </w:rPr>
            </w:pPr>
            <w:r>
              <w:rPr>
                <w:rFonts w:hint="eastAsia"/>
                <w:lang w:val="en-US" w:eastAsia="zh-CN"/>
              </w:rPr>
              <w:t>（8）</w:t>
            </w:r>
            <w:r>
              <w:rPr>
                <w:rFonts w:hint="eastAsia" w:ascii="Times New Roman" w:eastAsia="宋体"/>
                <w:lang w:val="en-US" w:eastAsia="zh-CN"/>
              </w:rPr>
              <w:t>冷却</w:t>
            </w:r>
          </w:p>
          <w:p>
            <w:pPr>
              <w:numPr>
                <w:ilvl w:val="0"/>
                <w:numId w:val="0"/>
              </w:numPr>
              <w:spacing w:line="360" w:lineRule="auto"/>
              <w:ind w:firstLine="480" w:firstLineChars="200"/>
              <w:rPr>
                <w:rFonts w:hint="eastAsia" w:ascii="Times New Roman" w:eastAsia="宋体"/>
                <w:lang w:val="en-US" w:eastAsia="zh-CN"/>
              </w:rPr>
            </w:pPr>
            <w:r>
              <w:rPr>
                <w:rFonts w:hint="eastAsia" w:ascii="Times New Roman" w:eastAsia="宋体"/>
                <w:lang w:val="en-US" w:eastAsia="zh-CN"/>
              </w:rPr>
              <w:t>挤塑后的绝缘线芯表面温度较高，经冷却水冷却成型，冷却水W1循环使用。</w:t>
            </w:r>
          </w:p>
          <w:p>
            <w:pPr>
              <w:numPr>
                <w:ilvl w:val="0"/>
                <w:numId w:val="0"/>
              </w:numPr>
              <w:spacing w:line="360" w:lineRule="auto"/>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r>
              <w:rPr>
                <w:rFonts w:hint="eastAsia" w:cs="宋体"/>
                <w:lang w:val="en-US" w:eastAsia="zh-CN"/>
              </w:rPr>
              <w:t>9</w:t>
            </w:r>
            <w:r>
              <w:rPr>
                <w:rFonts w:hint="eastAsia" w:ascii="Times New Roman" w:hAnsi="Times New Roman" w:eastAsia="宋体" w:cs="宋体"/>
                <w:lang w:val="en-US" w:eastAsia="zh-CN"/>
              </w:rPr>
              <w:t>）成缆</w:t>
            </w:r>
          </w:p>
          <w:p>
            <w:pPr>
              <w:numPr>
                <w:ilvl w:val="0"/>
                <w:numId w:val="0"/>
              </w:numPr>
              <w:spacing w:line="360" w:lineRule="auto"/>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多芯防火电缆需进行成缆，多根绕包防火带的单芯导电线经管绞机成缆后收线至工装轮上。成缆对于多芯的电缆为了保证成型度、减小电缆的外形，一般都需要将其绞合为圆形。此部分产生成缆机设备运行噪声N5。</w:t>
            </w:r>
          </w:p>
          <w:p>
            <w:pPr>
              <w:numPr>
                <w:ilvl w:val="0"/>
                <w:numId w:val="0"/>
              </w:numPr>
              <w:spacing w:line="360" w:lineRule="auto"/>
              <w:ind w:left="480" w:leftChars="0"/>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r>
              <w:rPr>
                <w:rFonts w:hint="eastAsia" w:cs="宋体"/>
                <w:lang w:val="en-US" w:eastAsia="zh-CN"/>
              </w:rPr>
              <w:t>10</w:t>
            </w:r>
            <w:r>
              <w:rPr>
                <w:rFonts w:hint="eastAsia" w:ascii="Times New Roman" w:hAnsi="Times New Roman" w:eastAsia="宋体" w:cs="宋体"/>
                <w:lang w:val="en-US" w:eastAsia="zh-CN"/>
              </w:rPr>
              <w:t>）绕包防火带</w:t>
            </w:r>
          </w:p>
          <w:p>
            <w:pPr>
              <w:numPr>
                <w:ilvl w:val="0"/>
                <w:numId w:val="0"/>
              </w:numPr>
              <w:spacing w:line="360" w:lineRule="auto"/>
              <w:ind w:left="480" w:leftChars="0"/>
              <w:rPr>
                <w:rFonts w:hint="default" w:ascii="Times New Roman" w:hAnsi="Times New Roman" w:eastAsia="宋体" w:cs="宋体"/>
                <w:lang w:val="en-US" w:eastAsia="zh-CN"/>
              </w:rPr>
            </w:pPr>
            <w:r>
              <w:rPr>
                <w:rFonts w:hint="eastAsia" w:ascii="Times New Roman" w:hAnsi="Times New Roman" w:eastAsia="宋体" w:cs="宋体"/>
                <w:lang w:val="en-US" w:eastAsia="zh-CN"/>
              </w:rPr>
              <w:t>多芯防火电缆在成缆后，需再次进行绕包防火带，采用云母带进行绕包。</w:t>
            </w:r>
          </w:p>
          <w:p>
            <w:pPr>
              <w:numPr>
                <w:ilvl w:val="0"/>
                <w:numId w:val="0"/>
              </w:numPr>
              <w:spacing w:line="360" w:lineRule="auto"/>
              <w:ind w:left="480" w:leftChars="0"/>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r>
              <w:rPr>
                <w:rFonts w:hint="eastAsia" w:cs="宋体"/>
                <w:lang w:val="en-US" w:eastAsia="zh-CN"/>
              </w:rPr>
              <w:t>11</w:t>
            </w:r>
            <w:r>
              <w:rPr>
                <w:rFonts w:hint="eastAsia" w:ascii="Times New Roman" w:hAnsi="Times New Roman" w:eastAsia="宋体" w:cs="宋体"/>
                <w:lang w:val="en-US" w:eastAsia="zh-CN"/>
              </w:rPr>
              <w:t>）纵包轧纹焊接金属铜带</w:t>
            </w:r>
          </w:p>
          <w:p>
            <w:pPr>
              <w:numPr>
                <w:ilvl w:val="0"/>
                <w:numId w:val="0"/>
              </w:numPr>
              <w:spacing w:line="360" w:lineRule="auto"/>
              <w:ind w:firstLine="480" w:firstLineChars="200"/>
              <w:rPr>
                <w:rFonts w:hint="eastAsia" w:ascii="Times New Roman" w:hAnsi="Times New Roman" w:eastAsia="宋体" w:cs="宋体"/>
                <w:lang w:val="en-US" w:eastAsia="zh-CN"/>
              </w:rPr>
            </w:pPr>
            <w:r>
              <w:rPr>
                <w:rFonts w:hint="eastAsia" w:cs="宋体"/>
                <w:lang w:val="en-US" w:eastAsia="zh-CN"/>
              </w:rPr>
              <w:t>本项目仅防火电缆进行焊接。</w:t>
            </w:r>
            <w:r>
              <w:rPr>
                <w:rFonts w:hint="eastAsia" w:ascii="Times New Roman" w:hAnsi="Times New Roman" w:eastAsia="宋体" w:cs="宋体"/>
                <w:lang w:val="en-US" w:eastAsia="zh-CN"/>
              </w:rPr>
              <w:t>将清洁干净的铜带精确切边后，通过焊接成型专用模具纵包成型，利用铜带纵包生产线将铜丝包裹上铜带，用弧焊将铜带进行焊接，铜带经过瞬时高温熔化在一起，期间不使用焊丝，因此不产生焊渣，经拉伸定径和轧纹而成产品。本项目在焊接过程中会产生焊接烟尘G</w:t>
            </w:r>
            <w:r>
              <w:rPr>
                <w:rFonts w:hint="eastAsia" w:cs="宋体"/>
                <w:lang w:val="en-US" w:eastAsia="zh-CN"/>
              </w:rPr>
              <w:t>6</w:t>
            </w:r>
            <w:r>
              <w:rPr>
                <w:rFonts w:hint="eastAsia" w:ascii="Times New Roman" w:hAnsi="Times New Roman" w:eastAsia="宋体" w:cs="宋体"/>
                <w:lang w:val="en-US" w:eastAsia="zh-CN"/>
              </w:rPr>
              <w:t>、焊机设备运行噪声N8。设置移动式焊烟净化器处理，此过程产生除尘灰S</w:t>
            </w:r>
            <w:r>
              <w:rPr>
                <w:rFonts w:hint="eastAsia" w:cs="宋体"/>
                <w:lang w:val="en-US" w:eastAsia="zh-CN"/>
              </w:rPr>
              <w:t>10</w:t>
            </w:r>
            <w:r>
              <w:rPr>
                <w:rFonts w:hint="eastAsia" w:ascii="Times New Roman" w:hAnsi="Times New Roman" w:eastAsia="宋体" w:cs="宋体"/>
                <w:lang w:val="en-US" w:eastAsia="zh-CN"/>
              </w:rPr>
              <w:t>。</w:t>
            </w:r>
          </w:p>
          <w:p>
            <w:pPr>
              <w:numPr>
                <w:ilvl w:val="0"/>
                <w:numId w:val="0"/>
              </w:numPr>
              <w:spacing w:line="360" w:lineRule="auto"/>
              <w:ind w:left="480" w:leftChars="0"/>
              <w:rPr>
                <w:rFonts w:hint="eastAsia" w:ascii="Times New Roman" w:eastAsia="宋体"/>
                <w:lang w:val="en-US" w:eastAsia="zh-CN"/>
              </w:rPr>
            </w:pPr>
            <w:r>
              <w:rPr>
                <w:rFonts w:hint="eastAsia" w:cs="宋体"/>
                <w:lang w:val="en-US" w:eastAsia="zh-CN"/>
              </w:rPr>
              <w:t>（12）</w:t>
            </w:r>
            <w:r>
              <w:rPr>
                <w:rFonts w:hint="eastAsia" w:ascii="Times New Roman" w:eastAsia="宋体"/>
                <w:lang w:val="en-US" w:eastAsia="zh-CN"/>
              </w:rPr>
              <w:t>挤护外套</w:t>
            </w:r>
          </w:p>
          <w:p>
            <w:pPr>
              <w:numPr>
                <w:ilvl w:val="0"/>
                <w:numId w:val="0"/>
              </w:numPr>
              <w:spacing w:line="360" w:lineRule="auto"/>
              <w:ind w:firstLine="480" w:firstLineChars="200"/>
              <w:rPr>
                <w:rFonts w:hint="eastAsia" w:ascii="Times New Roman" w:hAnsi="Times New Roman" w:eastAsia="宋体" w:cs="宋体"/>
                <w:lang w:val="en-US" w:eastAsia="zh-CN"/>
              </w:rPr>
            </w:pPr>
            <w:r>
              <w:rPr>
                <w:rFonts w:hint="eastAsia"/>
                <w:lang w:val="en-US" w:eastAsia="zh-CN"/>
              </w:rPr>
              <w:t>部分</w:t>
            </w:r>
            <w:r>
              <w:rPr>
                <w:rFonts w:hint="eastAsia" w:ascii="Times New Roman" w:hAnsi="Times New Roman" w:eastAsia="宋体" w:cs="宋体"/>
                <w:lang w:val="en-US" w:eastAsia="zh-CN"/>
              </w:rPr>
              <w:t>防火电缆</w:t>
            </w:r>
            <w:r>
              <w:rPr>
                <w:rFonts w:hint="eastAsia" w:cs="宋体"/>
                <w:lang w:val="en-US" w:eastAsia="zh-CN"/>
              </w:rPr>
              <w:t>根据需求，需要进行</w:t>
            </w:r>
            <w:r>
              <w:rPr>
                <w:rFonts w:hint="eastAsia" w:ascii="Times New Roman" w:eastAsia="宋体"/>
                <w:lang w:val="en-US" w:eastAsia="zh-CN"/>
              </w:rPr>
              <w:t>挤护外套</w:t>
            </w:r>
            <w:r>
              <w:rPr>
                <w:rFonts w:hint="eastAsia" w:cs="宋体"/>
                <w:lang w:val="en-US" w:eastAsia="zh-CN"/>
              </w:rPr>
              <w:t>。</w:t>
            </w:r>
            <w:r>
              <w:rPr>
                <w:rFonts w:hint="eastAsia" w:ascii="Times New Roman" w:eastAsia="宋体"/>
                <w:lang w:val="en-US" w:eastAsia="zh-CN"/>
              </w:rPr>
              <w:t>经成缆后的绝缘线芯，加入护套料，通过挤出机将其挤出。该过程中护套料为低烟无卤阻料</w:t>
            </w:r>
            <w:r>
              <w:rPr>
                <w:rFonts w:hint="eastAsia"/>
                <w:lang w:val="en-US" w:eastAsia="zh-CN"/>
              </w:rPr>
              <w:t>，</w:t>
            </w:r>
            <w:r>
              <w:rPr>
                <w:rFonts w:hint="eastAsia" w:ascii="Times New Roman" w:eastAsia="宋体"/>
                <w:lang w:val="en-US" w:eastAsia="zh-CN"/>
              </w:rPr>
              <w:t>加强耐火性能，同时根据电缆需要</w:t>
            </w:r>
            <w:r>
              <w:rPr>
                <w:rFonts w:hint="eastAsia"/>
                <w:lang w:val="en-US" w:eastAsia="zh-CN"/>
              </w:rPr>
              <w:t>添加部分聚氯乙烯料</w:t>
            </w:r>
            <w:r>
              <w:rPr>
                <w:rFonts w:hint="eastAsia" w:ascii="Times New Roman" w:eastAsia="宋体"/>
                <w:lang w:val="en-US" w:eastAsia="zh-CN"/>
              </w:rPr>
              <w:t>。此工艺中聚氯乙烯以及低烟无卤阻燃聚烯烃电缆料经过挤出机时产生少量</w:t>
            </w:r>
            <w:r>
              <w:rPr>
                <w:rFonts w:hint="eastAsia"/>
                <w:lang w:val="en-US" w:eastAsia="zh-CN"/>
              </w:rPr>
              <w:t>挤护外套</w:t>
            </w:r>
            <w:r>
              <w:rPr>
                <w:rFonts w:hint="eastAsia" w:ascii="Times New Roman" w:eastAsia="宋体"/>
                <w:lang w:val="en-US" w:eastAsia="zh-CN"/>
              </w:rPr>
              <w:t>废气G</w:t>
            </w:r>
            <w:r>
              <w:rPr>
                <w:rFonts w:hint="eastAsia"/>
                <w:lang w:val="en-US" w:eastAsia="zh-CN"/>
              </w:rPr>
              <w:t>4</w:t>
            </w:r>
            <w:r>
              <w:rPr>
                <w:rFonts w:hint="eastAsia" w:ascii="Times New Roman" w:eastAsia="宋体"/>
                <w:lang w:val="en-US" w:eastAsia="zh-CN"/>
              </w:rPr>
              <w:t>、废塑料S3以及挤出机设备运行噪声N3。</w:t>
            </w:r>
          </w:p>
          <w:p>
            <w:pPr>
              <w:numPr>
                <w:ilvl w:val="0"/>
                <w:numId w:val="0"/>
              </w:numPr>
              <w:spacing w:line="360" w:lineRule="auto"/>
              <w:ind w:left="480" w:leftChars="0"/>
              <w:rPr>
                <w:rFonts w:hint="eastAsia" w:ascii="Times New Roman" w:eastAsia="宋体"/>
                <w:lang w:val="en-US" w:eastAsia="zh-CN"/>
              </w:rPr>
            </w:pPr>
            <w:r>
              <w:rPr>
                <w:rFonts w:hint="eastAsia"/>
                <w:lang w:val="en-US" w:eastAsia="zh-CN"/>
              </w:rPr>
              <w:t>（13）</w:t>
            </w:r>
            <w:r>
              <w:rPr>
                <w:rFonts w:hint="eastAsia" w:ascii="Times New Roman" w:eastAsia="宋体"/>
                <w:lang w:val="en-US" w:eastAsia="zh-CN"/>
              </w:rPr>
              <w:t>冷却</w:t>
            </w:r>
          </w:p>
          <w:p>
            <w:pPr>
              <w:numPr>
                <w:ilvl w:val="0"/>
                <w:numId w:val="0"/>
              </w:numPr>
              <w:spacing w:line="360" w:lineRule="auto"/>
              <w:ind w:firstLine="480" w:firstLineChars="200"/>
              <w:rPr>
                <w:rFonts w:hint="eastAsia" w:cs="宋体"/>
                <w:lang w:val="en-US" w:eastAsia="zh-CN"/>
              </w:rPr>
            </w:pPr>
            <w:r>
              <w:rPr>
                <w:rFonts w:hint="eastAsia" w:ascii="Times New Roman" w:eastAsia="宋体"/>
                <w:lang w:val="en-US" w:eastAsia="zh-CN"/>
              </w:rPr>
              <w:t>挤护外套后的绝缘线芯表面温度较高，经循环冷却水冷却成型，冷却水W1循环使用。</w:t>
            </w:r>
          </w:p>
          <w:p>
            <w:pPr>
              <w:numPr>
                <w:ilvl w:val="0"/>
                <w:numId w:val="0"/>
              </w:numPr>
              <w:spacing w:line="360" w:lineRule="auto"/>
              <w:ind w:left="480" w:leftChars="0"/>
              <w:rPr>
                <w:rFonts w:hint="eastAsia" w:ascii="Times New Roman" w:hAnsi="Times New Roman" w:eastAsia="宋体" w:cs="宋体"/>
                <w:lang w:val="en-US" w:eastAsia="zh-CN"/>
              </w:rPr>
            </w:pPr>
            <w:r>
              <w:rPr>
                <w:rFonts w:hint="eastAsia" w:cs="宋体"/>
                <w:lang w:val="en-US" w:eastAsia="zh-CN"/>
              </w:rPr>
              <w:t>（14）</w:t>
            </w:r>
            <w:r>
              <w:rPr>
                <w:rFonts w:hint="eastAsia" w:ascii="Times New Roman" w:hAnsi="Times New Roman" w:eastAsia="宋体" w:cs="宋体"/>
                <w:lang w:val="en-US" w:eastAsia="zh-CN"/>
              </w:rPr>
              <w:t>检验和喷码</w:t>
            </w:r>
          </w:p>
          <w:p>
            <w:pPr>
              <w:numPr>
                <w:ilvl w:val="0"/>
                <w:numId w:val="0"/>
              </w:numPr>
              <w:spacing w:line="360" w:lineRule="auto"/>
              <w:ind w:firstLine="480" w:firstLineChars="200"/>
              <w:rPr>
                <w:rFonts w:hint="default" w:ascii="Times New Roman" w:hAnsi="Times New Roman" w:eastAsia="宋体" w:cs="宋体"/>
                <w:lang w:val="en-US" w:eastAsia="zh-CN"/>
              </w:rPr>
            </w:pPr>
            <w:r>
              <w:rPr>
                <w:rFonts w:hint="eastAsia" w:ascii="Times New Roman" w:hAnsi="Times New Roman" w:eastAsia="宋体" w:cs="宋体"/>
                <w:lang w:val="en-US" w:eastAsia="zh-CN"/>
              </w:rPr>
              <w:t>成品电缆送至耐压试验区，按照产品相关标准依次检验。符合出厂标准后均在车间内进行标识喷码，此部分会产生喷码有机废气G</w:t>
            </w:r>
            <w:r>
              <w:rPr>
                <w:rFonts w:hint="eastAsia" w:cs="宋体"/>
                <w:lang w:val="en-US" w:eastAsia="zh-CN"/>
              </w:rPr>
              <w:t>5</w:t>
            </w:r>
            <w:r>
              <w:rPr>
                <w:rFonts w:hint="eastAsia" w:ascii="Times New Roman" w:hAnsi="Times New Roman" w:eastAsia="宋体" w:cs="宋体"/>
                <w:lang w:val="en-US" w:eastAsia="zh-CN"/>
              </w:rPr>
              <w:t>、不合格品S4、废油墨盒S5、喷码机设备运行噪声N6。</w:t>
            </w:r>
          </w:p>
          <w:p>
            <w:pPr>
              <w:numPr>
                <w:ilvl w:val="0"/>
                <w:numId w:val="0"/>
              </w:numPr>
              <w:spacing w:line="360" w:lineRule="auto"/>
              <w:ind w:left="480" w:leftChars="0"/>
              <w:rPr>
                <w:rFonts w:hint="eastAsia" w:ascii="Times New Roman" w:hAnsi="Times New Roman" w:eastAsia="宋体" w:cs="宋体"/>
                <w:lang w:val="en-US" w:eastAsia="zh-CN"/>
              </w:rPr>
            </w:pPr>
            <w:r>
              <w:rPr>
                <w:rFonts w:hint="eastAsia" w:ascii="Times New Roman" w:hAnsi="Times New Roman" w:eastAsia="宋体" w:cs="宋体"/>
                <w:lang w:val="en-US" w:eastAsia="zh-CN"/>
              </w:rPr>
              <w:t>（1</w:t>
            </w:r>
            <w:r>
              <w:rPr>
                <w:rFonts w:hint="eastAsia" w:cs="宋体"/>
                <w:lang w:val="en-US" w:eastAsia="zh-CN"/>
              </w:rPr>
              <w:t>5</w:t>
            </w:r>
            <w:r>
              <w:rPr>
                <w:rFonts w:hint="eastAsia" w:ascii="Times New Roman" w:hAnsi="Times New Roman" w:eastAsia="宋体" w:cs="宋体"/>
                <w:lang w:val="en-US" w:eastAsia="zh-CN"/>
              </w:rPr>
              <w:t>）包装成品</w:t>
            </w:r>
          </w:p>
          <w:p>
            <w:pPr>
              <w:numPr>
                <w:ilvl w:val="0"/>
                <w:numId w:val="0"/>
              </w:numPr>
              <w:spacing w:line="360" w:lineRule="auto"/>
              <w:ind w:left="480" w:leftChars="0"/>
              <w:rPr>
                <w:rFonts w:hint="eastAsia" w:ascii="Times New Roman" w:hAnsi="Times New Roman" w:eastAsia="宋体" w:cs="宋体"/>
                <w:lang w:val="en-US" w:eastAsia="zh-CN"/>
              </w:rPr>
            </w:pPr>
            <w:r>
              <w:rPr>
                <w:rFonts w:hint="eastAsia" w:ascii="Times New Roman" w:hAnsi="Times New Roman" w:eastAsia="宋体" w:cs="宋体"/>
                <w:lang w:val="en-US" w:eastAsia="zh-CN"/>
              </w:rPr>
              <w:t>电缆加工完成后按照相应长度包装，此过程产生部分废包装材料S1。</w:t>
            </w: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jc w:val="both"/>
              <w:rPr>
                <w:rFonts w:hint="default"/>
                <w:lang w:val="en-US" w:eastAsia="zh-CN"/>
              </w:rPr>
            </w:pPr>
          </w:p>
          <w:p>
            <w:pPr>
              <w:pStyle w:val="18"/>
              <w:jc w:val="both"/>
              <w:rPr>
                <w:rFonts w:hint="default"/>
                <w:lang w:val="en-US" w:eastAsia="zh-CN"/>
              </w:rPr>
            </w:pPr>
          </w:p>
          <w:p>
            <w:pPr>
              <w:pStyle w:val="18"/>
              <w:rPr>
                <w:rFonts w:hint="default"/>
                <w:lang w:val="en-US" w:eastAsia="zh-CN"/>
              </w:rPr>
            </w:pPr>
          </w:p>
          <w:p>
            <w:pPr>
              <w:pStyle w:val="18"/>
              <w:rPr>
                <w:rFonts w:hint="default"/>
                <w:lang w:val="en-US" w:eastAsia="zh-CN"/>
              </w:rPr>
            </w:pPr>
            <w:r>
              <w:rPr>
                <w:sz w:val="24"/>
              </w:rPr>
              <mc:AlternateContent>
                <mc:Choice Requires="wpg">
                  <w:drawing>
                    <wp:anchor distT="0" distB="0" distL="114300" distR="114300" simplePos="0" relativeHeight="251673600" behindDoc="0" locked="0" layoutInCell="1" allowOverlap="1">
                      <wp:simplePos x="0" y="0"/>
                      <wp:positionH relativeFrom="column">
                        <wp:posOffset>-6350</wp:posOffset>
                      </wp:positionH>
                      <wp:positionV relativeFrom="paragraph">
                        <wp:posOffset>46990</wp:posOffset>
                      </wp:positionV>
                      <wp:extent cx="5328920" cy="8447405"/>
                      <wp:effectExtent l="5080" t="0" r="19050" b="10795"/>
                      <wp:wrapNone/>
                      <wp:docPr id="128" name="组合 128"/>
                      <wp:cNvGraphicFramePr/>
                      <a:graphic xmlns:a="http://schemas.openxmlformats.org/drawingml/2006/main">
                        <a:graphicData uri="http://schemas.microsoft.com/office/word/2010/wordprocessingGroup">
                          <wpg:wgp>
                            <wpg:cNvGrpSpPr/>
                            <wpg:grpSpPr>
                              <a:xfrm>
                                <a:off x="0" y="0"/>
                                <a:ext cx="5328920" cy="8447405"/>
                                <a:chOff x="5933" y="720889"/>
                                <a:chExt cx="8392" cy="13303"/>
                              </a:xfrm>
                            </wpg:grpSpPr>
                            <wpg:grpSp>
                              <wpg:cNvPr id="225" name="组合 225"/>
                              <wpg:cNvGrpSpPr/>
                              <wpg:grpSpPr>
                                <a:xfrm rot="0">
                                  <a:off x="5933" y="720889"/>
                                  <a:ext cx="8392" cy="13303"/>
                                  <a:chOff x="5918" y="703813"/>
                                  <a:chExt cx="8392" cy="13303"/>
                                </a:xfrm>
                              </wpg:grpSpPr>
                              <wpg:grpSp>
                                <wpg:cNvPr id="122" name="组合 122"/>
                                <wpg:cNvGrpSpPr/>
                                <wpg:grpSpPr>
                                  <a:xfrm>
                                    <a:off x="5918" y="703813"/>
                                    <a:ext cx="8392" cy="13303"/>
                                    <a:chOff x="5918" y="703813"/>
                                    <a:chExt cx="8392" cy="13303"/>
                                  </a:xfrm>
                                </wpg:grpSpPr>
                                <wpg:grpSp>
                                  <wpg:cNvPr id="121" name="组合 121"/>
                                  <wpg:cNvGrpSpPr/>
                                  <wpg:grpSpPr>
                                    <a:xfrm>
                                      <a:off x="5918" y="703813"/>
                                      <a:ext cx="8392" cy="13303"/>
                                      <a:chOff x="5918" y="703813"/>
                                      <a:chExt cx="8392" cy="13303"/>
                                    </a:xfrm>
                                  </wpg:grpSpPr>
                                  <wps:wsp>
                                    <wps:cNvPr id="106" name="直接箭头连接符 152"/>
                                    <wps:cNvCnPr/>
                                    <wps:spPr>
                                      <a:xfrm>
                                        <a:off x="9668" y="708618"/>
                                        <a:ext cx="6" cy="408"/>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cNvPr id="120" name="组合 120"/>
                                    <wpg:cNvGrpSpPr/>
                                    <wpg:grpSpPr>
                                      <a:xfrm>
                                        <a:off x="5918" y="703813"/>
                                        <a:ext cx="8392" cy="13303"/>
                                        <a:chOff x="5918" y="703813"/>
                                        <a:chExt cx="8392" cy="13303"/>
                                      </a:xfrm>
                                    </wpg:grpSpPr>
                                    <wps:wsp>
                                      <wps:cNvPr id="105" name="文本框 162"/>
                                      <wps:cNvSpPr txBox="1"/>
                                      <wps:spPr>
                                        <a:xfrm>
                                          <a:off x="8901" y="709006"/>
                                          <a:ext cx="1523" cy="4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挤塑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24"/>
                                      <wps:cNvSpPr txBox="1"/>
                                      <wps:spPr>
                                        <a:xfrm>
                                          <a:off x="8885" y="714044"/>
                                          <a:ext cx="1560" cy="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挤护外套</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19" name="组合 119"/>
                                      <wpg:cNvGrpSpPr/>
                                      <wpg:grpSpPr>
                                        <a:xfrm>
                                          <a:off x="5918" y="703813"/>
                                          <a:ext cx="8392" cy="13303"/>
                                          <a:chOff x="5918" y="703813"/>
                                          <a:chExt cx="8392" cy="13303"/>
                                        </a:xfrm>
                                      </wpg:grpSpPr>
                                      <wps:wsp>
                                        <wps:cNvPr id="118" name="肘形连接符 29"/>
                                        <wps:cNvCnPr>
                                          <a:stCxn id="105" idx="3"/>
                                          <a:endCxn id="429" idx="1"/>
                                        </wps:cNvCnPr>
                                        <wps:spPr>
                                          <a:xfrm>
                                            <a:off x="10424" y="709252"/>
                                            <a:ext cx="1572" cy="2868"/>
                                          </a:xfrm>
                                          <a:prstGeom prst="bentConnector3">
                                            <a:avLst>
                                              <a:gd name="adj1" fmla="val 50000"/>
                                            </a:avLst>
                                          </a:prstGeom>
                                          <a:noFill/>
                                          <a:ln w="12700" cap="flat" cmpd="sng" algn="ctr">
                                            <a:solidFill>
                                              <a:sysClr val="windowText" lastClr="000000"/>
                                            </a:solidFill>
                                            <a:prstDash val="sysDot"/>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111" name="肘形连接符 29"/>
                                        <wps:cNvCnPr>
                                          <a:stCxn id="108" idx="3"/>
                                          <a:endCxn id="429" idx="2"/>
                                        </wps:cNvCnPr>
                                        <wps:spPr>
                                          <a:xfrm flipV="1">
                                            <a:off x="10445" y="712690"/>
                                            <a:ext cx="2708" cy="1599"/>
                                          </a:xfrm>
                                          <a:prstGeom prst="bentConnector2">
                                            <a:avLst/>
                                          </a:prstGeom>
                                          <a:noFill/>
                                          <a:ln w="12700" cap="flat" cmpd="sng" algn="ctr">
                                            <a:solidFill>
                                              <a:sysClr val="windowText" lastClr="000000"/>
                                            </a:solidFill>
                                            <a:prstDash val="sysDot"/>
                                            <a:miter lim="800000"/>
                                            <a:tailEnd type="triangle"/>
                                          </a:ln>
                                          <a:effectLst/>
                                        </wps:spPr>
                                        <wps:style>
                                          <a:lnRef idx="2">
                                            <a:schemeClr val="accent1"/>
                                          </a:lnRef>
                                          <a:fillRef idx="0">
                                            <a:srgbClr val="FFFFFF"/>
                                          </a:fillRef>
                                          <a:effectRef idx="0">
                                            <a:srgbClr val="FFFFFF"/>
                                          </a:effectRef>
                                          <a:fontRef idx="minor">
                                            <a:schemeClr val="tx1"/>
                                          </a:fontRef>
                                        </wps:style>
                                        <wps:bodyPr/>
                                      </wps:wsp>
                                      <wpg:grpSp>
                                        <wpg:cNvPr id="114" name="组合 114"/>
                                        <wpg:cNvGrpSpPr/>
                                        <wpg:grpSpPr>
                                          <a:xfrm>
                                            <a:off x="5918" y="703813"/>
                                            <a:ext cx="8392" cy="13303"/>
                                            <a:chOff x="5918" y="703813"/>
                                            <a:chExt cx="8392" cy="13303"/>
                                          </a:xfrm>
                                        </wpg:grpSpPr>
                                        <wpg:grpSp>
                                          <wpg:cNvPr id="110" name="组合 110"/>
                                          <wpg:cNvGrpSpPr/>
                                          <wpg:grpSpPr>
                                            <a:xfrm>
                                              <a:off x="5918" y="703813"/>
                                              <a:ext cx="8392" cy="13303"/>
                                              <a:chOff x="5918" y="703813"/>
                                              <a:chExt cx="8392" cy="13303"/>
                                            </a:xfrm>
                                          </wpg:grpSpPr>
                                          <wpg:grpSp>
                                            <wpg:cNvPr id="85" name="组合 85"/>
                                            <wpg:cNvGrpSpPr/>
                                            <wpg:grpSpPr>
                                              <a:xfrm>
                                                <a:off x="5918" y="703813"/>
                                                <a:ext cx="8392" cy="13303"/>
                                                <a:chOff x="5888" y="703843"/>
                                                <a:chExt cx="8392" cy="13303"/>
                                              </a:xfrm>
                                            </wpg:grpSpPr>
                                            <wps:wsp>
                                              <wps:cNvPr id="450" name="肘形连接符 29"/>
                                              <wps:cNvCnPr/>
                                              <wps:spPr>
                                                <a:xfrm rot="10800000" flipV="1">
                                                  <a:off x="8141" y="713443"/>
                                                  <a:ext cx="582" cy="5"/>
                                                </a:xfrm>
                                                <a:prstGeom prst="bentConnector2">
                                                  <a:avLst/>
                                                </a:prstGeom>
                                                <a:noFill/>
                                                <a:ln w="12700" cap="flat" cmpd="sng" algn="ctr">
                                                  <a:solidFill>
                                                    <a:sysClr val="windowText" lastClr="000000"/>
                                                  </a:solidFill>
                                                  <a:prstDash val="sysDot"/>
                                                  <a:miter lim="800000"/>
                                                  <a:tailEnd type="triangle"/>
                                                </a:ln>
                                                <a:effectLst/>
                                              </wps:spPr>
                                              <wps:style>
                                                <a:lnRef idx="2">
                                                  <a:schemeClr val="accent1"/>
                                                </a:lnRef>
                                                <a:fillRef idx="0">
                                                  <a:srgbClr val="FFFFFF"/>
                                                </a:fillRef>
                                                <a:effectRef idx="0">
                                                  <a:srgbClr val="FFFFFF"/>
                                                </a:effectRef>
                                                <a:fontRef idx="minor">
                                                  <a:schemeClr val="tx1"/>
                                                </a:fontRef>
                                              </wps:style>
                                              <wps:bodyPr/>
                                            </wps:wsp>
                                            <wpg:grpSp>
                                              <wpg:cNvPr id="86" name="组合 456"/>
                                              <wpg:cNvGrpSpPr/>
                                              <wpg:grpSpPr>
                                                <a:xfrm>
                                                  <a:off x="5888" y="703843"/>
                                                  <a:ext cx="8392" cy="13303"/>
                                                  <a:chOff x="4989" y="618238"/>
                                                  <a:chExt cx="8392" cy="13303"/>
                                                </a:xfrm>
                                              </wpg:grpSpPr>
                                              <wpg:grpSp>
                                                <wpg:cNvPr id="87" name="组合 454"/>
                                                <wpg:cNvGrpSpPr/>
                                                <wpg:grpSpPr>
                                                  <a:xfrm>
                                                    <a:off x="4989" y="618238"/>
                                                    <a:ext cx="8392" cy="13303"/>
                                                    <a:chOff x="4989" y="618238"/>
                                                    <a:chExt cx="8392" cy="13303"/>
                                                  </a:xfrm>
                                                </wpg:grpSpPr>
                                                <wpg:grpSp>
                                                  <wpg:cNvPr id="88" name="组合 259"/>
                                                  <wpg:cNvGrpSpPr/>
                                                  <wpg:grpSpPr>
                                                    <a:xfrm rot="0">
                                                      <a:off x="5207" y="618238"/>
                                                      <a:ext cx="8174" cy="13303"/>
                                                      <a:chOff x="5180" y="566798"/>
                                                      <a:chExt cx="8174" cy="13303"/>
                                                    </a:xfrm>
                                                  </wpg:grpSpPr>
                                                  <wpg:grpSp>
                                                    <wpg:cNvPr id="89" name="组合 33"/>
                                                    <wpg:cNvGrpSpPr/>
                                                    <wpg:grpSpPr>
                                                      <a:xfrm rot="0">
                                                        <a:off x="5180" y="566798"/>
                                                        <a:ext cx="8174" cy="13303"/>
                                                        <a:chOff x="6150" y="602483"/>
                                                        <a:chExt cx="8174" cy="13390"/>
                                                      </a:xfrm>
                                                    </wpg:grpSpPr>
                                                    <wpg:grpSp>
                                                      <wpg:cNvPr id="90" name="组合 51"/>
                                                      <wpg:cNvGrpSpPr/>
                                                      <wpg:grpSpPr>
                                                        <a:xfrm>
                                                          <a:off x="6150" y="602483"/>
                                                          <a:ext cx="8174" cy="13390"/>
                                                          <a:chOff x="6150" y="602483"/>
                                                          <a:chExt cx="8174" cy="13390"/>
                                                        </a:xfrm>
                                                      </wpg:grpSpPr>
                                                      <wpg:grpSp>
                                                        <wpg:cNvPr id="91" name="组合 330"/>
                                                        <wpg:cNvGrpSpPr/>
                                                        <wpg:grpSpPr>
                                                          <a:xfrm>
                                                            <a:off x="6150" y="602483"/>
                                                            <a:ext cx="6422" cy="13390"/>
                                                            <a:chOff x="6150" y="533999"/>
                                                            <a:chExt cx="6422" cy="13390"/>
                                                          </a:xfrm>
                                                        </wpg:grpSpPr>
                                                        <wpg:grpSp>
                                                          <wpg:cNvPr id="92" name="组合 326"/>
                                                          <wpg:cNvGrpSpPr/>
                                                          <wpg:grpSpPr>
                                                            <a:xfrm rot="0">
                                                              <a:off x="7173" y="533999"/>
                                                              <a:ext cx="5399" cy="13390"/>
                                                              <a:chOff x="7175" y="533996"/>
                                                              <a:chExt cx="5516" cy="13854"/>
                                                            </a:xfrm>
                                                          </wpg:grpSpPr>
                                                          <wps:wsp>
                                                            <wps:cNvPr id="387" name="文本框 30"/>
                                                            <wps:cNvSpPr txBox="1"/>
                                                            <wps:spPr>
                                                              <a:xfrm>
                                                                <a:off x="9908" y="546980"/>
                                                                <a:ext cx="1463" cy="4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S1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3" name="组合 319"/>
                                                            <wpg:cNvGrpSpPr/>
                                                            <wpg:grpSpPr>
                                                              <a:xfrm>
                                                                <a:off x="7175" y="533996"/>
                                                                <a:ext cx="5516" cy="13854"/>
                                                                <a:chOff x="6806" y="533934"/>
                                                                <a:chExt cx="6001" cy="14420"/>
                                                              </a:xfrm>
                                                            </wpg:grpSpPr>
                                                            <wpg:grpSp>
                                                              <wpg:cNvPr id="94" name="组合 316"/>
                                                              <wpg:cNvGrpSpPr/>
                                                              <wpg:grpSpPr>
                                                                <a:xfrm>
                                                                  <a:off x="6806" y="533934"/>
                                                                  <a:ext cx="6001" cy="14420"/>
                                                                  <a:chOff x="6746" y="534324"/>
                                                                  <a:chExt cx="6001" cy="14420"/>
                                                                </a:xfrm>
                                                              </wpg:grpSpPr>
                                                              <wpg:grpSp>
                                                                <wpg:cNvPr id="95" name="组合 168"/>
                                                                <wpg:cNvGrpSpPr/>
                                                                <wpg:grpSpPr>
                                                                  <a:xfrm>
                                                                    <a:off x="6746" y="534324"/>
                                                                    <a:ext cx="6001" cy="14420"/>
                                                                    <a:chOff x="6958" y="500797"/>
                                                                    <a:chExt cx="6001" cy="14420"/>
                                                                  </a:xfrm>
                                                                </wpg:grpSpPr>
                                                                <wps:wsp>
                                                                  <wps:cNvPr id="391" name="文本框 30"/>
                                                                  <wps:cNvSpPr txBox="1"/>
                                                                  <wps:spPr>
                                                                    <a:xfrm>
                                                                      <a:off x="10158" y="508755"/>
                                                                      <a:ext cx="1592" cy="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N5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4" name="文本框 14"/>
                                                                  <wps:cNvSpPr txBox="1"/>
                                                                  <wps:spPr>
                                                                    <a:xfrm>
                                                                      <a:off x="10193" y="504028"/>
                                                                      <a:ext cx="1576" cy="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N</w:t>
                                                                        </w:r>
                                                                        <w:r>
                                                                          <w:rPr>
                                                                            <w:rFonts w:hint="eastAsia" w:cs="宋体"/>
                                                                            <w:lang w:val="en-US" w:eastAsia="zh-CN"/>
                                                                          </w:rPr>
                                                                          <w:t>2、S2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5" name="文本框 38"/>
                                                                  <wps:cNvSpPr txBox="1"/>
                                                                  <wps:spPr>
                                                                    <a:xfrm>
                                                                      <a:off x="11055" y="514685"/>
                                                                      <a:ext cx="1746"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6" name="文本框 143"/>
                                                                  <wps:cNvSpPr txBox="1"/>
                                                                  <wps:spPr>
                                                                    <a:xfrm>
                                                                      <a:off x="6958" y="500797"/>
                                                                      <a:ext cx="5664" cy="5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铜丝、铝丝</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7" name="文本框 144"/>
                                                                  <wps:cNvSpPr txBox="1"/>
                                                                  <wps:spPr>
                                                                    <a:xfrm>
                                                                      <a:off x="10123" y="501117"/>
                                                                      <a:ext cx="2146" cy="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cs="宋体"/>
                                                                            <w:lang w:val="en-US" w:eastAsia="zh-CN"/>
                                                                          </w:rPr>
                                                                          <w:t>S1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8" name="文本框 7"/>
                                                                  <wps:cNvSpPr txBox="1"/>
                                                                  <wps:spPr>
                                                                    <a:xfrm>
                                                                      <a:off x="8876" y="501589"/>
                                                                      <a:ext cx="1703"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原料堆放区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9" name="直接箭头连接符 146"/>
                                                                  <wps:cNvCnPr/>
                                                                  <wps:spPr>
                                                                    <a:xfrm>
                                                                      <a:off x="9710" y="501158"/>
                                                                      <a:ext cx="6"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00" name="直接箭头连接符 147"/>
                                                                  <wps:cNvCnPr/>
                                                                  <wps:spPr>
                                                                    <a:xfrm flipV="1">
                                                                      <a:off x="9773" y="501348"/>
                                                                      <a:ext cx="409" cy="212"/>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02" name="直接箭头连接符 149"/>
                                                                  <wps:cNvCnPr/>
                                                                  <wps:spPr>
                                                                    <a:xfrm>
                                                                      <a:off x="9733" y="503047"/>
                                                                      <a:ext cx="6" cy="442"/>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03" name="直接箭头连接符 150"/>
                                                                  <wps:cNvCnPr/>
                                                                  <wps:spPr>
                                                                    <a:xfrm>
                                                                      <a:off x="9748" y="504066"/>
                                                                      <a:ext cx="7"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04" name="直接箭头连接符 151"/>
                                                                  <wps:cNvCnPr>
                                                                    <a:stCxn id="413" idx="2"/>
                                                                    <a:endCxn id="414" idx="0"/>
                                                                  </wps:cNvCnPr>
                                                                  <wps:spPr>
                                                                    <a:xfrm flipH="1">
                                                                      <a:off x="9742" y="505044"/>
                                                                      <a:ext cx="1" cy="440"/>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05" name="直接箭头连接符 152"/>
                                                                  <wps:cNvCnPr/>
                                                                  <wps:spPr>
                                                                    <a:xfrm>
                                                                      <a:off x="9580" y="512428"/>
                                                                      <a:ext cx="7" cy="443"/>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06" name="直接箭头连接符 153"/>
                                                                  <wps:cNvCnPr/>
                                                                  <wps:spPr>
                                                                    <a:xfrm flipV="1">
                                                                      <a:off x="9807" y="502265"/>
                                                                      <a:ext cx="409" cy="210"/>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07" name="直接箭头连接符 154"/>
                                                                  <wps:cNvCnPr/>
                                                                  <wps:spPr>
                                                                    <a:xfrm flipV="1">
                                                                      <a:off x="9812" y="504332"/>
                                                                      <a:ext cx="409" cy="212"/>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11" name="文本框 159"/>
                                                                  <wps:cNvSpPr txBox="1"/>
                                                                  <wps:spPr>
                                                                    <a:xfrm>
                                                                      <a:off x="9064" y="502509"/>
                                                                      <a:ext cx="1387" cy="5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拉丝</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2" name="文本框 160"/>
                                                                  <wps:cNvSpPr txBox="1"/>
                                                                  <wps:spPr>
                                                                    <a:xfrm>
                                                                      <a:off x="9055" y="503506"/>
                                                                      <a:ext cx="1403"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退火</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3" name="文本框 161"/>
                                                                  <wps:cNvSpPr txBox="1"/>
                                                                  <wps:spPr>
                                                                    <a:xfrm>
                                                                      <a:off x="9050" y="504512"/>
                                                                      <a:ext cx="1387"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绞丝</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4" name="文本框 162"/>
                                                                  <wps:cNvSpPr txBox="1"/>
                                                                  <wps:spPr>
                                                                    <a:xfrm>
                                                                      <a:off x="8895" y="505484"/>
                                                                      <a:ext cx="1693" cy="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绕包防火带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5" name="文本框 163"/>
                                                                  <wps:cNvSpPr txBox="1"/>
                                                                  <wps:spPr>
                                                                    <a:xfrm>
                                                                      <a:off x="8897" y="509207"/>
                                                                      <a:ext cx="1751" cy="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成缆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6" name="文本框 165"/>
                                                                  <wps:cNvSpPr txBox="1"/>
                                                                  <wps:spPr>
                                                                    <a:xfrm>
                                                                      <a:off x="10305" y="502089"/>
                                                                      <a:ext cx="2654" cy="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cs="宋体"/>
                                                                            <w:lang w:val="en-US" w:eastAsia="zh-CN"/>
                                                                          </w:rPr>
                                                                          <w:t>G1、N1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7" name="直接箭头连接符 167"/>
                                                                  <wps:cNvCnPr/>
                                                                  <wps:spPr>
                                                                    <a:xfrm flipV="1">
                                                                      <a:off x="10249" y="514900"/>
                                                                      <a:ext cx="789" cy="24"/>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grpSp>
                                                                <wpg:cNvPr id="96" name="组合 315"/>
                                                                <wpg:cNvGrpSpPr/>
                                                                <wpg:grpSpPr>
                                                                  <a:xfrm>
                                                                    <a:off x="8535" y="545008"/>
                                                                    <a:ext cx="3520" cy="2769"/>
                                                                    <a:chOff x="8715" y="540223"/>
                                                                    <a:chExt cx="3520" cy="2769"/>
                                                                  </a:xfrm>
                                                                </wpg:grpSpPr>
                                                                <wps:wsp>
                                                                  <wps:cNvPr id="419" name="直接箭头连接符 151"/>
                                                                  <wps:cNvCnPr/>
                                                                  <wps:spPr>
                                                                    <a:xfrm>
                                                                      <a:off x="9690" y="540223"/>
                                                                      <a:ext cx="9" cy="440"/>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20" name="直接箭头连接符 307"/>
                                                                  <wps:cNvCnPr/>
                                                                  <wps:spPr>
                                                                    <a:xfrm flipV="1">
                                                                      <a:off x="9558" y="542257"/>
                                                                      <a:ext cx="409" cy="196"/>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21" name="文本框 308"/>
                                                                  <wps:cNvSpPr txBox="1"/>
                                                                  <wps:spPr>
                                                                    <a:xfrm>
                                                                      <a:off x="9870" y="542018"/>
                                                                      <a:ext cx="2365" cy="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5</w:t>
                                                                        </w:r>
                                                                        <w:r>
                                                                          <w:rPr>
                                                                            <w:rFonts w:hint="eastAsia" w:ascii="Times New Roman" w:hAnsi="Times New Roman" w:eastAsia="宋体" w:cs="宋体"/>
                                                                            <w:lang w:val="en-US" w:eastAsia="zh-CN"/>
                                                                          </w:rPr>
                                                                          <w:t>、N</w:t>
                                                                        </w:r>
                                                                        <w:r>
                                                                          <w:rPr>
                                                                            <w:rFonts w:hint="eastAsia" w:cs="宋体"/>
                                                                            <w:lang w:val="en-US" w:eastAsia="zh-CN"/>
                                                                          </w:rPr>
                                                                          <w:t>6、S4、S5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2" name="文本框 313"/>
                                                                  <wps:cNvSpPr txBox="1"/>
                                                                  <wps:spPr>
                                                                    <a:xfrm>
                                                                      <a:off x="8715" y="542461"/>
                                                                      <a:ext cx="1722" cy="5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检验和喷码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423" name="直接箭头连接符 317"/>
                                                              <wps:cNvCnPr/>
                                                              <wps:spPr>
                                                                <a:xfrm>
                                                                  <a:off x="9388" y="547378"/>
                                                                  <a:ext cx="9" cy="441"/>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24" name="文本框 163"/>
                                                              <wps:cNvSpPr txBox="1"/>
                                                              <wps:spPr>
                                                                <a:xfrm>
                                                                  <a:off x="8690" y="547816"/>
                                                                  <a:ext cx="1363" cy="5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25" name="直接箭头连接符 325"/>
                                                            <wps:cNvCnPr/>
                                                            <wps:spPr>
                                                              <a:xfrm flipV="1">
                                                                <a:off x="9502" y="547131"/>
                                                                <a:ext cx="376" cy="201"/>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s:wsp>
                                                          <wps:cNvPr id="426" name="文本框 329"/>
                                                          <wps:cNvSpPr txBox="1"/>
                                                          <wps:spPr>
                                                            <a:xfrm>
                                                              <a:off x="6150" y="534119"/>
                                                              <a:ext cx="2055" cy="23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图例：</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废气：G</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废水：W</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噪声：N</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固废：S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97" name="组合 49"/>
                                                        <wpg:cNvGrpSpPr/>
                                                        <wpg:grpSpPr>
                                                          <a:xfrm>
                                                            <a:off x="10332" y="608483"/>
                                                            <a:ext cx="3992" cy="6245"/>
                                                            <a:chOff x="10332" y="608483"/>
                                                            <a:chExt cx="3992" cy="6245"/>
                                                          </a:xfrm>
                                                        </wpg:grpSpPr>
                                                        <wps:wsp>
                                                          <wps:cNvPr id="429" name="文本框 163"/>
                                                          <wps:cNvSpPr txBox="1"/>
                                                          <wps:spPr>
                                                            <a:xfrm>
                                                              <a:off x="12010" y="610270"/>
                                                              <a:ext cx="2314" cy="11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水洗填料塔+活性炭吸附+脱附+催化燃烧20m排气筒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0" name="肘形连接符 29"/>
                                                          <wps:cNvCnPr>
                                                            <a:stCxn id="422" idx="3"/>
                                                            <a:endCxn id="429" idx="2"/>
                                                          </wps:cNvCnPr>
                                                          <wps:spPr>
                                                            <a:xfrm flipV="1">
                                                              <a:off x="10332" y="611418"/>
                                                              <a:ext cx="2835" cy="3310"/>
                                                            </a:xfrm>
                                                            <a:prstGeom prst="bentConnector2">
                                                              <a:avLst/>
                                                            </a:prstGeom>
                                                            <a:noFill/>
                                                            <a:ln w="12700" cap="flat" cmpd="sng" algn="ctr">
                                                              <a:solidFill>
                                                                <a:sysClr val="windowText" lastClr="000000"/>
                                                              </a:solidFill>
                                                              <a:prstDash val="sysDot"/>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431" name="直接箭头连接符 30"/>
                                                          <wps:cNvCnPr/>
                                                          <wps:spPr>
                                                            <a:xfrm flipV="1">
                                                              <a:off x="13128" y="609144"/>
                                                              <a:ext cx="1" cy="1113"/>
                                                            </a:xfrm>
                                                            <a:prstGeom prst="straightConnector1">
                                                              <a:avLst/>
                                                            </a:prstGeom>
                                                            <a:noFill/>
                                                            <a:ln w="12700" cap="flat" cmpd="sng" algn="ctr">
                                                              <a:solidFill>
                                                                <a:sysClr val="windowText" lastClr="000000"/>
                                                              </a:solidFill>
                                                              <a:prstDash val="solid"/>
                                                              <a:miter lim="800000"/>
                                                              <a:tailEnd type="arrow"/>
                                                            </a:ln>
                                                            <a:effectLst/>
                                                          </wps:spPr>
                                                          <wps:style>
                                                            <a:lnRef idx="2">
                                                              <a:schemeClr val="accent1"/>
                                                            </a:lnRef>
                                                            <a:fillRef idx="0">
                                                              <a:srgbClr val="FFFFFF"/>
                                                            </a:fillRef>
                                                            <a:effectRef idx="0">
                                                              <a:srgbClr val="FFFFFF"/>
                                                            </a:effectRef>
                                                            <a:fontRef idx="minor">
                                                              <a:schemeClr val="tx1"/>
                                                            </a:fontRef>
                                                          </wps:style>
                                                          <wps:bodyPr/>
                                                        </wps:wsp>
                                                        <wps:wsp>
                                                          <wps:cNvPr id="432" name="文本框 163"/>
                                                          <wps:cNvSpPr txBox="1"/>
                                                          <wps:spPr>
                                                            <a:xfrm>
                                                              <a:off x="12526" y="608483"/>
                                                              <a:ext cx="1220" cy="5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DA001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3" name="文本框 48"/>
                                                          <wps:cNvSpPr txBox="1"/>
                                                          <wps:spPr>
                                                            <a:xfrm>
                                                              <a:off x="13236" y="608966"/>
                                                              <a:ext cx="1083" cy="11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S</w:t>
                                                                </w:r>
                                                                <w:r>
                                                                  <w:rPr>
                                                                    <w:rFonts w:hint="eastAsia" w:cs="宋体"/>
                                                                    <w:lang w:val="en-US" w:eastAsia="zh-CN"/>
                                                                  </w:rPr>
                                                                  <w:t>6、S7、S8、S9、N7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434" name="直接箭头连接符 46"/>
                                                      <wps:cNvCnPr/>
                                                      <wps:spPr>
                                                        <a:xfrm flipV="1">
                                                          <a:off x="13121" y="610055"/>
                                                          <a:ext cx="368" cy="195"/>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grpSp>
                                                    <wpg:cNvPr id="98" name="组合 30"/>
                                                    <wpg:cNvGrpSpPr/>
                                                    <wpg:grpSpPr>
                                                      <a:xfrm>
                                                        <a:off x="7929" y="574216"/>
                                                        <a:ext cx="1590" cy="1558"/>
                                                        <a:chOff x="8161" y="575266"/>
                                                        <a:chExt cx="1590" cy="1558"/>
                                                      </a:xfrm>
                                                    </wpg:grpSpPr>
                                                    <wps:wsp>
                                                      <wps:cNvPr id="438" name="直接箭头连接符 35"/>
                                                      <wps:cNvCnPr>
                                                        <a:stCxn id="123" idx="2"/>
                                                      </wps:cNvCnPr>
                                                      <wps:spPr>
                                                        <a:xfrm flipH="1">
                                                          <a:off x="8951" y="575266"/>
                                                          <a:ext cx="5" cy="359"/>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39" name="文本框 24"/>
                                                      <wps:cNvSpPr txBox="1"/>
                                                      <wps:spPr>
                                                        <a:xfrm>
                                                          <a:off x="8161" y="576334"/>
                                                          <a:ext cx="1590" cy="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绕包防火带</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100" name="组合 449"/>
                                                  <wpg:cNvGrpSpPr/>
                                                  <wpg:grpSpPr>
                                                    <a:xfrm>
                                                      <a:off x="7907" y="625804"/>
                                                      <a:ext cx="2855" cy="2260"/>
                                                      <a:chOff x="8234" y="625122"/>
                                                      <a:chExt cx="2855" cy="2260"/>
                                                    </a:xfrm>
                                                  </wpg:grpSpPr>
                                                  <wps:wsp>
                                                    <wps:cNvPr id="445" name="文本框 30"/>
                                                    <wps:cNvSpPr txBox="1"/>
                                                    <wps:spPr>
                                                      <a:xfrm>
                                                        <a:off x="9479" y="626500"/>
                                                        <a:ext cx="1610" cy="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6</w:t>
                                                          </w:r>
                                                          <w:r>
                                                            <w:rPr>
                                                              <w:rFonts w:hint="eastAsia" w:ascii="Times New Roman" w:hAnsi="Times New Roman" w:eastAsia="宋体" w:cs="宋体"/>
                                                              <w:lang w:val="en-US" w:eastAsia="zh-CN"/>
                                                            </w:rPr>
                                                            <w:t>、</w:t>
                                                          </w:r>
                                                          <w:r>
                                                            <w:rPr>
                                                              <w:rFonts w:hint="eastAsia" w:cs="宋体"/>
                                                              <w:lang w:val="en-US" w:eastAsia="zh-CN"/>
                                                            </w:rPr>
                                                            <w:t>N8</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6" name="直接箭头连接符 11"/>
                                                    <wps:cNvCnPr/>
                                                    <wps:spPr>
                                                      <a:xfrm flipV="1">
                                                        <a:off x="9168" y="625122"/>
                                                        <a:ext cx="368" cy="194"/>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48" name="文本框 24"/>
                                                    <wps:cNvSpPr txBox="1"/>
                                                    <wps:spPr>
                                                      <a:xfrm>
                                                        <a:off x="8234" y="626892"/>
                                                        <a:ext cx="1634" cy="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纵包焊接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01" name="组合 453"/>
                                                  <wpg:cNvGrpSpPr/>
                                                  <wpg:grpSpPr>
                                                    <a:xfrm>
                                                      <a:off x="4989" y="627076"/>
                                                      <a:ext cx="2375" cy="975"/>
                                                      <a:chOff x="4989" y="627076"/>
                                                      <a:chExt cx="2375" cy="975"/>
                                                    </a:xfrm>
                                                  </wpg:grpSpPr>
                                                  <wps:wsp>
                                                    <wps:cNvPr id="102" name="文本框 163"/>
                                                    <wps:cNvSpPr txBox="1"/>
                                                    <wps:spPr>
                                                      <a:xfrm>
                                                        <a:off x="4989" y="627574"/>
                                                        <a:ext cx="2259" cy="4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移动式焊烟净化器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文本框 91"/>
                                                    <wps:cNvSpPr txBox="1"/>
                                                    <wps:spPr>
                                                      <a:xfrm>
                                                        <a:off x="6244" y="627076"/>
                                                        <a:ext cx="1120" cy="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S</w:t>
                                                          </w:r>
                                                          <w:r>
                                                            <w:rPr>
                                                              <w:rFonts w:hint="eastAsia" w:cs="宋体"/>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直接箭头连接符 92"/>
                                                    <wps:cNvCnPr/>
                                                    <wps:spPr>
                                                      <a:xfrm flipV="1">
                                                        <a:off x="5903" y="627362"/>
                                                        <a:ext cx="351" cy="150"/>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grpSp>
                                              <wps:wsp>
                                                <wps:cNvPr id="455" name="直接箭头连接符 146"/>
                                                <wps:cNvCnPr/>
                                                <wps:spPr>
                                                  <a:xfrm>
                                                    <a:off x="8734" y="619457"/>
                                                    <a:ext cx="5" cy="408"/>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grpSp>
                                          <wps:wsp>
                                            <wps:cNvPr id="109" name="直接箭头连接符 317"/>
                                            <wps:cNvCnPr/>
                                            <wps:spPr>
                                              <a:xfrm>
                                                <a:off x="9518" y="715360"/>
                                                <a:ext cx="8" cy="407"/>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s:wsp>
                                          <wps:cNvPr id="112" name="直接箭头连接符 155"/>
                                          <wps:cNvCnPr/>
                                          <wps:spPr>
                                            <a:xfrm flipV="1">
                                              <a:off x="9653" y="708813"/>
                                              <a:ext cx="368" cy="196"/>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13" name="文本框 156"/>
                                          <wps:cNvSpPr txBox="1"/>
                                          <wps:spPr>
                                            <a:xfrm>
                                              <a:off x="10023" y="708632"/>
                                              <a:ext cx="2050" cy="4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2</w:t>
                                                </w:r>
                                                <w:r>
                                                  <w:rPr>
                                                    <w:rFonts w:hint="eastAsia" w:ascii="Times New Roman" w:hAnsi="Times New Roman" w:eastAsia="宋体" w:cs="宋体"/>
                                                    <w:lang w:val="en-US" w:eastAsia="zh-CN"/>
                                                  </w:rPr>
                                                  <w:t>、S</w:t>
                                                </w:r>
                                                <w:r>
                                                  <w:rPr>
                                                    <w:rFonts w:hint="eastAsia" w:cs="宋体"/>
                                                    <w:lang w:val="en-US" w:eastAsia="zh-CN"/>
                                                  </w:rPr>
                                                  <w:t>3、N3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grpSp>
                                  <wpg:cNvPr id="117" name="组合 117"/>
                                  <wpg:cNvGrpSpPr/>
                                  <wpg:grpSpPr>
                                    <a:xfrm>
                                      <a:off x="9816" y="713633"/>
                                      <a:ext cx="1978" cy="454"/>
                                      <a:chOff x="9891" y="713018"/>
                                      <a:chExt cx="1978" cy="454"/>
                                    </a:xfrm>
                                  </wpg:grpSpPr>
                                  <wps:wsp>
                                    <wps:cNvPr id="115" name="文本框 30"/>
                                    <wps:cNvSpPr txBox="1"/>
                                    <wps:spPr>
                                      <a:xfrm>
                                        <a:off x="10231" y="713018"/>
                                        <a:ext cx="1638" cy="4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4</w:t>
                                          </w:r>
                                          <w:r>
                                            <w:rPr>
                                              <w:rFonts w:hint="eastAsia" w:ascii="Times New Roman" w:hAnsi="Times New Roman" w:eastAsia="宋体" w:cs="宋体"/>
                                              <w:lang w:val="en-US" w:eastAsia="zh-CN"/>
                                            </w:rPr>
                                            <w:t>、S</w:t>
                                          </w:r>
                                          <w:r>
                                            <w:rPr>
                                              <w:rFonts w:hint="eastAsia" w:cs="宋体"/>
                                              <w:lang w:val="en-US" w:eastAsia="zh-CN"/>
                                            </w:rPr>
                                            <w:t>3</w:t>
                                          </w:r>
                                          <w:r>
                                            <w:rPr>
                                              <w:rFonts w:hint="eastAsia" w:ascii="Times New Roman" w:hAnsi="Times New Roman" w:eastAsia="宋体" w:cs="宋体"/>
                                              <w:lang w:val="en-US" w:eastAsia="zh-CN"/>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直接箭头连接符 116"/>
                                    <wps:cNvCnPr/>
                                    <wps:spPr>
                                      <a:xfrm flipV="1">
                                        <a:off x="9891" y="713261"/>
                                        <a:ext cx="395" cy="174"/>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grpSp>
                              <wps:wsp>
                                <wps:cNvPr id="224" name="直接箭头连接符 224"/>
                                <wps:cNvCnPr/>
                                <wps:spPr>
                                  <a:xfrm flipV="1">
                                    <a:off x="9753" y="712901"/>
                                    <a:ext cx="368" cy="195"/>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grpSp>
                              <wpg:cNvPr id="125" name="组合 125"/>
                              <wpg:cNvGrpSpPr/>
                              <wpg:grpSpPr>
                                <a:xfrm>
                                  <a:off x="8880" y="726560"/>
                                  <a:ext cx="3131" cy="2636"/>
                                  <a:chOff x="8715" y="727100"/>
                                  <a:chExt cx="3131" cy="2636"/>
                                </a:xfrm>
                              </wpg:grpSpPr>
                              <wps:wsp>
                                <wps:cNvPr id="76" name="文本框 30"/>
                                <wps:cNvSpPr txBox="1"/>
                                <wps:spPr>
                                  <a:xfrm>
                                    <a:off x="9963" y="727100"/>
                                    <a:ext cx="1433" cy="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cs="宋体"/>
                                          <w:lang w:val="en-US" w:eastAsia="zh-CN"/>
                                        </w:rPr>
                                        <w:t>G3、N4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直接箭头连接符 152"/>
                                <wps:cNvCnPr/>
                                <wps:spPr>
                                  <a:xfrm>
                                    <a:off x="9517" y="727114"/>
                                    <a:ext cx="5" cy="409"/>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78" name="直接箭头连接符 158"/>
                                <wps:cNvCnPr/>
                                <wps:spPr>
                                  <a:xfrm flipV="1">
                                    <a:off x="9562" y="727317"/>
                                    <a:ext cx="368" cy="196"/>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80" name="文本框 163"/>
                                <wps:cNvSpPr txBox="1"/>
                                <wps:spPr>
                                  <a:xfrm>
                                    <a:off x="8715" y="727517"/>
                                    <a:ext cx="1578" cy="4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紫外光交联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30"/>
                                <wps:cNvSpPr txBox="1"/>
                                <wps:spPr>
                                  <a:xfrm>
                                    <a:off x="10003" y="727931"/>
                                    <a:ext cx="1432" cy="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宋体"/>
                                          <w:lang w:val="en-US" w:eastAsia="zh-CN"/>
                                        </w:rPr>
                                      </w:pPr>
                                      <w:r>
                                        <w:rPr>
                                          <w:rFonts w:hint="eastAsia" w:cs="宋体"/>
                                          <w:lang w:val="en-US" w:eastAsia="zh-CN"/>
                                        </w:rPr>
                                        <w:t>W1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直接箭头连接符 11"/>
                                <wps:cNvCnPr/>
                                <wps:spPr>
                                  <a:xfrm flipV="1">
                                    <a:off x="9602" y="728192"/>
                                    <a:ext cx="368" cy="194"/>
                                  </a:xfrm>
                                  <a:prstGeom prst="straightConnector1">
                                    <a:avLst/>
                                  </a:prstGeom>
                                  <a:noFill/>
                                  <a:ln w="12700" cap="flat" cmpd="sng" algn="ctr">
                                    <a:solidFill>
                                      <a:sysClr val="windowText" lastClr="000000"/>
                                    </a:solidFill>
                                    <a:prstDash val="sysDot"/>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99" name="直接箭头连接符 35"/>
                                <wps:cNvCnPr/>
                                <wps:spPr>
                                  <a:xfrm flipH="1">
                                    <a:off x="9528" y="727957"/>
                                    <a:ext cx="4" cy="446"/>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23" name="文本框 24"/>
                                <wps:cNvSpPr txBox="1"/>
                                <wps:spPr>
                                  <a:xfrm>
                                    <a:off x="8750" y="728357"/>
                                    <a:ext cx="1560" cy="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冷却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肘形连接符 29"/>
                                <wps:cNvCnPr>
                                  <a:stCxn id="80" idx="3"/>
                                  <a:endCxn id="429" idx="1"/>
                                </wps:cNvCnPr>
                                <wps:spPr>
                                  <a:xfrm>
                                    <a:off x="10293" y="727763"/>
                                    <a:ext cx="1553" cy="1973"/>
                                  </a:xfrm>
                                  <a:prstGeom prst="bentConnector3">
                                    <a:avLst>
                                      <a:gd name="adj1" fmla="val 50032"/>
                                    </a:avLst>
                                  </a:prstGeom>
                                  <a:noFill/>
                                  <a:ln w="12700" cap="flat" cmpd="sng" algn="ctr">
                                    <a:solidFill>
                                      <a:sysClr val="windowText" lastClr="000000"/>
                                    </a:solidFill>
                                    <a:prstDash val="sysDot"/>
                                    <a:miter lim="800000"/>
                                    <a:tailEnd type="triangle"/>
                                  </a:ln>
                                  <a:effectLst/>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0.5pt;margin-top:3.7pt;height:665.15pt;width:419.6pt;z-index:251673600;mso-width-relative:page;mso-height-relative:page;" coordorigin="5933,720889" coordsize="8392,13303" o:gfxdata="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">
                      <o:lock v:ext="edit" aspectratio="f"/>
                      <v:group id="_x0000_s1026" o:spid="_x0000_s1026" o:spt="203" style="position:absolute;left:5933;top:720889;height:13303;width:8392;" coordorigin="5918,703813" coordsize="8392,13303"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5918;top:703813;height:13303;width:8392;" coordorigin="5918,703813" coordsize="8392,13303"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5918;top:703813;height:13303;width:8392;" coordorigin="5918,703813" coordsize="8392,13303"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shape id="直接箭头连接符 152" o:spid="_x0000_s1026" o:spt="32" type="#_x0000_t32" style="position:absolute;left:9668;top:708618;height:408;width:6;" filled="f" stroked="t" coordsize="21600,21600" o:gfxdata="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UVFLsAAADc&#10;AAAADwAAAAAAAAABACAAAAAiAAAAZHJzL2Rvd25yZXYueG1sUEsBAhQAFAAAAAgAh07iQDMvBZ47&#10;AAAAOQAAABAAAAAAAAAAAQAgAAAACgEAAGRycy9zaGFwZXhtbC54bWxQSwUGAAAAAAYABgBbAQAA&#10;tAMAAAAA&#10;">
                              <v:fill on="f" focussize="0,0"/>
                              <v:stroke weight="0.5pt" color="#000000 [3204]" miterlimit="8" joinstyle="miter" endarrow="block"/>
                              <v:imagedata o:title=""/>
                              <o:lock v:ext="edit" aspectratio="f"/>
                            </v:shape>
                            <v:group id="_x0000_s1026" o:spid="_x0000_s1026" o:spt="203" style="position:absolute;left:5918;top:703813;height:13303;width:8392;" coordorigin="5918,703813" coordsize="8392,13303"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shape id="文本框 162" o:spid="_x0000_s1026" o:spt="202" type="#_x0000_t202" style="position:absolute;left:8901;top:709006;height:491;width:1523;" fillcolor="#FFFFFF [3201]" filled="t" stroked="t" coordsize="21600,21600" o:gfxdata="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07Wu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挤塑</w:t>
                                      </w:r>
                                    </w:p>
                                  </w:txbxContent>
                                </v:textbox>
                              </v:shape>
                              <v:shape id="文本框 24" o:spid="_x0000_s1026" o:spt="202" type="#_x0000_t202" style="position:absolute;left:8885;top:714044;height:490;width:1560;" fillcolor="#FFFFFF [3201]" filled="t" stroked="t" coordsize="21600,21600" o:gfxdata="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IaM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挤护外套</w:t>
                                      </w:r>
                                    </w:p>
                                  </w:txbxContent>
                                </v:textbox>
                              </v:shape>
                              <v:group id="_x0000_s1026" o:spid="_x0000_s1026" o:spt="203" style="position:absolute;left:5918;top:703813;height:13303;width:8392;" coordorigin="5918,703813" coordsize="8392,13303"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肘形连接符 29" o:spid="_x0000_s1026" o:spt="34" type="#_x0000_t34" style="position:absolute;left:10424;top:709252;height:2868;width:1572;" filled="f" stroked="t" coordsize="21600,21600" o:gfxdata="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k2Qy/&#10;AAAA3AAAAA8AAAAAAAAAAQAgAAAAIgAAAGRycy9kb3ducmV2LnhtbFBLAQIUABQAAAAIAIdO4kAz&#10;LwWeOwAAADkAAAAQAAAAAAAAAAEAIAAAAA4BAABkcnMvc2hhcGV4bWwueG1sUEsFBgAAAAAGAAYA&#10;WwEAALgDAAAAAA==&#10;" adj="10800">
                                  <v:fill on="f" focussize="0,0"/>
                                  <v:stroke weight="1pt" color="#000000 [3204]" miterlimit="8" joinstyle="miter" dashstyle="1 1" endarrow="block"/>
                                  <v:imagedata o:title=""/>
                                  <o:lock v:ext="edit" aspectratio="f"/>
                                </v:shape>
                                <v:shape id="肘形连接符 29" o:spid="_x0000_s1026" o:spt="33" type="#_x0000_t33" style="position:absolute;left:10445;top:712690;flip:y;height:1599;width:2708;" filled="f" stroked="t" coordsize="21600,21600" o:gfxdata="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pAgO/&#10;AAAA3AAAAA8AAAAAAAAAAQAgAAAAIgAAAGRycy9kb3ducmV2LnhtbFBLAQIUABQAAAAIAIdO4kAz&#10;LwWeOwAAADkAAAAQAAAAAAAAAAEAIAAAAA4BAABkcnMvc2hhcGV4bWwueG1sUEsFBgAAAAAGAAYA&#10;WwEAALgDAAAAAA==&#10;">
                                  <v:fill on="f" focussize="0,0"/>
                                  <v:stroke weight="1pt" color="#000000 [3204]" miterlimit="8" joinstyle="miter" dashstyle="1 1" endarrow="block"/>
                                  <v:imagedata o:title=""/>
                                  <o:lock v:ext="edit" aspectratio="f"/>
                                </v:shape>
                                <v:group id="_x0000_s1026" o:spid="_x0000_s1026" o:spt="203" style="position:absolute;left:5918;top:703813;height:13303;width:8392;" coordorigin="5918,703813" coordsize="8392,13303"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5918;top:703813;height:13303;width:8392;" coordorigin="5918,703813" coordsize="8392,13303"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5918;top:703813;height:13303;width:8392;" coordorigin="5888,703843" coordsize="8392,13303"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shape id="肘形连接符 29" o:spid="_x0000_s1026" o:spt="33" type="#_x0000_t33" style="position:absolute;left:8141;top:713443;flip:y;height:5;width:582;rotation:11796480f;" filled="f" stroked="t" coordsize="21600,21600" o:gfxdata="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FI0LsAAADc&#10;AAAADwAAAAAAAAABACAAAAAiAAAAZHJzL2Rvd25yZXYueG1sUEsBAhQAFAAAAAgAh07iQDMvBZ47&#10;AAAAOQAAABAAAAAAAAAAAQAgAAAACgEAAGRycy9zaGFwZXhtbC54bWxQSwUGAAAAAAYABgBbAQAA&#10;tAMAAAAA&#10;">
                                        <v:fill on="f" focussize="0,0"/>
                                        <v:stroke weight="1pt" color="#000000 [3204]" miterlimit="8" joinstyle="miter" dashstyle="1 1" endarrow="block"/>
                                        <v:imagedata o:title=""/>
                                        <o:lock v:ext="edit" aspectratio="f"/>
                                      </v:shape>
                                      <v:group id="组合 456" o:spid="_x0000_s1026" o:spt="203" style="position:absolute;left:5888;top:703843;height:13303;width:8392;" coordorigin="4989,618238" coordsize="8392,13303"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group id="组合 454" o:spid="_x0000_s1026" o:spt="203" style="position:absolute;left:4989;top:618238;height:13303;width:8392;" coordorigin="4989,618238" coordsize="8392,13303"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group id="组合 259" o:spid="_x0000_s1026" o:spt="203" style="position:absolute;left:5207;top:618238;height:13303;width:8174;" coordorigin="5180,566798" coordsize="8174,13303"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group id="组合 33" o:spid="_x0000_s1026" o:spt="203" style="position:absolute;left:5180;top:566798;height:13303;width:8174;" coordorigin="6150,602483" coordsize="8174,13390"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group id="组合 51" o:spid="_x0000_s1026" o:spt="203" style="position:absolute;left:6150;top:602483;height:13390;width:8174;" coordorigin="6150,602483" coordsize="8174,13390"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group id="组合 330" o:spid="_x0000_s1026" o:spt="203" style="position:absolute;left:6150;top:602483;height:13390;width:6422;" coordorigin="6150,533999" coordsize="6422,13390"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组合 326" o:spid="_x0000_s1026" o:spt="203" style="position:absolute;left:7173;top:533999;height:13390;width:5399;" coordorigin="7175,533996" coordsize="5516,13854"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文本框 30" o:spid="_x0000_s1026" o:spt="202" type="#_x0000_t202" style="position:absolute;left:9908;top:546980;height:444;width:1463;" fillcolor="#FFFFFF [3201]" filled="t" stroked="f" coordsize="21600,21600" o:gfxdata="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ZK+K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S1</w:t>
                                                            </w:r>
                                                          </w:p>
                                                        </w:txbxContent>
                                                      </v:textbox>
                                                    </v:shape>
                                                    <v:group id="组合 319" o:spid="_x0000_s1026" o:spt="203" style="position:absolute;left:7175;top:533996;height:13854;width:5516;" coordorigin="6806,533934" coordsize="6001,14420"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group id="组合 316" o:spid="_x0000_s1026" o:spt="203" style="position:absolute;left:6806;top:533934;height:14420;width:6001;" coordorigin="6746,534324" coordsize="6001,14420"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group id="组合 168" o:spid="_x0000_s1026" o:spt="203" style="position:absolute;left:6746;top:534324;height:14420;width:6001;" coordorigin="6958,500797" coordsize="6001,14420"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文本框 30" o:spid="_x0000_s1026" o:spt="202" type="#_x0000_t202" style="position:absolute;left:10158;top:508755;height:478;width:1592;" filled="f" stroked="f" coordsize="21600,21600" o:gfxdata="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UhT&#10;c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N5</w:t>
                                                                  </w:r>
                                                                </w:p>
                                                              </w:txbxContent>
                                                            </v:textbox>
                                                          </v:shape>
                                                          <v:shape id="文本框 14" o:spid="_x0000_s1026" o:spt="202" type="#_x0000_t202" style="position:absolute;left:10193;top:504028;height:450;width:1576;" fillcolor="#FFFFFF [3201]" filled="t" stroked="f" coordsize="21600,21600" o:gfxdata="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b6cg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N</w:t>
                                                                  </w:r>
                                                                  <w:r>
                                                                    <w:rPr>
                                                                      <w:rFonts w:hint="eastAsia" w:cs="宋体"/>
                                                                      <w:lang w:val="en-US" w:eastAsia="zh-CN"/>
                                                                    </w:rPr>
                                                                    <w:t>2、S2</w:t>
                                                                  </w:r>
                                                                </w:p>
                                                              </w:txbxContent>
                                                            </v:textbox>
                                                          </v:shape>
                                                          <v:shape id="文本框 38" o:spid="_x0000_s1026" o:spt="202" type="#_x0000_t202" style="position:absolute;left:11055;top:514685;height:532;width:1746;" fillcolor="#FFFFFF [3201]" filled="t" stroked="t" coordsize="21600,21600" o:gfxdata="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dTsi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成品</w:t>
                                                                  </w:r>
                                                                </w:p>
                                                              </w:txbxContent>
                                                            </v:textbox>
                                                          </v:shape>
                                                          <v:shape id="文本框 143" o:spid="_x0000_s1026" o:spt="202" type="#_x0000_t202" style="position:absolute;left:6958;top:500797;height:532;width:5664;" fillcolor="#FFFFFF [3201]" filled="t" stroked="f" coordsize="21600,21600" o:gfxdata="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8ZzM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铜丝、铝丝</w:t>
                                                                  </w:r>
                                                                </w:p>
                                                              </w:txbxContent>
                                                            </v:textbox>
                                                          </v:shape>
                                                          <v:shape id="文本框 144" o:spid="_x0000_s1026" o:spt="202" type="#_x0000_t202" style="position:absolute;left:10123;top:501117;height:449;width:2146;" filled="f" stroked="f" coordsize="21600,21600" o:gfxdata="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e1u&#10;n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cs="宋体"/>
                                                                      <w:lang w:val="en-US" w:eastAsia="zh-CN"/>
                                                                    </w:rPr>
                                                                    <w:t>S1</w:t>
                                                                  </w:r>
                                                                </w:p>
                                                              </w:txbxContent>
                                                            </v:textbox>
                                                          </v:shape>
                                                          <v:shape id="文本框 7" o:spid="_x0000_s1026" o:spt="202" type="#_x0000_t202" style="position:absolute;left:8876;top:501589;height:532;width:1703;" fillcolor="#FFFFFF [3201]" filled="t" stroked="t" coordsize="21600,21600" o:gfxdata="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xzhV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原料堆放区</w:t>
                                                                  </w:r>
                                                                </w:p>
                                                              </w:txbxContent>
                                                            </v:textbox>
                                                          </v:shape>
                                                          <v:shape id="直接箭头连接符 146" o:spid="_x0000_s1026" o:spt="32" type="#_x0000_t32" style="position:absolute;left:9710;top:501158;height:443;width:6;" filled="f" stroked="t" coordsize="21600,21600" o:gfxdata="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tHoAvQAA&#10;ANwAAAAPAAAAAAAAAAEAIAAAACIAAABkcnMvZG93bnJldi54bWxQSwECFAAUAAAACACHTuJAMy8F&#10;njsAAAA5AAAAEAAAAAAAAAABACAAAAAMAQAAZHJzL3NoYXBleG1sLnhtbFBLBQYAAAAABgAGAFsB&#10;AAC2AwAAAAA=&#10;">
                                                            <v:fill on="f" focussize="0,0"/>
                                                            <v:stroke weight="0.5pt" color="#000000 [3204]" miterlimit="8" joinstyle="miter" endarrow="block"/>
                                                            <v:imagedata o:title=""/>
                                                            <o:lock v:ext="edit" aspectratio="f"/>
                                                          </v:shape>
                                                          <v:shape id="直接箭头连接符 147" o:spid="_x0000_s1026" o:spt="32" type="#_x0000_t32" style="position:absolute;left:9773;top:501348;flip:y;height:212;width:409;" filled="f" stroked="t" coordsize="21600,21600" o:gfxdata="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HCK7sAAADc&#10;AAAADwAAAAAAAAABACAAAAAiAAAAZHJzL2Rvd25yZXYueG1sUEsBAhQAFAAAAAgAh07iQDMvBZ47&#10;AAAAOQAAABAAAAAAAAAAAQAgAAAACgEAAGRycy9zaGFwZXhtbC54bWxQSwUGAAAAAAYABgBbAQAA&#10;tAMAAAAA&#10;">
                                                            <v:fill on="f" focussize="0,0"/>
                                                            <v:stroke weight="1pt" color="#000000 [3204]" miterlimit="8" joinstyle="miter" dashstyle="1 1" endarrow="block"/>
                                                            <v:imagedata o:title=""/>
                                                            <o:lock v:ext="edit" aspectratio="f"/>
                                                          </v:shape>
                                                          <v:shape id="直接箭头连接符 149" o:spid="_x0000_s1026" o:spt="32" type="#_x0000_t32" style="position:absolute;left:9733;top:503047;height:442;width:6;" filled="f" stroked="t" coordsize="21600,21600" o:gfxdata="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LCTvQAA&#10;ANwAAAAPAAAAAAAAAAEAIAAAACIAAABkcnMvZG93bnJldi54bWxQSwECFAAUAAAACACHTuJAMy8F&#10;njsAAAA5AAAAEAAAAAAAAAABACAAAAAMAQAAZHJzL3NoYXBleG1sLnhtbFBLBQYAAAAABgAGAFsB&#10;AAC2AwAAAAA=&#10;">
                                                            <v:fill on="f" focussize="0,0"/>
                                                            <v:stroke weight="0.5pt" color="#000000 [3204]" miterlimit="8" joinstyle="miter" endarrow="block"/>
                                                            <v:imagedata o:title=""/>
                                                            <o:lock v:ext="edit" aspectratio="f"/>
                                                          </v:shape>
                                                          <v:shape id="直接箭头连接符 150" o:spid="_x0000_s1026" o:spt="32" type="#_x0000_t32" style="position:absolute;left:9748;top:504066;height:443;width:7;" filled="f" stroked="t" coordsize="21600,21600" o:gfxdata="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BUIvQAA&#10;ANwAAAAPAAAAAAAAAAEAIAAAACIAAABkcnMvZG93bnJldi54bWxQSwECFAAUAAAACACHTuJAMy8F&#10;njsAAAA5AAAAEAAAAAAAAAABACAAAAAMAQAAZHJzL3NoYXBleG1sLnhtbFBLBQYAAAAABgAGAFsB&#10;AAC2AwAAAAA=&#10;">
                                                            <v:fill on="f" focussize="0,0"/>
                                                            <v:stroke weight="0.5pt" color="#000000 [3204]" miterlimit="8" joinstyle="miter" endarrow="block"/>
                                                            <v:imagedata o:title=""/>
                                                            <o:lock v:ext="edit" aspectratio="f"/>
                                                          </v:shape>
                                                          <v:shape id="直接箭头连接符 151" o:spid="_x0000_s1026" o:spt="32" type="#_x0000_t32" style="position:absolute;left:9742;top:505044;flip:x;height:440;width:1;" filled="f" stroked="t" coordsize="21600,21600" o:gfxdata="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UVj74A&#10;AADcAAAADwAAAAAAAAABACAAAAAiAAAAZHJzL2Rvd25yZXYueG1sUEsBAhQAFAAAAAgAh07iQDMv&#10;BZ47AAAAOQAAABAAAAAAAAAAAQAgAAAADQEAAGRycy9zaGFwZXhtbC54bWxQSwUGAAAAAAYABgBb&#10;AQAAtwMAAAAA&#10;">
                                                            <v:fill on="f" focussize="0,0"/>
                                                            <v:stroke weight="0.5pt" color="#000000 [3204]" miterlimit="8" joinstyle="miter" endarrow="block"/>
                                                            <v:imagedata o:title=""/>
                                                            <o:lock v:ext="edit" aspectratio="f"/>
                                                          </v:shape>
                                                          <v:shape id="直接箭头连接符 152" o:spid="_x0000_s1026" o:spt="32" type="#_x0000_t32" style="position:absolute;left:9580;top:512428;height:443;width:7;" filled="f" stroked="t" coordsize="21600,21600" o:gfxdata="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ko574A&#10;AADcAAAADwAAAAAAAAABACAAAAAiAAAAZHJzL2Rvd25yZXYueG1sUEsBAhQAFAAAAAgAh07iQDMv&#10;BZ47AAAAOQAAABAAAAAAAAAAAQAgAAAADQEAAGRycy9zaGFwZXhtbC54bWxQSwUGAAAAAAYABgBb&#10;AQAAtwMAAAAA&#10;">
                                                            <v:fill on="f" focussize="0,0"/>
                                                            <v:stroke weight="0.5pt" color="#000000 [3204]" miterlimit="8" joinstyle="miter" endarrow="block"/>
                                                            <v:imagedata o:title=""/>
                                                            <o:lock v:ext="edit" aspectratio="f"/>
                                                          </v:shape>
                                                          <v:shape id="直接箭头连接符 153" o:spid="_x0000_s1026" o:spt="32" type="#_x0000_t32" style="position:absolute;left:9807;top:502265;flip:y;height:210;width:409;" filled="f" stroked="t" coordsize="21600,21600" o:gfxdata="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T/xL4A&#10;AADcAAAADwAAAAAAAAABACAAAAAiAAAAZHJzL2Rvd25yZXYueG1sUEsBAhQAFAAAAAgAh07iQDMv&#10;BZ47AAAAOQAAABAAAAAAAAAAAQAgAAAADQEAAGRycy9zaGFwZXhtbC54bWxQSwUGAAAAAAYABgBb&#10;AQAAtwMAAAAA&#10;">
                                                            <v:fill on="f" focussize="0,0"/>
                                                            <v:stroke weight="1pt" color="#000000 [3204]" miterlimit="8" joinstyle="miter" dashstyle="1 1" endarrow="block"/>
                                                            <v:imagedata o:title=""/>
                                                            <o:lock v:ext="edit" aspectratio="f"/>
                                                          </v:shape>
                                                          <v:shape id="直接箭头连接符 154" o:spid="_x0000_s1026" o:spt="32" type="#_x0000_t32" style="position:absolute;left:9812;top:504332;flip:y;height:212;width:409;" filled="f" stroked="t" coordsize="21600,21600" o:gfxdata="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aX74A&#10;AADcAAAADwAAAAAAAAABACAAAAAiAAAAZHJzL2Rvd25yZXYueG1sUEsBAhQAFAAAAAgAh07iQDMv&#10;BZ47AAAAOQAAABAAAAAAAAAAAQAgAAAADQEAAGRycy9zaGFwZXhtbC54bWxQSwUGAAAAAAYABgBb&#10;AQAAtwMAAAAA&#10;">
                                                            <v:fill on="f" focussize="0,0"/>
                                                            <v:stroke weight="1pt" color="#000000 [3204]" miterlimit="8" joinstyle="miter" dashstyle="1 1" endarrow="block"/>
                                                            <v:imagedata o:title=""/>
                                                            <o:lock v:ext="edit" aspectratio="f"/>
                                                          </v:shape>
                                                          <v:shape id="文本框 159" o:spid="_x0000_s1026" o:spt="202" type="#_x0000_t202" style="position:absolute;left:9064;top:502509;height:531;width:1387;" fillcolor="#FFFFFF [3201]" filled="t" stroked="t" coordsize="21600,21600" o:gfxdata="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3X4b0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拉丝</w:t>
                                                                  </w:r>
                                                                </w:p>
                                                              </w:txbxContent>
                                                            </v:textbox>
                                                          </v:shape>
                                                          <v:shape id="文本框 160" o:spid="_x0000_s1026" o:spt="202" type="#_x0000_t202" style="position:absolute;left:9055;top:503506;height:532;width:1403;" fillcolor="#FFFFFF [3201]" filled="t" stroked="t" coordsize="21600,21600" o:gfxdata="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NGIO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退火</w:t>
                                                                  </w:r>
                                                                </w:p>
                                                              </w:txbxContent>
                                                            </v:textbox>
                                                          </v:shape>
                                                          <v:shape id="文本框 161" o:spid="_x0000_s1026" o:spt="202" type="#_x0000_t202" style="position:absolute;left:9050;top:504512;height:532;width:1387;" fillcolor="#FFFFFF [3201]" filled="t" stroked="t" coordsize="21600,21600" o:gfxdata="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BvRi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绞丝</w:t>
                                                                  </w:r>
                                                                </w:p>
                                                              </w:txbxContent>
                                                            </v:textbox>
                                                          </v:shape>
                                                          <v:shape id="文本框 162" o:spid="_x0000_s1026" o:spt="202" type="#_x0000_t202" style="position:absolute;left:8895;top:505484;height:532;width:1693;" fillcolor="#FFFFFF [3201]" filled="t" stroked="t" coordsize="21600,21600" o:gfxdata="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yglbL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绕包防火带</w:t>
                                                                  </w:r>
                                                                </w:p>
                                                              </w:txbxContent>
                                                            </v:textbox>
                                                          </v:shape>
                                                          <v:shape id="文本框 163" o:spid="_x0000_s1026" o:spt="202" type="#_x0000_t202" style="position:absolute;left:8897;top:509207;height:530;width:1751;" fillcolor="#FFFFFF [3201]" filled="t" stroked="t" coordsize="21600,21600" o:gfxdata="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kgPe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成缆</w:t>
                                                                  </w:r>
                                                                </w:p>
                                                              </w:txbxContent>
                                                            </v:textbox>
                                                          </v:shape>
                                                          <v:shape id="文本框 165" o:spid="_x0000_s1026" o:spt="202" type="#_x0000_t202" style="position:absolute;left:10305;top:502089;height:444;width:2654;" filled="f" stroked="f" coordsize="21600,21600" o:gfxdata="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2AU4&#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cs="宋体"/>
                                                                      <w:lang w:val="en-US" w:eastAsia="zh-CN"/>
                                                                    </w:rPr>
                                                                    <w:t>G1、N1</w:t>
                                                                  </w:r>
                                                                </w:p>
                                                              </w:txbxContent>
                                                            </v:textbox>
                                                          </v:shape>
                                                          <v:shape id="直接箭头连接符 167" o:spid="_x0000_s1026" o:spt="32" type="#_x0000_t32" style="position:absolute;left:10249;top:514900;flip:y;height:24;width:789;" filled="f" stroked="t" coordsize="21600,21600" o:gfxdata="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4dJb4A&#10;AADcAAAADwAAAAAAAAABACAAAAAiAAAAZHJzL2Rvd25yZXYueG1sUEsBAhQAFAAAAAgAh07iQDMv&#10;BZ47AAAAOQAAABAAAAAAAAAAAQAgAAAADQEAAGRycy9zaGFwZXhtbC54bWxQSwUGAAAAAAYABgBb&#10;AQAAtwMAAAAA&#10;">
                                                            <v:fill on="f" focussize="0,0"/>
                                                            <v:stroke weight="0.5pt" color="#000000 [3204]" miterlimit="8" joinstyle="miter" endarrow="block"/>
                                                            <v:imagedata o:title=""/>
                                                            <o:lock v:ext="edit" aspectratio="f"/>
                                                          </v:shape>
                                                        </v:group>
                                                        <v:group id="组合 315" o:spid="_x0000_s1026" o:spt="203" style="position:absolute;left:8535;top:545008;height:2769;width:3520;" coordorigin="8715,540223" coordsize="3520,2769"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直接箭头连接符 151" o:spid="_x0000_s1026" o:spt="32" type="#_x0000_t32" style="position:absolute;left:9690;top:540223;height:440;width:9;" filled="f" stroked="t" coordsize="21600,21600" o:gfxdata="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20P74A&#10;AADcAAAADwAAAAAAAAABACAAAAAiAAAAZHJzL2Rvd25yZXYueG1sUEsBAhQAFAAAAAgAh07iQDMv&#10;BZ47AAAAOQAAABAAAAAAAAAAAQAgAAAADQEAAGRycy9zaGFwZXhtbC54bWxQSwUGAAAAAAYABgBb&#10;AQAAtwMAAAAA&#10;">
                                                            <v:fill on="f" focussize="0,0"/>
                                                            <v:stroke weight="0.5pt" color="#000000 [3204]" miterlimit="8" joinstyle="miter" endarrow="block"/>
                                                            <v:imagedata o:title=""/>
                                                            <o:lock v:ext="edit" aspectratio="f"/>
                                                          </v:shape>
                                                          <v:shape id="直接箭头连接符 307" o:spid="_x0000_s1026" o:spt="32" type="#_x0000_t32" style="position:absolute;left:9558;top:542257;flip:y;height:196;width:409;" filled="f" stroked="t" coordsize="21600,21600" o:gfxdata="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SeS7sAAADc&#10;AAAADwAAAAAAAAABACAAAAAiAAAAZHJzL2Rvd25yZXYueG1sUEsBAhQAFAAAAAgAh07iQDMvBZ47&#10;AAAAOQAAABAAAAAAAAAAAQAgAAAACgEAAGRycy9zaGFwZXhtbC54bWxQSwUGAAAAAAYABgBbAQAA&#10;tAMAAAAA&#10;">
                                                            <v:fill on="f" focussize="0,0"/>
                                                            <v:stroke weight="1pt" color="#000000 [3204]" miterlimit="8" joinstyle="miter" dashstyle="1 1" endarrow="block"/>
                                                            <v:imagedata o:title=""/>
                                                            <o:lock v:ext="edit" aspectratio="f"/>
                                                          </v:shape>
                                                          <v:shape id="文本框 308" o:spid="_x0000_s1026" o:spt="202" type="#_x0000_t202" style="position:absolute;left:9870;top:542018;height:442;width:2365;" filled="f" stroked="f" coordsize="21600,21600" o:gfxdata="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XVf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5</w:t>
                                                                  </w:r>
                                                                  <w:r>
                                                                    <w:rPr>
                                                                      <w:rFonts w:hint="eastAsia" w:ascii="Times New Roman" w:hAnsi="Times New Roman" w:eastAsia="宋体" w:cs="宋体"/>
                                                                      <w:lang w:val="en-US" w:eastAsia="zh-CN"/>
                                                                    </w:rPr>
                                                                    <w:t>、N</w:t>
                                                                  </w:r>
                                                                  <w:r>
                                                                    <w:rPr>
                                                                      <w:rFonts w:hint="eastAsia" w:cs="宋体"/>
                                                                      <w:lang w:val="en-US" w:eastAsia="zh-CN"/>
                                                                    </w:rPr>
                                                                    <w:t>6、S4、S5</w:t>
                                                                  </w:r>
                                                                </w:p>
                                                              </w:txbxContent>
                                                            </v:textbox>
                                                          </v:shape>
                                                          <v:shape id="文本框 313" o:spid="_x0000_s1026" o:spt="202" type="#_x0000_t202" style="position:absolute;left:8715;top:542461;height:531;width:1722;" fillcolor="#FFFFFF [3201]" filled="t" stroked="t" coordsize="21600,21600" o:gfxdata="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4dI+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检验和喷码</w:t>
                                                                  </w:r>
                                                                </w:p>
                                                              </w:txbxContent>
                                                            </v:textbox>
                                                          </v:shape>
                                                        </v:group>
                                                      </v:group>
                                                      <v:shape id="直接箭头连接符 317" o:spid="_x0000_s1026" o:spt="32" type="#_x0000_t32" style="position:absolute;left:9388;top:547378;height:441;width:9;" filled="f" stroked="t" coordsize="21600,21600" o:gfxdata="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lJaL4A&#10;AADcAAAADwAAAAAAAAABACAAAAAiAAAAZHJzL2Rvd25yZXYueG1sUEsBAhQAFAAAAAgAh07iQDMv&#10;BZ47AAAAOQAAABAAAAAAAAAAAQAgAAAADQEAAGRycy9zaGFwZXhtbC54bWxQSwUGAAAAAAYABgBb&#10;AQAAtwMAAAAA&#10;">
                                                        <v:fill on="f" focussize="0,0"/>
                                                        <v:stroke weight="0.5pt" color="#000000 [3204]" miterlimit="8" joinstyle="miter" endarrow="block"/>
                                                        <v:imagedata o:title=""/>
                                                        <o:lock v:ext="edit" aspectratio="f"/>
                                                      </v:shape>
                                                      <v:shape id="文本框 163" o:spid="_x0000_s1026" o:spt="202" type="#_x0000_t202" style="position:absolute;left:8690;top:547816;height:531;width:1363;" fillcolor="#FFFFFF [3201]" filled="t" stroked="t" coordsize="21600,21600" o:gfxdata="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UTv0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包装</w:t>
                                                              </w:r>
                                                            </w:p>
                                                          </w:txbxContent>
                                                        </v:textbox>
                                                      </v:shape>
                                                    </v:group>
                                                    <v:shape id="直接箭头连接符 325" o:spid="_x0000_s1026" o:spt="32" type="#_x0000_t32" style="position:absolute;left:9502;top:547131;flip:y;height:201;width:376;" filled="f" stroked="t" coordsize="21600,21600" o:gfxdata="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M9074A&#10;AADcAAAADwAAAAAAAAABACAAAAAiAAAAZHJzL2Rvd25yZXYueG1sUEsBAhQAFAAAAAgAh07iQDMv&#10;BZ47AAAAOQAAABAAAAAAAAAAAQAgAAAADQEAAGRycy9zaGFwZXhtbC54bWxQSwUGAAAAAAYABgBb&#10;AQAAtwMAAAAA&#10;">
                                                      <v:fill on="f" focussize="0,0"/>
                                                      <v:stroke weight="1pt" color="#000000 [3204]" miterlimit="8" joinstyle="miter" dashstyle="1 1" endarrow="block"/>
                                                      <v:imagedata o:title=""/>
                                                      <o:lock v:ext="edit" aspectratio="f"/>
                                                    </v:shape>
                                                  </v:group>
                                                  <v:shape id="文本框 329" o:spid="_x0000_s1026" o:spt="202" type="#_x0000_t202" style="position:absolute;left:6150;top:534119;height:2356;width:2055;" fillcolor="#FFFFFF [3201]" filled="t" stroked="t" coordsize="21600,21600" o:gfxdata="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a1D2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图例：</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废气：G</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废水：W</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噪声：N</w:t>
                                                          </w:r>
                                                        </w:p>
                                                        <w:p>
                                                          <w:pPr>
                                                            <w:pStyle w:val="2"/>
                                                            <w:spacing w:line="360" w:lineRule="auto"/>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固废：S</w:t>
                                                          </w:r>
                                                        </w:p>
                                                      </w:txbxContent>
                                                    </v:textbox>
                                                  </v:shape>
                                                </v:group>
                                                <v:group id="组合 49" o:spid="_x0000_s1026" o:spt="203" style="position:absolute;left:10332;top:608483;height:6245;width:3992;" coordorigin="10332,608483" coordsize="3992,6245"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文本框 163" o:spid="_x0000_s1026" o:spt="202" type="#_x0000_t202" style="position:absolute;left:12010;top:610270;height:1147;width:2314;" fillcolor="#FFFFFF [3201]" filled="t" stroked="t" coordsize="21600,21600" o:gfxdata="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FQE+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水洗填料塔+活性炭吸附+脱附+催化燃烧20m排气筒</w:t>
                                                          </w:r>
                                                        </w:p>
                                                      </w:txbxContent>
                                                    </v:textbox>
                                                  </v:shape>
                                                  <v:shape id="肘形连接符 29" o:spid="_x0000_s1026" o:spt="33" type="#_x0000_t33" style="position:absolute;left:10332;top:611418;flip:y;height:3310;width:2835;" filled="f" stroked="t" coordsize="21600,21600" o:gfxdata="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lh8vQAA&#10;ANwAAAAPAAAAAAAAAAEAIAAAACIAAABkcnMvZG93bnJldi54bWxQSwECFAAUAAAACACHTuJAMy8F&#10;njsAAAA5AAAAEAAAAAAAAAABACAAAAAMAQAAZHJzL3NoYXBleG1sLnhtbFBLBQYAAAAABgAGAFsB&#10;AAC2AwAAAAA=&#10;">
                                                    <v:fill on="f" focussize="0,0"/>
                                                    <v:stroke weight="1pt" color="#000000 [3204]" miterlimit="8" joinstyle="miter" dashstyle="1 1" endarrow="block"/>
                                                    <v:imagedata o:title=""/>
                                                    <o:lock v:ext="edit" aspectratio="f"/>
                                                  </v:shape>
                                                  <v:shape id="直接箭头连接符 30" o:spid="_x0000_s1026" o:spt="32" type="#_x0000_t32" style="position:absolute;left:13128;top:609144;flip:y;height:1113;width:1;" filled="f" stroked="t" coordsize="21600,21600" o:gfxdata="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iWg&#10;wAAAANwAAAAPAAAAAAAAAAEAIAAAACIAAABkcnMvZG93bnJldi54bWxQSwECFAAUAAAACACHTuJA&#10;My8FnjsAAAA5AAAAEAAAAAAAAAABACAAAAAPAQAAZHJzL3NoYXBleG1sLnhtbFBLBQYAAAAABgAG&#10;AFsBAAC5AwAAAAA=&#10;">
                                                    <v:fill on="f" focussize="0,0"/>
                                                    <v:stroke weight="1pt" color="#000000 [3204]" miterlimit="8" joinstyle="miter" endarrow="open"/>
                                                    <v:imagedata o:title=""/>
                                                    <o:lock v:ext="edit" aspectratio="f"/>
                                                  </v:shape>
                                                  <v:shape id="文本框 163" o:spid="_x0000_s1026" o:spt="202" type="#_x0000_t202" style="position:absolute;left:12526;top:608483;height:558;width:1220;" fillcolor="#FFFFFF [3201]" filled="t" stroked="f" coordsize="21600,21600" o:gfxdata="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YIkL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jc w:val="center"/>
                                                            <w:rPr>
                                                              <w:rFonts w:hint="default"/>
                                                              <w:lang w:val="en-US" w:eastAsia="zh-CN"/>
                                                            </w:rPr>
                                                          </w:pPr>
                                                          <w:r>
                                                            <w:rPr>
                                                              <w:rFonts w:hint="eastAsia"/>
                                                              <w:lang w:val="en-US" w:eastAsia="zh-CN"/>
                                                            </w:rPr>
                                                            <w:t>DA001</w:t>
                                                          </w:r>
                                                        </w:p>
                                                      </w:txbxContent>
                                                    </v:textbox>
                                                  </v:shape>
                                                  <v:shape id="文本框 48" o:spid="_x0000_s1026" o:spt="202" type="#_x0000_t202" style="position:absolute;left:13236;top:608966;height:1146;width:1083;" fillcolor="#FFFFFF [3201]" filled="t" stroked="f" coordsize="21600,21600" o:gfxdata="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KrQu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S</w:t>
                                                          </w:r>
                                                          <w:r>
                                                            <w:rPr>
                                                              <w:rFonts w:hint="eastAsia" w:cs="宋体"/>
                                                              <w:lang w:val="en-US" w:eastAsia="zh-CN"/>
                                                            </w:rPr>
                                                            <w:t>6、S7、S8、S9、N7</w:t>
                                                          </w:r>
                                                        </w:p>
                                                      </w:txbxContent>
                                                    </v:textbox>
                                                  </v:shape>
                                                </v:group>
                                              </v:group>
                                              <v:shape id="直接箭头连接符 46" o:spid="_x0000_s1026" o:spt="32" type="#_x0000_t32" style="position:absolute;left:13121;top:610055;flip:y;height:195;width:368;" filled="f" stroked="t" coordsize="21600,21600" o:gfxdata="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Vg6VvQAA&#10;ANwAAAAPAAAAAAAAAAEAIAAAACIAAABkcnMvZG93bnJldi54bWxQSwECFAAUAAAACACHTuJAMy8F&#10;njsAAAA5AAAAEAAAAAAAAAABACAAAAAMAQAAZHJzL3NoYXBleG1sLnhtbFBLBQYAAAAABgAGAFsB&#10;AAC2AwAAAAA=&#10;">
                                                <v:fill on="f" focussize="0,0"/>
                                                <v:stroke weight="1pt" color="#000000 [3204]" miterlimit="8" joinstyle="miter" dashstyle="1 1" endarrow="block"/>
                                                <v:imagedata o:title=""/>
                                                <o:lock v:ext="edit" aspectratio="f"/>
                                              </v:shape>
                                            </v:group>
                                            <v:group id="组合 30" o:spid="_x0000_s1026" o:spt="203" style="position:absolute;left:7929;top:574216;height:1558;width:1590;" coordorigin="8161,575266" coordsize="1590,1558"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直接箭头连接符 35" o:spid="_x0000_s1026" o:spt="32" type="#_x0000_t32" style="position:absolute;left:8951;top:575266;flip:x;height:359;width:5;" filled="f" stroked="t" coordsize="21600,21600" o:gfxdata="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E1Te8AAAA&#10;3AAAAA8AAAAAAAAAAQAgAAAAIgAAAGRycy9kb3ducmV2LnhtbFBLAQIUABQAAAAIAIdO4kAzLwWe&#10;OwAAADkAAAAQAAAAAAAAAAEAIAAAAAsBAABkcnMvc2hhcGV4bWwueG1sUEsFBgAAAAAGAAYAWwEA&#10;ALUDAAAAAA==&#10;">
                                                <v:fill on="f" focussize="0,0"/>
                                                <v:stroke weight="0.5pt" color="#000000 [3204]" miterlimit="8" joinstyle="miter" endarrow="block"/>
                                                <v:imagedata o:title=""/>
                                                <o:lock v:ext="edit" aspectratio="f"/>
                                              </v:shape>
                                              <v:shape id="文本框 24" o:spid="_x0000_s1026" o:spt="202" type="#_x0000_t202" style="position:absolute;left:8161;top:576334;height:490;width:1590;" fillcolor="#FFFFFF [3201]" filled="t" stroked="t" coordsize="21600,21600" o:gfxdata="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c1pK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绕包防火带</w:t>
                                                      </w:r>
                                                    </w:p>
                                                  </w:txbxContent>
                                                </v:textbox>
                                              </v:shape>
                                            </v:group>
                                          </v:group>
                                          <v:group id="组合 449" o:spid="_x0000_s1026" o:spt="203" style="position:absolute;left:7907;top:625804;height:2260;width:2855;" coordorigin="8234,625122" coordsize="2855,2260"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shape id="文本框 30" o:spid="_x0000_s1026" o:spt="202" type="#_x0000_t202" style="position:absolute;left:9479;top:626500;height:429;width:1610;" filled="f" stroked="f" coordsize="21600,21600" o:gfxdata="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R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6</w:t>
                                                    </w:r>
                                                    <w:r>
                                                      <w:rPr>
                                                        <w:rFonts w:hint="eastAsia" w:ascii="Times New Roman" w:hAnsi="Times New Roman" w:eastAsia="宋体" w:cs="宋体"/>
                                                        <w:lang w:val="en-US" w:eastAsia="zh-CN"/>
                                                      </w:rPr>
                                                      <w:t>、</w:t>
                                                    </w:r>
                                                    <w:r>
                                                      <w:rPr>
                                                        <w:rFonts w:hint="eastAsia" w:cs="宋体"/>
                                                        <w:lang w:val="en-US" w:eastAsia="zh-CN"/>
                                                      </w:rPr>
                                                      <w:t>N8</w:t>
                                                    </w:r>
                                                  </w:p>
                                                  <w:p>
                                                    <w:pPr>
                                                      <w:rPr>
                                                        <w:rFonts w:hint="default"/>
                                                        <w:lang w:val="en-US" w:eastAsia="zh-CN"/>
                                                      </w:rPr>
                                                    </w:pPr>
                                                  </w:p>
                                                </w:txbxContent>
                                              </v:textbox>
                                            </v:shape>
                                            <v:shape id="直接箭头连接符 11" o:spid="_x0000_s1026" o:spt="32" type="#_x0000_t32" style="position:absolute;left:9168;top:625122;flip:y;height:194;width:368;" filled="f" stroked="t" coordsize="21600,21600" o:gfxdata="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ORgS8AAAA&#10;3AAAAA8AAAAAAAAAAQAgAAAAIgAAAGRycy9kb3ducmV2LnhtbFBLAQIUABQAAAAIAIdO4kAzLwWe&#10;OwAAADkAAAAQAAAAAAAAAAEAIAAAAAsBAABkcnMvc2hhcGV4bWwueG1sUEsFBgAAAAAGAAYAWwEA&#10;ALUDAAAAAA==&#10;">
                                              <v:fill on="f" focussize="0,0"/>
                                              <v:stroke weight="1pt" color="#000000 [3204]" miterlimit="8" joinstyle="miter" dashstyle="1 1" endarrow="block"/>
                                              <v:imagedata o:title=""/>
                                              <o:lock v:ext="edit" aspectratio="f"/>
                                            </v:shape>
                                            <v:shape id="文本框 24" o:spid="_x0000_s1026" o:spt="202" type="#_x0000_t202" style="position:absolute;left:8234;top:626892;height:490;width:1634;" fillcolor="#FFFFFF [3201]" filled="t" stroked="t" coordsize="21600,21600" o:gfxdata="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dYAd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纵包焊接</w:t>
                                                    </w:r>
                                                  </w:p>
                                                </w:txbxContent>
                                              </v:textbox>
                                            </v:shape>
                                          </v:group>
                                          <v:group id="组合 453" o:spid="_x0000_s1026" o:spt="203" style="position:absolute;left:4989;top:627076;height:975;width:2375;" coordorigin="4989,627076" coordsize="2375,975"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shape id="文本框 163" o:spid="_x0000_s1026" o:spt="202" type="#_x0000_t202" style="position:absolute;left:4989;top:627574;height:477;width:2259;" fillcolor="#FFFFFF [3201]" filled="t" stroked="t" coordsize="21600,21600" o:gfxdata="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zot2r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移动式焊烟净化器</w:t>
                                                    </w:r>
                                                  </w:p>
                                                </w:txbxContent>
                                              </v:textbox>
                                            </v:shape>
                                            <v:shape id="文本框 91" o:spid="_x0000_s1026" o:spt="202" type="#_x0000_t202" style="position:absolute;left:6244;top:627076;height:491;width:1120;" fillcolor="#FFFFFF [3201]" filled="t" stroked="f" coordsize="21600,21600" o:gfxdata="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SMQy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S</w:t>
                                                    </w:r>
                                                    <w:r>
                                                      <w:rPr>
                                                        <w:rFonts w:hint="eastAsia" w:cs="宋体"/>
                                                        <w:lang w:val="en-US" w:eastAsia="zh-CN"/>
                                                      </w:rPr>
                                                      <w:t>10</w:t>
                                                    </w:r>
                                                  </w:p>
                                                </w:txbxContent>
                                              </v:textbox>
                                            </v:shape>
                                            <v:shape id="直接箭头连接符 92" o:spid="_x0000_s1026" o:spt="32" type="#_x0000_t32" style="position:absolute;left:5903;top:627362;flip:y;height:150;width:351;" filled="f" stroked="t" coordsize="21600,21600" o:gfxdata="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RnrLsAAADc&#10;AAAADwAAAAAAAAABACAAAAAiAAAAZHJzL2Rvd25yZXYueG1sUEsBAhQAFAAAAAgAh07iQDMvBZ47&#10;AAAAOQAAABAAAAAAAAAAAQAgAAAACgEAAGRycy9zaGFwZXhtbC54bWxQSwUGAAAAAAYABgBbAQAA&#10;tAMAAAAA&#10;">
                                              <v:fill on="f" focussize="0,0"/>
                                              <v:stroke weight="1pt" color="#000000 [3204]" miterlimit="8" joinstyle="miter" dashstyle="1 1" endarrow="block"/>
                                              <v:imagedata o:title=""/>
                                              <o:lock v:ext="edit" aspectratio="f"/>
                                            </v:shape>
                                          </v:group>
                                        </v:group>
                                        <v:shape id="直接箭头连接符 146" o:spid="_x0000_s1026" o:spt="32" type="#_x0000_t32" style="position:absolute;left:8734;top:619457;height:408;width:5;" filled="f" stroked="t" coordsize="21600,21600" o:gfxdata="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oH+r4A&#10;AADcAAAADwAAAAAAAAABACAAAAAiAAAAZHJzL2Rvd25yZXYueG1sUEsBAhQAFAAAAAgAh07iQDMv&#10;BZ47AAAAOQAAABAAAAAAAAAAAQAgAAAADQEAAGRycy9zaGFwZXhtbC54bWxQSwUGAAAAAAYABgBb&#10;AQAAtwMAAAAA&#10;">
                                          <v:fill on="f" focussize="0,0"/>
                                          <v:stroke weight="0.5pt" color="#000000 [3204]" miterlimit="8" joinstyle="miter" endarrow="block"/>
                                          <v:imagedata o:title=""/>
                                          <o:lock v:ext="edit" aspectratio="f"/>
                                        </v:shape>
                                      </v:group>
                                    </v:group>
                                    <v:shape id="直接箭头连接符 317" o:spid="_x0000_s1026" o:spt="32" type="#_x0000_t32" style="position:absolute;left:9518;top:715360;height:407;width:8;" filled="f" stroked="t" coordsize="21600,21600" o:gfxdata="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BZrsAAADc&#10;AAAADwAAAAAAAAABACAAAAAiAAAAZHJzL2Rvd25yZXYueG1sUEsBAhQAFAAAAAgAh07iQDMvBZ47&#10;AAAAOQAAABAAAAAAAAAAAQAgAAAACgEAAGRycy9zaGFwZXhtbC54bWxQSwUGAAAAAAYABgBbAQAA&#10;tAMAAAAA&#10;">
                                      <v:fill on="f" focussize="0,0"/>
                                      <v:stroke weight="0.5pt" color="#000000 [3204]" miterlimit="8" joinstyle="miter" endarrow="block"/>
                                      <v:imagedata o:title=""/>
                                      <o:lock v:ext="edit" aspectratio="f"/>
                                    </v:shape>
                                  </v:group>
                                  <v:shape id="直接箭头连接符 155" o:spid="_x0000_s1026" o:spt="32" type="#_x0000_t32" style="position:absolute;left:9653;top:708813;flip:y;height:196;width:368;" filled="f" stroked="t" coordsize="21600,21600" o:gfxdata="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ozJ68AAAA&#10;3AAAAA8AAAAAAAAAAQAgAAAAIgAAAGRycy9kb3ducmV2LnhtbFBLAQIUABQAAAAIAIdO4kAzLwWe&#10;OwAAADkAAAAQAAAAAAAAAAEAIAAAAAsBAABkcnMvc2hhcGV4bWwueG1sUEsFBgAAAAAGAAYAWwEA&#10;ALUDAAAAAA==&#10;">
                                    <v:fill on="f" focussize="0,0"/>
                                    <v:stroke weight="1pt" color="#000000 [3204]" miterlimit="8" joinstyle="miter" dashstyle="1 1" endarrow="block"/>
                                    <v:imagedata o:title=""/>
                                    <o:lock v:ext="edit" aspectratio="f"/>
                                  </v:shape>
                                  <v:shape id="文本框 156" o:spid="_x0000_s1026" o:spt="202" type="#_x0000_t202" style="position:absolute;left:10023;top:708632;height:471;width:2050;"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2</w:t>
                                          </w:r>
                                          <w:r>
                                            <w:rPr>
                                              <w:rFonts w:hint="eastAsia" w:ascii="Times New Roman" w:hAnsi="Times New Roman" w:eastAsia="宋体" w:cs="宋体"/>
                                              <w:lang w:val="en-US" w:eastAsia="zh-CN"/>
                                            </w:rPr>
                                            <w:t>、S</w:t>
                                          </w:r>
                                          <w:r>
                                            <w:rPr>
                                              <w:rFonts w:hint="eastAsia" w:cs="宋体"/>
                                              <w:lang w:val="en-US" w:eastAsia="zh-CN"/>
                                            </w:rPr>
                                            <w:t>3、N3</w:t>
                                          </w:r>
                                        </w:p>
                                      </w:txbxContent>
                                    </v:textbox>
                                  </v:shape>
                                </v:group>
                              </v:group>
                            </v:group>
                          </v:group>
                          <v:group id="_x0000_s1026" o:spid="_x0000_s1026" o:spt="203" style="position:absolute;left:9816;top:713633;height:454;width:1978;" coordorigin="9891,713018" coordsize="1978,454"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shape id="文本框 30" o:spid="_x0000_s1026" o:spt="202" type="#_x0000_t202" style="position:absolute;left:10231;top:713018;height:454;width:1638;" filled="f" stroked="f" coordsize="21600,21600" o:gfxdata="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Q4y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G</w:t>
                                    </w:r>
                                    <w:r>
                                      <w:rPr>
                                        <w:rFonts w:hint="eastAsia" w:cs="宋体"/>
                                        <w:lang w:val="en-US" w:eastAsia="zh-CN"/>
                                      </w:rPr>
                                      <w:t>4</w:t>
                                    </w:r>
                                    <w:r>
                                      <w:rPr>
                                        <w:rFonts w:hint="eastAsia" w:ascii="Times New Roman" w:hAnsi="Times New Roman" w:eastAsia="宋体" w:cs="宋体"/>
                                        <w:lang w:val="en-US" w:eastAsia="zh-CN"/>
                                      </w:rPr>
                                      <w:t>、S</w:t>
                                    </w:r>
                                    <w:r>
                                      <w:rPr>
                                        <w:rFonts w:hint="eastAsia" w:cs="宋体"/>
                                        <w:lang w:val="en-US" w:eastAsia="zh-CN"/>
                                      </w:rPr>
                                      <w:t>3</w:t>
                                    </w:r>
                                    <w:r>
                                      <w:rPr>
                                        <w:rFonts w:hint="eastAsia" w:ascii="Times New Roman" w:hAnsi="Times New Roman" w:eastAsia="宋体" w:cs="宋体"/>
                                        <w:lang w:val="en-US" w:eastAsia="zh-CN"/>
                                      </w:rPr>
                                      <w:t>、N3</w:t>
                                    </w:r>
                                  </w:p>
                                </w:txbxContent>
                              </v:textbox>
                            </v:shape>
                            <v:shape id="_x0000_s1026" o:spid="_x0000_s1026" o:spt="32" type="#_x0000_t32" style="position:absolute;left:9891;top:713261;flip:y;height:174;width:395;" filled="f" stroked="t" coordsize="21600,21600" o:gfxdata="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E8qdugAAANwA&#10;AAAPAAAAAAAAAAEAIAAAACIAAABkcnMvZG93bnJldi54bWxQSwECFAAUAAAACACHTuJAMy8FnjsA&#10;AAA5AAAAEAAAAAAAAAABACAAAAAJAQAAZHJzL3NoYXBleG1sLnhtbFBLBQYAAAAABgAGAFsBAACz&#10;AwAAAAA=&#10;">
                              <v:fill on="f" focussize="0,0"/>
                              <v:stroke weight="1pt" color="#000000 [3204]" miterlimit="8" joinstyle="miter" dashstyle="1 1" endarrow="block"/>
                              <v:imagedata o:title=""/>
                              <o:lock v:ext="edit" aspectratio="f"/>
                            </v:shape>
                          </v:group>
                        </v:group>
                        <v:shape id="_x0000_s1026" o:spid="_x0000_s1026" o:spt="32" type="#_x0000_t32" style="position:absolute;left:9753;top:712901;flip:y;height:195;width:368;" filled="f" stroked="t" coordsize="21600,21600" o:gfxdata="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xFqwvQAA&#10;ANwAAAAPAAAAAAAAAAEAIAAAACIAAABkcnMvZG93bnJldi54bWxQSwECFAAUAAAACACHTuJAMy8F&#10;njsAAAA5AAAAEAAAAAAAAAABACAAAAAMAQAAZHJzL3NoYXBleG1sLnhtbFBLBQYAAAAABgAGAFsB&#10;AAC2AwAAAAA=&#10;">
                          <v:fill on="f" focussize="0,0"/>
                          <v:stroke weight="1pt" color="#000000 [3204]" miterlimit="8" joinstyle="miter" dashstyle="1 1" endarrow="block"/>
                          <v:imagedata o:title=""/>
                          <o:lock v:ext="edit" aspectratio="f"/>
                        </v:shape>
                      </v:group>
                      <v:group id="_x0000_s1026" o:spid="_x0000_s1026" o:spt="203" style="position:absolute;left:8880;top:726560;height:2636;width:3131;" coordorigin="8715,727100" coordsize="3131,2636"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shape id="文本框 30" o:spid="_x0000_s1026" o:spt="202" type="#_x0000_t202" style="position:absolute;left:9963;top:727100;height:441;width:1433;" filled="f" stroked="f" coordsize="21600,21600" o:gfxdata="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ek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cs="宋体"/>
                                    <w:lang w:val="en-US" w:eastAsia="zh-CN"/>
                                  </w:rPr>
                                  <w:t>G3、N4</w:t>
                                </w:r>
                              </w:p>
                            </w:txbxContent>
                          </v:textbox>
                        </v:shape>
                        <v:shape id="直接箭头连接符 152" o:spid="_x0000_s1026" o:spt="32" type="#_x0000_t32" style="position:absolute;left:9517;top:727114;height:409;width:5;" filled="f" stroked="t" coordsize="21600,21600" o:gfxdata="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NHRu8AAAA&#10;2wAAAA8AAAAAAAAAAQAgAAAAIgAAAGRycy9kb3ducmV2LnhtbFBLAQIUABQAAAAIAIdO4kAzLwWe&#10;OwAAADkAAAAQAAAAAAAAAAEAIAAAAAsBAABkcnMvc2hhcGV4bWwueG1sUEsFBgAAAAAGAAYAWwEA&#10;ALUDAAAAAA==&#10;">
                          <v:fill on="f" focussize="0,0"/>
                          <v:stroke weight="0.5pt" color="#000000 [3204]" miterlimit="8" joinstyle="miter" endarrow="block"/>
                          <v:imagedata o:title=""/>
                          <o:lock v:ext="edit" aspectratio="f"/>
                        </v:shape>
                        <v:shape id="直接箭头连接符 158" o:spid="_x0000_s1026" o:spt="32" type="#_x0000_t32" style="position:absolute;left:9562;top:727317;flip:y;height:196;width:368;" filled="f" stroked="t" coordsize="21600,21600" o:gfxdata="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P7x/rsAAADb&#10;AAAADwAAAAAAAAABACAAAAAiAAAAZHJzL2Rvd25yZXYueG1sUEsBAhQAFAAAAAgAh07iQDMvBZ47&#10;AAAAOQAAABAAAAAAAAAAAQAgAAAACgEAAGRycy9zaGFwZXhtbC54bWxQSwUGAAAAAAYABgBbAQAA&#10;tAMAAAAA&#10;">
                          <v:fill on="f" focussize="0,0"/>
                          <v:stroke weight="1pt" color="#000000 [3204]" miterlimit="8" joinstyle="miter" dashstyle="1 1" endarrow="block"/>
                          <v:imagedata o:title=""/>
                          <o:lock v:ext="edit" aspectratio="f"/>
                        </v:shape>
                        <v:shape id="文本框 163" o:spid="_x0000_s1026" o:spt="202" type="#_x0000_t202" style="position:absolute;left:8715;top:727517;height:491;width:1578;" fillcolor="#FFFFFF [3201]" filled="t" stroked="t" coordsize="21600,21600" o:gfxdata="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U/heh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紫外光交联</w:t>
                                </w:r>
                              </w:p>
                            </w:txbxContent>
                          </v:textbox>
                        </v:shape>
                        <v:shape id="文本框 30" o:spid="_x0000_s1026" o:spt="202" type="#_x0000_t202" style="position:absolute;left:10003;top:727931;height:429;width:1432;" filled="f" stroked="f" coordsize="21600,21600" o:gfxdata="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ieZy/&#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both"/>
                                  <w:rPr>
                                    <w:rFonts w:hint="default" w:ascii="Times New Roman" w:hAnsi="Times New Roman" w:eastAsia="宋体" w:cs="宋体"/>
                                    <w:lang w:val="en-US" w:eastAsia="zh-CN"/>
                                  </w:rPr>
                                </w:pPr>
                                <w:r>
                                  <w:rPr>
                                    <w:rFonts w:hint="eastAsia" w:cs="宋体"/>
                                    <w:lang w:val="en-US" w:eastAsia="zh-CN"/>
                                  </w:rPr>
                                  <w:t>W1</w:t>
                                </w:r>
                              </w:p>
                            </w:txbxContent>
                          </v:textbox>
                        </v:shape>
                        <v:shape id="直接箭头连接符 11" o:spid="_x0000_s1026" o:spt="32" type="#_x0000_t32" style="position:absolute;left:9602;top:728192;flip:y;height:194;width:368;" filled="f" stroked="t" coordsize="21600,21600" o:gfxdata="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w7YzvQAA&#10;ANsAAAAPAAAAAAAAAAEAIAAAACIAAABkcnMvZG93bnJldi54bWxQSwECFAAUAAAACACHTuJAMy8F&#10;njsAAAA5AAAAEAAAAAAAAAABACAAAAAMAQAAZHJzL3NoYXBleG1sLnhtbFBLBQYAAAAABgAGAFsB&#10;AAC2AwAAAAA=&#10;">
                          <v:fill on="f" focussize="0,0"/>
                          <v:stroke weight="1pt" color="#000000 [3204]" miterlimit="8" joinstyle="miter" dashstyle="1 1" endarrow="block"/>
                          <v:imagedata o:title=""/>
                          <o:lock v:ext="edit" aspectratio="f"/>
                        </v:shape>
                        <v:shape id="直接箭头连接符 35" o:spid="_x0000_s1026" o:spt="32" type="#_x0000_t32" style="position:absolute;left:9528;top:727957;flip:x;height:446;width:4;" filled="f" stroked="t" coordsize="21600,21600" o:gfxdata="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VMspvQAA&#10;ANsAAAAPAAAAAAAAAAEAIAAAACIAAABkcnMvZG93bnJldi54bWxQSwECFAAUAAAACACHTuJAMy8F&#10;njsAAAA5AAAAEAAAAAAAAAABACAAAAAMAQAAZHJzL3NoYXBleG1sLnhtbFBLBQYAAAAABgAGAFsB&#10;AAC2AwAAAAA=&#10;">
                          <v:fill on="f" focussize="0,0"/>
                          <v:stroke weight="0.5pt" color="#000000 [3204]" miterlimit="8" joinstyle="miter" endarrow="block"/>
                          <v:imagedata o:title=""/>
                          <o:lock v:ext="edit" aspectratio="f"/>
                        </v:shape>
                        <v:shape id="文本框 24" o:spid="_x0000_s1026" o:spt="202" type="#_x0000_t202" style="position:absolute;left:8750;top:728357;height:490;width:1560;" fillcolor="#FFFFFF [3201]" filled="t" stroked="t" coordsize="21600,21600" o:gfxdata="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8PUI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冷却</w:t>
                                </w:r>
                              </w:p>
                            </w:txbxContent>
                          </v:textbox>
                        </v:shape>
                        <v:shape id="肘形连接符 29" o:spid="_x0000_s1026" o:spt="34" type="#_x0000_t34" style="position:absolute;left:10293;top:727763;height:1973;width:1553;" filled="f" stroked="t" coordsize="21600,21600" o:gfxdata="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rFye8AAAA&#10;3AAAAA8AAAAAAAAAAQAgAAAAIgAAAGRycy9kb3ducmV2LnhtbFBLAQIUABQAAAAIAIdO4kAzLwWe&#10;OwAAADkAAAAQAAAAAAAAAAEAIAAAAAsBAABkcnMvc2hhcGV4bWwueG1sUEsFBgAAAAAGAAYAWwEA&#10;ALUDAAAAAA==&#10;" adj="10807">
                          <v:fill on="f" focussize="0,0"/>
                          <v:stroke weight="1pt" color="#000000 [3204]" miterlimit="8" joinstyle="miter" dashstyle="1 1" endarrow="block"/>
                          <v:imagedata o:title=""/>
                          <o:lock v:ext="edit" aspectratio="f"/>
                        </v:shape>
                      </v:group>
                    </v:group>
                  </w:pict>
                </mc:Fallback>
              </mc:AlternateContent>
            </w:r>
          </w:p>
          <w:p>
            <w:pPr>
              <w:pStyle w:val="18"/>
              <w:rPr>
                <w:rFonts w:hint="default"/>
                <w:lang w:val="en-US" w:eastAsia="zh-CN"/>
              </w:rPr>
            </w:pPr>
          </w:p>
          <w:p>
            <w:pPr>
              <w:pStyle w:val="18"/>
              <w:rPr>
                <w:rFonts w:hint="default"/>
                <w:lang w:val="en-US" w:eastAsia="zh-CN"/>
              </w:rPr>
            </w:pPr>
          </w:p>
          <w:p>
            <w:pPr>
              <w:pStyle w:val="18"/>
              <w:jc w:val="both"/>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r>
              <mc:AlternateContent>
                <mc:Choice Requires="wps">
                  <w:drawing>
                    <wp:anchor distT="0" distB="0" distL="114300" distR="114300" simplePos="0" relativeHeight="251674624" behindDoc="0" locked="0" layoutInCell="1" allowOverlap="1">
                      <wp:simplePos x="0" y="0"/>
                      <wp:positionH relativeFrom="column">
                        <wp:posOffset>2379345</wp:posOffset>
                      </wp:positionH>
                      <wp:positionV relativeFrom="paragraph">
                        <wp:posOffset>222250</wp:posOffset>
                      </wp:positionV>
                      <wp:extent cx="9525" cy="200660"/>
                      <wp:effectExtent l="34290" t="0" r="32385" b="8890"/>
                      <wp:wrapNone/>
                      <wp:docPr id="129" name="直接箭头连接符 35"/>
                      <wp:cNvGraphicFramePr/>
                      <a:graphic xmlns:a="http://schemas.openxmlformats.org/drawingml/2006/main">
                        <a:graphicData uri="http://schemas.microsoft.com/office/word/2010/wordprocessingShape">
                          <wps:wsp>
                            <wps:cNvCnPr/>
                            <wps:spPr>
                              <a:xfrm flipH="1">
                                <a:off x="0" y="0"/>
                                <a:ext cx="9525" cy="200660"/>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35" o:spid="_x0000_s1026" o:spt="32" type="#_x0000_t32" style="position:absolute;left:0pt;flip:x;margin-left:187.35pt;margin-top:17.5pt;height:15.8pt;width:0.75pt;z-index:251674624;mso-width-relative:page;mso-height-relative:page;" filled="f" stroked="t" coordsize="21600,21600" o:gfxdata="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vg&#10;ChLZAAAACQEAAA8AAAAAAAAAAQAgAAAAIgAAAGRycy9kb3ducmV2LnhtbFBLAQIUABQAAAAIAIdO&#10;4kB6hJizIgIAABIEAAAOAAAAAAAAAAEAIAAAACgBAABkcnMvZTJvRG9jLnhtbFBLBQYAAAAABgAG&#10;AFkBAAC8BQAAAAA=&#10;">
                      <v:fill on="f" focussize="0,0"/>
                      <v:stroke weight="0.5pt" color="#000000 [3204]" miterlimit="8" joinstyle="miter" endarrow="block"/>
                      <v:imagedata o:title=""/>
                      <o:lock v:ext="edit" aspectratio="f"/>
                    </v:shape>
                  </w:pict>
                </mc:Fallback>
              </mc:AlternateContent>
            </w: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pStyle w:val="18"/>
              <w:rPr>
                <w:rFonts w:hint="default"/>
                <w:lang w:val="en-US" w:eastAsia="zh-CN"/>
              </w:rPr>
            </w:pPr>
            <w:r>
              <mc:AlternateContent>
                <mc:Choice Requires="wps">
                  <w:drawing>
                    <wp:anchor distT="0" distB="0" distL="114300" distR="114300" simplePos="0" relativeHeight="251672576" behindDoc="0" locked="0" layoutInCell="1" allowOverlap="1">
                      <wp:simplePos x="0" y="0"/>
                      <wp:positionH relativeFrom="column">
                        <wp:posOffset>2365375</wp:posOffset>
                      </wp:positionH>
                      <wp:positionV relativeFrom="paragraph">
                        <wp:posOffset>-196850</wp:posOffset>
                      </wp:positionV>
                      <wp:extent cx="17145" cy="228600"/>
                      <wp:effectExtent l="32385" t="635" r="26670" b="18415"/>
                      <wp:wrapNone/>
                      <wp:docPr id="127" name="直接箭头连接符 151"/>
                      <wp:cNvGraphicFramePr/>
                      <a:graphic xmlns:a="http://schemas.openxmlformats.org/drawingml/2006/main">
                        <a:graphicData uri="http://schemas.microsoft.com/office/word/2010/wordprocessingShape">
                          <wps:wsp>
                            <wps:cNvCnPr>
                              <a:stCxn id="439" idx="2"/>
                              <a:endCxn id="448" idx="0"/>
                            </wps:cNvCnPr>
                            <wps:spPr>
                              <a:xfrm flipH="1">
                                <a:off x="0" y="0"/>
                                <a:ext cx="17145" cy="228600"/>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51" o:spid="_x0000_s1026" o:spt="32" type="#_x0000_t32" style="position:absolute;left:0pt;flip:x;margin-left:186.25pt;margin-top:-15.5pt;height:18pt;width:1.35pt;z-index:251672576;mso-width-relative:page;mso-height-relative:page;" filled="f" stroked="t" coordsize="21600,21600" o:gfxdata="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5tBY2QAAAAkBAAAPAAAAAAAAAAEAIAAA&#10;ACIAAABkcnMvZG93bnJldi54bWxQSwECFAAUAAAACACHTuJAdL94XkQCAABYBAAADgAAAAAAAAAB&#10;ACAAAAAoAQAAZHJzL2Uyb0RvYy54bWxQSwUGAAAAAAYABgBZAQAA3gUAAAAA&#10;">
                      <v:fill on="f" focussize="0,0"/>
                      <v:stroke weight="0.5pt" color="#000000 [3204]" miterlimit="8" joinstyle="miter" endarrow="block"/>
                      <v:imagedata o:title=""/>
                      <o:lock v:ext="edit" aspectratio="f"/>
                    </v:shape>
                  </w:pict>
                </mc:Fallback>
              </mc:AlternateContent>
            </w:r>
          </w:p>
          <w:p>
            <w:pPr>
              <w:pStyle w:val="18"/>
              <w:rPr>
                <w:rFonts w:hint="default"/>
                <w:lang w:val="en-US" w:eastAsia="zh-CN"/>
              </w:rPr>
            </w:pPr>
          </w:p>
          <w:p>
            <w:pPr>
              <w:pStyle w:val="18"/>
              <w:rPr>
                <w:rFonts w:hint="default"/>
                <w:lang w:val="en-US" w:eastAsia="zh-CN"/>
              </w:rPr>
            </w:pPr>
          </w:p>
          <w:p>
            <w:pPr>
              <w:pStyle w:val="18"/>
              <w:rPr>
                <w:rFonts w:hint="default"/>
                <w:lang w:val="en-US" w:eastAsia="zh-CN"/>
              </w:rPr>
            </w:pPr>
          </w:p>
          <w:p>
            <w:pPr>
              <w:bidi w:val="0"/>
              <w:jc w:val="both"/>
              <w:rPr>
                <w:rFonts w:hint="default"/>
                <w:b/>
                <w:bCs/>
                <w:lang w:val="en-US" w:eastAsia="zh-CN"/>
              </w:rPr>
            </w:pPr>
          </w:p>
          <w:p>
            <w:pPr>
              <w:bidi w:val="0"/>
              <w:jc w:val="both"/>
              <w:rPr>
                <w:rFonts w:hint="default"/>
                <w:b/>
                <w:bCs/>
                <w:lang w:val="en-US" w:eastAsia="zh-CN"/>
              </w:rPr>
            </w:pPr>
            <w:r>
              <mc:AlternateContent>
                <mc:Choice Requires="wps">
                  <w:drawing>
                    <wp:anchor distT="0" distB="0" distL="114300" distR="114300" simplePos="0" relativeHeight="251671552" behindDoc="0" locked="0" layoutInCell="1" allowOverlap="1">
                      <wp:simplePos x="0" y="0"/>
                      <wp:positionH relativeFrom="column">
                        <wp:posOffset>1801495</wp:posOffset>
                      </wp:positionH>
                      <wp:positionV relativeFrom="paragraph">
                        <wp:posOffset>44450</wp:posOffset>
                      </wp:positionV>
                      <wp:extent cx="990600" cy="311150"/>
                      <wp:effectExtent l="4445" t="4445" r="14605" b="8255"/>
                      <wp:wrapNone/>
                      <wp:docPr id="126" name="文本框 24"/>
                      <wp:cNvGraphicFramePr/>
                      <a:graphic xmlns:a="http://schemas.openxmlformats.org/drawingml/2006/main">
                        <a:graphicData uri="http://schemas.microsoft.com/office/word/2010/wordprocessingShape">
                          <wps:wsp>
                            <wps:cNvSpPr txBox="1"/>
                            <wps:spPr>
                              <a:xfrm>
                                <a:off x="0" y="0"/>
                                <a:ext cx="990612" cy="3111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宋体"/>
                                      <w:lang w:val="en-US" w:eastAsia="zh-CN"/>
                                    </w:rPr>
                                  </w:pPr>
                                  <w:r>
                                    <w:rPr>
                                      <w:rFonts w:hint="eastAsia" w:cs="宋体"/>
                                      <w:lang w:val="en-US" w:eastAsia="zh-CN"/>
                                    </w:rPr>
                                    <w:t>冷却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 o:spid="_x0000_s1026" o:spt="202" type="#_x0000_t202" style="position:absolute;left:0pt;margin-left:141.85pt;margin-top:3.5pt;height:24.5pt;width:78pt;z-index:251671552;mso-width-relative:page;mso-height-relative:page;" fillcolor="#FFFFFF [3201]" filled="t" stroked="t" coordsize="21600,21600" o:gfxdata="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23BtPVAAAACAEAAA8AAAAAAAAAAQAgAAAAIgAAAGRycy9kb3ducmV2LnhtbFBLAQIUABQAAAAI&#10;AIdO4kAn1BVHYgIAAMcEAAAOAAAAAAAAAAEAIAAAACQBAABkcnMvZTJvRG9jLnhtbFBLBQYAAAAA&#10;BgAGAFkBAAD4BQAAAAA=&#10;">
                      <v:fill on="t" focussize="0,0"/>
                      <v:stroke weight="0.5pt" color="#000000 [3204]" joinstyle="round"/>
                      <v:imagedata o:title=""/>
                      <o:lock v:ext="edit" aspectratio="f"/>
                      <v:textbox>
                        <w:txbxContent>
                          <w:p>
                            <w:pPr>
                              <w:jc w:val="center"/>
                              <w:rPr>
                                <w:rFonts w:hint="default" w:ascii="Times New Roman" w:hAnsi="Times New Roman" w:eastAsia="宋体" w:cs="宋体"/>
                                <w:lang w:val="en-US" w:eastAsia="zh-CN"/>
                              </w:rPr>
                            </w:pPr>
                            <w:r>
                              <w:rPr>
                                <w:rFonts w:hint="eastAsia" w:cs="宋体"/>
                                <w:lang w:val="en-US" w:eastAsia="zh-CN"/>
                              </w:rPr>
                              <w:t>冷却</w:t>
                            </w:r>
                          </w:p>
                        </w:txbxContent>
                      </v:textbox>
                    </v:shape>
                  </w:pict>
                </mc:Fallback>
              </mc:AlternateContent>
            </w:r>
          </w:p>
          <w:p>
            <w:pPr>
              <w:bidi w:val="0"/>
              <w:jc w:val="center"/>
              <w:rPr>
                <w:rFonts w:hint="default"/>
                <w:b/>
                <w:bCs/>
                <w:lang w:val="en-US" w:eastAsia="zh-CN"/>
              </w:rPr>
            </w:pPr>
          </w:p>
          <w:p>
            <w:pPr>
              <w:bidi w:val="0"/>
              <w:jc w:val="center"/>
              <w:rPr>
                <w:rFonts w:hint="default"/>
                <w:b/>
                <w:bCs/>
                <w:lang w:val="en-US" w:eastAsia="zh-CN"/>
              </w:rPr>
            </w:pPr>
          </w:p>
          <w:p>
            <w:pPr>
              <w:bidi w:val="0"/>
              <w:jc w:val="center"/>
              <w:rPr>
                <w:rFonts w:hint="default"/>
                <w:b/>
                <w:bCs/>
                <w:lang w:val="en-US" w:eastAsia="zh-CN"/>
              </w:rPr>
            </w:pPr>
          </w:p>
          <w:p>
            <w:pPr>
              <w:bidi w:val="0"/>
              <w:jc w:val="center"/>
              <w:rPr>
                <w:rFonts w:hint="default"/>
                <w:b/>
                <w:bCs/>
                <w:lang w:val="en-US" w:eastAsia="zh-CN"/>
              </w:rPr>
            </w:pPr>
          </w:p>
          <w:p>
            <w:pPr>
              <w:bidi w:val="0"/>
              <w:jc w:val="center"/>
              <w:rPr>
                <w:rFonts w:hint="default"/>
                <w:b/>
                <w:bCs/>
                <w:lang w:val="en-US" w:eastAsia="zh-CN"/>
              </w:rPr>
            </w:pPr>
          </w:p>
          <w:p>
            <w:pPr>
              <w:bidi w:val="0"/>
              <w:jc w:val="center"/>
              <w:rPr>
                <w:rFonts w:hint="default"/>
                <w:b/>
                <w:bCs/>
                <w:lang w:val="en-US" w:eastAsia="zh-CN"/>
              </w:rPr>
            </w:pPr>
          </w:p>
          <w:p>
            <w:pPr>
              <w:bidi w:val="0"/>
              <w:jc w:val="center"/>
              <w:rPr>
                <w:rFonts w:hint="default"/>
                <w:lang w:val="en-US" w:eastAsia="zh-CN"/>
              </w:rPr>
            </w:pPr>
            <w:r>
              <w:rPr>
                <w:rFonts w:hint="default"/>
                <w:b/>
                <w:bCs/>
                <w:lang w:val="en-US" w:eastAsia="zh-CN"/>
              </w:rPr>
              <w:t>图2.</w:t>
            </w:r>
            <w:r>
              <w:rPr>
                <w:rFonts w:hint="eastAsia" w:ascii="Times New Roman" w:eastAsia="宋体"/>
                <w:b/>
                <w:bCs/>
                <w:lang w:val="en-US" w:eastAsia="zh-CN"/>
              </w:rPr>
              <w:t>8</w:t>
            </w:r>
            <w:r>
              <w:rPr>
                <w:rFonts w:hint="default"/>
                <w:b/>
                <w:bCs/>
                <w:lang w:val="en-US" w:eastAsia="zh-CN"/>
              </w:rPr>
              <w:t>-</w:t>
            </w:r>
            <w:r>
              <w:rPr>
                <w:rFonts w:hint="eastAsia"/>
                <w:b/>
                <w:bCs/>
                <w:lang w:val="en-US" w:eastAsia="zh-CN"/>
              </w:rPr>
              <w:t>2</w:t>
            </w:r>
            <w:r>
              <w:rPr>
                <w:rFonts w:hint="default"/>
                <w:b/>
                <w:bCs/>
                <w:lang w:val="en-US" w:eastAsia="zh-CN"/>
              </w:rPr>
              <w:t xml:space="preserve">  运营期防火电缆工艺流程及排污节点图</w:t>
            </w:r>
          </w:p>
          <w:p>
            <w:pPr>
              <w:widowControl w:val="0"/>
              <w:overflowPunct w:val="0"/>
              <w:autoSpaceDE w:val="0"/>
              <w:autoSpaceDN w:val="0"/>
              <w:bidi w:val="0"/>
              <w:adjustRightInd w:val="0"/>
              <w:snapToGrid w:val="0"/>
              <w:spacing w:before="0" w:after="0" w:line="360" w:lineRule="auto"/>
              <w:ind w:left="0" w:right="0" w:firstLine="0" w:firstLineChars="0"/>
              <w:jc w:val="center"/>
              <w:rPr>
                <w:rFonts w:hint="eastAsia" w:ascii="Times New Roman" w:hAnsi="Times New Roman" w:eastAsia="宋体" w:cs="宋体"/>
                <w:b/>
                <w:bCs/>
                <w:lang w:val="en-US" w:eastAsia="zh-CN"/>
              </w:rPr>
            </w:pPr>
            <w:r>
              <w:rPr>
                <w:rFonts w:hint="eastAsia" w:ascii="Times New Roman" w:hAnsi="Times New Roman" w:eastAsia="宋体" w:cs="宋体"/>
                <w:b/>
                <w:bCs/>
                <w:lang w:val="en-US" w:eastAsia="zh-CN"/>
              </w:rPr>
              <w:t>表2.8-1运营期主要污染工序一览表</w:t>
            </w:r>
          </w:p>
          <w:tbl>
            <w:tblPr>
              <w:tblStyle w:val="14"/>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2310"/>
              <w:gridCol w:w="1530"/>
              <w:gridCol w:w="34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污染类别</w:t>
                  </w: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污染源名称</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产生工序</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主要污染因子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1"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废气</w:t>
                  </w: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G1</w:t>
                  </w:r>
                  <w:r>
                    <w:rPr>
                      <w:rFonts w:hint="eastAsia" w:cs="宋体"/>
                      <w:sz w:val="21"/>
                      <w:szCs w:val="21"/>
                      <w:lang w:val="en-US" w:eastAsia="zh-CN"/>
                    </w:rPr>
                    <w:t>拉丝废气</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cs="宋体"/>
                      <w:sz w:val="21"/>
                      <w:szCs w:val="21"/>
                      <w:lang w:val="en-US" w:eastAsia="zh-CN"/>
                    </w:rPr>
                    <w:t>拉丝</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非甲烷总烃、臭气浓度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G2</w:t>
                  </w:r>
                  <w:r>
                    <w:rPr>
                      <w:rFonts w:hint="eastAsia" w:cs="宋体"/>
                      <w:sz w:val="21"/>
                      <w:szCs w:val="21"/>
                      <w:lang w:val="en-US" w:eastAsia="zh-CN"/>
                    </w:rPr>
                    <w:t>挤塑</w:t>
                  </w:r>
                  <w:r>
                    <w:rPr>
                      <w:rFonts w:hint="eastAsia" w:ascii="Times New Roman" w:hAnsi="Times New Roman" w:eastAsia="宋体" w:cs="宋体"/>
                      <w:sz w:val="21"/>
                      <w:szCs w:val="21"/>
                      <w:lang w:val="en-US" w:eastAsia="zh-CN"/>
                    </w:rPr>
                    <w:t>废气</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挤塑</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非甲烷总烃、氯化氢、臭气浓度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cs="宋体"/>
                      <w:sz w:val="21"/>
                      <w:szCs w:val="21"/>
                      <w:lang w:val="en-US" w:eastAsia="zh-CN"/>
                    </w:rPr>
                    <w:t>G3交联废气</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紫外光交联</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非甲烷总烃、臭气浓度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s="宋体"/>
                      <w:sz w:val="21"/>
                      <w:szCs w:val="21"/>
                      <w:lang w:val="en-US" w:eastAsia="zh-CN"/>
                    </w:rPr>
                  </w:pPr>
                  <w:r>
                    <w:rPr>
                      <w:rFonts w:hint="eastAsia" w:cs="宋体"/>
                      <w:sz w:val="21"/>
                      <w:szCs w:val="21"/>
                      <w:lang w:val="en-US" w:eastAsia="zh-CN"/>
                    </w:rPr>
                    <w:t>G4挤护外套</w:t>
                  </w:r>
                  <w:r>
                    <w:rPr>
                      <w:rFonts w:hint="eastAsia" w:ascii="Times New Roman" w:hAnsi="Times New Roman" w:eastAsia="宋体" w:cs="宋体"/>
                      <w:sz w:val="21"/>
                      <w:szCs w:val="21"/>
                      <w:lang w:val="en-US" w:eastAsia="zh-CN"/>
                    </w:rPr>
                    <w:t>废气</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挤护外套</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非甲烷总烃、氯化氢、臭气浓度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G</w:t>
                  </w:r>
                  <w:r>
                    <w:rPr>
                      <w:rFonts w:hint="eastAsia" w:cs="宋体"/>
                      <w:sz w:val="21"/>
                      <w:szCs w:val="21"/>
                      <w:lang w:val="en-US" w:eastAsia="zh-CN"/>
                    </w:rPr>
                    <w:t>5</w:t>
                  </w:r>
                  <w:r>
                    <w:rPr>
                      <w:rFonts w:hint="eastAsia" w:ascii="Times New Roman" w:hAnsi="Times New Roman" w:eastAsia="宋体" w:cs="宋体"/>
                      <w:sz w:val="21"/>
                      <w:szCs w:val="21"/>
                      <w:lang w:val="en-US" w:eastAsia="zh-CN"/>
                    </w:rPr>
                    <w:t>喷码有机废气</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喷码</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非甲烷总烃、臭气浓度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G</w:t>
                  </w:r>
                  <w:r>
                    <w:rPr>
                      <w:rFonts w:hint="eastAsia" w:cs="宋体"/>
                      <w:sz w:val="21"/>
                      <w:szCs w:val="21"/>
                      <w:lang w:val="en-US" w:eastAsia="zh-CN"/>
                    </w:rPr>
                    <w:t>6</w:t>
                  </w:r>
                  <w:r>
                    <w:rPr>
                      <w:rFonts w:hint="eastAsia" w:ascii="Times New Roman" w:hAnsi="Times New Roman" w:eastAsia="宋体" w:cs="宋体"/>
                      <w:sz w:val="21"/>
                      <w:szCs w:val="21"/>
                      <w:lang w:val="en-US" w:eastAsia="zh-CN"/>
                    </w:rPr>
                    <w:t>焊接烟尘</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纵包焊接</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废水</w:t>
                  </w: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W1冷却排水</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冷却</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冷却水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W2生活污水</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办公生活</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pH、COD、BOD</w:t>
                  </w:r>
                  <w:r>
                    <w:rPr>
                      <w:rFonts w:hint="eastAsia" w:ascii="Times New Roman" w:hAnsi="Times New Roman" w:eastAsia="宋体" w:cs="宋体"/>
                      <w:sz w:val="21"/>
                      <w:szCs w:val="21"/>
                      <w:vertAlign w:val="subscript"/>
                      <w:lang w:val="en-US" w:eastAsia="zh-CN"/>
                    </w:rPr>
                    <w:t>5</w:t>
                  </w:r>
                  <w:r>
                    <w:rPr>
                      <w:rFonts w:hint="eastAsia" w:ascii="Times New Roman" w:hAnsi="Times New Roman" w:eastAsia="宋体" w:cs="宋体"/>
                      <w:sz w:val="21"/>
                      <w:szCs w:val="21"/>
                      <w:lang w:val="en-US" w:eastAsia="zh-CN"/>
                    </w:rPr>
                    <w:t>、SS、氨氮、动植物油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噪声</w:t>
                  </w: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N1拉丝机噪声</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拉丝</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N2绞丝机噪声</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绞丝</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N3挤出机噪声</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挤塑、挤护外套</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N4紫外光交联机噪声</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紫外光交联</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N5成缆机噪声</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成缆</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N6喷码机噪声</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喷码</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N7风机噪声</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废气处理</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N8焊机噪声</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lang w:val="en-US" w:eastAsia="zh-CN" w:bidi="ar-SA"/>
                    </w:rPr>
                  </w:pPr>
                  <w:r>
                    <w:rPr>
                      <w:rFonts w:hint="eastAsia" w:ascii="Times New Roman" w:hAnsi="Times New Roman" w:eastAsia="宋体" w:cs="宋体"/>
                      <w:sz w:val="21"/>
                      <w:szCs w:val="21"/>
                      <w:lang w:val="en-US" w:eastAsia="zh-CN"/>
                    </w:rPr>
                    <w:t>纵包焊接</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机械噪声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1"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固体废物</w:t>
                  </w: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S1废包装材料</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运输、包装</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废包装材料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S2废金属线</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绞丝</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废金属线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S3废塑料</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挤塑、挤护外套</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废塑料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S4不合格品</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检验</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不合格品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S5废油墨盒</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喷码</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废油墨盒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highlight w:val="none"/>
                      <w:lang w:val="en-US" w:eastAsia="zh-CN"/>
                    </w:rPr>
                    <w:t>S6废活性炭</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Times New Roman"/>
                      <w:color w:val="auto"/>
                      <w:kern w:val="0"/>
                      <w:sz w:val="21"/>
                      <w:szCs w:val="21"/>
                      <w:highlight w:val="none"/>
                      <w:lang w:val="en-US" w:eastAsia="zh-CN" w:bidi="ar"/>
                    </w:rPr>
                    <w:t>废气处理</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highlight w:val="none"/>
                      <w:lang w:val="en-US" w:eastAsia="zh-CN"/>
                    </w:rPr>
                    <w:t>废活性炭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highlight w:val="none"/>
                      <w:lang w:val="en-US" w:eastAsia="zh-CN"/>
                    </w:rPr>
                  </w:pPr>
                  <w:r>
                    <w:rPr>
                      <w:rFonts w:hint="eastAsia" w:ascii="Times New Roman" w:hAnsi="Times New Roman" w:eastAsia="宋体" w:cs="宋体"/>
                      <w:sz w:val="21"/>
                      <w:szCs w:val="21"/>
                      <w:lang w:val="en-US" w:eastAsia="zh-CN"/>
                    </w:rPr>
                    <w:t>S7废催化剂</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废气处理</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lang w:val="en-US" w:eastAsia="zh-CN"/>
                    </w:rPr>
                    <w:t>废催化剂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cs="宋体"/>
                      <w:sz w:val="21"/>
                      <w:szCs w:val="21"/>
                      <w:lang w:val="en-US" w:eastAsia="zh-CN"/>
                    </w:rPr>
                    <w:t>S8废盐酸</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废气处理</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cs="宋体"/>
                      <w:sz w:val="21"/>
                      <w:szCs w:val="21"/>
                      <w:lang w:val="en-US" w:eastAsia="zh-CN"/>
                    </w:rPr>
                    <w:t>废盐酸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s="宋体"/>
                      <w:sz w:val="21"/>
                      <w:szCs w:val="21"/>
                      <w:lang w:val="en-US" w:eastAsia="zh-CN"/>
                    </w:rPr>
                  </w:pPr>
                  <w:r>
                    <w:rPr>
                      <w:rFonts w:hint="eastAsia" w:cs="宋体"/>
                      <w:sz w:val="21"/>
                      <w:szCs w:val="21"/>
                      <w:lang w:val="en-US" w:eastAsia="zh-CN"/>
                    </w:rPr>
                    <w:t>S9废填料</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废气处理</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cs="宋体"/>
                      <w:sz w:val="21"/>
                      <w:szCs w:val="21"/>
                      <w:lang w:val="en-US" w:eastAsia="zh-CN"/>
                    </w:rPr>
                  </w:pPr>
                  <w:r>
                    <w:rPr>
                      <w:rFonts w:hint="eastAsia" w:cs="宋体"/>
                      <w:sz w:val="21"/>
                      <w:szCs w:val="21"/>
                      <w:lang w:val="en-US" w:eastAsia="zh-CN"/>
                    </w:rPr>
                    <w:t>废填料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S</w:t>
                  </w:r>
                  <w:r>
                    <w:rPr>
                      <w:rFonts w:hint="eastAsia" w:cs="宋体"/>
                      <w:sz w:val="21"/>
                      <w:szCs w:val="21"/>
                      <w:lang w:val="en-US" w:eastAsia="zh-CN"/>
                    </w:rPr>
                    <w:t>10</w:t>
                  </w:r>
                  <w:r>
                    <w:rPr>
                      <w:rFonts w:hint="eastAsia" w:ascii="Times New Roman" w:hAnsi="Times New Roman" w:eastAsia="宋体" w:cs="宋体"/>
                      <w:sz w:val="21"/>
                      <w:szCs w:val="21"/>
                      <w:lang w:val="en-US" w:eastAsia="zh-CN"/>
                    </w:rPr>
                    <w:t>除尘灰</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废气处理</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除尘灰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9"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S</w:t>
                  </w:r>
                  <w:r>
                    <w:rPr>
                      <w:rFonts w:hint="eastAsia" w:cs="宋体"/>
                      <w:sz w:val="21"/>
                      <w:szCs w:val="21"/>
                      <w:lang w:val="en-US" w:eastAsia="zh-CN"/>
                    </w:rPr>
                    <w:t>11</w:t>
                  </w:r>
                  <w:r>
                    <w:rPr>
                      <w:rFonts w:hint="default" w:ascii="Times New Roman" w:hAnsi="Times New Roman" w:eastAsia="宋体" w:cs="宋体"/>
                      <w:sz w:val="21"/>
                      <w:szCs w:val="21"/>
                      <w:lang w:val="en-US" w:eastAsia="zh-CN"/>
                    </w:rPr>
                    <w:t>生活垃圾</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员工日常</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生活垃圾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sz w:val="21"/>
                      <w:szCs w:val="21"/>
                      <w:lang w:val="en-US" w:eastAsia="zh-CN"/>
                    </w:rPr>
                  </w:pPr>
                </w:p>
              </w:tc>
              <w:tc>
                <w:tcPr>
                  <w:tcW w:w="231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S1</w:t>
                  </w:r>
                  <w:r>
                    <w:rPr>
                      <w:rFonts w:hint="eastAsia" w:cs="宋体"/>
                      <w:sz w:val="21"/>
                      <w:szCs w:val="21"/>
                      <w:lang w:val="en-US" w:eastAsia="zh-CN"/>
                    </w:rPr>
                    <w:t>2</w:t>
                  </w:r>
                  <w:r>
                    <w:rPr>
                      <w:rFonts w:hint="eastAsia" w:ascii="Times New Roman" w:hAnsi="Times New Roman" w:eastAsia="宋体" w:cs="宋体"/>
                      <w:sz w:val="21"/>
                      <w:szCs w:val="21"/>
                      <w:lang w:val="en-US" w:eastAsia="zh-CN"/>
                    </w:rPr>
                    <w:t>废机油</w:t>
                  </w:r>
                </w:p>
              </w:tc>
              <w:tc>
                <w:tcPr>
                  <w:tcW w:w="153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机械设备检修</w:t>
                  </w:r>
                </w:p>
              </w:tc>
              <w:tc>
                <w:tcPr>
                  <w:tcW w:w="347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废机油</w:t>
                  </w:r>
                </w:p>
              </w:tc>
            </w:tr>
          </w:tbl>
          <w:p>
            <w:pPr>
              <w:pStyle w:val="18"/>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4" w:hRule="atLeast"/>
          <w:jc w:val="center"/>
        </w:trPr>
        <w:tc>
          <w:tcPr>
            <w:tcW w:w="486" w:type="dxa"/>
            <w:vAlign w:val="center"/>
          </w:tcPr>
          <w:p>
            <w:pPr>
              <w:widowControl w:val="0"/>
              <w:overflowPunct w:val="0"/>
              <w:autoSpaceDE w:val="0"/>
              <w:autoSpaceDN w:val="0"/>
              <w:adjustRightInd w:val="0"/>
              <w:snapToGrid w:val="0"/>
              <w:spacing w:before="0" w:after="0" w:line="400" w:lineRule="exact"/>
              <w:ind w:left="0" w:leftChars="0" w:right="0" w:rightChars="0" w:firstLine="0" w:firstLineChars="0"/>
              <w:jc w:val="center"/>
              <w:rPr>
                <w:rFonts w:ascii="Times New Roman" w:hAnsi="Times New Roman" w:eastAsia="宋体" w:cs="宋体"/>
                <w:sz w:val="24"/>
                <w:szCs w:val="24"/>
                <w:vertAlign w:val="baseline"/>
                <w:lang w:val="en-US" w:eastAsia="zh-CN" w:bidi="ar-SA"/>
              </w:rPr>
            </w:pPr>
            <w:r>
              <w:rPr>
                <w:rFonts w:ascii="Times New Roman" w:hAnsi="Times New Roman" w:eastAsia="宋体" w:cs="宋体"/>
                <w:sz w:val="24"/>
                <w:szCs w:val="22"/>
                <w:lang w:val="en-US" w:eastAsia="zh-CN" w:bidi="ar-SA"/>
              </w:rPr>
              <w:t>项目有关的原有环境污染问</w:t>
            </w:r>
            <w:r>
              <w:rPr>
                <w:rFonts w:hint="eastAsia" w:ascii="Times New Roman" w:hAnsi="Times New Roman" w:eastAsia="宋体" w:cs="宋体"/>
                <w:sz w:val="24"/>
                <w:szCs w:val="22"/>
                <w:lang w:val="en-US" w:eastAsia="zh-CN" w:bidi="ar-SA"/>
              </w:rPr>
              <w:t>题</w:t>
            </w:r>
          </w:p>
        </w:tc>
        <w:tc>
          <w:tcPr>
            <w:tcW w:w="8585" w:type="dxa"/>
            <w:vAlign w:val="top"/>
          </w:tcPr>
          <w:p>
            <w:pPr>
              <w:widowControl w:val="0"/>
              <w:overflowPunct w:val="0"/>
              <w:autoSpaceDE w:val="0"/>
              <w:autoSpaceDN w:val="0"/>
              <w:bidi w:val="0"/>
              <w:adjustRightInd w:val="0"/>
              <w:snapToGrid w:val="0"/>
              <w:spacing w:before="0" w:after="0" w:line="360" w:lineRule="auto"/>
              <w:ind w:left="0" w:right="0" w:firstLine="562" w:firstLineChars="200"/>
              <w:jc w:val="left"/>
              <w:outlineLvl w:val="1"/>
              <w:rPr>
                <w:rFonts w:hint="eastAsia" w:ascii="Times New Roman" w:hAnsi="Times New Roman" w:eastAsia="宋体" w:cs="宋体"/>
              </w:rPr>
            </w:pPr>
            <w:r>
              <w:rPr>
                <w:rFonts w:hint="eastAsia" w:ascii="Times New Roman" w:hAnsi="Times New Roman" w:eastAsia="宋体" w:cs="黑体"/>
                <w:b/>
                <w:sz w:val="28"/>
                <w:szCs w:val="30"/>
                <w:lang w:val="en-US" w:eastAsia="zh-CN" w:bidi="ar-SA"/>
              </w:rPr>
              <w:t>2.</w:t>
            </w:r>
            <w:r>
              <w:rPr>
                <w:rFonts w:hint="eastAsia" w:cs="黑体"/>
                <w:b/>
                <w:sz w:val="28"/>
                <w:szCs w:val="30"/>
                <w:lang w:val="en-US" w:eastAsia="zh-CN" w:bidi="ar-SA"/>
              </w:rPr>
              <w:t>9</w:t>
            </w:r>
            <w:r>
              <w:rPr>
                <w:rFonts w:hint="eastAsia" w:ascii="Times New Roman" w:hAnsi="Times New Roman" w:eastAsia="宋体" w:cs="黑体"/>
                <w:b/>
                <w:sz w:val="28"/>
                <w:szCs w:val="30"/>
                <w:lang w:val="en-US" w:eastAsia="zh-CN" w:bidi="ar-SA"/>
              </w:rPr>
              <w:t>依托可行性分析以及与项目有关的原有环境污染问题</w:t>
            </w:r>
          </w:p>
          <w:p>
            <w:pPr>
              <w:overflowPunct w:val="0"/>
              <w:autoSpaceDE w:val="0"/>
              <w:autoSpaceDN w:val="0"/>
              <w:bidi w:val="0"/>
              <w:adjustRightInd w:val="0"/>
              <w:snapToGrid w:val="0"/>
              <w:spacing w:line="360" w:lineRule="auto"/>
              <w:ind w:firstLine="48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新疆伟康高科管业有限公司成立于</w:t>
            </w:r>
            <w:r>
              <w:rPr>
                <w:rFonts w:hint="eastAsia" w:cs="Times New Roman"/>
                <w:lang w:val="en-US" w:eastAsia="zh-CN"/>
              </w:rPr>
              <w:t>2018</w:t>
            </w:r>
            <w:r>
              <w:rPr>
                <w:rFonts w:hint="eastAsia" w:ascii="Times New Roman" w:hAnsi="Times New Roman" w:eastAsia="宋体" w:cs="Times New Roman"/>
                <w:lang w:val="en-US" w:eastAsia="zh-CN"/>
              </w:rPr>
              <w:t>年</w:t>
            </w:r>
            <w:r>
              <w:rPr>
                <w:rFonts w:hint="eastAsia" w:cs="Times New Roman"/>
                <w:lang w:val="en-US" w:eastAsia="zh-CN"/>
              </w:rPr>
              <w:t>3</w:t>
            </w:r>
            <w:r>
              <w:rPr>
                <w:rFonts w:hint="eastAsia" w:ascii="Times New Roman" w:hAnsi="Times New Roman" w:eastAsia="宋体" w:cs="Times New Roman"/>
                <w:lang w:val="en-US" w:eastAsia="zh-CN"/>
              </w:rPr>
              <w:t>月，</w:t>
            </w:r>
            <w:r>
              <w:rPr>
                <w:rFonts w:hint="eastAsia" w:cs="Times New Roman"/>
                <w:highlight w:val="none"/>
                <w:lang w:val="en-US" w:eastAsia="zh-CN"/>
              </w:rPr>
              <w:t>2021</w:t>
            </w:r>
            <w:r>
              <w:rPr>
                <w:rFonts w:hint="eastAsia" w:cs="Times New Roman"/>
                <w:lang w:val="en-US" w:eastAsia="zh-CN"/>
              </w:rPr>
              <w:t>年共</w:t>
            </w:r>
            <w:r>
              <w:rPr>
                <w:rFonts w:hint="eastAsia" w:ascii="Times New Roman" w:hAnsi="Times New Roman" w:eastAsia="宋体" w:cs="Times New Roman"/>
                <w:lang w:val="en-US" w:eastAsia="zh-CN"/>
              </w:rPr>
              <w:t>建</w:t>
            </w:r>
            <w:r>
              <w:rPr>
                <w:rFonts w:hint="eastAsia" w:cs="Times New Roman"/>
                <w:lang w:val="en-US" w:eastAsia="zh-CN"/>
              </w:rPr>
              <w:t>成1</w:t>
            </w:r>
            <w:r>
              <w:rPr>
                <w:rFonts w:hint="eastAsia" w:ascii="Times New Roman" w:hAnsi="Times New Roman" w:eastAsia="宋体" w:cs="Times New Roman"/>
                <w:lang w:val="en-US" w:eastAsia="zh-CN"/>
              </w:rPr>
              <w:t>栋</w:t>
            </w:r>
            <w:r>
              <w:rPr>
                <w:rFonts w:hint="eastAsia" w:eastAsia="宋体" w:cs="Times New Roman"/>
                <w:lang w:val="en-US" w:eastAsia="zh-CN"/>
              </w:rPr>
              <w:t>生产车间</w:t>
            </w:r>
            <w:r>
              <w:rPr>
                <w:rFonts w:hint="eastAsia" w:ascii="Times New Roman" w:hAnsi="Times New Roman" w:eastAsia="宋体" w:cs="Times New Roman"/>
                <w:lang w:val="en-US" w:eastAsia="zh-CN"/>
              </w:rPr>
              <w:t>、1栋办公生活楼</w:t>
            </w:r>
            <w:r>
              <w:rPr>
                <w:rFonts w:hint="eastAsia" w:cs="Times New Roman"/>
                <w:lang w:val="en-US" w:eastAsia="zh-CN"/>
              </w:rPr>
              <w:t>以及1栋门卫室，总建筑面积8161</w:t>
            </w: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2</w:t>
            </w:r>
            <w:r>
              <w:rPr>
                <w:rFonts w:hint="default" w:ascii="Times New Roman" w:hAnsi="Times New Roman" w:eastAsia="宋体" w:cs="Times New Roman"/>
                <w:lang w:val="zh-CN" w:eastAsia="zh-CN"/>
              </w:rPr>
              <w:t>，</w:t>
            </w:r>
            <w:r>
              <w:rPr>
                <w:rFonts w:hint="eastAsia" w:ascii="Times New Roman" w:hAnsi="Times New Roman" w:eastAsia="宋体" w:cs="Times New Roman"/>
                <w:lang w:val="en-US" w:eastAsia="zh-CN"/>
              </w:rPr>
              <w:t>建成后</w:t>
            </w:r>
            <w:r>
              <w:rPr>
                <w:rFonts w:hint="default" w:ascii="Times New Roman" w:hAnsi="Times New Roman" w:eastAsia="宋体" w:cs="Times New Roman"/>
                <w:lang w:val="zh-CN" w:eastAsia="zh-CN"/>
              </w:rPr>
              <w:t>主要</w:t>
            </w:r>
            <w:r>
              <w:rPr>
                <w:rFonts w:hint="eastAsia" w:ascii="Times New Roman" w:hAnsi="Times New Roman" w:eastAsia="宋体" w:cs="Times New Roman"/>
                <w:lang w:val="en-US" w:eastAsia="zh-CN"/>
              </w:rPr>
              <w:t>从事厂房租赁，未投入生产，未办理环境影响评价、竣工环境保护验收等相关手续</w:t>
            </w:r>
            <w:r>
              <w:rPr>
                <w:rFonts w:hint="default" w:ascii="Times New Roman" w:hAnsi="Times New Roman" w:eastAsia="宋体" w:cs="Times New Roman"/>
                <w:lang w:val="zh-CN" w:eastAsia="zh-CN"/>
              </w:rPr>
              <w:t>。</w:t>
            </w:r>
            <w:r>
              <w:rPr>
                <w:rFonts w:hint="eastAsia" w:ascii="Times New Roman" w:hAnsi="Times New Roman" w:eastAsia="宋体" w:cs="Times New Roman"/>
                <w:lang w:val="en-US" w:eastAsia="zh-CN"/>
              </w:rPr>
              <w:t>新疆伟康高科管业有限公司</w:t>
            </w:r>
            <w:r>
              <w:rPr>
                <w:rFonts w:hint="eastAsia" w:cs="Times New Roman"/>
                <w:lang w:val="en-US" w:eastAsia="zh-CN"/>
              </w:rPr>
              <w:t>建设标准厂房，不涉及环境敏感区，因此根据《建设项目环境影响评价分类管理名录（2021年版）》，无需办理环评手续。</w:t>
            </w:r>
            <w:r>
              <w:rPr>
                <w:rFonts w:hint="eastAsia" w:ascii="Times New Roman" w:hAnsi="Times New Roman" w:eastAsia="宋体" w:cs="Times New Roman"/>
                <w:lang w:val="en-US" w:eastAsia="zh-CN"/>
              </w:rPr>
              <w:t>本项目租赁该项目区空余</w:t>
            </w:r>
            <w:r>
              <w:rPr>
                <w:rFonts w:hint="eastAsia" w:eastAsia="宋体" w:cs="Times New Roman"/>
                <w:lang w:val="en-US" w:eastAsia="zh-CN"/>
              </w:rPr>
              <w:t>生产车间</w:t>
            </w:r>
            <w:r>
              <w:rPr>
                <w:rFonts w:hint="eastAsia" w:cs="Times New Roman"/>
                <w:lang w:val="en-US" w:eastAsia="zh-CN"/>
              </w:rPr>
              <w:t>、</w:t>
            </w:r>
            <w:r>
              <w:rPr>
                <w:rFonts w:hint="eastAsia" w:ascii="Times New Roman" w:hAnsi="Times New Roman" w:eastAsia="宋体" w:cs="Times New Roman"/>
                <w:lang w:val="en-US" w:eastAsia="zh-CN"/>
              </w:rPr>
              <w:t>办公生活楼</w:t>
            </w:r>
            <w:r>
              <w:rPr>
                <w:rFonts w:hint="eastAsia" w:cs="Times New Roman"/>
                <w:lang w:val="en-US" w:eastAsia="zh-CN"/>
              </w:rPr>
              <w:t>以及门卫室</w:t>
            </w:r>
            <w:r>
              <w:rPr>
                <w:rFonts w:hint="eastAsia" w:ascii="Times New Roman" w:hAnsi="Times New Roman" w:eastAsia="宋体" w:cs="Times New Roman"/>
                <w:lang w:val="en-US" w:eastAsia="zh-CN"/>
              </w:rPr>
              <w:t>。因此进行依托可行性分析。</w:t>
            </w:r>
          </w:p>
          <w:p>
            <w:pPr>
              <w:numPr>
                <w:ilvl w:val="0"/>
                <w:numId w:val="5"/>
              </w:numPr>
              <w:overflow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000000"/>
                <w:kern w:val="2"/>
                <w:lang w:val="en-US" w:eastAsia="zh-Hans"/>
              </w:rPr>
            </w:pPr>
            <w:r>
              <w:rPr>
                <w:rFonts w:hint="eastAsia" w:ascii="Times New Roman" w:hAnsi="Times New Roman" w:eastAsia="宋体" w:cs="Times New Roman"/>
                <w:color w:val="000000"/>
                <w:kern w:val="2"/>
                <w:highlight w:val="none"/>
                <w:lang w:val="en-US" w:eastAsia="zh-CN"/>
              </w:rPr>
              <w:t>用地</w:t>
            </w:r>
            <w:r>
              <w:rPr>
                <w:rFonts w:hint="eastAsia" w:ascii="Times New Roman" w:hAnsi="Times New Roman" w:eastAsia="宋体" w:cs="Times New Roman"/>
                <w:color w:val="000000"/>
                <w:kern w:val="2"/>
                <w:lang w:val="en-US" w:eastAsia="zh-CN"/>
              </w:rPr>
              <w:t xml:space="preserve">依托可行性  </w:t>
            </w:r>
          </w:p>
          <w:p>
            <w:pPr>
              <w:overflowPunct w:val="0"/>
              <w:autoSpaceDE w:val="0"/>
              <w:autoSpaceDN w:val="0"/>
              <w:bidi w:val="0"/>
              <w:adjustRightInd w:val="0"/>
              <w:snapToGrid w:val="0"/>
              <w:spacing w:line="360" w:lineRule="auto"/>
              <w:ind w:firstLine="480" w:firstLineChars="200"/>
              <w:rPr>
                <w:rFonts w:hint="eastAsia" w:ascii="Times New Roman" w:hAnsi="Times New Roman" w:eastAsia="宋体" w:cs="Times New Roman"/>
                <w:color w:val="000000"/>
                <w:kern w:val="2"/>
                <w:highlight w:val="yellow"/>
                <w:lang w:val="en-US" w:eastAsia="zh-CN"/>
              </w:rPr>
            </w:pPr>
            <w:r>
              <w:rPr>
                <w:rFonts w:hint="eastAsia" w:ascii="Times New Roman" w:hAnsi="Times New Roman" w:eastAsia="宋体" w:cs="Times New Roman"/>
                <w:lang w:val="en-US" w:eastAsia="zh-CN"/>
              </w:rPr>
              <w:t>新疆伟康高科管业有限公司</w:t>
            </w:r>
            <w:r>
              <w:rPr>
                <w:rFonts w:hint="default" w:ascii="Times New Roman" w:hAnsi="Times New Roman" w:eastAsia="宋体" w:cs="Times New Roman"/>
                <w:lang w:val="en-US" w:eastAsia="zh-CN"/>
              </w:rPr>
              <w:t>占地面积</w:t>
            </w:r>
            <w:r>
              <w:rPr>
                <w:rFonts w:hint="eastAsia" w:cs="Times New Roman"/>
                <w:sz w:val="24"/>
                <w:szCs w:val="24"/>
                <w:lang w:val="en-US" w:eastAsia="zh-CN" w:bidi="ar-SA"/>
              </w:rPr>
              <w:t>13214</w:t>
            </w: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vertAlign w:val="baseline"/>
                <w:lang w:val="en-US" w:eastAsia="zh-CN"/>
              </w:rPr>
              <w:t>，为工业用地，</w:t>
            </w:r>
            <w:r>
              <w:rPr>
                <w:rFonts w:hint="eastAsia" w:cs="Times New Roman"/>
                <w:highlight w:val="none"/>
                <w:vertAlign w:val="baseline"/>
                <w:lang w:val="en-US" w:eastAsia="zh-CN"/>
              </w:rPr>
              <w:t>2020</w:t>
            </w:r>
            <w:r>
              <w:rPr>
                <w:rFonts w:hint="eastAsia" w:cs="Times New Roman"/>
                <w:vertAlign w:val="baseline"/>
                <w:lang w:val="en-US" w:eastAsia="zh-CN"/>
              </w:rPr>
              <w:t>年建成</w:t>
            </w:r>
            <w:r>
              <w:rPr>
                <w:rFonts w:hint="eastAsia" w:ascii="Times New Roman" w:hAnsi="Times New Roman" w:eastAsia="宋体" w:cs="Times New Roman"/>
                <w:color w:val="000000"/>
                <w:kern w:val="2"/>
                <w:highlight w:val="none"/>
                <w:lang w:val="en-US" w:eastAsia="zh-CN"/>
              </w:rPr>
              <w:t>车间</w:t>
            </w:r>
            <w:r>
              <w:rPr>
                <w:rFonts w:hint="eastAsia" w:ascii="Times New Roman" w:hAnsi="Times New Roman" w:eastAsia="宋体" w:cs="Times New Roman"/>
                <w:highlight w:val="none"/>
                <w:vertAlign w:val="baseline"/>
                <w:lang w:val="en-US" w:eastAsia="zh-CN"/>
              </w:rPr>
              <w:t>（</w:t>
            </w:r>
            <w:r>
              <w:rPr>
                <w:rFonts w:hint="eastAsia" w:cs="Times New Roman"/>
                <w:highlight w:val="none"/>
                <w:vertAlign w:val="baseline"/>
                <w:lang w:val="en-US" w:eastAsia="zh-CN"/>
              </w:rPr>
              <w:t>占地面积5600</w:t>
            </w:r>
            <w:r>
              <w:rPr>
                <w:rFonts w:hint="eastAsia" w:cs="Times New Roman"/>
                <w:vertAlign w:val="baseline"/>
                <w:lang w:val="en-US" w:eastAsia="zh-CN"/>
              </w:rPr>
              <w:t>m</w:t>
            </w:r>
            <w:r>
              <w:rPr>
                <w:rFonts w:hint="eastAsia" w:cs="Times New Roman"/>
                <w:vertAlign w:val="superscript"/>
                <w:lang w:val="en-US" w:eastAsia="zh-CN"/>
              </w:rPr>
              <w:t>2</w:t>
            </w:r>
            <w:r>
              <w:rPr>
                <w:rFonts w:hint="eastAsia" w:ascii="Times New Roman" w:hAnsi="Times New Roman" w:eastAsia="宋体" w:cs="Times New Roman"/>
                <w:highlight w:val="none"/>
                <w:vertAlign w:val="baseline"/>
                <w:lang w:val="en-US" w:eastAsia="zh-CN"/>
              </w:rPr>
              <w:t>），</w:t>
            </w:r>
            <w:r>
              <w:rPr>
                <w:rFonts w:hint="eastAsia" w:ascii="Times New Roman" w:hAnsi="Times New Roman" w:eastAsia="宋体" w:cs="Times New Roman"/>
                <w:color w:val="000000"/>
                <w:kern w:val="2"/>
                <w:highlight w:val="none"/>
                <w:lang w:val="en-US" w:eastAsia="zh-CN"/>
              </w:rPr>
              <w:t>本项目租赁生产车间，现有生产车间余量充足</w:t>
            </w:r>
            <w:r>
              <w:rPr>
                <w:rFonts w:hint="eastAsia" w:cs="Times New Roman"/>
                <w:color w:val="000000"/>
                <w:kern w:val="2"/>
                <w:highlight w:val="none"/>
                <w:lang w:val="en-US" w:eastAsia="zh-CN"/>
              </w:rPr>
              <w:t>，目前厂界内空地地面均已由</w:t>
            </w:r>
            <w:r>
              <w:rPr>
                <w:rFonts w:hint="eastAsia" w:ascii="Times New Roman" w:hAnsi="Times New Roman" w:eastAsia="宋体" w:cs="Times New Roman"/>
                <w:lang w:val="en-US" w:eastAsia="zh-CN"/>
              </w:rPr>
              <w:t>新疆伟康高科管业有限公司</w:t>
            </w:r>
            <w:r>
              <w:rPr>
                <w:rFonts w:hint="eastAsia" w:ascii="Times New Roman" w:hAnsi="Times New Roman" w:cs="Times New Roman"/>
                <w:lang w:val="en-US" w:eastAsia="zh-CN"/>
              </w:rPr>
              <w:t>进行硬化处理</w:t>
            </w:r>
            <w:r>
              <w:rPr>
                <w:rFonts w:hint="eastAsia" w:cs="Times New Roman"/>
                <w:color w:val="000000"/>
                <w:kern w:val="2"/>
                <w:highlight w:val="none"/>
                <w:lang w:val="en-US" w:eastAsia="zh-CN"/>
              </w:rPr>
              <w:t>，因此</w:t>
            </w:r>
            <w:r>
              <w:rPr>
                <w:rFonts w:hint="eastAsia" w:ascii="Times New Roman" w:hAnsi="Times New Roman" w:eastAsia="宋体" w:cs="Times New Roman"/>
                <w:color w:val="000000"/>
                <w:kern w:val="2"/>
                <w:highlight w:val="none"/>
                <w:lang w:val="en-US" w:eastAsia="zh-CN"/>
              </w:rPr>
              <w:t>用地可行。</w:t>
            </w:r>
          </w:p>
          <w:p>
            <w:pPr>
              <w:overflowPunct w:val="0"/>
              <w:autoSpaceDE w:val="0"/>
              <w:autoSpaceDN w:val="0"/>
              <w:bidi w:val="0"/>
              <w:adjustRightInd w:val="0"/>
              <w:snapToGrid w:val="0"/>
              <w:spacing w:line="360" w:lineRule="auto"/>
              <w:ind w:firstLine="480" w:firstLineChars="200"/>
              <w:rPr>
                <w:rFonts w:hint="eastAsia" w:ascii="Times New Roman" w:hAnsi="Times New Roman" w:eastAsia="宋体" w:cs="宋体"/>
                <w:lang w:val="en-US" w:eastAsia="zh-CN"/>
              </w:rPr>
            </w:pPr>
            <w:r>
              <w:rPr>
                <w:rFonts w:hint="eastAsia" w:ascii="Times New Roman" w:hAnsi="Times New Roman" w:eastAsia="宋体" w:cs="Times New Roman"/>
                <w:color w:val="000000"/>
                <w:kern w:val="2"/>
                <w:lang w:val="en-US" w:eastAsia="zh-CN"/>
              </w:rPr>
              <w:t>（2）</w:t>
            </w:r>
            <w:r>
              <w:rPr>
                <w:rFonts w:hint="eastAsia" w:ascii="Times New Roman" w:hAnsi="Times New Roman" w:eastAsia="宋体" w:cs="Times New Roman"/>
                <w:color w:val="000000"/>
                <w:kern w:val="2"/>
                <w:highlight w:val="none"/>
                <w:lang w:val="en-US" w:eastAsia="zh-CN"/>
              </w:rPr>
              <w:t>生产车间</w:t>
            </w:r>
            <w:r>
              <w:rPr>
                <w:rFonts w:hint="eastAsia" w:ascii="Times New Roman" w:hAnsi="Times New Roman" w:eastAsia="宋体" w:cs="Times New Roman"/>
                <w:color w:val="000000"/>
                <w:kern w:val="2"/>
                <w:lang w:val="en-US" w:eastAsia="zh-CN"/>
              </w:rPr>
              <w:t>依托可行性</w:t>
            </w:r>
          </w:p>
          <w:p>
            <w:pPr>
              <w:overflowPunct w:val="0"/>
              <w:autoSpaceDE w:val="0"/>
              <w:autoSpaceDN w:val="0"/>
              <w:bidi w:val="0"/>
              <w:adjustRightInd w:val="0"/>
              <w:snapToGrid w:val="0"/>
              <w:spacing w:line="360" w:lineRule="auto"/>
              <w:ind w:firstLine="480" w:firstLineChars="200"/>
              <w:rPr>
                <w:rFonts w:hint="eastAsia" w:ascii="Times New Roman" w:hAnsi="Times New Roman" w:eastAsia="宋体" w:cs="Times New Roman"/>
                <w:color w:val="000000"/>
                <w:kern w:val="2"/>
                <w:lang w:val="en-US" w:eastAsia="zh-CN"/>
              </w:rPr>
            </w:pPr>
            <w:r>
              <w:rPr>
                <w:rFonts w:hint="eastAsia" w:ascii="Times New Roman" w:hAnsi="Times New Roman" w:eastAsia="宋体" w:cs="Times New Roman"/>
                <w:color w:val="000000"/>
                <w:kern w:val="2"/>
                <w:lang w:val="en-US" w:eastAsia="zh-Hans"/>
              </w:rPr>
              <w:t>本项目租赁</w:t>
            </w:r>
            <w:r>
              <w:rPr>
                <w:rFonts w:hint="eastAsia" w:ascii="Times New Roman" w:hAnsi="Times New Roman" w:eastAsia="宋体" w:cs="Times New Roman"/>
                <w:lang w:val="en-US" w:eastAsia="zh-CN"/>
              </w:rPr>
              <w:t>新疆伟康高科管业有限公司</w:t>
            </w:r>
            <w:r>
              <w:rPr>
                <w:rFonts w:hint="eastAsia" w:ascii="Times New Roman" w:hAnsi="Times New Roman" w:eastAsia="宋体" w:cs="Times New Roman"/>
                <w:color w:val="000000"/>
                <w:kern w:val="2"/>
                <w:highlight w:val="none"/>
                <w:lang w:val="en-US" w:eastAsia="zh-CN"/>
              </w:rPr>
              <w:t>生产车间</w:t>
            </w:r>
            <w:r>
              <w:rPr>
                <w:rFonts w:hint="eastAsia" w:ascii="Times New Roman" w:hAnsi="Times New Roman" w:eastAsia="宋体" w:cs="Times New Roman"/>
                <w:color w:val="000000"/>
                <w:kern w:val="2"/>
                <w:lang w:val="en-US" w:eastAsia="zh-CN"/>
              </w:rPr>
              <w:t>，占地面积为</w:t>
            </w:r>
            <w:r>
              <w:rPr>
                <w:rFonts w:hint="eastAsia" w:cs="Times New Roman"/>
                <w:color w:val="000000"/>
                <w:kern w:val="2"/>
                <w:lang w:val="en-US" w:eastAsia="zh-CN"/>
              </w:rPr>
              <w:t>5600</w:t>
            </w:r>
            <w:r>
              <w:rPr>
                <w:rFonts w:hint="eastAsia" w:ascii="Times New Roman" w:hAnsi="Times New Roman" w:eastAsia="宋体" w:cs="Times New Roman"/>
                <w:color w:val="000000"/>
                <w:kern w:val="2"/>
                <w:lang w:val="en-US" w:eastAsia="zh-CN"/>
              </w:rPr>
              <w:t>m</w:t>
            </w:r>
            <w:r>
              <w:rPr>
                <w:rFonts w:hint="eastAsia" w:ascii="Times New Roman" w:hAnsi="Times New Roman" w:eastAsia="宋体" w:cs="Times New Roman"/>
                <w:color w:val="000000"/>
                <w:kern w:val="2"/>
                <w:vertAlign w:val="superscript"/>
                <w:lang w:val="en-US" w:eastAsia="zh-CN"/>
              </w:rPr>
              <w:t>2</w:t>
            </w:r>
            <w:r>
              <w:rPr>
                <w:rFonts w:hint="eastAsia" w:ascii="Times New Roman" w:hAnsi="Times New Roman" w:eastAsia="宋体" w:cs="Times New Roman"/>
                <w:color w:val="000000"/>
                <w:kern w:val="2"/>
                <w:lang w:val="en-US" w:eastAsia="zh-CN"/>
              </w:rPr>
              <w:t>。车间地面按照《环境影响评价技术导则 地下水环境》（HJ610-2016）一般防渗区要求进行建设。采用厚度Mb=1.5m，渗透系数K≤10</w:t>
            </w:r>
            <w:r>
              <w:rPr>
                <w:rFonts w:hint="eastAsia" w:ascii="Times New Roman" w:hAnsi="Times New Roman" w:eastAsia="宋体" w:cs="Times New Roman"/>
                <w:color w:val="000000"/>
                <w:kern w:val="2"/>
                <w:vertAlign w:val="superscript"/>
                <w:lang w:val="en-US" w:eastAsia="zh-CN"/>
              </w:rPr>
              <w:t>-7</w:t>
            </w:r>
            <w:r>
              <w:rPr>
                <w:rFonts w:hint="eastAsia" w:ascii="Times New Roman" w:hAnsi="Times New Roman" w:eastAsia="宋体" w:cs="Times New Roman"/>
                <w:color w:val="000000"/>
                <w:kern w:val="2"/>
                <w:lang w:val="en-US" w:eastAsia="zh-CN"/>
              </w:rPr>
              <w:t>cm/s防渗等效的20cm厚P4等级混凝土进行防渗。已建</w:t>
            </w:r>
            <w:r>
              <w:rPr>
                <w:rFonts w:hint="eastAsia" w:ascii="Times New Roman" w:hAnsi="Times New Roman" w:eastAsia="宋体" w:cs="Times New Roman"/>
                <w:color w:val="000000"/>
                <w:kern w:val="2"/>
                <w:highlight w:val="none"/>
                <w:lang w:val="en-US" w:eastAsia="zh-CN"/>
              </w:rPr>
              <w:t>车间</w:t>
            </w:r>
            <w:r>
              <w:rPr>
                <w:rFonts w:hint="eastAsia" w:ascii="Times New Roman" w:hAnsi="Times New Roman" w:eastAsia="宋体" w:cs="Times New Roman"/>
                <w:color w:val="000000"/>
                <w:kern w:val="2"/>
                <w:lang w:val="en-US" w:eastAsia="zh-CN"/>
              </w:rPr>
              <w:t>的防渗措施满足本项目所需防渗等级要求。</w:t>
            </w:r>
          </w:p>
          <w:p>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kern w:val="2"/>
                <w:lang w:val="en-US" w:eastAsia="zh-CN"/>
              </w:rPr>
            </w:pPr>
            <w:r>
              <w:rPr>
                <w:rFonts w:hint="eastAsia" w:ascii="Times New Roman" w:hAnsi="Times New Roman" w:eastAsia="宋体" w:cs="Times New Roman"/>
                <w:color w:val="000000"/>
                <w:kern w:val="2"/>
                <w:lang w:val="en-US" w:eastAsia="zh-CN"/>
              </w:rPr>
              <w:t>车间内部电网、供水均已布设完成，可以满足本项目供电、供水需求。因此，生产车间建设可满足本项目主体工程建设需求。租赁生产车间合理可行。新疆伟康高科管业有限公司</w:t>
            </w:r>
            <w:r>
              <w:rPr>
                <w:rFonts w:hint="eastAsia" w:ascii="Times New Roman" w:hAnsi="Times New Roman" w:eastAsia="宋体" w:cs="Times New Roman"/>
                <w:color w:val="000000"/>
                <w:kern w:val="2"/>
                <w:highlight w:val="none"/>
                <w:lang w:val="en-US" w:eastAsia="zh-CN"/>
              </w:rPr>
              <w:t>生产车间</w:t>
            </w:r>
            <w:r>
              <w:rPr>
                <w:rFonts w:hint="eastAsia" w:ascii="Times New Roman" w:eastAsia="宋体"/>
                <w:lang w:val="en-US" w:eastAsia="zh-CN"/>
              </w:rPr>
              <w:t>此前一直处于空置状态，不存在与本项目有关的原有污染情况与主要环境问题。建议在本项目建成后对生产车间、办公生活</w:t>
            </w:r>
            <w:r>
              <w:rPr>
                <w:rFonts w:hint="eastAsia"/>
                <w:lang w:val="en-US" w:eastAsia="zh-CN"/>
              </w:rPr>
              <w:t>楼</w:t>
            </w:r>
            <w:r>
              <w:rPr>
                <w:rFonts w:hint="eastAsia" w:ascii="Times New Roman" w:eastAsia="宋体"/>
                <w:lang w:val="en-US" w:eastAsia="zh-CN"/>
              </w:rPr>
              <w:t>等依托工程的一起进行验收。</w:t>
            </w:r>
          </w:p>
          <w:p>
            <w:pPr>
              <w:overflowPunct w:val="0"/>
              <w:autoSpaceDE w:val="0"/>
              <w:autoSpaceDN w:val="0"/>
              <w:bidi w:val="0"/>
              <w:adjustRightInd w:val="0"/>
              <w:snapToGrid w:val="0"/>
              <w:spacing w:line="360" w:lineRule="auto"/>
              <w:ind w:firstLine="480" w:firstLineChars="200"/>
              <w:rPr>
                <w:rFonts w:hint="eastAsia" w:ascii="Times New Roman" w:hAnsi="Times New Roman" w:eastAsia="宋体" w:cs="Times New Roman"/>
                <w:color w:val="000000"/>
                <w:kern w:val="2"/>
                <w:lang w:val="en-US" w:eastAsia="zh-Hans"/>
              </w:rPr>
            </w:pPr>
            <w:r>
              <w:rPr>
                <w:rFonts w:hint="eastAsia" w:ascii="Times New Roman" w:hAnsi="Times New Roman" w:eastAsia="宋体" w:cs="Times New Roman"/>
                <w:color w:val="000000"/>
                <w:kern w:val="2"/>
                <w:lang w:val="en-US" w:eastAsia="zh-CN"/>
              </w:rPr>
              <w:t>（3）办公生活</w:t>
            </w:r>
            <w:r>
              <w:rPr>
                <w:rFonts w:hint="eastAsia"/>
                <w:lang w:val="en-US" w:eastAsia="zh-CN"/>
              </w:rPr>
              <w:t>楼</w:t>
            </w:r>
            <w:r>
              <w:rPr>
                <w:rFonts w:hint="eastAsia" w:ascii="Times New Roman" w:hAnsi="Times New Roman" w:eastAsia="宋体" w:cs="Times New Roman"/>
                <w:color w:val="000000"/>
                <w:kern w:val="2"/>
                <w:lang w:val="en-US" w:eastAsia="zh-Hans"/>
              </w:rPr>
              <w:t>依托可行性</w:t>
            </w:r>
          </w:p>
          <w:p>
            <w:pPr>
              <w:overflowPunct w:val="0"/>
              <w:autoSpaceDE w:val="0"/>
              <w:autoSpaceDN w:val="0"/>
              <w:bidi w:val="0"/>
              <w:adjustRightInd w:val="0"/>
              <w:snapToGrid w:val="0"/>
              <w:spacing w:line="360" w:lineRule="auto"/>
              <w:ind w:firstLine="480" w:firstLineChars="200"/>
              <w:rPr>
                <w:rFonts w:hint="eastAsia" w:ascii="Times New Roman" w:hAnsi="Times New Roman" w:eastAsia="宋体" w:cs="宋体"/>
                <w:highlight w:val="none"/>
                <w:lang w:val="en-US" w:eastAsia="zh-CN"/>
              </w:rPr>
            </w:pPr>
            <w:r>
              <w:rPr>
                <w:rFonts w:hint="eastAsia" w:cs="Times New Roman"/>
                <w:color w:val="000000"/>
                <w:kern w:val="2"/>
                <w:highlight w:val="none"/>
                <w:lang w:val="en-US" w:eastAsia="zh-CN"/>
              </w:rPr>
              <w:t>本项目租用新疆伟康高科管业有限公司办公楼（5层，占地面积612m</w:t>
            </w:r>
            <w:r>
              <w:rPr>
                <w:rFonts w:hint="eastAsia" w:cs="Times New Roman"/>
                <w:color w:val="000000"/>
                <w:kern w:val="2"/>
                <w:highlight w:val="none"/>
                <w:vertAlign w:val="superscript"/>
                <w:lang w:val="en-US" w:eastAsia="zh-CN"/>
              </w:rPr>
              <w:t>2</w:t>
            </w:r>
            <w:r>
              <w:rPr>
                <w:rFonts w:hint="eastAsia" w:cs="Times New Roman"/>
                <w:color w:val="000000"/>
                <w:kern w:val="2"/>
                <w:highlight w:val="none"/>
                <w:lang w:val="en-US" w:eastAsia="zh-CN"/>
              </w:rPr>
              <w:t>）</w:t>
            </w:r>
            <w:r>
              <w:rPr>
                <w:rFonts w:hint="eastAsia" w:ascii="Times New Roman" w:hAnsi="Times New Roman" w:eastAsia="宋体" w:cs="Times New Roman"/>
                <w:color w:val="000000"/>
                <w:kern w:val="2"/>
                <w:highlight w:val="none"/>
                <w:lang w:val="en-US" w:eastAsia="zh-CN"/>
              </w:rPr>
              <w:t>，</w:t>
            </w:r>
            <w:r>
              <w:rPr>
                <w:rFonts w:hint="eastAsia" w:ascii="Times New Roman" w:hAnsi="Times New Roman" w:eastAsia="宋体" w:cs="Times New Roman"/>
                <w:color w:val="000000"/>
                <w:kern w:val="2"/>
                <w:lang w:val="en-US" w:eastAsia="zh-CN"/>
              </w:rPr>
              <w:t>地面均做硬化处理，铺设电网以及供、排水管网</w:t>
            </w:r>
            <w:r>
              <w:rPr>
                <w:rFonts w:hint="eastAsia" w:cs="Times New Roman"/>
                <w:color w:val="000000"/>
                <w:kern w:val="2"/>
                <w:lang w:val="en-US" w:eastAsia="zh-CN"/>
              </w:rPr>
              <w:t>与园区管网</w:t>
            </w:r>
            <w:r>
              <w:rPr>
                <w:rFonts w:hint="eastAsia" w:ascii="Times New Roman" w:hAnsi="Times New Roman" w:eastAsia="宋体" w:cs="Times New Roman"/>
                <w:color w:val="000000"/>
                <w:kern w:val="2"/>
                <w:lang w:val="en-US" w:eastAsia="zh-CN"/>
              </w:rPr>
              <w:t>相连接</w:t>
            </w:r>
            <w:r>
              <w:rPr>
                <w:rFonts w:hint="eastAsia" w:cs="Times New Roman"/>
                <w:color w:val="000000"/>
                <w:kern w:val="2"/>
                <w:lang w:val="en-US" w:eastAsia="zh-CN"/>
              </w:rPr>
              <w:t>，生活污水排入园区管网后最终由</w:t>
            </w:r>
            <w:r>
              <w:rPr>
                <w:rFonts w:hint="eastAsia" w:cs="Times New Roman"/>
                <w:color w:val="000000"/>
                <w:kern w:val="2"/>
                <w:highlight w:val="none"/>
                <w:lang w:val="en-US" w:eastAsia="zh-CN"/>
              </w:rPr>
              <w:t>污水处理厂</w:t>
            </w:r>
            <w:r>
              <w:rPr>
                <w:rFonts w:hint="eastAsia" w:cs="Times New Roman"/>
                <w:color w:val="000000"/>
                <w:kern w:val="2"/>
                <w:lang w:val="en-US" w:eastAsia="zh-CN"/>
              </w:rPr>
              <w:t>处理</w:t>
            </w:r>
            <w:r>
              <w:rPr>
                <w:rFonts w:hint="eastAsia" w:ascii="Times New Roman" w:hAnsi="Times New Roman" w:eastAsia="宋体" w:cs="Times New Roman"/>
                <w:color w:val="000000"/>
                <w:kern w:val="2"/>
                <w:lang w:val="en-US" w:eastAsia="zh-CN"/>
              </w:rPr>
              <w:t>。</w:t>
            </w:r>
            <w:r>
              <w:rPr>
                <w:rFonts w:hint="eastAsia" w:cs="Times New Roman"/>
                <w:color w:val="000000"/>
                <w:kern w:val="2"/>
                <w:highlight w:val="none"/>
                <w:lang w:val="en-US" w:eastAsia="zh-CN"/>
              </w:rPr>
              <w:t>本项目</w:t>
            </w:r>
            <w:r>
              <w:rPr>
                <w:rFonts w:hint="eastAsia" w:ascii="Times New Roman" w:hAnsi="Times New Roman" w:eastAsia="宋体" w:cs="Times New Roman"/>
                <w:color w:val="000000"/>
                <w:kern w:val="2"/>
                <w:highlight w:val="none"/>
                <w:lang w:val="en-US" w:eastAsia="zh-CN"/>
              </w:rPr>
              <w:t>新增员工</w:t>
            </w:r>
            <w:r>
              <w:rPr>
                <w:rFonts w:hint="eastAsia" w:cs="Times New Roman"/>
                <w:color w:val="000000"/>
                <w:kern w:val="2"/>
                <w:highlight w:val="none"/>
                <w:lang w:val="en-US" w:eastAsia="zh-CN"/>
              </w:rPr>
              <w:t>20</w:t>
            </w:r>
            <w:r>
              <w:rPr>
                <w:rFonts w:hint="eastAsia" w:ascii="Times New Roman" w:hAnsi="Times New Roman" w:eastAsia="宋体" w:cs="Times New Roman"/>
                <w:color w:val="000000"/>
                <w:kern w:val="2"/>
                <w:highlight w:val="none"/>
                <w:lang w:val="en-US" w:eastAsia="zh-CN"/>
              </w:rPr>
              <w:t>人，</w:t>
            </w:r>
            <w:r>
              <w:rPr>
                <w:rFonts w:hint="eastAsia" w:cs="Times New Roman"/>
                <w:color w:val="000000"/>
                <w:kern w:val="2"/>
                <w:highlight w:val="none"/>
                <w:lang w:val="en-US" w:eastAsia="zh-CN"/>
              </w:rPr>
              <w:t>办公楼</w:t>
            </w:r>
            <w:r>
              <w:rPr>
                <w:rFonts w:hint="eastAsia" w:ascii="Times New Roman" w:hAnsi="Times New Roman" w:eastAsia="宋体" w:cs="Times New Roman"/>
                <w:color w:val="000000"/>
                <w:kern w:val="2"/>
                <w:highlight w:val="none"/>
                <w:lang w:val="en-US" w:eastAsia="zh-CN"/>
              </w:rPr>
              <w:t>有充分余量共本项目使用，因此本项目办公生活</w:t>
            </w:r>
            <w:r>
              <w:rPr>
                <w:rFonts w:hint="eastAsia"/>
                <w:lang w:val="en-US" w:eastAsia="zh-CN"/>
              </w:rPr>
              <w:t>楼</w:t>
            </w:r>
            <w:r>
              <w:rPr>
                <w:rFonts w:hint="eastAsia" w:ascii="Times New Roman" w:hAnsi="Times New Roman" w:eastAsia="宋体" w:cs="Times New Roman"/>
                <w:color w:val="000000"/>
                <w:kern w:val="2"/>
                <w:highlight w:val="none"/>
                <w:lang w:val="en-US" w:eastAsia="zh-CN"/>
              </w:rPr>
              <w:t>依托可行。</w:t>
            </w:r>
          </w:p>
          <w:p>
            <w:pPr>
              <w:overflowPunct w:val="0"/>
              <w:autoSpaceDE w:val="0"/>
              <w:autoSpaceDN w:val="0"/>
              <w:bidi w:val="0"/>
              <w:adjustRightInd w:val="0"/>
              <w:snapToGrid w:val="0"/>
              <w:spacing w:line="360" w:lineRule="auto"/>
              <w:ind w:firstLine="480" w:firstLineChars="200"/>
              <w:rPr>
                <w:rFonts w:hint="eastAsia" w:ascii="Times New Roman" w:hAnsi="Times New Roman" w:eastAsia="宋体" w:cs="Times New Roman"/>
                <w:color w:val="000000"/>
                <w:kern w:val="2"/>
                <w:highlight w:val="none"/>
                <w:lang w:val="en-US" w:eastAsia="zh-CN"/>
              </w:rPr>
            </w:pPr>
            <w:r>
              <w:rPr>
                <w:rFonts w:hint="eastAsia" w:cs="Times New Roman"/>
                <w:color w:val="000000"/>
                <w:kern w:val="2"/>
                <w:highlight w:val="none"/>
                <w:lang w:val="en-US" w:eastAsia="zh-CN"/>
              </w:rPr>
              <w:t>（4）</w:t>
            </w:r>
            <w:r>
              <w:rPr>
                <w:rFonts w:hint="eastAsia" w:ascii="Times New Roman" w:hAnsi="Times New Roman" w:eastAsia="宋体" w:cs="Times New Roman"/>
                <w:color w:val="000000"/>
                <w:kern w:val="2"/>
                <w:highlight w:val="none"/>
                <w:lang w:val="en-US" w:eastAsia="zh-CN"/>
              </w:rPr>
              <w:t>公用工程依托可行性分析</w:t>
            </w:r>
          </w:p>
          <w:p>
            <w:pPr>
              <w:widowControl w:val="0"/>
              <w:adjustRightInd w:val="0"/>
              <w:snapToGrid w:val="0"/>
              <w:spacing w:line="360" w:lineRule="auto"/>
              <w:ind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根据《苏通绿色产业园A区（小微创业园）控制性详细规划》，规划期限为2016-2030年。</w:t>
            </w:r>
          </w:p>
          <w:p>
            <w:pPr>
              <w:widowControl w:val="0"/>
              <w:adjustRightInd w:val="0"/>
              <w:snapToGrid w:val="0"/>
              <w:spacing w:line="360" w:lineRule="auto"/>
              <w:ind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1.道路交通依托可行性分析</w:t>
            </w:r>
          </w:p>
          <w:p>
            <w:pPr>
              <w:widowControl w:val="0"/>
              <w:adjustRightInd w:val="0"/>
              <w:snapToGrid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规划形成“五横五纵”的方格网道路骨架。规划道路分为城市道路、园区主干路、园区次干路和支路。城市道路：包括园区北部东西向规划道路以及中南部南一路，两条城市道路均西接南北一线，东至柳城路。规划道路红线为</w:t>
            </w:r>
            <w:r>
              <w:rPr>
                <w:rFonts w:ascii="Times New Roman" w:hAnsi="Times New Roman" w:eastAsia="宋体" w:cs="Times New Roman"/>
                <w:kern w:val="2"/>
                <w:sz w:val="24"/>
                <w:szCs w:val="24"/>
                <w:lang w:val="en-US" w:eastAsia="zh-CN" w:bidi="ar-SA"/>
              </w:rPr>
              <w:t>36</w:t>
            </w:r>
            <w:r>
              <w:rPr>
                <w:rFonts w:hint="eastAsia" w:ascii="Times New Roman" w:hAnsi="Times New Roman" w:eastAsia="宋体" w:cs="Times New Roman"/>
                <w:kern w:val="2"/>
                <w:sz w:val="24"/>
                <w:szCs w:val="24"/>
                <w:lang w:val="en-US" w:eastAsia="zh-CN" w:bidi="ar-SA"/>
              </w:rPr>
              <w:t>米，作为创业园主要对外交通通道。园区主干路：加强与两条城市道路南北向联系，同城市道路共同构架起园区主要路网结构，道路红线宽度为</w:t>
            </w:r>
            <w:r>
              <w:rPr>
                <w:rFonts w:ascii="Times New Roman" w:hAnsi="Times New Roman" w:eastAsia="宋体" w:cs="Times New Roman"/>
                <w:kern w:val="2"/>
                <w:sz w:val="24"/>
                <w:szCs w:val="24"/>
                <w:lang w:val="en-US" w:eastAsia="zh-CN" w:bidi="ar-SA"/>
              </w:rPr>
              <w:t>30</w:t>
            </w:r>
            <w:r>
              <w:rPr>
                <w:rFonts w:hint="eastAsia" w:ascii="Times New Roman" w:hAnsi="Times New Roman" w:eastAsia="宋体" w:cs="Times New Roman"/>
                <w:kern w:val="2"/>
                <w:sz w:val="24"/>
                <w:szCs w:val="24"/>
                <w:lang w:val="en-US" w:eastAsia="zh-CN" w:bidi="ar-SA"/>
              </w:rPr>
              <w:t>米。园区次干路：联系主要道路之间的辅助交通路线，与园区主干路构成园区道路交通网络，道路红线宽度为</w:t>
            </w:r>
            <w:r>
              <w:rPr>
                <w:rFonts w:ascii="Times New Roman" w:hAnsi="Times New Roman" w:eastAsia="宋体" w:cs="Times New Roman"/>
                <w:kern w:val="2"/>
                <w:sz w:val="24"/>
                <w:szCs w:val="24"/>
                <w:lang w:val="en-US" w:eastAsia="zh-CN" w:bidi="ar-SA"/>
              </w:rPr>
              <w:t>24</w:t>
            </w:r>
            <w:r>
              <w:rPr>
                <w:rFonts w:hint="eastAsia" w:ascii="Times New Roman" w:hAnsi="Times New Roman" w:eastAsia="宋体" w:cs="Times New Roman"/>
                <w:kern w:val="2"/>
                <w:sz w:val="24"/>
                <w:szCs w:val="24"/>
                <w:lang w:val="en-US" w:eastAsia="zh-CN" w:bidi="ar-SA"/>
              </w:rPr>
              <w:t>米。</w:t>
            </w:r>
          </w:p>
          <w:p>
            <w:pPr>
              <w:widowControl w:val="0"/>
              <w:adjustRightInd w:val="0"/>
              <w:snapToGrid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目前，园内的南一路、经一路、纬一路、经二路、经三路、经四路、纬二路、纬三路均已建成。本项目运输所需道路交通依托园区道路网线，目前园区道路交通满足需求。</w:t>
            </w:r>
          </w:p>
          <w:p>
            <w:pPr>
              <w:widowControl w:val="0"/>
              <w:adjustRightInd w:val="0"/>
              <w:snapToGrid w:val="0"/>
              <w:spacing w:line="360" w:lineRule="auto"/>
              <w:ind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供水</w:t>
            </w:r>
            <w:r>
              <w:rPr>
                <w:rFonts w:ascii="Times New Roman" w:hAnsi="Times New Roman" w:eastAsia="宋体" w:cs="Times New Roman"/>
                <w:kern w:val="2"/>
                <w:sz w:val="24"/>
                <w:szCs w:val="24"/>
                <w:lang w:val="en-US" w:eastAsia="zh-CN" w:bidi="ar-SA"/>
              </w:rPr>
              <w:t>工程</w:t>
            </w:r>
            <w:r>
              <w:rPr>
                <w:rFonts w:hint="eastAsia" w:ascii="Times New Roman" w:hAnsi="Times New Roman" w:eastAsia="宋体" w:cs="Times New Roman"/>
                <w:kern w:val="2"/>
                <w:sz w:val="24"/>
                <w:szCs w:val="24"/>
                <w:lang w:val="en-US" w:eastAsia="zh-CN" w:bidi="ar-SA"/>
              </w:rPr>
              <w:t>依托可行性分析</w:t>
            </w:r>
          </w:p>
          <w:p>
            <w:pPr>
              <w:widowControl w:val="0"/>
              <w:adjustRightInd w:val="0"/>
              <w:snapToGrid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水源：</w:t>
            </w:r>
            <w:r>
              <w:rPr>
                <w:rFonts w:ascii="Times New Roman" w:hAnsi="Times New Roman" w:eastAsia="宋体" w:cs="Times New Roman"/>
                <w:kern w:val="2"/>
                <w:sz w:val="24"/>
                <w:szCs w:val="24"/>
                <w:lang w:val="en-US" w:eastAsia="zh-CN" w:bidi="ar-SA"/>
              </w:rPr>
              <w:t>园区规划水源为中泰化学厂净水厂供应</w:t>
            </w:r>
            <w:r>
              <w:rPr>
                <w:rFonts w:hint="eastAsia" w:ascii="Times New Roman" w:hAnsi="Times New Roman" w:eastAsia="宋体" w:cs="Times New Roman"/>
                <w:kern w:val="2"/>
                <w:sz w:val="24"/>
                <w:szCs w:val="24"/>
                <w:lang w:val="en-US" w:eastAsia="zh-CN" w:bidi="ar-SA"/>
              </w:rPr>
              <w:t>（水源为水库水）</w:t>
            </w:r>
            <w:r>
              <w:rPr>
                <w:rFonts w:ascii="Times New Roman" w:hAnsi="Times New Roman" w:eastAsia="宋体" w:cs="Times New Roman"/>
                <w:kern w:val="2"/>
                <w:sz w:val="24"/>
                <w:szCs w:val="24"/>
                <w:lang w:val="en-US" w:eastAsia="zh-CN" w:bidi="ar-SA"/>
              </w:rPr>
              <w:t>，由规划区西侧约2km处的已建DN1100引水管道输水。</w:t>
            </w:r>
          </w:p>
          <w:p>
            <w:pPr>
              <w:widowControl w:val="0"/>
              <w:adjustRightInd w:val="0"/>
              <w:snapToGrid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给水管网布局：规划区西侧约2km处已建两条DN1100引水管道，南一路已建DN400供水管道两条。规划区内供水管道环状布置。采用生活与消防合用一个供水系统，供水管道布置在道路的北侧及西侧。</w:t>
            </w:r>
            <w:r>
              <w:rPr>
                <w:rFonts w:hint="eastAsia" w:ascii="Times New Roman" w:hAnsi="Times New Roman" w:eastAsia="宋体" w:cs="Times New Roman"/>
                <w:kern w:val="2"/>
                <w:sz w:val="24"/>
                <w:szCs w:val="24"/>
                <w:lang w:val="en-US" w:eastAsia="zh-CN" w:bidi="ar-SA"/>
              </w:rPr>
              <w:t>本项目生产生活用水均由园区供水管网提供，园区目前供水管网可满足需求。</w:t>
            </w:r>
          </w:p>
          <w:p>
            <w:pPr>
              <w:widowControl w:val="0"/>
              <w:adjustRightInd w:val="0"/>
              <w:snapToGrid w:val="0"/>
              <w:spacing w:line="360" w:lineRule="auto"/>
              <w:ind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3.排</w:t>
            </w:r>
            <w:r>
              <w:rPr>
                <w:rFonts w:ascii="Times New Roman" w:hAnsi="Times New Roman" w:eastAsia="宋体" w:cs="Times New Roman"/>
                <w:kern w:val="2"/>
                <w:sz w:val="24"/>
                <w:szCs w:val="24"/>
                <w:lang w:val="en-US" w:eastAsia="zh-CN" w:bidi="ar-SA"/>
              </w:rPr>
              <w:t>水工程</w:t>
            </w:r>
            <w:r>
              <w:rPr>
                <w:rFonts w:hint="eastAsia" w:ascii="Times New Roman" w:hAnsi="Times New Roman" w:eastAsia="宋体" w:cs="Times New Roman"/>
                <w:kern w:val="2"/>
                <w:sz w:val="24"/>
                <w:szCs w:val="24"/>
                <w:lang w:val="en-US" w:eastAsia="zh-CN" w:bidi="ar-SA"/>
              </w:rPr>
              <w:t>依托可行性分析</w:t>
            </w:r>
          </w:p>
          <w:p>
            <w:pPr>
              <w:widowControl w:val="0"/>
              <w:adjustRightInd w:val="0"/>
              <w:snapToGrid w:val="0"/>
              <w:spacing w:line="360" w:lineRule="auto"/>
              <w:ind w:firstLine="480" w:firstLineChars="200"/>
              <w:jc w:val="both"/>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规划在本区东北角建一处污水提升泵站，规模为680L</w:t>
            </w:r>
            <w:r>
              <w:rPr>
                <w:rFonts w:hint="eastAsia" w:ascii="Times New Roman" w:hAnsi="Times New Roman" w:eastAsia="宋体" w:cs="Times New Roman"/>
                <w:kern w:val="2"/>
                <w:sz w:val="24"/>
                <w:szCs w:val="24"/>
                <w:highlight w:val="none"/>
                <w:lang w:val="en-US" w:eastAsia="zh-CN" w:bidi="ar-SA"/>
              </w:rPr>
              <w:t>/</w:t>
            </w:r>
            <w:r>
              <w:rPr>
                <w:rFonts w:ascii="Times New Roman" w:hAnsi="Times New Roman" w:eastAsia="宋体" w:cs="Times New Roman"/>
                <w:kern w:val="2"/>
                <w:sz w:val="24"/>
                <w:szCs w:val="24"/>
                <w:highlight w:val="none"/>
                <w:lang w:val="en-US" w:eastAsia="zh-CN" w:bidi="ar-SA"/>
              </w:rPr>
              <w:t>S，占地面积为2000m</w:t>
            </w:r>
            <w:r>
              <w:rPr>
                <w:rFonts w:hint="eastAsia" w:cs="Times New Roman"/>
                <w:kern w:val="2"/>
                <w:sz w:val="24"/>
                <w:szCs w:val="24"/>
                <w:highlight w:val="none"/>
                <w:vertAlign w:val="superscript"/>
                <w:lang w:val="en-US" w:eastAsia="zh-CN" w:bidi="ar-SA"/>
              </w:rPr>
              <w:t>2</w:t>
            </w:r>
            <w:r>
              <w:rPr>
                <w:rFonts w:ascii="Times New Roman" w:hAnsi="Times New Roman" w:eastAsia="宋体" w:cs="Times New Roman"/>
                <w:kern w:val="2"/>
                <w:sz w:val="24"/>
                <w:szCs w:val="24"/>
                <w:highlight w:val="none"/>
                <w:lang w:val="en-US" w:eastAsia="zh-CN" w:bidi="ar-SA"/>
              </w:rPr>
              <w:t>。</w:t>
            </w:r>
          </w:p>
          <w:p>
            <w:pPr>
              <w:widowControl w:val="0"/>
              <w:adjustRightInd w:val="0"/>
              <w:snapToGrid w:val="0"/>
              <w:spacing w:line="360" w:lineRule="auto"/>
              <w:ind w:firstLine="480" w:firstLineChars="200"/>
              <w:jc w:val="both"/>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排水体制：排水体制采用雨污分流制，生活污水直接排入城市排水管道，最终通过市政排水管道排入</w:t>
            </w:r>
            <w:r>
              <w:rPr>
                <w:rFonts w:hint="eastAsia" w:ascii="Times New Roman" w:hAnsi="Times New Roman" w:eastAsia="宋体" w:cs="Times New Roman"/>
                <w:kern w:val="2"/>
                <w:sz w:val="24"/>
                <w:szCs w:val="24"/>
                <w:highlight w:val="none"/>
                <w:lang w:val="en-US" w:eastAsia="zh-CN" w:bidi="ar-SA"/>
              </w:rPr>
              <w:t>园区</w:t>
            </w:r>
            <w:r>
              <w:rPr>
                <w:rFonts w:ascii="Times New Roman" w:hAnsi="Times New Roman" w:eastAsia="宋体" w:cs="Times New Roman"/>
                <w:kern w:val="2"/>
                <w:sz w:val="24"/>
                <w:szCs w:val="24"/>
                <w:highlight w:val="none"/>
                <w:lang w:val="en-US" w:eastAsia="zh-CN" w:bidi="ar-SA"/>
              </w:rPr>
              <w:t>北</w:t>
            </w:r>
            <w:r>
              <w:rPr>
                <w:rFonts w:hint="eastAsia" w:ascii="Times New Roman" w:hAnsi="Times New Roman" w:eastAsia="宋体" w:cs="Times New Roman"/>
                <w:kern w:val="2"/>
                <w:sz w:val="24"/>
                <w:szCs w:val="24"/>
                <w:highlight w:val="none"/>
                <w:lang w:val="en-US" w:eastAsia="zh-CN" w:bidi="ar-SA"/>
              </w:rPr>
              <w:t>侧</w:t>
            </w:r>
            <w:r>
              <w:rPr>
                <w:rFonts w:ascii="Times New Roman" w:hAnsi="Times New Roman" w:eastAsia="宋体" w:cs="Times New Roman"/>
                <w:kern w:val="2"/>
                <w:sz w:val="24"/>
                <w:szCs w:val="24"/>
                <w:highlight w:val="none"/>
                <w:lang w:val="en-US" w:eastAsia="zh-CN" w:bidi="ar-SA"/>
              </w:rPr>
              <w:t>约11km的</w:t>
            </w:r>
            <w:r>
              <w:rPr>
                <w:rFonts w:hint="eastAsia" w:ascii="Times New Roman" w:hAnsi="Times New Roman" w:eastAsia="宋体" w:cs="Times New Roman"/>
                <w:kern w:val="2"/>
                <w:sz w:val="24"/>
                <w:szCs w:val="24"/>
                <w:highlight w:val="none"/>
                <w:lang w:val="en-US" w:eastAsia="zh-CN" w:bidi="ar-SA"/>
              </w:rPr>
              <w:t>阜康市西部城区污水处理厂（阜西区污水处理厂）处理，该污水处理厂目前处理规模为2万立方米/天，排放标准为一级A，目前已运行。园区内下水管网均已敷设完毕，各企业内排水管网与园区主下水管网接通后即可排水。</w:t>
            </w:r>
          </w:p>
          <w:p>
            <w:pPr>
              <w:widowControl w:val="0"/>
              <w:adjustRightInd w:val="0"/>
              <w:snapToGrid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污水管网布局：规划区地形南高北低，东高西低，排水管道采用截流干管布置方式，在南北向道路布置排水干管，管径为DN30</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DN600；东西向道路布置排水支管，可以在满足最小坡度的前提下就近接入排水干管，排水管道按地形坡度敷设，规划区排水管网全部采用重力流排水方式。</w:t>
            </w:r>
          </w:p>
          <w:p>
            <w:pPr>
              <w:widowControl w:val="0"/>
              <w:adjustRightInd w:val="0"/>
              <w:snapToGrid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项目生活污水排入园区</w:t>
            </w:r>
            <w:r>
              <w:rPr>
                <w:rFonts w:hint="eastAsia" w:cs="Times New Roman"/>
                <w:kern w:val="2"/>
                <w:sz w:val="24"/>
                <w:szCs w:val="24"/>
                <w:lang w:val="en-US" w:eastAsia="zh-CN" w:bidi="ar-SA"/>
              </w:rPr>
              <w:t>排水</w:t>
            </w:r>
            <w:r>
              <w:rPr>
                <w:rFonts w:hint="eastAsia" w:ascii="Times New Roman" w:hAnsi="Times New Roman" w:eastAsia="宋体" w:cs="Times New Roman"/>
                <w:kern w:val="2"/>
                <w:sz w:val="24"/>
                <w:szCs w:val="24"/>
                <w:lang w:val="en-US" w:eastAsia="zh-CN" w:bidi="ar-SA"/>
              </w:rPr>
              <w:t>管网，园区目前排水管网可满足需求。</w:t>
            </w:r>
          </w:p>
          <w:p>
            <w:pPr>
              <w:widowControl w:val="0"/>
              <w:adjustRightInd w:val="0"/>
              <w:snapToGrid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4.电力工程规划</w:t>
            </w:r>
          </w:p>
          <w:p>
            <w:pPr>
              <w:widowControl w:val="0"/>
              <w:adjustRightInd w:val="0"/>
              <w:snapToGrid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规划电源为亭南110kV变电站。规划区新建35kV变电所1座，规划片区内规划设置12座中压变电所。</w:t>
            </w:r>
            <w:r>
              <w:rPr>
                <w:rFonts w:hint="eastAsia" w:ascii="Times New Roman" w:hAnsi="Times New Roman" w:eastAsia="宋体" w:cs="Times New Roman"/>
                <w:kern w:val="2"/>
                <w:sz w:val="24"/>
                <w:szCs w:val="24"/>
                <w:lang w:val="en-US" w:eastAsia="zh-CN" w:bidi="ar-SA"/>
              </w:rPr>
              <w:t>目前，10</w:t>
            </w:r>
            <w:r>
              <w:rPr>
                <w:rFonts w:ascii="Times New Roman" w:hAnsi="Times New Roman" w:eastAsia="宋体" w:cs="Times New Roman"/>
                <w:kern w:val="2"/>
                <w:sz w:val="24"/>
                <w:szCs w:val="24"/>
                <w:lang w:val="en-US" w:eastAsia="zh-CN" w:bidi="ar-SA"/>
              </w:rPr>
              <w:t>KV</w:t>
            </w:r>
            <w:r>
              <w:rPr>
                <w:rFonts w:hint="eastAsia" w:ascii="Times New Roman" w:hAnsi="Times New Roman" w:eastAsia="宋体" w:cs="Times New Roman"/>
                <w:kern w:val="2"/>
                <w:sz w:val="24"/>
                <w:szCs w:val="24"/>
                <w:lang w:val="en-US" w:eastAsia="zh-CN" w:bidi="ar-SA"/>
              </w:rPr>
              <w:t>电力公网线路已全部辐射园区。</w:t>
            </w:r>
          </w:p>
          <w:p>
            <w:pPr>
              <w:widowControl w:val="0"/>
              <w:adjustRightInd w:val="0"/>
              <w:snapToGrid w:val="0"/>
              <w:spacing w:line="360" w:lineRule="auto"/>
              <w:ind w:firstLine="480" w:firstLineChars="2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根据本项目的总用电负荷，</w:t>
            </w:r>
            <w:r>
              <w:rPr>
                <w:rFonts w:hint="eastAsia" w:ascii="Times New Roman" w:hAnsi="Times New Roman" w:eastAsia="宋体" w:cs="Times New Roman"/>
                <w:kern w:val="2"/>
                <w:sz w:val="24"/>
                <w:szCs w:val="24"/>
                <w:lang w:val="en-US" w:eastAsia="zh-CN" w:bidi="ar-SA"/>
              </w:rPr>
              <w:t>园区电网</w:t>
            </w:r>
            <w:r>
              <w:rPr>
                <w:rFonts w:hint="default" w:ascii="Times New Roman" w:hAnsi="Times New Roman" w:eastAsia="宋体" w:cs="Times New Roman"/>
                <w:kern w:val="2"/>
                <w:sz w:val="24"/>
                <w:szCs w:val="24"/>
                <w:lang w:val="en-US" w:eastAsia="zh-CN" w:bidi="ar-SA"/>
              </w:rPr>
              <w:t>能满足供电</w:t>
            </w:r>
            <w:r>
              <w:rPr>
                <w:rFonts w:hint="eastAsia" w:ascii="Times New Roman" w:hAnsi="Times New Roman" w:eastAsia="宋体" w:cs="Times New Roman"/>
                <w:kern w:val="2"/>
                <w:sz w:val="24"/>
                <w:szCs w:val="24"/>
                <w:lang w:val="en-US" w:eastAsia="zh-CN" w:bidi="ar-SA"/>
              </w:rPr>
              <w:t>需求</w:t>
            </w:r>
            <w:r>
              <w:rPr>
                <w:rFonts w:hint="default" w:ascii="Times New Roman" w:hAnsi="Times New Roman" w:eastAsia="宋体" w:cs="Times New Roman"/>
                <w:kern w:val="2"/>
                <w:sz w:val="24"/>
                <w:szCs w:val="24"/>
                <w:lang w:val="en-US" w:eastAsia="zh-CN" w:bidi="ar-SA"/>
              </w:rPr>
              <w:t>。</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60" w:lineRule="auto"/>
              <w:ind w:right="0" w:rightChars="0" w:firstLine="480" w:firstLineChars="200"/>
              <w:jc w:val="left"/>
              <w:textAlignment w:val="auto"/>
              <w:rPr>
                <w:rFonts w:hint="default" w:ascii="Times New Roman" w:hAnsi="Times New Roman" w:eastAsia="宋体" w:cs="宋体"/>
                <w:sz w:val="24"/>
                <w:szCs w:val="24"/>
                <w:vertAlign w:val="baseline"/>
                <w:lang w:val="en-US" w:eastAsia="zh-CN" w:bidi="ar-SA"/>
              </w:rPr>
            </w:pPr>
          </w:p>
        </w:tc>
      </w:tr>
    </w:tbl>
    <w:p>
      <w:pPr>
        <w:widowControl w:val="0"/>
        <w:numPr>
          <w:ilvl w:val="0"/>
          <w:numId w:val="6"/>
        </w:numPr>
        <w:overflowPunct w:val="0"/>
        <w:autoSpaceDE w:val="0"/>
        <w:autoSpaceDN w:val="0"/>
        <w:bidi w:val="0"/>
        <w:adjustRightInd w:val="0"/>
        <w:snapToGrid w:val="0"/>
        <w:spacing w:before="0" w:after="0" w:line="560" w:lineRule="exact"/>
        <w:ind w:left="0" w:right="0" w:firstLine="0" w:firstLineChars="0"/>
        <w:jc w:val="center"/>
        <w:outlineLvl w:val="0"/>
        <w:rPr>
          <w:rFonts w:ascii="Times New Roman" w:hAnsi="Times New Roman" w:eastAsia="宋体" w:cs="宋体"/>
          <w:b/>
          <w:kern w:val="44"/>
          <w:sz w:val="28"/>
          <w:szCs w:val="22"/>
          <w:lang w:val="en-US" w:eastAsia="zh-CN" w:bidi="ar-SA"/>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6"/>
        </w:numPr>
        <w:overflowPunct w:val="0"/>
        <w:autoSpaceDE w:val="0"/>
        <w:autoSpaceDN w:val="0"/>
        <w:adjustRightInd w:val="0"/>
        <w:snapToGrid w:val="0"/>
        <w:spacing w:line="560" w:lineRule="exact"/>
        <w:jc w:val="center"/>
        <w:outlineLvl w:val="0"/>
        <w:rPr>
          <w:rFonts w:ascii="Times New Roman" w:hAnsi="Times New Roman" w:eastAsia="宋体" w:cs="宋体"/>
          <w:b/>
          <w:kern w:val="44"/>
          <w:sz w:val="28"/>
        </w:rPr>
      </w:pPr>
      <w:bookmarkStart w:id="16" w:name="_Toc340"/>
      <w:bookmarkStart w:id="17" w:name="_Toc32641"/>
      <w:bookmarkStart w:id="18" w:name="_Toc11968"/>
      <w:bookmarkStart w:id="19" w:name="_Toc11713"/>
      <w:bookmarkStart w:id="20" w:name="_Toc1394"/>
      <w:r>
        <w:rPr>
          <w:rFonts w:ascii="Times New Roman" w:hAnsi="Times New Roman" w:eastAsia="宋体" w:cs="宋体"/>
          <w:b/>
          <w:kern w:val="44"/>
          <w:sz w:val="28"/>
        </w:rPr>
        <w:t>区域环境质量现状、环境保护目标及评价标准</w:t>
      </w:r>
      <w:bookmarkEnd w:id="16"/>
      <w:bookmarkEnd w:id="17"/>
      <w:bookmarkEnd w:id="18"/>
      <w:bookmarkEnd w:id="19"/>
      <w:bookmarkEnd w:id="20"/>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0" w:hRule="atLeast"/>
          <w:jc w:val="center"/>
        </w:trPr>
        <w:tc>
          <w:tcPr>
            <w:tcW w:w="426" w:type="dxa"/>
            <w:vAlign w:val="center"/>
          </w:tcPr>
          <w:p>
            <w:pPr>
              <w:overflowPunct w:val="0"/>
              <w:autoSpaceDE w:val="0"/>
              <w:autoSpaceDN w:val="0"/>
              <w:adjustRightInd w:val="0"/>
              <w:snapToGrid w:val="0"/>
              <w:spacing w:line="500" w:lineRule="exact"/>
              <w:ind w:firstLine="480" w:firstLineChars="200"/>
              <w:jc w:val="center"/>
              <w:rPr>
                <w:rFonts w:ascii="Times New Roman" w:hAnsi="Times New Roman" w:eastAsia="宋体" w:cs="宋体"/>
              </w:rPr>
            </w:pPr>
            <w:r>
              <w:rPr>
                <w:rFonts w:ascii="Times New Roman" w:hAnsi="Times New Roman" w:eastAsia="宋体" w:cs="宋体"/>
              </w:rPr>
              <w:t>区域环境质量现状</w:t>
            </w:r>
          </w:p>
        </w:tc>
        <w:tc>
          <w:tcPr>
            <w:tcW w:w="8645" w:type="dxa"/>
          </w:tcPr>
          <w:p>
            <w:pPr>
              <w:overflowPunct w:val="0"/>
              <w:autoSpaceDE w:val="0"/>
              <w:autoSpaceDN w:val="0"/>
              <w:adjustRightInd w:val="0"/>
              <w:snapToGrid w:val="0"/>
              <w:spacing w:line="560" w:lineRule="exact"/>
              <w:ind w:firstLine="562" w:firstLineChars="200"/>
              <w:jc w:val="left"/>
              <w:outlineLvl w:val="1"/>
              <w:rPr>
                <w:rFonts w:ascii="Times New Roman" w:hAnsi="Times New Roman" w:eastAsia="宋体" w:cs="黑体"/>
                <w:b/>
                <w:sz w:val="28"/>
                <w:szCs w:val="30"/>
              </w:rPr>
            </w:pPr>
            <w:r>
              <w:rPr>
                <w:rFonts w:hint="eastAsia" w:ascii="Times New Roman" w:hAnsi="Times New Roman" w:eastAsia="宋体" w:cs="黑体"/>
                <w:b/>
                <w:sz w:val="28"/>
                <w:szCs w:val="30"/>
              </w:rPr>
              <w:t>3.1大气环境质量现状</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w:t>
            </w:r>
          </w:p>
          <w:p>
            <w:pPr>
              <w:overflowPunct/>
              <w:autoSpaceDE/>
              <w:autoSpaceDN/>
              <w:bidi w:val="0"/>
              <w:adjustRightInd/>
              <w:snapToGrid/>
              <w:spacing w:before="0" w:after="0" w:line="360" w:lineRule="auto"/>
              <w:ind w:left="0" w:right="0" w:firstLine="480" w:firstLineChars="200"/>
              <w:jc w:val="both"/>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本项目位于阜康市苏通小微创业园，选取阜康市</w:t>
            </w:r>
            <w:r>
              <w:rPr>
                <w:rFonts w:hint="eastAsia" w:ascii="Times New Roman" w:hAnsi="Times New Roman" w:eastAsia="宋体" w:cs="Times New Roman"/>
                <w:color w:val="auto"/>
                <w:sz w:val="24"/>
                <w:szCs w:val="24"/>
                <w:lang w:val="en-US" w:eastAsia="zh-CN"/>
              </w:rPr>
              <w:t>监测站点</w:t>
            </w:r>
            <w:r>
              <w:rPr>
                <w:rFonts w:hint="eastAsia" w:ascii="Times New Roman" w:hAnsi="Times New Roman" w:cs="Times New Roman"/>
                <w:color w:val="auto"/>
                <w:sz w:val="24"/>
                <w:szCs w:val="24"/>
                <w:lang w:val="en-US" w:eastAsia="zh-CN"/>
              </w:rPr>
              <w:t>2023</w:t>
            </w:r>
            <w:r>
              <w:rPr>
                <w:rFonts w:hint="eastAsia" w:ascii="Times New Roman" w:hAnsi="Times New Roman" w:eastAsia="宋体" w:cs="Times New Roman"/>
                <w:color w:val="auto"/>
                <w:sz w:val="24"/>
                <w:szCs w:val="24"/>
                <w:lang w:val="en-US" w:eastAsia="zh-CN"/>
              </w:rPr>
              <w:t>年基准年连续</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年的监测数据，作为本项目环境空气现状评价基本污染物</w:t>
            </w:r>
            <w:r>
              <w:rPr>
                <w:rFonts w:hint="default" w:ascii="Times New Roman" w:hAnsi="Times New Roman" w:eastAsia="宋体" w:cs="Times New Roman"/>
                <w:color w:val="auto"/>
                <w:sz w:val="24"/>
                <w:szCs w:val="24"/>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10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2.5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CO</w:t>
            </w:r>
            <w:r>
              <w:rPr>
                <w:rFonts w:hint="eastAsia"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eastAsia" w:ascii="Times New Roman" w:hAnsi="Times New Roman" w:eastAsia="宋体" w:cs="Times New Roman"/>
                <w:color w:val="auto"/>
                <w:sz w:val="24"/>
                <w:szCs w:val="24"/>
                <w:lang w:val="en-US" w:eastAsia="zh-CN"/>
              </w:rPr>
              <w:t>的数据来源。</w:t>
            </w:r>
            <w:r>
              <w:rPr>
                <w:rFonts w:hint="eastAsia" w:cs="Times New Roman"/>
                <w:color w:val="auto"/>
                <w:sz w:val="24"/>
                <w:szCs w:val="24"/>
                <w:lang w:val="en-US" w:eastAsia="zh-CN"/>
              </w:rPr>
              <w:t>阜康市</w:t>
            </w:r>
            <w:r>
              <w:rPr>
                <w:rFonts w:hint="eastAsia" w:ascii="Times New Roman" w:hAnsi="Times New Roman" w:eastAsia="宋体" w:cs="Times New Roman"/>
                <w:color w:val="auto"/>
                <w:sz w:val="24"/>
                <w:szCs w:val="24"/>
                <w:lang w:val="en-US" w:eastAsia="zh-CN"/>
              </w:rPr>
              <w:t>监测点</w:t>
            </w:r>
            <w:r>
              <w:rPr>
                <w:rFonts w:hint="eastAsia" w:cs="Times New Roman"/>
                <w:color w:val="auto"/>
                <w:sz w:val="24"/>
                <w:szCs w:val="24"/>
                <w:highlight w:val="none"/>
                <w:lang w:val="en-US" w:eastAsia="zh-CN"/>
              </w:rPr>
              <w:t>（站点坐标为</w:t>
            </w:r>
            <w:r>
              <w:rPr>
                <w:rFonts w:hint="eastAsia" w:ascii="Times New Roman" w:hAnsi="Times New Roman" w:cs="Times New Roman"/>
                <w:color w:val="auto"/>
                <w:sz w:val="24"/>
                <w:szCs w:val="24"/>
                <w:highlight w:val="none"/>
                <w:lang w:val="en-US" w:eastAsia="zh-CN"/>
              </w:rPr>
              <w:t>87</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58</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5.160</w:t>
            </w:r>
            <w:r>
              <w:rPr>
                <w:rFonts w:hint="default" w:ascii="Times New Roman" w:hAnsi="Times New Roman" w:cs="Times New Roman"/>
                <w:color w:val="auto"/>
                <w:sz w:val="24"/>
                <w:szCs w:val="24"/>
                <w:highlight w:val="none"/>
                <w:lang w:val="en-US" w:eastAsia="zh-CN"/>
              </w:rPr>
              <w:t>″，4</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0.120</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lang w:val="en-US" w:eastAsia="zh-CN"/>
              </w:rPr>
              <w:t>位于项目区东侧约</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km</w:t>
            </w:r>
            <w:r>
              <w:rPr>
                <w:rFonts w:hint="eastAsia" w:ascii="Times New Roman" w:hAnsi="Times New Roman" w:eastAsia="宋体" w:cs="Times New Roman"/>
                <w:color w:val="auto"/>
                <w:sz w:val="24"/>
                <w:szCs w:val="24"/>
                <w:lang w:val="en-US" w:eastAsia="zh-CN"/>
              </w:rPr>
              <w:t>处</w:t>
            </w:r>
            <w:r>
              <w:rPr>
                <w:rFonts w:hint="eastAsia" w:cs="Times New Roman"/>
                <w:color w:val="auto"/>
                <w:sz w:val="24"/>
                <w:szCs w:val="24"/>
                <w:lang w:val="en-US" w:eastAsia="zh-CN"/>
              </w:rPr>
              <w:t>，监测点位和项目所在区域地形、气象条件、环境特征、环境功能基本一致，引用数据能客观体现所在区域环境质量，项目引用环境质量资料基本可行</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b w:val="0"/>
                <w:bCs w:val="0"/>
                <w:highlight w:val="yellow"/>
                <w:lang w:val="en-US" w:eastAsia="zh-CN"/>
              </w:rPr>
            </w:pPr>
            <w:r>
              <w:rPr>
                <w:rFonts w:hint="default" w:ascii="Times New Roman" w:hAnsi="Times New Roman" w:eastAsia="宋体" w:cs="宋体"/>
                <w:b w:val="0"/>
                <w:bCs w:val="0"/>
                <w:highlight w:val="none"/>
              </w:rPr>
              <w:t>特征污染因子</w:t>
            </w:r>
            <w:r>
              <w:rPr>
                <w:rFonts w:hint="eastAsia" w:cs="宋体"/>
                <w:b w:val="0"/>
                <w:bCs w:val="0"/>
                <w:highlight w:val="none"/>
                <w:lang w:val="en-US" w:eastAsia="zh-CN"/>
              </w:rPr>
              <w:t>非甲烷总烃、颗粒物引用</w:t>
            </w:r>
            <w:r>
              <w:rPr>
                <w:rFonts w:hint="eastAsia" w:ascii="Times New Roman" w:hAnsi="Times New Roman" w:eastAsia="宋体" w:cs="宋体"/>
                <w:b w:val="0"/>
                <w:bCs w:val="0"/>
                <w:highlight w:val="none"/>
                <w:lang w:val="en-US" w:eastAsia="zh-CN"/>
              </w:rPr>
              <w:t>新疆</w:t>
            </w:r>
            <w:r>
              <w:rPr>
                <w:rFonts w:hint="eastAsia" w:cs="宋体"/>
                <w:b w:val="0"/>
                <w:bCs w:val="0"/>
                <w:highlight w:val="none"/>
                <w:lang w:val="en-US" w:eastAsia="zh-CN"/>
              </w:rPr>
              <w:t>环疆绿源</w:t>
            </w:r>
            <w:r>
              <w:rPr>
                <w:rFonts w:hint="eastAsia" w:ascii="Times New Roman" w:hAnsi="Times New Roman" w:eastAsia="宋体" w:cs="宋体"/>
                <w:b w:val="0"/>
                <w:bCs w:val="0"/>
                <w:highlight w:val="none"/>
                <w:lang w:val="en-US" w:eastAsia="zh-CN"/>
              </w:rPr>
              <w:t>环</w:t>
            </w:r>
            <w:r>
              <w:rPr>
                <w:rFonts w:hint="eastAsia" w:cs="宋体"/>
                <w:b w:val="0"/>
                <w:bCs w:val="0"/>
                <w:highlight w:val="none"/>
                <w:lang w:val="en-US" w:eastAsia="zh-CN"/>
              </w:rPr>
              <w:t>保</w:t>
            </w:r>
            <w:r>
              <w:rPr>
                <w:rFonts w:hint="eastAsia" w:ascii="Times New Roman" w:hAnsi="Times New Roman" w:eastAsia="宋体" w:cs="宋体"/>
                <w:b w:val="0"/>
                <w:bCs w:val="0"/>
                <w:highlight w:val="none"/>
                <w:lang w:val="en-US" w:eastAsia="zh-CN"/>
              </w:rPr>
              <w:t>科技有限公司</w:t>
            </w:r>
            <w:r>
              <w:rPr>
                <w:rFonts w:hint="default" w:ascii="Times New Roman" w:hAnsi="Times New Roman" w:eastAsia="宋体" w:cs="宋体"/>
                <w:b w:val="0"/>
                <w:bCs w:val="0"/>
                <w:highlight w:val="none"/>
              </w:rPr>
              <w:t>于</w:t>
            </w:r>
            <w:r>
              <w:rPr>
                <w:rFonts w:hint="eastAsia" w:cs="宋体"/>
                <w:b w:val="0"/>
                <w:bCs w:val="0"/>
                <w:highlight w:val="none"/>
                <w:lang w:val="en-US" w:eastAsia="zh-CN"/>
              </w:rPr>
              <w:t>2023</w:t>
            </w:r>
            <w:r>
              <w:rPr>
                <w:rFonts w:hint="default" w:ascii="Times New Roman" w:hAnsi="Times New Roman" w:eastAsia="宋体" w:cs="宋体"/>
                <w:b w:val="0"/>
                <w:bCs w:val="0"/>
                <w:highlight w:val="none"/>
              </w:rPr>
              <w:t>年</w:t>
            </w:r>
            <w:r>
              <w:rPr>
                <w:rFonts w:hint="eastAsia" w:cs="宋体"/>
                <w:b w:val="0"/>
                <w:bCs w:val="0"/>
                <w:highlight w:val="none"/>
                <w:lang w:val="en-US" w:eastAsia="zh-CN"/>
              </w:rPr>
              <w:t>3</w:t>
            </w:r>
            <w:r>
              <w:rPr>
                <w:rFonts w:hint="default" w:ascii="Times New Roman" w:hAnsi="Times New Roman" w:eastAsia="宋体" w:cs="宋体"/>
                <w:b w:val="0"/>
                <w:bCs w:val="0"/>
                <w:highlight w:val="none"/>
              </w:rPr>
              <w:t>月</w:t>
            </w:r>
            <w:r>
              <w:rPr>
                <w:rFonts w:hint="eastAsia" w:cs="宋体"/>
                <w:b w:val="0"/>
                <w:bCs w:val="0"/>
                <w:highlight w:val="none"/>
                <w:lang w:val="en-US" w:eastAsia="zh-CN"/>
              </w:rPr>
              <w:t>20</w:t>
            </w:r>
            <w:r>
              <w:rPr>
                <w:rFonts w:hint="default" w:ascii="Times New Roman" w:hAnsi="Times New Roman" w:eastAsia="宋体" w:cs="宋体"/>
                <w:b w:val="0"/>
                <w:bCs w:val="0"/>
                <w:highlight w:val="none"/>
              </w:rPr>
              <w:t>日至20</w:t>
            </w:r>
            <w:r>
              <w:rPr>
                <w:rFonts w:hint="eastAsia" w:cs="宋体"/>
                <w:b w:val="0"/>
                <w:bCs w:val="0"/>
                <w:highlight w:val="none"/>
                <w:lang w:val="en-US" w:eastAsia="zh-CN"/>
              </w:rPr>
              <w:t>23</w:t>
            </w:r>
            <w:r>
              <w:rPr>
                <w:rFonts w:hint="default" w:ascii="Times New Roman" w:hAnsi="Times New Roman" w:eastAsia="宋体" w:cs="宋体"/>
                <w:b w:val="0"/>
                <w:bCs w:val="0"/>
                <w:highlight w:val="none"/>
              </w:rPr>
              <w:t>年</w:t>
            </w:r>
            <w:r>
              <w:rPr>
                <w:rFonts w:hint="eastAsia" w:cs="宋体"/>
                <w:b w:val="0"/>
                <w:bCs w:val="0"/>
                <w:highlight w:val="none"/>
                <w:lang w:val="en-US" w:eastAsia="zh-CN"/>
              </w:rPr>
              <w:t>3</w:t>
            </w:r>
            <w:r>
              <w:rPr>
                <w:rFonts w:hint="default" w:ascii="Times New Roman" w:hAnsi="Times New Roman" w:eastAsia="宋体" w:cs="宋体"/>
                <w:b w:val="0"/>
                <w:bCs w:val="0"/>
                <w:highlight w:val="none"/>
              </w:rPr>
              <w:t>月</w:t>
            </w:r>
            <w:r>
              <w:rPr>
                <w:rFonts w:hint="eastAsia" w:cs="宋体"/>
                <w:b w:val="0"/>
                <w:bCs w:val="0"/>
                <w:highlight w:val="none"/>
                <w:lang w:val="en-US" w:eastAsia="zh-CN"/>
              </w:rPr>
              <w:t>22</w:t>
            </w:r>
            <w:r>
              <w:rPr>
                <w:rFonts w:hint="default" w:ascii="Times New Roman" w:hAnsi="Times New Roman" w:eastAsia="宋体" w:cs="宋体"/>
                <w:b w:val="0"/>
                <w:bCs w:val="0"/>
                <w:highlight w:val="none"/>
              </w:rPr>
              <w:t>日</w:t>
            </w:r>
            <w:r>
              <w:rPr>
                <w:rFonts w:hint="eastAsia" w:ascii="Times New Roman" w:hAnsi="Times New Roman" w:eastAsia="宋体" w:cs="宋体"/>
                <w:b w:val="0"/>
                <w:bCs w:val="0"/>
                <w:highlight w:val="none"/>
                <w:lang w:val="en-US" w:eastAsia="zh-CN"/>
              </w:rPr>
              <w:t>对</w:t>
            </w:r>
            <w:r>
              <w:rPr>
                <w:rFonts w:hint="eastAsia" w:cs="宋体"/>
                <w:b w:val="0"/>
                <w:bCs w:val="0"/>
                <w:highlight w:val="none"/>
                <w:lang w:val="en-US" w:eastAsia="zh-CN"/>
              </w:rPr>
              <w:t>“新疆熙诚塑料制品有限公司年产2000吨橡塑环保设备项目”监测数据</w:t>
            </w:r>
            <w:r>
              <w:rPr>
                <w:rFonts w:hint="eastAsia" w:eastAsia="宋体" w:cs="宋体"/>
                <w:b w:val="0"/>
                <w:bCs w:val="0"/>
                <w:lang w:val="en-US" w:eastAsia="zh-CN"/>
              </w:rPr>
              <w:t>。</w:t>
            </w:r>
          </w:p>
          <w:p>
            <w:pPr>
              <w:spacing w:line="360" w:lineRule="auto"/>
              <w:ind w:firstLine="480" w:firstLineChars="200"/>
              <w:rPr>
                <w:rFonts w:ascii="Times New Roman" w:hAnsi="Times New Roman" w:eastAsia="宋体" w:cs="宋体"/>
              </w:rPr>
            </w:pPr>
            <w:r>
              <w:rPr>
                <w:rFonts w:hint="eastAsia" w:ascii="Times New Roman" w:hAnsi="Times New Roman" w:eastAsia="宋体" w:cs="宋体"/>
              </w:rPr>
              <w:t>（1）</w:t>
            </w:r>
            <w:r>
              <w:rPr>
                <w:rFonts w:ascii="Times New Roman" w:hAnsi="Times New Roman" w:eastAsia="宋体" w:cs="宋体"/>
              </w:rPr>
              <w:t>监测布点</w:t>
            </w:r>
          </w:p>
          <w:p>
            <w:pPr>
              <w:spacing w:line="360" w:lineRule="auto"/>
              <w:ind w:firstLine="480" w:firstLineChars="200"/>
              <w:rPr>
                <w:rFonts w:ascii="Times New Roman" w:hAnsi="Times New Roman" w:eastAsia="宋体" w:cs="宋体"/>
              </w:rPr>
            </w:pPr>
            <w:r>
              <w:rPr>
                <w:rFonts w:ascii="Times New Roman" w:hAnsi="Times New Roman" w:eastAsia="宋体" w:cs="宋体"/>
              </w:rPr>
              <w:t>根据项目区气象气候和地形条件，</w:t>
            </w:r>
            <w:r>
              <w:rPr>
                <w:rFonts w:hint="default" w:ascii="Times New Roman" w:hAnsi="Times New Roman" w:eastAsia="宋体" w:cs="宋体"/>
                <w:highlight w:val="none"/>
              </w:rPr>
              <w:t>特征污染因子</w:t>
            </w:r>
            <w:r>
              <w:rPr>
                <w:rFonts w:hint="eastAsia" w:cs="宋体"/>
                <w:highlight w:val="none"/>
                <w:lang w:val="en-US" w:eastAsia="zh-CN"/>
              </w:rPr>
              <w:t>引用</w:t>
            </w:r>
            <w:r>
              <w:rPr>
                <w:rFonts w:hint="default" w:ascii="Times New Roman" w:hAnsi="Times New Roman" w:eastAsia="宋体" w:cs="宋体"/>
                <w:highlight w:val="none"/>
              </w:rPr>
              <w:t>监测</w:t>
            </w:r>
            <w:r>
              <w:rPr>
                <w:rFonts w:hint="eastAsia" w:ascii="Times New Roman" w:hAnsi="Times New Roman" w:eastAsia="宋体" w:cs="宋体"/>
                <w:highlight w:val="none"/>
                <w:lang w:val="en-US" w:eastAsia="zh-CN"/>
              </w:rPr>
              <w:t>1</w:t>
            </w:r>
            <w:r>
              <w:rPr>
                <w:rFonts w:hint="default" w:ascii="Times New Roman" w:hAnsi="Times New Roman" w:eastAsia="宋体" w:cs="宋体"/>
                <w:highlight w:val="none"/>
              </w:rPr>
              <w:t>个监测点</w:t>
            </w:r>
            <w:r>
              <w:rPr>
                <w:rFonts w:hint="eastAsia" w:ascii="Times New Roman" w:hAnsi="Times New Roman" w:eastAsia="宋体" w:cs="宋体"/>
                <w:highlight w:val="none"/>
                <w:lang w:eastAsia="zh-CN"/>
              </w:rPr>
              <w:t>，</w:t>
            </w:r>
            <w:r>
              <w:rPr>
                <w:rFonts w:hint="default" w:ascii="Times New Roman" w:hAnsi="Times New Roman" w:eastAsia="宋体" w:cs="宋体"/>
                <w:highlight w:val="none"/>
                <w:lang w:eastAsia="zh-CN"/>
              </w:rPr>
              <w:t>位于</w:t>
            </w:r>
            <w:r>
              <w:rPr>
                <w:rFonts w:hint="default" w:ascii="Times New Roman" w:hAnsi="Times New Roman" w:eastAsia="宋体" w:cs="宋体"/>
                <w:highlight w:val="none"/>
              </w:rPr>
              <w:t>项目区</w:t>
            </w:r>
            <w:r>
              <w:rPr>
                <w:rFonts w:hint="eastAsia" w:cs="宋体"/>
                <w:highlight w:val="none"/>
                <w:lang w:val="en-US" w:eastAsia="zh-CN"/>
              </w:rPr>
              <w:t>西南侧1.4km处</w:t>
            </w:r>
            <w:r>
              <w:rPr>
                <w:rFonts w:hint="default" w:ascii="Times New Roman" w:hAnsi="Times New Roman" w:eastAsia="宋体" w:cs="宋体"/>
                <w:highlight w:val="none"/>
                <w:lang w:eastAsia="zh-CN"/>
              </w:rPr>
              <w:t>，</w:t>
            </w:r>
            <w:r>
              <w:rPr>
                <w:rFonts w:hint="default" w:ascii="Times New Roman" w:hAnsi="Times New Roman" w:eastAsia="宋体" w:cs="宋体"/>
              </w:rPr>
              <w:t>能够代表区域特征污染因子</w:t>
            </w:r>
            <w:r>
              <w:rPr>
                <w:rFonts w:hint="default" w:ascii="Times New Roman" w:hAnsi="Times New Roman" w:eastAsia="宋体" w:cs="宋体"/>
                <w:lang w:eastAsia="zh-CN"/>
              </w:rPr>
              <w:t>污染</w:t>
            </w:r>
            <w:r>
              <w:rPr>
                <w:rFonts w:hint="default" w:ascii="Times New Roman" w:hAnsi="Times New Roman" w:eastAsia="宋体" w:cs="宋体"/>
              </w:rPr>
              <w:t>状况。</w:t>
            </w:r>
            <w:r>
              <w:rPr>
                <w:rFonts w:ascii="Times New Roman" w:hAnsi="Times New Roman" w:eastAsia="宋体" w:cs="宋体"/>
              </w:rPr>
              <w:t>本项目环境监测布点情况见图</w:t>
            </w:r>
            <w:r>
              <w:rPr>
                <w:rFonts w:hint="eastAsia" w:ascii="Times New Roman" w:hAnsi="Times New Roman" w:eastAsia="宋体" w:cs="宋体"/>
              </w:rPr>
              <w:t>3.1</w:t>
            </w:r>
            <w:r>
              <w:rPr>
                <w:rFonts w:ascii="Times New Roman" w:hAnsi="Times New Roman" w:eastAsia="宋体" w:cs="宋体"/>
              </w:rPr>
              <w:t>-1。</w:t>
            </w:r>
          </w:p>
          <w:p>
            <w:pPr>
              <w:spacing w:line="360" w:lineRule="auto"/>
              <w:ind w:firstLine="480" w:firstLineChars="200"/>
              <w:rPr>
                <w:rFonts w:ascii="Times New Roman" w:hAnsi="Times New Roman" w:eastAsia="宋体" w:cs="宋体"/>
              </w:rPr>
            </w:pPr>
            <w:r>
              <w:rPr>
                <w:rFonts w:hint="eastAsia" w:ascii="Times New Roman" w:hAnsi="Times New Roman" w:eastAsia="宋体" w:cs="宋体"/>
              </w:rPr>
              <w:t>（2）</w:t>
            </w:r>
            <w:r>
              <w:rPr>
                <w:rFonts w:ascii="Times New Roman" w:hAnsi="Times New Roman" w:eastAsia="宋体" w:cs="宋体"/>
              </w:rPr>
              <w:t>采样及分析方法</w:t>
            </w:r>
          </w:p>
          <w:p>
            <w:pPr>
              <w:spacing w:line="360" w:lineRule="auto"/>
              <w:ind w:firstLine="480" w:firstLineChars="200"/>
              <w:rPr>
                <w:rFonts w:ascii="Times New Roman" w:hAnsi="Times New Roman" w:eastAsia="宋体" w:cs="宋体"/>
              </w:rPr>
            </w:pPr>
            <w:r>
              <w:rPr>
                <w:rFonts w:ascii="Times New Roman" w:hAnsi="Times New Roman" w:eastAsia="宋体" w:cs="宋体"/>
              </w:rPr>
              <w:t>采样分析方法均按《空气和废气监测分析方法》、《环境监测技术规范》中的有关规定执行。</w:t>
            </w:r>
          </w:p>
          <w:p>
            <w:pPr>
              <w:spacing w:line="360" w:lineRule="auto"/>
              <w:ind w:firstLine="480" w:firstLineChars="200"/>
              <w:rPr>
                <w:rFonts w:ascii="Times New Roman" w:hAnsi="Times New Roman" w:eastAsia="宋体" w:cs="宋体"/>
              </w:rPr>
            </w:pPr>
            <w:r>
              <w:rPr>
                <w:rFonts w:hint="eastAsia" w:ascii="Times New Roman" w:hAnsi="Times New Roman" w:eastAsia="宋体" w:cs="宋体"/>
              </w:rPr>
              <w:t>（3）</w:t>
            </w:r>
            <w:r>
              <w:rPr>
                <w:rFonts w:hint="eastAsia" w:cs="宋体"/>
                <w:lang w:val="en-US" w:eastAsia="zh-CN"/>
              </w:rPr>
              <w:t>环境空气</w:t>
            </w:r>
            <w:r>
              <w:rPr>
                <w:rFonts w:ascii="Times New Roman" w:hAnsi="Times New Roman" w:eastAsia="宋体" w:cs="宋体"/>
              </w:rPr>
              <w:t>质量现状评价</w:t>
            </w:r>
          </w:p>
          <w:p>
            <w:pPr>
              <w:spacing w:line="360" w:lineRule="auto"/>
              <w:ind w:firstLine="480" w:firstLineChars="200"/>
              <w:rPr>
                <w:rFonts w:ascii="Times New Roman" w:hAnsi="Times New Roman" w:eastAsia="宋体" w:cs="宋体"/>
              </w:rPr>
            </w:pPr>
            <w:r>
              <w:rPr>
                <w:rFonts w:hint="eastAsia" w:ascii="Times New Roman" w:hAnsi="Times New Roman" w:eastAsia="宋体" w:cs="宋体"/>
              </w:rPr>
              <w:t>①</w:t>
            </w:r>
            <w:r>
              <w:rPr>
                <w:rFonts w:ascii="Times New Roman" w:hAnsi="Times New Roman" w:eastAsia="宋体" w:cs="宋体"/>
              </w:rPr>
              <w:t>评价标准</w:t>
            </w:r>
          </w:p>
          <w:p>
            <w:pPr>
              <w:spacing w:line="360" w:lineRule="auto"/>
              <w:ind w:firstLine="480" w:firstLineChars="200"/>
              <w:rPr>
                <w:rFonts w:ascii="Times New Roman" w:hAnsi="Times New Roman" w:eastAsia="宋体" w:cs="宋体"/>
              </w:rPr>
            </w:pPr>
            <w:r>
              <w:rPr>
                <w:rFonts w:ascii="Times New Roman" w:hAnsi="Times New Roman" w:eastAsia="宋体" w:cs="宋体"/>
              </w:rPr>
              <w:t>根据本项目所在区域的环境功能区划，常规污染物</w:t>
            </w:r>
            <w:r>
              <w:rPr>
                <w:rFonts w:hint="eastAsia" w:ascii="Times New Roman" w:hAnsi="Times New Roman" w:eastAsia="宋体" w:cs="宋体"/>
              </w:rPr>
              <w:t>均</w:t>
            </w:r>
            <w:r>
              <w:rPr>
                <w:rFonts w:ascii="Times New Roman" w:hAnsi="Times New Roman" w:eastAsia="宋体" w:cs="宋体"/>
              </w:rPr>
              <w:t>执行《环境空气质量标准》（GB3095</w:t>
            </w:r>
            <w:r>
              <w:rPr>
                <w:rFonts w:hint="eastAsia" w:cs="宋体"/>
                <w:lang w:val="en-US" w:eastAsia="zh-CN"/>
              </w:rPr>
              <w:t>-</w:t>
            </w:r>
            <w:r>
              <w:rPr>
                <w:rFonts w:ascii="Times New Roman" w:hAnsi="Times New Roman" w:eastAsia="宋体" w:cs="宋体"/>
              </w:rPr>
              <w:t>2012）中的二级标准。</w:t>
            </w:r>
          </w:p>
          <w:p>
            <w:pPr>
              <w:spacing w:line="360" w:lineRule="auto"/>
              <w:ind w:firstLine="480" w:firstLineChars="200"/>
              <w:rPr>
                <w:rFonts w:ascii="Times New Roman" w:hAnsi="Times New Roman" w:eastAsia="宋体" w:cs="宋体"/>
              </w:rPr>
            </w:pPr>
            <w:r>
              <w:rPr>
                <w:rFonts w:hint="eastAsia" w:ascii="Times New Roman" w:hAnsi="Times New Roman" w:eastAsia="宋体" w:cs="宋体"/>
              </w:rPr>
              <w:t>②</w:t>
            </w:r>
            <w:r>
              <w:rPr>
                <w:rFonts w:ascii="Times New Roman" w:hAnsi="Times New Roman" w:eastAsia="宋体" w:cs="宋体"/>
              </w:rPr>
              <w:t>常规污染物监测结果及评价统计</w:t>
            </w:r>
          </w:p>
          <w:p>
            <w:pPr>
              <w:spacing w:line="360" w:lineRule="auto"/>
              <w:ind w:firstLine="480" w:firstLineChars="200"/>
              <w:rPr>
                <w:rFonts w:ascii="Times New Roman" w:hAnsi="Times New Roman" w:eastAsia="宋体" w:cs="宋体"/>
              </w:rPr>
            </w:pPr>
            <w:r>
              <w:rPr>
                <w:rFonts w:hint="eastAsia" w:ascii="Times New Roman" w:hAnsi="Times New Roman" w:eastAsia="宋体" w:cs="宋体"/>
                <w:lang w:val="en-US" w:eastAsia="zh-CN"/>
              </w:rPr>
              <w:t>根据202</w:t>
            </w:r>
            <w:r>
              <w:rPr>
                <w:rFonts w:hint="eastAsia" w:ascii="Times New Roman" w:hAnsi="Times New Roman" w:cs="宋体"/>
                <w:lang w:val="en-US" w:eastAsia="zh-CN"/>
              </w:rPr>
              <w:t>3</w:t>
            </w:r>
            <w:r>
              <w:rPr>
                <w:rFonts w:hint="eastAsia" w:ascii="Times New Roman" w:hAnsi="Times New Roman" w:eastAsia="宋体" w:cs="宋体"/>
                <w:lang w:val="en-US" w:eastAsia="zh-CN"/>
              </w:rPr>
              <w:t>年阜康市监测站点空气质量逐日统计结果</w:t>
            </w:r>
            <w:r>
              <w:rPr>
                <w:rFonts w:hint="eastAsia" w:ascii="Times New Roman" w:hAnsi="Times New Roman" w:cs="宋体"/>
                <w:lang w:val="en-US" w:eastAsia="zh-CN"/>
              </w:rPr>
              <w:t>，</w:t>
            </w:r>
            <w:r>
              <w:rPr>
                <w:rFonts w:ascii="Times New Roman" w:hAnsi="Times New Roman" w:eastAsia="宋体" w:cs="宋体"/>
              </w:rPr>
              <w:t>SO</w:t>
            </w:r>
            <w:r>
              <w:rPr>
                <w:rFonts w:ascii="Times New Roman" w:hAnsi="Times New Roman" w:eastAsia="宋体" w:cs="宋体"/>
                <w:vertAlign w:val="subscript"/>
              </w:rPr>
              <w:t>2</w:t>
            </w:r>
            <w:r>
              <w:rPr>
                <w:rFonts w:ascii="Times New Roman" w:hAnsi="Times New Roman" w:eastAsia="宋体" w:cs="宋体"/>
              </w:rPr>
              <w:t>、NO</w:t>
            </w:r>
            <w:r>
              <w:rPr>
                <w:rFonts w:ascii="Times New Roman" w:hAnsi="Times New Roman" w:eastAsia="宋体" w:cs="宋体"/>
                <w:vertAlign w:val="subscript"/>
              </w:rPr>
              <w:t>2</w:t>
            </w:r>
            <w:r>
              <w:rPr>
                <w:rFonts w:ascii="Times New Roman" w:hAnsi="Times New Roman" w:eastAsia="宋体" w:cs="宋体"/>
              </w:rPr>
              <w:t>、PM</w:t>
            </w:r>
            <w:r>
              <w:rPr>
                <w:rFonts w:ascii="Times New Roman" w:hAnsi="Times New Roman" w:eastAsia="宋体" w:cs="宋体"/>
                <w:vertAlign w:val="subscript"/>
              </w:rPr>
              <w:t>10</w:t>
            </w:r>
            <w:r>
              <w:rPr>
                <w:rFonts w:ascii="Times New Roman" w:hAnsi="Times New Roman" w:eastAsia="宋体" w:cs="宋体"/>
              </w:rPr>
              <w:t>、PM</w:t>
            </w:r>
            <w:r>
              <w:rPr>
                <w:rFonts w:ascii="Times New Roman" w:hAnsi="Times New Roman" w:eastAsia="宋体" w:cs="宋体"/>
                <w:vertAlign w:val="subscript"/>
              </w:rPr>
              <w:t>2.5</w:t>
            </w:r>
            <w:r>
              <w:rPr>
                <w:rFonts w:ascii="Times New Roman" w:hAnsi="Times New Roman" w:eastAsia="宋体" w:cs="宋体"/>
              </w:rPr>
              <w:t>年均浓度</w:t>
            </w:r>
            <w:r>
              <w:rPr>
                <w:rFonts w:hint="eastAsia" w:ascii="Times New Roman" w:hAnsi="Times New Roman" w:eastAsia="宋体" w:cs="宋体"/>
              </w:rPr>
              <w:t>以及</w:t>
            </w:r>
            <w:r>
              <w:rPr>
                <w:rFonts w:ascii="Times New Roman" w:hAnsi="Times New Roman" w:eastAsia="宋体" w:cs="宋体"/>
              </w:rPr>
              <w:t>CO 24小时平均第95百分位数</w:t>
            </w:r>
            <w:r>
              <w:rPr>
                <w:rFonts w:hint="eastAsia" w:ascii="Times New Roman" w:hAnsi="Times New Roman" w:eastAsia="宋体" w:cs="宋体"/>
              </w:rPr>
              <w:t>、</w:t>
            </w:r>
            <w:r>
              <w:rPr>
                <w:rFonts w:ascii="Times New Roman" w:hAnsi="Times New Roman" w:eastAsia="宋体" w:cs="宋体"/>
              </w:rPr>
              <w:t>O</w:t>
            </w:r>
            <w:r>
              <w:rPr>
                <w:rFonts w:ascii="Times New Roman" w:hAnsi="Times New Roman" w:eastAsia="宋体" w:cs="宋体"/>
                <w:vertAlign w:val="subscript"/>
              </w:rPr>
              <w:t>3</w:t>
            </w:r>
            <w:r>
              <w:rPr>
                <w:rFonts w:ascii="Times New Roman" w:hAnsi="Times New Roman" w:eastAsia="宋体" w:cs="宋体"/>
              </w:rPr>
              <w:t>日最大8小时平均第90百分位数</w:t>
            </w:r>
            <w:r>
              <w:rPr>
                <w:rFonts w:hint="eastAsia" w:ascii="Times New Roman" w:hAnsi="Times New Roman" w:eastAsia="宋体" w:cs="宋体"/>
              </w:rPr>
              <w:t>，</w:t>
            </w:r>
            <w:r>
              <w:rPr>
                <w:rFonts w:ascii="Times New Roman" w:hAnsi="Times New Roman" w:eastAsia="宋体" w:cs="宋体"/>
              </w:rPr>
              <w:t>本项目所在区域空气质量达标区判定情况见表</w:t>
            </w:r>
            <w:r>
              <w:rPr>
                <w:rFonts w:hint="eastAsia" w:ascii="Times New Roman" w:hAnsi="Times New Roman" w:eastAsia="宋体" w:cs="宋体"/>
              </w:rPr>
              <w:t>3.1-1</w:t>
            </w:r>
            <w:r>
              <w:rPr>
                <w:rFonts w:ascii="Times New Roman" w:hAnsi="Times New Roman" w:eastAsia="宋体" w:cs="宋体"/>
              </w:rPr>
              <w:t>。</w:t>
            </w:r>
          </w:p>
          <w:p>
            <w:pPr>
              <w:spacing w:line="360" w:lineRule="auto"/>
              <w:jc w:val="center"/>
              <w:rPr>
                <w:rFonts w:ascii="Times New Roman" w:hAnsi="Times New Roman" w:eastAsia="宋体" w:cs="宋体"/>
                <w:b/>
                <w:bCs/>
              </w:rPr>
            </w:pPr>
            <w:r>
              <w:rPr>
                <w:rFonts w:ascii="Times New Roman" w:hAnsi="Times New Roman" w:eastAsia="宋体" w:cs="宋体"/>
                <w:b/>
                <w:bCs/>
              </w:rPr>
              <w:t>表</w:t>
            </w:r>
            <w:r>
              <w:rPr>
                <w:rFonts w:hint="eastAsia" w:ascii="Times New Roman" w:hAnsi="Times New Roman" w:eastAsia="宋体" w:cs="宋体"/>
                <w:b/>
                <w:bCs/>
              </w:rPr>
              <w:t>3.1-1</w:t>
            </w:r>
            <w:r>
              <w:rPr>
                <w:rFonts w:hint="eastAsia" w:ascii="Times New Roman" w:hAnsi="Times New Roman" w:eastAsia="宋体" w:cs="宋体"/>
                <w:b/>
                <w:bCs/>
                <w:lang w:val="en-US" w:eastAsia="zh-CN"/>
              </w:rPr>
              <w:t xml:space="preserve">  </w:t>
            </w:r>
            <w:r>
              <w:rPr>
                <w:rFonts w:ascii="Times New Roman" w:hAnsi="Times New Roman" w:eastAsia="宋体" w:cs="宋体"/>
                <w:b/>
                <w:bCs/>
              </w:rPr>
              <w:t>区域空气质量现状评价表</w:t>
            </w:r>
            <w:r>
              <w:rPr>
                <w:rFonts w:hint="eastAsia" w:ascii="Times New Roman" w:hAnsi="Times New Roman" w:eastAsia="宋体" w:cs="宋体"/>
                <w:b/>
                <w:bCs/>
              </w:rPr>
              <w:t xml:space="preserve">  </w:t>
            </w:r>
            <w:r>
              <w:rPr>
                <w:rFonts w:ascii="Times New Roman" w:hAnsi="Times New Roman" w:eastAsia="宋体" w:cs="宋体"/>
                <w:b/>
                <w:bCs/>
              </w:rPr>
              <w:t>单位：μg/m</w:t>
            </w:r>
            <w:r>
              <w:rPr>
                <w:rFonts w:ascii="Times New Roman" w:hAnsi="Times New Roman" w:eastAsia="宋体" w:cs="宋体"/>
                <w:b/>
                <w:bCs/>
                <w:vertAlign w:val="superscript"/>
              </w:rPr>
              <w:t>3</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1"/>
              <w:gridCol w:w="829"/>
              <w:gridCol w:w="2290"/>
              <w:gridCol w:w="1443"/>
              <w:gridCol w:w="1145"/>
              <w:gridCol w:w="1135"/>
              <w:gridCol w:w="1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dxa"/>
                  <w:vAlign w:val="center"/>
                </w:tcPr>
                <w:p>
                  <w:pPr>
                    <w:kinsoku w:val="0"/>
                    <w:overflowPunct w:val="0"/>
                    <w:autoSpaceDE w:val="0"/>
                    <w:autoSpaceDN w:val="0"/>
                    <w:jc w:val="center"/>
                    <w:rPr>
                      <w:rFonts w:ascii="Times New Roman" w:hAnsi="Times New Roman" w:eastAsia="宋体" w:cs="宋体"/>
                      <w:b/>
                      <w:bCs/>
                      <w:sz w:val="21"/>
                      <w:szCs w:val="21"/>
                    </w:rPr>
                  </w:pPr>
                  <w:r>
                    <w:rPr>
                      <w:rFonts w:ascii="Times New Roman" w:hAnsi="Times New Roman" w:eastAsia="宋体" w:cs="宋体"/>
                      <w:b/>
                      <w:bCs/>
                      <w:sz w:val="21"/>
                      <w:szCs w:val="21"/>
                    </w:rPr>
                    <w:t>序号</w:t>
                  </w:r>
                </w:p>
              </w:tc>
              <w:tc>
                <w:tcPr>
                  <w:tcW w:w="829" w:type="dxa"/>
                  <w:vAlign w:val="center"/>
                </w:tcPr>
                <w:p>
                  <w:pPr>
                    <w:kinsoku w:val="0"/>
                    <w:overflowPunct w:val="0"/>
                    <w:autoSpaceDE w:val="0"/>
                    <w:autoSpaceDN w:val="0"/>
                    <w:jc w:val="center"/>
                    <w:rPr>
                      <w:rFonts w:ascii="Times New Roman" w:hAnsi="Times New Roman" w:eastAsia="宋体" w:cs="宋体"/>
                      <w:b/>
                      <w:bCs/>
                      <w:sz w:val="21"/>
                      <w:szCs w:val="21"/>
                    </w:rPr>
                  </w:pPr>
                  <w:r>
                    <w:rPr>
                      <w:rFonts w:ascii="Times New Roman" w:hAnsi="Times New Roman" w:eastAsia="宋体" w:cs="宋体"/>
                      <w:b/>
                      <w:bCs/>
                      <w:sz w:val="21"/>
                      <w:szCs w:val="21"/>
                    </w:rPr>
                    <w:t>项目</w:t>
                  </w:r>
                </w:p>
              </w:tc>
              <w:tc>
                <w:tcPr>
                  <w:tcW w:w="2290" w:type="dxa"/>
                  <w:vAlign w:val="center"/>
                </w:tcPr>
                <w:p>
                  <w:pPr>
                    <w:kinsoku w:val="0"/>
                    <w:overflowPunct w:val="0"/>
                    <w:autoSpaceDE w:val="0"/>
                    <w:autoSpaceDN w:val="0"/>
                    <w:jc w:val="center"/>
                    <w:rPr>
                      <w:rFonts w:ascii="Times New Roman" w:hAnsi="Times New Roman" w:eastAsia="宋体" w:cs="宋体"/>
                      <w:b/>
                      <w:bCs/>
                      <w:sz w:val="21"/>
                      <w:szCs w:val="21"/>
                    </w:rPr>
                  </w:pPr>
                  <w:r>
                    <w:rPr>
                      <w:rFonts w:ascii="Times New Roman" w:hAnsi="Times New Roman" w:eastAsia="宋体" w:cs="宋体"/>
                      <w:b/>
                      <w:bCs/>
                      <w:sz w:val="21"/>
                      <w:szCs w:val="21"/>
                    </w:rPr>
                    <w:t>平均时间</w:t>
                  </w:r>
                </w:p>
              </w:tc>
              <w:tc>
                <w:tcPr>
                  <w:tcW w:w="1443" w:type="dxa"/>
                  <w:vAlign w:val="center"/>
                </w:tcPr>
                <w:p>
                  <w:pPr>
                    <w:kinsoku w:val="0"/>
                    <w:overflowPunct w:val="0"/>
                    <w:autoSpaceDE w:val="0"/>
                    <w:autoSpaceDN w:val="0"/>
                    <w:jc w:val="center"/>
                    <w:rPr>
                      <w:rFonts w:ascii="Times New Roman" w:hAnsi="Times New Roman" w:eastAsia="宋体" w:cs="宋体"/>
                      <w:b/>
                      <w:bCs/>
                      <w:sz w:val="21"/>
                      <w:szCs w:val="21"/>
                    </w:rPr>
                  </w:pPr>
                  <w:r>
                    <w:rPr>
                      <w:rFonts w:ascii="Times New Roman" w:hAnsi="Times New Roman" w:eastAsia="宋体" w:cs="宋体"/>
                      <w:b/>
                      <w:bCs/>
                      <w:sz w:val="21"/>
                      <w:szCs w:val="21"/>
                    </w:rPr>
                    <w:t>标准值</w:t>
                  </w:r>
                </w:p>
              </w:tc>
              <w:tc>
                <w:tcPr>
                  <w:tcW w:w="1145" w:type="dxa"/>
                  <w:vAlign w:val="center"/>
                </w:tcPr>
                <w:p>
                  <w:pPr>
                    <w:kinsoku w:val="0"/>
                    <w:overflowPunct w:val="0"/>
                    <w:autoSpaceDE w:val="0"/>
                    <w:autoSpaceDN w:val="0"/>
                    <w:jc w:val="center"/>
                    <w:rPr>
                      <w:rFonts w:ascii="Times New Roman" w:hAnsi="Times New Roman" w:eastAsia="宋体" w:cs="宋体"/>
                      <w:b/>
                      <w:bCs/>
                      <w:sz w:val="21"/>
                      <w:szCs w:val="21"/>
                    </w:rPr>
                  </w:pPr>
                  <w:r>
                    <w:rPr>
                      <w:rFonts w:hint="eastAsia" w:ascii="Times New Roman" w:hAnsi="Times New Roman" w:eastAsia="宋体" w:cs="宋体"/>
                      <w:b/>
                      <w:bCs/>
                      <w:sz w:val="21"/>
                      <w:szCs w:val="21"/>
                    </w:rPr>
                    <w:t>现状浓度</w:t>
                  </w:r>
                </w:p>
              </w:tc>
              <w:tc>
                <w:tcPr>
                  <w:tcW w:w="1135" w:type="dxa"/>
                  <w:vAlign w:val="center"/>
                </w:tcPr>
                <w:p>
                  <w:pPr>
                    <w:kinsoku w:val="0"/>
                    <w:overflowPunct w:val="0"/>
                    <w:autoSpaceDE w:val="0"/>
                    <w:autoSpaceDN w:val="0"/>
                    <w:jc w:val="center"/>
                    <w:rPr>
                      <w:rFonts w:ascii="Times New Roman" w:hAnsi="Times New Roman" w:eastAsia="宋体" w:cs="宋体"/>
                      <w:b/>
                      <w:bCs/>
                      <w:sz w:val="21"/>
                      <w:szCs w:val="21"/>
                    </w:rPr>
                  </w:pPr>
                  <w:r>
                    <w:rPr>
                      <w:rFonts w:ascii="Times New Roman" w:hAnsi="Times New Roman" w:eastAsia="宋体" w:cs="宋体"/>
                      <w:b/>
                      <w:bCs/>
                      <w:sz w:val="21"/>
                      <w:szCs w:val="21"/>
                    </w:rPr>
                    <w:t>占标率%</w:t>
                  </w:r>
                </w:p>
              </w:tc>
              <w:tc>
                <w:tcPr>
                  <w:tcW w:w="1031" w:type="dxa"/>
                  <w:vAlign w:val="center"/>
                </w:tcPr>
                <w:p>
                  <w:pPr>
                    <w:kinsoku w:val="0"/>
                    <w:overflowPunct w:val="0"/>
                    <w:autoSpaceDE w:val="0"/>
                    <w:autoSpaceDN w:val="0"/>
                    <w:jc w:val="center"/>
                    <w:rPr>
                      <w:rFonts w:ascii="Times New Roman" w:hAnsi="Times New Roman" w:eastAsia="宋体" w:cs="宋体"/>
                      <w:b/>
                      <w:bCs/>
                      <w:sz w:val="21"/>
                      <w:szCs w:val="21"/>
                    </w:rPr>
                  </w:pPr>
                  <w:r>
                    <w:rPr>
                      <w:rFonts w:ascii="Times New Roman" w:hAnsi="Times New Roman" w:eastAsia="宋体" w:cs="宋体"/>
                      <w:b/>
                      <w:bCs/>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1</w:t>
                  </w:r>
                </w:p>
              </w:tc>
              <w:tc>
                <w:tcPr>
                  <w:tcW w:w="829"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2</w:t>
                  </w:r>
                </w:p>
              </w:tc>
              <w:tc>
                <w:tcPr>
                  <w:tcW w:w="2290"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年平均</w:t>
                  </w:r>
                </w:p>
              </w:tc>
              <w:tc>
                <w:tcPr>
                  <w:tcW w:w="1443"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hint="eastAsia" w:ascii="Times New Roman" w:hAnsi="宋体" w:eastAsia="宋体" w:cs="Times New Roman"/>
                      <w:sz w:val="21"/>
                      <w:szCs w:val="21"/>
                    </w:rPr>
                    <w:t>60</w:t>
                  </w:r>
                </w:p>
              </w:tc>
              <w:tc>
                <w:tcPr>
                  <w:tcW w:w="1145" w:type="dxa"/>
                  <w:vAlign w:val="center"/>
                </w:tcPr>
                <w:p>
                  <w:pPr>
                    <w:adjustRightInd w:val="0"/>
                    <w:spacing w:line="320" w:lineRule="atLeast"/>
                    <w:jc w:val="center"/>
                    <w:textAlignment w:val="baseline"/>
                    <w:rPr>
                      <w:rFonts w:hint="eastAsia" w:ascii="Times New Roman" w:hAnsi="Times New Roman" w:eastAsia="宋体" w:cs="Times New Roman"/>
                      <w:color w:val="000000"/>
                      <w:sz w:val="21"/>
                      <w:szCs w:val="21"/>
                      <w:lang w:eastAsia="zh-CN"/>
                    </w:rPr>
                  </w:pPr>
                  <w:r>
                    <w:rPr>
                      <w:rFonts w:hint="eastAsia" w:hAnsi="宋体" w:cs="Times New Roman"/>
                      <w:sz w:val="21"/>
                      <w:szCs w:val="21"/>
                      <w:lang w:val="en-US" w:eastAsia="zh-CN"/>
                    </w:rPr>
                    <w:t>9</w:t>
                  </w:r>
                </w:p>
              </w:tc>
              <w:tc>
                <w:tcPr>
                  <w:tcW w:w="1135" w:type="dxa"/>
                  <w:vAlign w:val="center"/>
                </w:tcPr>
                <w:p>
                  <w:pPr>
                    <w:adjustRightInd w:val="0"/>
                    <w:spacing w:line="320" w:lineRule="atLeast"/>
                    <w:jc w:val="center"/>
                    <w:textAlignment w:val="baseline"/>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 xml:space="preserve">15.00 </w:t>
                  </w:r>
                </w:p>
              </w:tc>
              <w:tc>
                <w:tcPr>
                  <w:tcW w:w="1031"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2</w:t>
                  </w:r>
                </w:p>
              </w:tc>
              <w:tc>
                <w:tcPr>
                  <w:tcW w:w="829"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NO</w:t>
                  </w:r>
                  <w:r>
                    <w:rPr>
                      <w:rFonts w:ascii="Times New Roman" w:hAnsi="Times New Roman" w:eastAsia="宋体" w:cs="Times New Roman"/>
                      <w:sz w:val="21"/>
                      <w:szCs w:val="21"/>
                      <w:vertAlign w:val="subscript"/>
                    </w:rPr>
                    <w:t>2</w:t>
                  </w:r>
                </w:p>
              </w:tc>
              <w:tc>
                <w:tcPr>
                  <w:tcW w:w="2290"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年平均</w:t>
                  </w:r>
                </w:p>
              </w:tc>
              <w:tc>
                <w:tcPr>
                  <w:tcW w:w="1443"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hint="eastAsia" w:ascii="Times New Roman" w:hAnsi="宋体" w:eastAsia="宋体" w:cs="Times New Roman"/>
                      <w:sz w:val="21"/>
                      <w:szCs w:val="21"/>
                    </w:rPr>
                    <w:t>40</w:t>
                  </w:r>
                </w:p>
              </w:tc>
              <w:tc>
                <w:tcPr>
                  <w:tcW w:w="1145" w:type="dxa"/>
                  <w:vAlign w:val="center"/>
                </w:tcPr>
                <w:p>
                  <w:pPr>
                    <w:adjustRightInd w:val="0"/>
                    <w:spacing w:line="320" w:lineRule="atLeast"/>
                    <w:jc w:val="center"/>
                    <w:textAlignment w:val="baseline"/>
                    <w:rPr>
                      <w:rFonts w:hint="default" w:ascii="Times New Roman" w:hAnsi="Times New Roman" w:eastAsia="宋体" w:cs="Times New Roman"/>
                      <w:color w:val="000000"/>
                      <w:sz w:val="21"/>
                      <w:szCs w:val="21"/>
                      <w:lang w:val="en-US" w:eastAsia="zh-CN"/>
                    </w:rPr>
                  </w:pPr>
                  <w:r>
                    <w:rPr>
                      <w:rFonts w:hint="eastAsia" w:hAnsi="宋体" w:cs="Times New Roman"/>
                      <w:sz w:val="21"/>
                      <w:szCs w:val="21"/>
                      <w:lang w:val="en-US" w:eastAsia="zh-CN"/>
                    </w:rPr>
                    <w:t>28</w:t>
                  </w:r>
                </w:p>
              </w:tc>
              <w:tc>
                <w:tcPr>
                  <w:tcW w:w="1135" w:type="dxa"/>
                  <w:vAlign w:val="center"/>
                </w:tcPr>
                <w:p>
                  <w:pPr>
                    <w:adjustRightInd w:val="0"/>
                    <w:spacing w:line="320" w:lineRule="atLeast"/>
                    <w:jc w:val="center"/>
                    <w:textAlignment w:val="baseline"/>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 xml:space="preserve">70.00 </w:t>
                  </w:r>
                </w:p>
              </w:tc>
              <w:tc>
                <w:tcPr>
                  <w:tcW w:w="1031"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hint="eastAsia" w:ascii="Times New Roman" w:hAnsi="Times New Roman" w:eastAsia="宋体"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3</w:t>
                  </w:r>
                </w:p>
              </w:tc>
              <w:tc>
                <w:tcPr>
                  <w:tcW w:w="829"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10</w:t>
                  </w:r>
                </w:p>
              </w:tc>
              <w:tc>
                <w:tcPr>
                  <w:tcW w:w="2290"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年平均</w:t>
                  </w:r>
                </w:p>
              </w:tc>
              <w:tc>
                <w:tcPr>
                  <w:tcW w:w="1443"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hint="eastAsia" w:ascii="Times New Roman" w:hAnsi="宋体" w:eastAsia="宋体" w:cs="Times New Roman"/>
                      <w:sz w:val="21"/>
                      <w:szCs w:val="21"/>
                    </w:rPr>
                    <w:t>70</w:t>
                  </w:r>
                </w:p>
              </w:tc>
              <w:tc>
                <w:tcPr>
                  <w:tcW w:w="1145" w:type="dxa"/>
                  <w:vAlign w:val="center"/>
                </w:tcPr>
                <w:p>
                  <w:pPr>
                    <w:adjustRightInd w:val="0"/>
                    <w:spacing w:line="320" w:lineRule="atLeast"/>
                    <w:jc w:val="center"/>
                    <w:textAlignment w:val="baseline"/>
                    <w:rPr>
                      <w:rFonts w:hint="default" w:ascii="Times New Roman" w:hAnsi="Times New Roman" w:eastAsia="宋体" w:cs="Times New Roman"/>
                      <w:color w:val="000000"/>
                      <w:sz w:val="21"/>
                      <w:szCs w:val="21"/>
                      <w:lang w:val="en-US" w:eastAsia="zh-CN"/>
                    </w:rPr>
                  </w:pPr>
                  <w:r>
                    <w:rPr>
                      <w:rFonts w:hint="eastAsia" w:hAnsi="宋体" w:cs="Times New Roman"/>
                      <w:sz w:val="21"/>
                      <w:szCs w:val="21"/>
                      <w:lang w:val="en-US" w:eastAsia="zh-CN"/>
                    </w:rPr>
                    <w:t>70</w:t>
                  </w:r>
                </w:p>
              </w:tc>
              <w:tc>
                <w:tcPr>
                  <w:tcW w:w="1135" w:type="dxa"/>
                  <w:vAlign w:val="center"/>
                </w:tcPr>
                <w:p>
                  <w:pPr>
                    <w:adjustRightInd w:val="0"/>
                    <w:spacing w:line="320" w:lineRule="atLeast"/>
                    <w:jc w:val="center"/>
                    <w:textAlignment w:val="baseline"/>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 xml:space="preserve">100.00 </w:t>
                  </w:r>
                </w:p>
              </w:tc>
              <w:tc>
                <w:tcPr>
                  <w:tcW w:w="1031"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hint="eastAsia" w:ascii="Times New Roman" w:hAnsi="Times New Roman" w:eastAsia="宋体"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4</w:t>
                  </w:r>
                </w:p>
              </w:tc>
              <w:tc>
                <w:tcPr>
                  <w:tcW w:w="829"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2.5</w:t>
                  </w:r>
                </w:p>
              </w:tc>
              <w:tc>
                <w:tcPr>
                  <w:tcW w:w="2290"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年平均</w:t>
                  </w:r>
                </w:p>
              </w:tc>
              <w:tc>
                <w:tcPr>
                  <w:tcW w:w="1443"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hint="eastAsia" w:ascii="Times New Roman" w:hAnsi="宋体" w:eastAsia="宋体" w:cs="Times New Roman"/>
                      <w:sz w:val="21"/>
                      <w:szCs w:val="21"/>
                    </w:rPr>
                    <w:t>35</w:t>
                  </w:r>
                </w:p>
              </w:tc>
              <w:tc>
                <w:tcPr>
                  <w:tcW w:w="1145" w:type="dxa"/>
                  <w:vAlign w:val="center"/>
                </w:tcPr>
                <w:p>
                  <w:pPr>
                    <w:adjustRightInd w:val="0"/>
                    <w:spacing w:line="320" w:lineRule="atLeast"/>
                    <w:jc w:val="center"/>
                    <w:textAlignment w:val="baseline"/>
                    <w:rPr>
                      <w:rFonts w:hint="default" w:ascii="Times New Roman" w:hAnsi="Times New Roman" w:eastAsia="宋体" w:cs="Times New Roman"/>
                      <w:color w:val="000000"/>
                      <w:sz w:val="21"/>
                      <w:szCs w:val="21"/>
                      <w:lang w:val="en-US" w:eastAsia="zh-CN"/>
                    </w:rPr>
                  </w:pPr>
                  <w:r>
                    <w:rPr>
                      <w:rFonts w:hint="eastAsia" w:hAnsi="宋体" w:cs="Times New Roman"/>
                      <w:sz w:val="21"/>
                      <w:szCs w:val="21"/>
                      <w:lang w:val="en-US" w:eastAsia="zh-CN"/>
                    </w:rPr>
                    <w:t>44</w:t>
                  </w:r>
                </w:p>
              </w:tc>
              <w:tc>
                <w:tcPr>
                  <w:tcW w:w="1135" w:type="dxa"/>
                  <w:vAlign w:val="center"/>
                </w:tcPr>
                <w:p>
                  <w:pPr>
                    <w:adjustRightInd w:val="0"/>
                    <w:spacing w:line="320" w:lineRule="atLeast"/>
                    <w:jc w:val="center"/>
                    <w:textAlignment w:val="baseline"/>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 xml:space="preserve">125.71 </w:t>
                  </w:r>
                </w:p>
              </w:tc>
              <w:tc>
                <w:tcPr>
                  <w:tcW w:w="1031"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hint="eastAsia" w:ascii="Times New Roman" w:hAnsi="Times New Roman" w:eastAsia="宋体" w:cs="Times New Roman"/>
                      <w:sz w:val="21"/>
                      <w:szCs w:val="21"/>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5</w:t>
                  </w:r>
                </w:p>
              </w:tc>
              <w:tc>
                <w:tcPr>
                  <w:tcW w:w="829"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CO</w:t>
                  </w:r>
                </w:p>
              </w:tc>
              <w:tc>
                <w:tcPr>
                  <w:tcW w:w="2290"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95百分位24小时平均</w:t>
                  </w:r>
                </w:p>
              </w:tc>
              <w:tc>
                <w:tcPr>
                  <w:tcW w:w="1443"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4</w:t>
                  </w:r>
                  <w:r>
                    <w:rPr>
                      <w:rFonts w:hint="eastAsia" w:ascii="Times New Roman" w:hAnsi="宋体" w:eastAsia="宋体" w:cs="Times New Roman"/>
                      <w:sz w:val="21"/>
                      <w:szCs w:val="21"/>
                    </w:rPr>
                    <w:t>000</w:t>
                  </w:r>
                </w:p>
              </w:tc>
              <w:tc>
                <w:tcPr>
                  <w:tcW w:w="1145" w:type="dxa"/>
                  <w:vAlign w:val="center"/>
                </w:tcPr>
                <w:p>
                  <w:pPr>
                    <w:adjustRightInd w:val="0"/>
                    <w:spacing w:line="320" w:lineRule="atLeast"/>
                    <w:jc w:val="center"/>
                    <w:textAlignment w:val="baseline"/>
                    <w:rPr>
                      <w:rFonts w:hint="default" w:ascii="Times New Roman" w:hAnsi="Times New Roman" w:eastAsia="宋体" w:cs="Times New Roman"/>
                      <w:color w:val="000000"/>
                      <w:sz w:val="21"/>
                      <w:szCs w:val="21"/>
                      <w:lang w:val="en-US" w:eastAsia="zh-CN"/>
                    </w:rPr>
                  </w:pPr>
                  <w:r>
                    <w:rPr>
                      <w:rFonts w:hint="eastAsia" w:hAnsi="宋体" w:cs="Times New Roman"/>
                      <w:sz w:val="21"/>
                      <w:szCs w:val="21"/>
                      <w:lang w:val="en-US" w:eastAsia="zh-CN"/>
                    </w:rPr>
                    <w:t>700</w:t>
                  </w:r>
                </w:p>
              </w:tc>
              <w:tc>
                <w:tcPr>
                  <w:tcW w:w="1135" w:type="dxa"/>
                  <w:vAlign w:val="center"/>
                </w:tcPr>
                <w:p>
                  <w:pPr>
                    <w:adjustRightInd w:val="0"/>
                    <w:spacing w:line="320" w:lineRule="atLeast"/>
                    <w:jc w:val="center"/>
                    <w:textAlignment w:val="baseline"/>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 xml:space="preserve">17.50 </w:t>
                  </w:r>
                </w:p>
              </w:tc>
              <w:tc>
                <w:tcPr>
                  <w:tcW w:w="1031"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6</w:t>
                  </w:r>
                </w:p>
              </w:tc>
              <w:tc>
                <w:tcPr>
                  <w:tcW w:w="829"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p>
              </w:tc>
              <w:tc>
                <w:tcPr>
                  <w:tcW w:w="2290"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90百分位8小时平均</w:t>
                  </w:r>
                </w:p>
              </w:tc>
              <w:tc>
                <w:tcPr>
                  <w:tcW w:w="1443"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hint="eastAsia" w:ascii="Times New Roman" w:hAnsi="宋体" w:eastAsia="宋体" w:cs="Times New Roman"/>
                      <w:sz w:val="21"/>
                      <w:szCs w:val="21"/>
                    </w:rPr>
                    <w:t>160</w:t>
                  </w:r>
                </w:p>
              </w:tc>
              <w:tc>
                <w:tcPr>
                  <w:tcW w:w="1145" w:type="dxa"/>
                  <w:vAlign w:val="center"/>
                </w:tcPr>
                <w:p>
                  <w:pPr>
                    <w:adjustRightInd w:val="0"/>
                    <w:spacing w:line="320" w:lineRule="atLeast"/>
                    <w:jc w:val="center"/>
                    <w:textAlignment w:val="baseline"/>
                    <w:rPr>
                      <w:rFonts w:hint="default" w:ascii="Times New Roman" w:hAnsi="Times New Roman" w:eastAsia="宋体" w:cs="Times New Roman"/>
                      <w:color w:val="000000"/>
                      <w:sz w:val="21"/>
                      <w:szCs w:val="21"/>
                      <w:lang w:val="en-US" w:eastAsia="zh-CN"/>
                    </w:rPr>
                  </w:pPr>
                  <w:r>
                    <w:rPr>
                      <w:rFonts w:hint="eastAsia" w:hAnsi="宋体" w:cs="Times New Roman"/>
                      <w:sz w:val="21"/>
                      <w:szCs w:val="21"/>
                      <w:lang w:val="en-US" w:eastAsia="zh-CN"/>
                    </w:rPr>
                    <w:t>92</w:t>
                  </w:r>
                </w:p>
              </w:tc>
              <w:tc>
                <w:tcPr>
                  <w:tcW w:w="1135" w:type="dxa"/>
                  <w:vAlign w:val="center"/>
                </w:tcPr>
                <w:p>
                  <w:pPr>
                    <w:adjustRightInd w:val="0"/>
                    <w:spacing w:line="320" w:lineRule="atLeast"/>
                    <w:jc w:val="center"/>
                    <w:textAlignment w:val="baseline"/>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 xml:space="preserve">57.50 </w:t>
                  </w:r>
                </w:p>
              </w:tc>
              <w:tc>
                <w:tcPr>
                  <w:tcW w:w="1031" w:type="dxa"/>
                  <w:vAlign w:val="center"/>
                </w:tcPr>
                <w:p>
                  <w:pPr>
                    <w:adjustRightInd w:val="0"/>
                    <w:spacing w:line="320" w:lineRule="atLeast"/>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sz w:val="21"/>
                      <w:szCs w:val="21"/>
                    </w:rPr>
                    <w:t>达标</w:t>
                  </w:r>
                </w:p>
              </w:tc>
            </w:tr>
          </w:tbl>
          <w:p>
            <w:pPr>
              <w:adjustRightInd w:val="0"/>
              <w:spacing w:line="360" w:lineRule="auto"/>
              <w:ind w:firstLine="480" w:firstLineChars="200"/>
              <w:jc w:val="left"/>
              <w:textAlignment w:val="baseline"/>
              <w:rPr>
                <w:rFonts w:ascii="Times New Roman" w:hAnsi="Times New Roman" w:eastAsia="宋体" w:cs="Times New Roman"/>
                <w:b/>
                <w:bCs/>
                <w:szCs w:val="24"/>
                <w:vertAlign w:val="superscript"/>
              </w:rPr>
            </w:pPr>
            <w:r>
              <w:rPr>
                <w:rFonts w:ascii="Times New Roman" w:hAnsi="Times New Roman" w:eastAsia="宋体" w:cs="Times New Roman"/>
                <w:kern w:val="2"/>
                <w:szCs w:val="24"/>
              </w:rPr>
              <w:t>根据《环境空气质量评价技术规范（试行）》（HJ663-2013），按照2013年以来全国环境质量报告书采用的达标评价方法，目前只考虑</w:t>
            </w:r>
            <w:r>
              <w:rPr>
                <w:rFonts w:ascii="Times New Roman" w:hAnsi="Times New Roman" w:eastAsia="宋体" w:cs="Times New Roman"/>
                <w:szCs w:val="24"/>
              </w:rPr>
              <w:t>SO</w:t>
            </w:r>
            <w:r>
              <w:rPr>
                <w:rFonts w:ascii="Times New Roman" w:hAnsi="Times New Roman" w:eastAsia="宋体" w:cs="Times New Roman"/>
                <w:szCs w:val="24"/>
                <w:vertAlign w:val="subscript"/>
              </w:rPr>
              <w:t>2</w:t>
            </w:r>
            <w:r>
              <w:rPr>
                <w:rFonts w:ascii="Times New Roman" w:hAnsi="Times New Roman" w:eastAsia="宋体" w:cs="Times New Roman"/>
                <w:szCs w:val="24"/>
              </w:rPr>
              <w:t>、NO</w:t>
            </w:r>
            <w:r>
              <w:rPr>
                <w:rFonts w:ascii="Times New Roman" w:hAnsi="Times New Roman" w:eastAsia="宋体" w:cs="Times New Roman"/>
                <w:szCs w:val="24"/>
                <w:vertAlign w:val="subscript"/>
              </w:rPr>
              <w:t>2</w:t>
            </w:r>
            <w:r>
              <w:rPr>
                <w:rFonts w:ascii="Times New Roman" w:hAnsi="Times New Roman" w:eastAsia="宋体" w:cs="Times New Roman"/>
                <w:szCs w:val="24"/>
              </w:rPr>
              <w:t>、PM</w:t>
            </w:r>
            <w:r>
              <w:rPr>
                <w:rFonts w:ascii="Times New Roman" w:hAnsi="Times New Roman" w:eastAsia="宋体" w:cs="Times New Roman"/>
                <w:szCs w:val="24"/>
                <w:vertAlign w:val="subscript"/>
              </w:rPr>
              <w:t>10</w:t>
            </w:r>
            <w:r>
              <w:rPr>
                <w:rFonts w:ascii="Times New Roman" w:hAnsi="Times New Roman" w:eastAsia="宋体" w:cs="Times New Roman"/>
                <w:szCs w:val="24"/>
              </w:rPr>
              <w:t>、PM</w:t>
            </w:r>
            <w:r>
              <w:rPr>
                <w:rFonts w:ascii="Times New Roman" w:hAnsi="Times New Roman" w:eastAsia="宋体" w:cs="Times New Roman"/>
                <w:szCs w:val="24"/>
                <w:vertAlign w:val="subscript"/>
              </w:rPr>
              <w:t>2.5</w:t>
            </w:r>
            <w:r>
              <w:rPr>
                <w:rFonts w:ascii="Times New Roman" w:hAnsi="Times New Roman" w:eastAsia="宋体" w:cs="Times New Roman"/>
                <w:kern w:val="2"/>
                <w:szCs w:val="24"/>
              </w:rPr>
              <w:t>年平均浓度和CO、O</w:t>
            </w:r>
            <w:r>
              <w:rPr>
                <w:rFonts w:ascii="Times New Roman" w:hAnsi="Times New Roman" w:eastAsia="宋体" w:cs="Times New Roman"/>
                <w:kern w:val="2"/>
                <w:szCs w:val="24"/>
                <w:vertAlign w:val="subscript"/>
              </w:rPr>
              <w:t>3</w:t>
            </w:r>
            <w:r>
              <w:rPr>
                <w:rFonts w:ascii="Times New Roman" w:hAnsi="Times New Roman" w:eastAsia="宋体" w:cs="Times New Roman"/>
                <w:kern w:val="2"/>
                <w:szCs w:val="24"/>
              </w:rPr>
              <w:t>百分位浓度的达标情况。</w:t>
            </w:r>
          </w:p>
          <w:p>
            <w:pPr>
              <w:spacing w:line="360" w:lineRule="auto"/>
              <w:ind w:firstLine="480" w:firstLineChars="200"/>
              <w:rPr>
                <w:rFonts w:ascii="Times New Roman" w:hAnsi="Times New Roman" w:eastAsia="宋体" w:cs="Times New Roman"/>
                <w:kern w:val="2"/>
                <w:szCs w:val="24"/>
              </w:rPr>
            </w:pPr>
            <w:r>
              <w:rPr>
                <w:rFonts w:ascii="Times New Roman" w:hAnsi="Times New Roman" w:eastAsia="宋体" w:cs="Times New Roman"/>
                <w:kern w:val="2"/>
                <w:szCs w:val="24"/>
              </w:rPr>
              <w:t>由评价结果来看，</w:t>
            </w:r>
            <w:r>
              <w:rPr>
                <w:rFonts w:hint="eastAsia" w:ascii="Times New Roman" w:hAnsi="Times New Roman" w:eastAsia="宋体" w:cs="Times New Roman"/>
                <w:kern w:val="2"/>
                <w:szCs w:val="24"/>
              </w:rPr>
              <w:t>SO</w:t>
            </w:r>
            <w:r>
              <w:rPr>
                <w:rFonts w:hint="eastAsia" w:ascii="Times New Roman" w:hAnsi="Times New Roman" w:eastAsia="宋体" w:cs="Times New Roman"/>
                <w:kern w:val="2"/>
                <w:szCs w:val="24"/>
                <w:vertAlign w:val="subscript"/>
              </w:rPr>
              <w:t>2</w:t>
            </w:r>
            <w:r>
              <w:rPr>
                <w:rFonts w:hint="eastAsia" w:ascii="Times New Roman" w:hAnsi="Times New Roman" w:eastAsia="宋体" w:cs="Times New Roman"/>
                <w:kern w:val="2"/>
                <w:szCs w:val="24"/>
              </w:rPr>
              <w:t>、</w:t>
            </w:r>
            <w:r>
              <w:rPr>
                <w:rFonts w:ascii="Times New Roman" w:hAnsi="Times New Roman" w:eastAsia="宋体" w:cs="Times New Roman"/>
                <w:szCs w:val="24"/>
              </w:rPr>
              <w:t>NO</w:t>
            </w:r>
            <w:r>
              <w:rPr>
                <w:rFonts w:ascii="Times New Roman" w:hAnsi="Times New Roman" w:eastAsia="宋体" w:cs="Times New Roman"/>
                <w:szCs w:val="24"/>
                <w:vertAlign w:val="subscript"/>
              </w:rPr>
              <w:t>2</w:t>
            </w:r>
            <w:r>
              <w:rPr>
                <w:rFonts w:hint="eastAsia" w:ascii="Times New Roman" w:hAnsi="Times New Roman" w:eastAsia="宋体" w:cs="Times New Roman"/>
                <w:sz w:val="21"/>
                <w:szCs w:val="21"/>
              </w:rPr>
              <w:t>、</w:t>
            </w:r>
            <w:r>
              <w:rPr>
                <w:rFonts w:ascii="Times New Roman" w:hAnsi="Times New Roman" w:eastAsia="宋体" w:cs="Times New Roman"/>
                <w:szCs w:val="24"/>
              </w:rPr>
              <w:t>PM</w:t>
            </w:r>
            <w:r>
              <w:rPr>
                <w:rFonts w:ascii="Times New Roman" w:hAnsi="Times New Roman" w:eastAsia="宋体" w:cs="Times New Roman"/>
                <w:szCs w:val="24"/>
                <w:vertAlign w:val="subscript"/>
              </w:rPr>
              <w:t>10</w:t>
            </w:r>
            <w:r>
              <w:rPr>
                <w:rFonts w:ascii="Times New Roman" w:hAnsi="Times New Roman" w:eastAsia="宋体" w:cs="Times New Roman"/>
                <w:szCs w:val="24"/>
              </w:rPr>
              <w:t>、</w:t>
            </w:r>
            <w:r>
              <w:rPr>
                <w:rFonts w:hint="eastAsia" w:ascii="Times New Roman" w:hAnsi="Times New Roman" w:eastAsia="宋体" w:cs="Times New Roman"/>
                <w:kern w:val="2"/>
                <w:szCs w:val="24"/>
              </w:rPr>
              <w:t>CO、O</w:t>
            </w:r>
            <w:r>
              <w:rPr>
                <w:rFonts w:hint="eastAsia" w:ascii="Times New Roman" w:hAnsi="Times New Roman" w:eastAsia="宋体" w:cs="Times New Roman"/>
                <w:kern w:val="2"/>
                <w:szCs w:val="24"/>
                <w:vertAlign w:val="subscript"/>
              </w:rPr>
              <w:t>3</w:t>
            </w:r>
            <w:r>
              <w:rPr>
                <w:rFonts w:ascii="Times New Roman" w:hAnsi="Times New Roman" w:eastAsia="宋体" w:cs="Times New Roman"/>
                <w:kern w:val="2"/>
                <w:szCs w:val="24"/>
              </w:rPr>
              <w:t>平均浓度均优于《环境空气质量标准》（GB3095-2012）中二级标准限值</w:t>
            </w:r>
            <w:r>
              <w:rPr>
                <w:rFonts w:hint="eastAsia" w:ascii="Times New Roman" w:hAnsi="Times New Roman" w:eastAsia="宋体" w:cs="Times New Roman"/>
                <w:kern w:val="2"/>
                <w:szCs w:val="24"/>
              </w:rPr>
              <w:t>，PM</w:t>
            </w:r>
            <w:r>
              <w:rPr>
                <w:rFonts w:hint="eastAsia" w:ascii="Times New Roman" w:hAnsi="Times New Roman" w:eastAsia="宋体" w:cs="Times New Roman"/>
                <w:kern w:val="2"/>
                <w:szCs w:val="24"/>
                <w:vertAlign w:val="subscript"/>
              </w:rPr>
              <w:t>2.5</w:t>
            </w:r>
            <w:r>
              <w:rPr>
                <w:rFonts w:hint="eastAsia" w:ascii="Times New Roman" w:hAnsi="Times New Roman" w:eastAsia="宋体" w:cs="Times New Roman"/>
                <w:kern w:val="2"/>
                <w:szCs w:val="24"/>
              </w:rPr>
              <w:t>超标，</w:t>
            </w:r>
            <w:r>
              <w:rPr>
                <w:rFonts w:ascii="Times New Roman" w:hAnsi="Times New Roman" w:eastAsia="宋体" w:cs="Times New Roman"/>
                <w:kern w:val="2"/>
                <w:szCs w:val="24"/>
              </w:rPr>
              <w:t>项目区为</w:t>
            </w:r>
            <w:r>
              <w:rPr>
                <w:rFonts w:hint="eastAsia" w:ascii="Times New Roman" w:hAnsi="Times New Roman" w:eastAsia="宋体" w:cs="Times New Roman"/>
                <w:kern w:val="2"/>
                <w:szCs w:val="24"/>
              </w:rPr>
              <w:t>空气质量非</w:t>
            </w:r>
            <w:r>
              <w:rPr>
                <w:rFonts w:ascii="Times New Roman" w:hAnsi="Times New Roman" w:eastAsia="宋体" w:cs="Times New Roman"/>
                <w:kern w:val="2"/>
                <w:szCs w:val="24"/>
              </w:rPr>
              <w:t>达标区。</w:t>
            </w:r>
          </w:p>
          <w:p>
            <w:pPr>
              <w:overflowPunct/>
              <w:autoSpaceDE/>
              <w:autoSpaceDN/>
              <w:bidi w:val="0"/>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③</w:t>
            </w:r>
            <w:r>
              <w:rPr>
                <w:rFonts w:hint="default" w:ascii="Times New Roman" w:hAnsi="Times New Roman" w:eastAsia="宋体" w:cs="宋体"/>
                <w:lang w:val="en-US" w:eastAsia="zh-CN"/>
              </w:rPr>
              <w:t>特征污染物环境质量现状调查</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宋体"/>
                <w:lang w:val="en-US" w:eastAsia="zh-CN"/>
              </w:rPr>
            </w:pPr>
            <w:r>
              <w:rPr>
                <w:rFonts w:hint="eastAsia" w:eastAsia="宋体" w:cs="宋体"/>
                <w:b w:val="0"/>
                <w:bCs w:val="0"/>
                <w:lang w:val="en-US" w:eastAsia="zh-CN"/>
              </w:rPr>
              <w:t>特征污染因子非甲烷总烃</w:t>
            </w:r>
            <w:r>
              <w:rPr>
                <w:rFonts w:hint="eastAsia" w:cs="宋体"/>
                <w:b w:val="0"/>
                <w:bCs w:val="0"/>
                <w:lang w:val="en-US" w:eastAsia="zh-CN"/>
              </w:rPr>
              <w:t>、颗粒物</w:t>
            </w:r>
            <w:r>
              <w:rPr>
                <w:rFonts w:hint="eastAsia" w:eastAsia="宋体" w:cs="宋体"/>
                <w:b w:val="0"/>
                <w:bCs w:val="0"/>
                <w:lang w:val="en-US" w:eastAsia="zh-CN"/>
              </w:rPr>
              <w:t>引用新疆环疆绿源环保科技有限公司于2023年3月20日至2023年3月22日对“新疆熙诚塑料制品有限公司年产2000吨橡塑环保设备项目”监测数据</w:t>
            </w:r>
            <w:r>
              <w:rPr>
                <w:rFonts w:hint="eastAsia" w:cs="宋体"/>
                <w:b w:val="0"/>
                <w:bCs w:val="0"/>
                <w:lang w:val="en-US" w:eastAsia="zh-CN"/>
              </w:rPr>
              <w:t>，</w:t>
            </w:r>
            <w:r>
              <w:rPr>
                <w:rFonts w:hint="eastAsia" w:ascii="Times New Roman" w:hAnsi="Times New Roman" w:eastAsia="宋体" w:cs="宋体"/>
                <w:b w:val="0"/>
                <w:bCs w:val="0"/>
                <w:lang w:val="en-US" w:eastAsia="zh-CN"/>
              </w:rPr>
              <w:t>位于建设项目周边5km范围内（</w:t>
            </w:r>
            <w:r>
              <w:rPr>
                <w:rFonts w:hint="default" w:ascii="Times New Roman" w:hAnsi="Times New Roman" w:eastAsia="宋体" w:cs="Times New Roman"/>
                <w:b w:val="0"/>
                <w:bCs w:val="0"/>
                <w:lang w:val="en-US" w:eastAsia="zh-CN"/>
              </w:rPr>
              <w:t>坐标为：E87°49′41.61″，N44°09′2.85″</w:t>
            </w:r>
            <w:r>
              <w:rPr>
                <w:rFonts w:hint="eastAsia" w:ascii="Times New Roman" w:hAnsi="Times New Roman" w:cs="宋体"/>
                <w:b w:val="0"/>
                <w:bCs w:val="0"/>
                <w:lang w:val="en-US" w:eastAsia="zh-CN"/>
              </w:rPr>
              <w:t>，</w:t>
            </w:r>
            <w:r>
              <w:rPr>
                <w:rFonts w:hint="eastAsia" w:ascii="Times New Roman" w:hAnsi="Times New Roman" w:eastAsia="宋体" w:cs="宋体"/>
                <w:b w:val="0"/>
                <w:bCs w:val="0"/>
                <w:lang w:val="en-US" w:eastAsia="zh-CN"/>
              </w:rPr>
              <w:t>位于建设项目</w:t>
            </w:r>
            <w:r>
              <w:rPr>
                <w:rFonts w:hint="eastAsia" w:ascii="Times New Roman" w:hAnsi="Times New Roman" w:cs="宋体"/>
                <w:b w:val="0"/>
                <w:bCs w:val="0"/>
                <w:lang w:val="en-US" w:eastAsia="zh-CN"/>
              </w:rPr>
              <w:t>西南</w:t>
            </w:r>
            <w:r>
              <w:rPr>
                <w:rFonts w:hint="eastAsia" w:ascii="Times New Roman" w:hAnsi="Times New Roman" w:eastAsia="宋体" w:cs="宋体"/>
                <w:b w:val="0"/>
                <w:bCs w:val="0"/>
                <w:lang w:val="en-US" w:eastAsia="zh-CN"/>
              </w:rPr>
              <w:t>侧1</w:t>
            </w:r>
            <w:r>
              <w:rPr>
                <w:rFonts w:hint="eastAsia" w:ascii="Times New Roman" w:hAnsi="Times New Roman" w:cs="宋体"/>
                <w:b w:val="0"/>
                <w:bCs w:val="0"/>
                <w:lang w:val="en-US" w:eastAsia="zh-CN"/>
              </w:rPr>
              <w:t>.4</w:t>
            </w:r>
            <w:r>
              <w:rPr>
                <w:rFonts w:hint="eastAsia" w:ascii="Times New Roman" w:hAnsi="Times New Roman" w:eastAsia="宋体" w:cs="宋体"/>
                <w:b w:val="0"/>
                <w:bCs w:val="0"/>
                <w:lang w:val="en-US" w:eastAsia="zh-CN"/>
              </w:rPr>
              <w:t>km</w:t>
            </w:r>
            <w:r>
              <w:rPr>
                <w:rFonts w:hint="eastAsia" w:ascii="Times New Roman" w:hAnsi="Times New Roman" w:cs="宋体"/>
                <w:b w:val="0"/>
                <w:bCs w:val="0"/>
                <w:lang w:val="en-US" w:eastAsia="zh-CN"/>
              </w:rPr>
              <w:t>）</w:t>
            </w:r>
            <w:r>
              <w:rPr>
                <w:rFonts w:hint="eastAsia" w:cs="宋体"/>
                <w:b w:val="0"/>
                <w:bCs w:val="0"/>
                <w:lang w:val="en-US" w:eastAsia="zh-CN"/>
              </w:rPr>
              <w:t>，符合</w:t>
            </w:r>
            <w:r>
              <w:rPr>
                <w:rFonts w:hint="eastAsia" w:ascii="Times New Roman" w:hAnsi="Times New Roman" w:eastAsia="宋体" w:cs="宋体"/>
              </w:rPr>
              <w:t>《建设项目环境影响报告表编制技术指南》（污染影响类）</w:t>
            </w:r>
            <w:r>
              <w:rPr>
                <w:rFonts w:hint="eastAsia" w:cs="宋体"/>
                <w:lang w:eastAsia="zh-CN"/>
              </w:rPr>
              <w:t>“引用建设项目周边5千米范围内近3年的现有监测数据”</w:t>
            </w:r>
            <w:r>
              <w:rPr>
                <w:rFonts w:hint="eastAsia" w:cs="宋体"/>
                <w:lang w:val="en-US" w:eastAsia="zh-CN"/>
              </w:rPr>
              <w:t>要求</w:t>
            </w:r>
            <w:r>
              <w:rPr>
                <w:rFonts w:hint="eastAsia" w:ascii="Times New Roman" w:hAnsi="Times New Roman" w:cs="宋体"/>
                <w:b w:val="0"/>
                <w:bCs w:val="0"/>
                <w:lang w:val="en-US" w:eastAsia="zh-CN"/>
              </w:rPr>
              <w:t>，</w:t>
            </w:r>
            <w:r>
              <w:rPr>
                <w:rFonts w:hint="eastAsia" w:ascii="Times New Roman" w:hAnsi="Times New Roman" w:eastAsia="宋体" w:cs="宋体"/>
                <w:lang w:val="en-US" w:eastAsia="zh-CN"/>
              </w:rPr>
              <w:t>因此本项目引用监测数据可行</w:t>
            </w:r>
            <w:r>
              <w:rPr>
                <w:rFonts w:hint="default" w:ascii="Times New Roman" w:hAnsi="Times New Roman" w:eastAsia="宋体" w:cs="宋体"/>
                <w:lang w:val="en-US" w:eastAsia="zh-CN"/>
              </w:rPr>
              <w:t>。</w:t>
            </w:r>
          </w:p>
          <w:p>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bookmarkStart w:id="21" w:name="_Toc402868644"/>
            <w:bookmarkStart w:id="22" w:name="_Toc404178063"/>
            <w:bookmarkStart w:id="23" w:name="_Toc263844417"/>
            <w:bookmarkStart w:id="24" w:name="_Toc376272149"/>
            <w:bookmarkStart w:id="25" w:name="_Toc394504991"/>
            <w:bookmarkStart w:id="26" w:name="_Toc402353750"/>
            <w:bookmarkStart w:id="27" w:name="_Toc376355358"/>
            <w:bookmarkStart w:id="28" w:name="_Toc399193215"/>
            <w:bookmarkStart w:id="29" w:name="_Toc402354076"/>
            <w:bookmarkStart w:id="30" w:name="_Toc394504649"/>
            <w:bookmarkStart w:id="31" w:name="_Toc402878758"/>
            <w:r>
              <w:rPr>
                <w:rFonts w:hint="eastAsia" w:ascii="Times New Roman" w:hAnsi="Times New Roman" w:eastAsia="宋体" w:cs="宋体"/>
                <w:lang w:val="en-US" w:eastAsia="zh-CN"/>
              </w:rPr>
              <w:t>A.</w:t>
            </w:r>
            <w:r>
              <w:rPr>
                <w:rFonts w:hint="default" w:ascii="Times New Roman" w:hAnsi="Times New Roman" w:eastAsia="宋体" w:cs="宋体"/>
                <w:lang w:val="en-US" w:eastAsia="zh-CN"/>
              </w:rPr>
              <w:t>监测因子</w:t>
            </w:r>
            <w:bookmarkEnd w:id="21"/>
            <w:bookmarkEnd w:id="22"/>
            <w:bookmarkEnd w:id="23"/>
            <w:bookmarkEnd w:id="24"/>
            <w:bookmarkEnd w:id="25"/>
            <w:bookmarkEnd w:id="26"/>
            <w:bookmarkEnd w:id="27"/>
            <w:bookmarkEnd w:id="28"/>
            <w:bookmarkEnd w:id="29"/>
            <w:bookmarkEnd w:id="30"/>
            <w:bookmarkEnd w:id="31"/>
          </w:p>
          <w:p>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default" w:ascii="Times New Roman" w:hAnsi="Times New Roman" w:eastAsia="宋体" w:cs="宋体"/>
                <w:lang w:val="en-US" w:eastAsia="zh-CN"/>
              </w:rPr>
              <w:t>监测因子：非甲烷总烃</w:t>
            </w:r>
            <w:r>
              <w:rPr>
                <w:rFonts w:hint="eastAsia" w:cs="宋体"/>
                <w:lang w:val="en-US" w:eastAsia="zh-CN"/>
              </w:rPr>
              <w:t>、TSP；</w:t>
            </w:r>
          </w:p>
          <w:p>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default" w:ascii="Times New Roman" w:hAnsi="Times New Roman" w:eastAsia="宋体" w:cs="宋体"/>
                <w:lang w:val="en-US" w:eastAsia="zh-CN"/>
              </w:rPr>
              <w:t>监测时间：</w:t>
            </w:r>
            <w:r>
              <w:rPr>
                <w:rFonts w:hint="eastAsia" w:eastAsia="宋体" w:cs="宋体"/>
                <w:b w:val="0"/>
                <w:bCs w:val="0"/>
                <w:lang w:val="en-US" w:eastAsia="zh-CN"/>
              </w:rPr>
              <w:t>2023年3月20日至2023年3月22日</w:t>
            </w:r>
            <w:r>
              <w:rPr>
                <w:rFonts w:hint="eastAsia" w:ascii="Times New Roman" w:hAnsi="Times New Roman" w:eastAsia="宋体" w:cs="宋体"/>
                <w:lang w:val="en-US" w:eastAsia="zh-CN"/>
              </w:rPr>
              <w:t>；</w:t>
            </w:r>
          </w:p>
          <w:p>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default" w:ascii="Times New Roman" w:hAnsi="Times New Roman" w:eastAsia="宋体" w:cs="宋体"/>
                <w:lang w:val="en-US" w:eastAsia="zh-CN"/>
              </w:rPr>
              <w:t>监测频率：非甲烷总烃</w:t>
            </w:r>
            <w:r>
              <w:rPr>
                <w:rFonts w:hint="eastAsia" w:ascii="Times New Roman" w:hAnsi="Times New Roman" w:eastAsia="宋体" w:cs="宋体"/>
                <w:lang w:val="en-US" w:eastAsia="zh-CN"/>
              </w:rPr>
              <w:t>每天4次（2、8、14、20时）</w:t>
            </w:r>
            <w:r>
              <w:rPr>
                <w:rFonts w:hint="eastAsia" w:cs="宋体"/>
                <w:lang w:val="en-US" w:eastAsia="zh-CN"/>
              </w:rPr>
              <w:t>，TSP每天24h连续监测</w:t>
            </w:r>
            <w:r>
              <w:rPr>
                <w:rFonts w:hint="default" w:ascii="Times New Roman" w:hAnsi="Times New Roman" w:eastAsia="宋体" w:cs="宋体"/>
                <w:lang w:val="en-US" w:eastAsia="zh-CN"/>
              </w:rPr>
              <w:t>。</w:t>
            </w:r>
          </w:p>
          <w:p>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bookmarkStart w:id="32" w:name="_Toc402878760"/>
            <w:bookmarkStart w:id="33" w:name="_Toc402353752"/>
            <w:bookmarkStart w:id="34" w:name="_Toc402868646"/>
            <w:bookmarkStart w:id="35" w:name="_Toc394504993"/>
            <w:bookmarkStart w:id="36" w:name="_Toc399193217"/>
            <w:bookmarkStart w:id="37" w:name="_Toc394504651"/>
            <w:bookmarkStart w:id="38" w:name="_Toc402354078"/>
            <w:r>
              <w:rPr>
                <w:rFonts w:hint="eastAsia" w:ascii="Times New Roman" w:hAnsi="Times New Roman" w:eastAsia="宋体" w:cs="宋体"/>
                <w:lang w:val="en-US" w:eastAsia="zh-CN"/>
              </w:rPr>
              <w:t>C.</w:t>
            </w:r>
            <w:r>
              <w:rPr>
                <w:rFonts w:hint="default" w:ascii="Times New Roman" w:hAnsi="Times New Roman" w:eastAsia="宋体" w:cs="宋体"/>
                <w:lang w:val="en-US" w:eastAsia="zh-CN"/>
              </w:rPr>
              <w:t>分析方法</w:t>
            </w:r>
            <w:bookmarkEnd w:id="32"/>
            <w:bookmarkEnd w:id="33"/>
            <w:bookmarkEnd w:id="34"/>
            <w:bookmarkEnd w:id="35"/>
            <w:bookmarkEnd w:id="36"/>
            <w:bookmarkEnd w:id="37"/>
            <w:bookmarkEnd w:id="38"/>
          </w:p>
          <w:p>
            <w:pPr>
              <w:keepNext w:val="0"/>
              <w:keepLines w:val="0"/>
              <w:pageBreakBefore w:val="0"/>
              <w:kinsoku w:val="0"/>
              <w:wordWrap/>
              <w:overflowPunct w:val="0"/>
              <w:topLinePunct w:val="0"/>
              <w:autoSpaceDE w:val="0"/>
              <w:autoSpaceDN w:val="0"/>
              <w:bidi w:val="0"/>
              <w:adjustRightInd/>
              <w:snapToGrid/>
              <w:spacing w:before="0" w:after="0" w:line="360" w:lineRule="auto"/>
              <w:ind w:left="0" w:right="0" w:firstLine="480" w:firstLineChars="200"/>
              <w:jc w:val="both"/>
              <w:rPr>
                <w:rFonts w:hint="default" w:ascii="Times New Roman" w:hAnsi="Times New Roman" w:eastAsia="宋体" w:cs="宋体"/>
              </w:rPr>
            </w:pPr>
            <w:r>
              <w:rPr>
                <w:rFonts w:hint="default" w:ascii="Times New Roman" w:hAnsi="Times New Roman" w:eastAsia="宋体" w:cs="宋体"/>
              </w:rPr>
              <w:t>分析方法：大气污染物监测分析方法见表</w:t>
            </w:r>
            <w:r>
              <w:rPr>
                <w:rFonts w:hint="eastAsia" w:ascii="Times New Roman" w:hAnsi="Times New Roman" w:eastAsia="宋体" w:cs="宋体"/>
                <w:lang w:val="en-US" w:eastAsia="zh-CN"/>
              </w:rPr>
              <w:t>3.1-2</w:t>
            </w:r>
            <w:r>
              <w:rPr>
                <w:rFonts w:hint="default" w:ascii="Times New Roman" w:hAnsi="Times New Roman" w:eastAsia="宋体" w:cs="宋体"/>
              </w:rPr>
              <w:t>。</w:t>
            </w:r>
          </w:p>
          <w:p>
            <w:pPr>
              <w:keepNext w:val="0"/>
              <w:keepLines w:val="0"/>
              <w:pageBreakBefore w:val="0"/>
              <w:widowControl w:val="0"/>
              <w:wordWrap/>
              <w:overflowPunct/>
              <w:topLinePunct w:val="0"/>
              <w:autoSpaceDE/>
              <w:autoSpaceDN/>
              <w:bidi w:val="0"/>
              <w:adjustRightInd/>
              <w:snapToGrid/>
              <w:spacing w:before="0" w:beforeAutospacing="0" w:after="0" w:afterAutospacing="0" w:line="360" w:lineRule="auto"/>
              <w:ind w:left="0" w:right="0" w:firstLine="480" w:firstLineChars="0"/>
              <w:jc w:val="center"/>
              <w:textAlignment w:val="baseline"/>
              <w:rPr>
                <w:rFonts w:hint="default" w:ascii="Times New Roman" w:hAnsi="Times New Roman" w:eastAsia="宋体" w:cs="宋体"/>
                <w:b/>
                <w:bCs/>
                <w:lang w:val="en-US" w:eastAsia="zh-CN"/>
              </w:rPr>
            </w:pPr>
            <w:r>
              <w:rPr>
                <w:rFonts w:hint="default" w:ascii="Times New Roman" w:hAnsi="Times New Roman" w:eastAsia="宋体" w:cs="宋体"/>
                <w:b/>
                <w:bCs/>
                <w:lang w:val="en-US" w:eastAsia="zh-CN"/>
              </w:rPr>
              <w:t>表</w:t>
            </w:r>
            <w:r>
              <w:rPr>
                <w:rFonts w:hint="eastAsia" w:ascii="Times New Roman" w:hAnsi="Times New Roman" w:eastAsia="宋体" w:cs="宋体"/>
                <w:b/>
                <w:bCs/>
                <w:lang w:val="en-US" w:eastAsia="zh-CN"/>
              </w:rPr>
              <w:t>3.1-2</w:t>
            </w:r>
            <w:r>
              <w:rPr>
                <w:rFonts w:hint="default" w:ascii="Times New Roman" w:hAnsi="Times New Roman" w:eastAsia="宋体" w:cs="宋体"/>
                <w:b/>
                <w:bCs/>
                <w:lang w:val="en-US" w:eastAsia="zh-CN"/>
              </w:rPr>
              <w:t>大气监测项目分析方法</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6104"/>
              <w:gridCol w:w="13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81" w:type="dxa"/>
                  <w:tcBorders>
                    <w:tl2br w:val="nil"/>
                    <w:tr2bl w:val="nil"/>
                  </w:tcBorders>
                  <w:noWrap w:val="0"/>
                  <w:vAlign w:val="center"/>
                </w:tcPr>
                <w:p>
                  <w:pPr>
                    <w:keepNext w:val="0"/>
                    <w:keepLines w:val="0"/>
                    <w:pageBreakBefore w:val="0"/>
                    <w:widowControl w:val="0"/>
                    <w:kinsoku w:val="0"/>
                    <w:wordWrap/>
                    <w:overflowPunct w:val="0"/>
                    <w:topLinePunct w:val="0"/>
                    <w:autoSpaceDE w:val="0"/>
                    <w:autoSpaceDN w:val="0"/>
                    <w:bidi w:val="0"/>
                    <w:adjustRightInd/>
                    <w:snapToGrid/>
                    <w:spacing w:before="0" w:after="0" w:line="320" w:lineRule="exact"/>
                    <w:ind w:left="0" w:right="0" w:firstLine="0" w:firstLineChars="0"/>
                    <w:jc w:val="center"/>
                    <w:textAlignment w:val="auto"/>
                    <w:rPr>
                      <w:rFonts w:hint="default" w:ascii="Times New Roman" w:hAnsi="Times New Roman" w:eastAsia="宋体" w:cs="宋体"/>
                      <w:sz w:val="21"/>
                      <w:szCs w:val="21"/>
                    </w:rPr>
                  </w:pPr>
                  <w:bookmarkStart w:id="39" w:name="_Toc402353753"/>
                  <w:bookmarkStart w:id="40" w:name="_Toc404178065"/>
                  <w:bookmarkStart w:id="41" w:name="_Toc394504994"/>
                  <w:bookmarkStart w:id="42" w:name="_Toc394504652"/>
                  <w:bookmarkStart w:id="43" w:name="_Toc402868647"/>
                  <w:bookmarkStart w:id="44" w:name="_Toc376355359"/>
                  <w:bookmarkStart w:id="45" w:name="_Toc402354079"/>
                  <w:bookmarkStart w:id="46" w:name="_Toc263844419"/>
                  <w:bookmarkStart w:id="47" w:name="_Toc402878761"/>
                  <w:bookmarkStart w:id="48" w:name="_Toc399193218"/>
                  <w:bookmarkStart w:id="49" w:name="_Toc376272150"/>
                  <w:r>
                    <w:rPr>
                      <w:rFonts w:hint="default" w:ascii="Times New Roman" w:hAnsi="Times New Roman" w:eastAsia="宋体" w:cs="宋体"/>
                      <w:sz w:val="21"/>
                      <w:szCs w:val="21"/>
                    </w:rPr>
                    <w:t>监测项目</w:t>
                  </w:r>
                </w:p>
              </w:tc>
              <w:tc>
                <w:tcPr>
                  <w:tcW w:w="6104" w:type="dxa"/>
                  <w:tcBorders>
                    <w:tl2br w:val="nil"/>
                    <w:tr2bl w:val="nil"/>
                  </w:tcBorders>
                  <w:noWrap w:val="0"/>
                  <w:vAlign w:val="center"/>
                </w:tcPr>
                <w:p>
                  <w:pPr>
                    <w:keepNext w:val="0"/>
                    <w:keepLines w:val="0"/>
                    <w:pageBreakBefore w:val="0"/>
                    <w:widowControl w:val="0"/>
                    <w:kinsoku w:val="0"/>
                    <w:wordWrap/>
                    <w:overflowPunct w:val="0"/>
                    <w:topLinePunct w:val="0"/>
                    <w:autoSpaceDE w:val="0"/>
                    <w:autoSpaceDN w:val="0"/>
                    <w:bidi w:val="0"/>
                    <w:adjustRightInd/>
                    <w:snapToGrid/>
                    <w:spacing w:before="0" w:after="0" w:line="320" w:lineRule="exact"/>
                    <w:ind w:left="0" w:right="0" w:firstLine="0" w:firstLineChars="0"/>
                    <w:jc w:val="center"/>
                    <w:textAlignment w:val="auto"/>
                    <w:rPr>
                      <w:rFonts w:hint="default" w:ascii="Times New Roman" w:hAnsi="Times New Roman" w:eastAsia="宋体" w:cs="宋体"/>
                      <w:sz w:val="21"/>
                      <w:szCs w:val="21"/>
                    </w:rPr>
                  </w:pPr>
                  <w:r>
                    <w:rPr>
                      <w:rFonts w:hint="default" w:ascii="Times New Roman" w:hAnsi="Times New Roman" w:eastAsia="宋体" w:cs="宋体"/>
                      <w:sz w:val="21"/>
                      <w:szCs w:val="21"/>
                    </w:rPr>
                    <w:t>分析方法（依据的标准）</w:t>
                  </w:r>
                </w:p>
              </w:tc>
              <w:tc>
                <w:tcPr>
                  <w:tcW w:w="1319" w:type="dxa"/>
                  <w:tcBorders>
                    <w:tl2br w:val="nil"/>
                    <w:tr2bl w:val="nil"/>
                  </w:tcBorders>
                  <w:noWrap w:val="0"/>
                  <w:vAlign w:val="center"/>
                </w:tcPr>
                <w:p>
                  <w:pPr>
                    <w:keepNext w:val="0"/>
                    <w:keepLines w:val="0"/>
                    <w:pageBreakBefore w:val="0"/>
                    <w:widowControl w:val="0"/>
                    <w:kinsoku w:val="0"/>
                    <w:wordWrap/>
                    <w:overflowPunct w:val="0"/>
                    <w:topLinePunct w:val="0"/>
                    <w:autoSpaceDE w:val="0"/>
                    <w:autoSpaceDN w:val="0"/>
                    <w:bidi w:val="0"/>
                    <w:adjustRightInd/>
                    <w:snapToGrid/>
                    <w:spacing w:before="0" w:after="0" w:line="320" w:lineRule="exact"/>
                    <w:ind w:left="0" w:right="0" w:firstLine="0" w:firstLineChars="0"/>
                    <w:jc w:val="center"/>
                    <w:textAlignment w:val="auto"/>
                    <w:rPr>
                      <w:rFonts w:hint="default" w:ascii="Times New Roman" w:hAnsi="Times New Roman" w:eastAsia="宋体" w:cs="宋体"/>
                      <w:sz w:val="21"/>
                      <w:szCs w:val="21"/>
                    </w:rPr>
                  </w:pPr>
                  <w:r>
                    <w:rPr>
                      <w:rFonts w:hint="default" w:ascii="Times New Roman" w:hAnsi="Times New Roman" w:eastAsia="宋体" w:cs="宋体"/>
                      <w:sz w:val="21"/>
                      <w:szCs w:val="21"/>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81" w:type="dxa"/>
                  <w:tcBorders>
                    <w:tl2br w:val="nil"/>
                    <w:tr2bl w:val="nil"/>
                  </w:tcBorders>
                  <w:noWrap w:val="0"/>
                  <w:vAlign w:val="center"/>
                </w:tcPr>
                <w:p>
                  <w:pPr>
                    <w:keepNext w:val="0"/>
                    <w:keepLines w:val="0"/>
                    <w:pageBreakBefore w:val="0"/>
                    <w:widowControl w:val="0"/>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非甲烷总烃</w:t>
                  </w:r>
                </w:p>
              </w:tc>
              <w:tc>
                <w:tcPr>
                  <w:tcW w:w="6104" w:type="dxa"/>
                  <w:tcBorders>
                    <w:tl2br w:val="nil"/>
                    <w:tr2bl w:val="nil"/>
                  </w:tcBorders>
                  <w:noWrap w:val="0"/>
                  <w:vAlign w:val="center"/>
                </w:tcPr>
                <w:p>
                  <w:pPr>
                    <w:keepNext w:val="0"/>
                    <w:keepLines w:val="0"/>
                    <w:pageBreakBefore w:val="0"/>
                    <w:widowControl w:val="0"/>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环境空气 总烃、甲烷和非甲烷总烃的测定 直接进样-气相色谱法HJ 604-2017</w:t>
                  </w:r>
                </w:p>
              </w:tc>
              <w:tc>
                <w:tcPr>
                  <w:tcW w:w="1319" w:type="dxa"/>
                  <w:tcBorders>
                    <w:tl2br w:val="nil"/>
                    <w:tr2bl w:val="nil"/>
                  </w:tcBorders>
                  <w:noWrap w:val="0"/>
                  <w:vAlign w:val="center"/>
                </w:tcPr>
                <w:p>
                  <w:pPr>
                    <w:keepNext w:val="0"/>
                    <w:keepLines w:val="0"/>
                    <w:pageBreakBefore w:val="0"/>
                    <w:widowControl w:val="0"/>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宋体"/>
                      <w:sz w:val="21"/>
                      <w:szCs w:val="21"/>
                    </w:rPr>
                  </w:pPr>
                  <w:r>
                    <w:rPr>
                      <w:rFonts w:hint="default" w:ascii="Times New Roman" w:hAnsi="Times New Roman" w:eastAsia="宋体" w:cs="宋体"/>
                      <w:sz w:val="21"/>
                      <w:szCs w:val="21"/>
                    </w:rPr>
                    <w:t>0.0</w:t>
                  </w:r>
                  <w:r>
                    <w:rPr>
                      <w:rFonts w:hint="eastAsia" w:ascii="Times New Roman" w:hAnsi="Times New Roman" w:eastAsia="宋体" w:cs="宋体"/>
                      <w:sz w:val="21"/>
                      <w:szCs w:val="21"/>
                      <w:lang w:val="en-US" w:eastAsia="zh-CN"/>
                    </w:rPr>
                    <w:t>0</w:t>
                  </w:r>
                  <w:r>
                    <w:rPr>
                      <w:rFonts w:hint="eastAsia" w:cs="宋体"/>
                      <w:sz w:val="21"/>
                      <w:szCs w:val="21"/>
                      <w:lang w:val="en-US" w:eastAsia="zh-CN"/>
                    </w:rPr>
                    <w:t>7</w:t>
                  </w:r>
                  <w:r>
                    <w:rPr>
                      <w:rFonts w:hint="default" w:ascii="Times New Roman" w:hAnsi="Times New Roman" w:eastAsia="宋体" w:cs="宋体"/>
                      <w:sz w:val="21"/>
                      <w:szCs w:val="21"/>
                    </w:rPr>
                    <w:t>mg/m</w:t>
                  </w:r>
                  <w:r>
                    <w:rPr>
                      <w:rFonts w:hint="default" w:ascii="Times New Roman" w:hAnsi="Times New Roman" w:eastAsia="宋体" w:cs="宋体"/>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81" w:type="dxa"/>
                  <w:tcBorders>
                    <w:tl2br w:val="nil"/>
                    <w:tr2bl w:val="nil"/>
                  </w:tcBorders>
                  <w:noWrap w:val="0"/>
                  <w:vAlign w:val="center"/>
                </w:tcPr>
                <w:p>
                  <w:pPr>
                    <w:keepNext w:val="0"/>
                    <w:keepLines w:val="0"/>
                    <w:pageBreakBefore w:val="0"/>
                    <w:widowControl w:val="0"/>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 xml:space="preserve">TSP </w:t>
                  </w:r>
                </w:p>
              </w:tc>
              <w:tc>
                <w:tcPr>
                  <w:tcW w:w="6104" w:type="dxa"/>
                  <w:tcBorders>
                    <w:tl2br w:val="nil"/>
                    <w:tr2bl w:val="nil"/>
                  </w:tcBorders>
                  <w:noWrap w:val="0"/>
                  <w:vAlign w:val="center"/>
                </w:tcPr>
                <w:p>
                  <w:pPr>
                    <w:keepNext w:val="0"/>
                    <w:keepLines w:val="0"/>
                    <w:pageBreakBefore w:val="0"/>
                    <w:widowControl w:val="0"/>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环境空气 总悬浮颗粒物的测定 重量法</w:t>
                  </w:r>
                  <w:r>
                    <w:rPr>
                      <w:rFonts w:hint="eastAsia" w:ascii="Times New Roman" w:hAnsi="Times New Roman" w:eastAsia="宋体" w:cs="宋体"/>
                      <w:sz w:val="21"/>
                      <w:szCs w:val="21"/>
                      <w:lang w:val="en-US" w:eastAsia="zh-CN"/>
                    </w:rPr>
                    <w:t xml:space="preserve"> </w:t>
                  </w:r>
                  <w:r>
                    <w:rPr>
                      <w:rFonts w:hint="default" w:ascii="Times New Roman" w:hAnsi="Times New Roman" w:eastAsia="宋体" w:cs="宋体"/>
                      <w:sz w:val="21"/>
                      <w:szCs w:val="21"/>
                      <w:lang w:val="en-US" w:eastAsia="zh-CN"/>
                    </w:rPr>
                    <w:t>HJ 1263-2022</w:t>
                  </w:r>
                </w:p>
              </w:tc>
              <w:tc>
                <w:tcPr>
                  <w:tcW w:w="1319" w:type="dxa"/>
                  <w:tcBorders>
                    <w:tl2br w:val="nil"/>
                    <w:tr2bl w:val="nil"/>
                  </w:tcBorders>
                  <w:noWrap w:val="0"/>
                  <w:vAlign w:val="center"/>
                </w:tcPr>
                <w:p>
                  <w:pPr>
                    <w:keepNext w:val="0"/>
                    <w:keepLines w:val="0"/>
                    <w:pageBreakBefore w:val="0"/>
                    <w:widowControl w:val="0"/>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宋体"/>
                      <w:sz w:val="21"/>
                      <w:szCs w:val="21"/>
                    </w:rPr>
                  </w:pPr>
                  <w:r>
                    <w:rPr>
                      <w:rFonts w:hint="default" w:ascii="Times New Roman" w:hAnsi="Times New Roman" w:eastAsia="宋体" w:cs="宋体"/>
                      <w:sz w:val="21"/>
                      <w:szCs w:val="21"/>
                      <w:lang w:val="en-US" w:eastAsia="zh-CN"/>
                    </w:rPr>
                    <w:t>0.007</w:t>
                  </w:r>
                  <w:r>
                    <w:rPr>
                      <w:rFonts w:hint="default" w:ascii="Times New Roman" w:hAnsi="Times New Roman" w:eastAsia="宋体" w:cs="宋体"/>
                      <w:sz w:val="21"/>
                      <w:szCs w:val="21"/>
                    </w:rPr>
                    <w:t>mg/m</w:t>
                  </w:r>
                  <w:r>
                    <w:rPr>
                      <w:rFonts w:hint="default" w:ascii="Times New Roman" w:hAnsi="Times New Roman" w:eastAsia="宋体" w:cs="宋体"/>
                      <w:sz w:val="21"/>
                      <w:szCs w:val="21"/>
                      <w:vertAlign w:val="superscript"/>
                    </w:rPr>
                    <w:t>3</w:t>
                  </w:r>
                </w:p>
              </w:tc>
            </w:tr>
          </w:tbl>
          <w:p>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④</w:t>
            </w:r>
            <w:r>
              <w:rPr>
                <w:rFonts w:hint="default" w:ascii="Times New Roman" w:hAnsi="Times New Roman" w:eastAsia="宋体" w:cs="宋体"/>
                <w:lang w:val="en-US" w:eastAsia="zh-CN"/>
              </w:rPr>
              <w:t>评价标准</w:t>
            </w:r>
            <w:bookmarkEnd w:id="39"/>
            <w:bookmarkEnd w:id="40"/>
            <w:bookmarkEnd w:id="41"/>
            <w:bookmarkEnd w:id="42"/>
            <w:bookmarkEnd w:id="43"/>
            <w:bookmarkEnd w:id="44"/>
            <w:bookmarkEnd w:id="45"/>
            <w:bookmarkEnd w:id="46"/>
            <w:bookmarkEnd w:id="47"/>
            <w:bookmarkEnd w:id="48"/>
            <w:bookmarkEnd w:id="49"/>
          </w:p>
          <w:p>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eastAsia" w:ascii="Times New Roman" w:hAnsi="Times New Roman" w:eastAsia="宋体" w:cs="宋体"/>
                <w:lang w:val="en-US" w:eastAsia="zh-CN"/>
              </w:rPr>
            </w:pPr>
            <w:bookmarkStart w:id="50" w:name="_Toc376355360"/>
            <w:bookmarkStart w:id="51" w:name="_Toc402354080"/>
            <w:bookmarkStart w:id="52" w:name="_Toc394504995"/>
            <w:bookmarkStart w:id="53" w:name="_Toc376272151"/>
            <w:bookmarkStart w:id="54" w:name="_Toc402878762"/>
            <w:bookmarkStart w:id="55" w:name="_Toc404178066"/>
            <w:bookmarkStart w:id="56" w:name="_Toc394504653"/>
            <w:bookmarkStart w:id="57" w:name="_Toc399193219"/>
            <w:bookmarkStart w:id="58" w:name="_Toc263844420"/>
            <w:bookmarkStart w:id="59" w:name="_Toc402868648"/>
            <w:bookmarkStart w:id="60" w:name="_Toc402353754"/>
            <w:r>
              <w:rPr>
                <w:rFonts w:hint="eastAsia" w:cs="宋体"/>
                <w:lang w:val="en-US" w:eastAsia="zh-CN"/>
              </w:rPr>
              <w:t>非甲烷总烃均</w:t>
            </w:r>
            <w:r>
              <w:rPr>
                <w:rFonts w:hint="eastAsia" w:ascii="Times New Roman" w:hAnsi="Times New Roman" w:eastAsia="宋体" w:cs="宋体"/>
                <w:lang w:val="en-US" w:eastAsia="zh-CN"/>
              </w:rPr>
              <w:t>执行</w:t>
            </w:r>
            <w:r>
              <w:rPr>
                <w:rFonts w:hint="default" w:ascii="Times New Roman" w:hAnsi="Times New Roman" w:eastAsia="宋体" w:cs="Times New Roman"/>
                <w:bCs/>
                <w:sz w:val="24"/>
                <w:szCs w:val="24"/>
              </w:rPr>
              <w:t>《大气污染物综合排放标准详解》推荐值（2.0mg/m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w:t>
            </w:r>
            <w:r>
              <w:rPr>
                <w:rFonts w:hint="eastAsia" w:cs="Times New Roman"/>
                <w:bCs/>
                <w:sz w:val="24"/>
                <w:szCs w:val="24"/>
                <w:lang w:eastAsia="zh-CN"/>
              </w:rPr>
              <w:t>，</w:t>
            </w:r>
            <w:r>
              <w:rPr>
                <w:rFonts w:hint="eastAsia" w:ascii="Times New Roman" w:hAnsi="Times New Roman" w:eastAsia="宋体" w:cs="宋体"/>
                <w:lang w:val="en-US" w:eastAsia="zh-CN"/>
              </w:rPr>
              <w:t>TSP执行《环境空气质量标准》（GB 3095-2012）二级浓度限值（24h平均0.3</w:t>
            </w:r>
            <w:r>
              <w:rPr>
                <w:rFonts w:hint="default" w:ascii="Times New Roman" w:hAnsi="Times New Roman" w:eastAsia="宋体" w:cs="宋体"/>
              </w:rPr>
              <w:t>mg/m</w:t>
            </w:r>
            <w:r>
              <w:rPr>
                <w:rFonts w:hint="default" w:ascii="Times New Roman" w:hAnsi="Times New Roman" w:eastAsia="宋体" w:cs="宋体"/>
                <w:vertAlign w:val="superscript"/>
              </w:rPr>
              <w:t>3</w:t>
            </w:r>
            <w:r>
              <w:rPr>
                <w:rFonts w:hint="eastAsia" w:ascii="Times New Roman" w:hAnsi="Times New Roman" w:eastAsia="宋体" w:cs="宋体"/>
                <w:lang w:val="en-US" w:eastAsia="zh-CN"/>
              </w:rPr>
              <w:t>）。</w:t>
            </w:r>
          </w:p>
          <w:p>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default" w:ascii="Times New Roman" w:hAnsi="Times New Roman" w:eastAsia="宋体" w:cs="宋体"/>
                <w:lang w:val="en-US" w:eastAsia="zh-CN"/>
              </w:rPr>
              <w:t>（5）评价方法</w:t>
            </w:r>
            <w:bookmarkEnd w:id="50"/>
            <w:bookmarkEnd w:id="51"/>
            <w:bookmarkEnd w:id="52"/>
            <w:bookmarkEnd w:id="53"/>
            <w:bookmarkEnd w:id="54"/>
            <w:bookmarkEnd w:id="55"/>
            <w:bookmarkEnd w:id="56"/>
            <w:bookmarkEnd w:id="57"/>
            <w:bookmarkEnd w:id="58"/>
            <w:bookmarkEnd w:id="59"/>
            <w:bookmarkEnd w:id="60"/>
          </w:p>
          <w:p>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default" w:ascii="Times New Roman" w:hAnsi="Times New Roman" w:eastAsia="宋体" w:cs="宋体"/>
                <w:lang w:val="en-US" w:eastAsia="zh-CN"/>
              </w:rPr>
              <w:t>本次环评大气环境质量现状采用</w:t>
            </w:r>
            <w:r>
              <w:rPr>
                <w:rFonts w:hint="eastAsia" w:cs="宋体"/>
                <w:lang w:val="en-US" w:eastAsia="zh-CN"/>
              </w:rPr>
              <w:t>占标率法</w:t>
            </w:r>
            <w:r>
              <w:rPr>
                <w:rFonts w:hint="default" w:ascii="Times New Roman" w:hAnsi="Times New Roman" w:eastAsia="宋体" w:cs="宋体"/>
                <w:lang w:val="en-US" w:eastAsia="zh-CN"/>
              </w:rPr>
              <w:t>，计算公式为：</w:t>
            </w:r>
          </w:p>
          <w:p>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center"/>
              <w:rPr>
                <w:rFonts w:hint="default" w:ascii="Times New Roman" w:hAnsi="Times New Roman" w:eastAsia="宋体" w:cs="宋体"/>
                <w:lang w:val="en-US" w:eastAsia="zh-CN"/>
              </w:rPr>
            </w:pPr>
            <w:r>
              <w:rPr>
                <w:rFonts w:hint="default" w:ascii="Times New Roman" w:hAnsi="Times New Roman" w:eastAsia="宋体" w:cs="宋体"/>
                <w:lang w:val="en-US" w:eastAsia="zh-CN"/>
              </w:rPr>
              <w:drawing>
                <wp:inline distT="0" distB="0" distL="114300" distR="114300">
                  <wp:extent cx="1031240" cy="446405"/>
                  <wp:effectExtent l="0" t="0" r="0" b="12065"/>
                  <wp:docPr id="2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3"/>
                          <pic:cNvPicPr>
                            <a:picLocks noChangeAspect="1"/>
                          </pic:cNvPicPr>
                        </pic:nvPicPr>
                        <pic:blipFill>
                          <a:blip r:embed="rId19"/>
                          <a:stretch>
                            <a:fillRect/>
                          </a:stretch>
                        </pic:blipFill>
                        <pic:spPr>
                          <a:xfrm>
                            <a:off x="0" y="0"/>
                            <a:ext cx="1031240" cy="446405"/>
                          </a:xfrm>
                          <a:prstGeom prst="rect">
                            <a:avLst/>
                          </a:prstGeom>
                          <a:noFill/>
                          <a:ln>
                            <a:noFill/>
                          </a:ln>
                        </pic:spPr>
                      </pic:pic>
                    </a:graphicData>
                  </a:graphic>
                </wp:inline>
              </w:drawing>
            </w:r>
          </w:p>
          <w:p>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default" w:ascii="Times New Roman" w:hAnsi="Times New Roman" w:eastAsia="宋体" w:cs="宋体"/>
                <w:lang w:val="en-US" w:eastAsia="zh-CN"/>
              </w:rPr>
              <w:t>式中：Pi——第i个污染物的监测最大浓度占相应标准浓度限值的百分比，%；</w:t>
            </w:r>
          </w:p>
          <w:p>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default" w:ascii="Times New Roman" w:hAnsi="Times New Roman" w:eastAsia="宋体" w:cs="宋体"/>
                <w:lang w:val="en-US" w:eastAsia="zh-CN"/>
              </w:rPr>
              <w:t xml:space="preserve">  Ci——第i个污染物的监测最大浓度值，mg/m</w:t>
            </w:r>
            <w:r>
              <w:rPr>
                <w:rFonts w:hint="default" w:ascii="Times New Roman" w:hAnsi="Times New Roman" w:eastAsia="宋体" w:cs="宋体"/>
                <w:vertAlign w:val="superscript"/>
              </w:rPr>
              <w:t>3</w:t>
            </w:r>
            <w:r>
              <w:rPr>
                <w:rFonts w:hint="default" w:ascii="Times New Roman" w:hAnsi="Times New Roman" w:eastAsia="宋体" w:cs="宋体"/>
                <w:lang w:val="en-US" w:eastAsia="zh-CN"/>
              </w:rPr>
              <w:t>；</w:t>
            </w:r>
          </w:p>
          <w:p>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default" w:ascii="Times New Roman" w:hAnsi="Times New Roman" w:eastAsia="宋体" w:cs="宋体"/>
                <w:lang w:val="en-US" w:eastAsia="zh-CN"/>
              </w:rPr>
              <w:t xml:space="preserve">  C0i——第i个污染物的环境空气质量标准，mg/m</w:t>
            </w:r>
            <w:r>
              <w:rPr>
                <w:rFonts w:hint="default" w:ascii="Times New Roman" w:hAnsi="Times New Roman" w:eastAsia="宋体" w:cs="宋体"/>
                <w:vertAlign w:val="superscript"/>
              </w:rPr>
              <w:t>3</w:t>
            </w:r>
            <w:r>
              <w:rPr>
                <w:rFonts w:hint="default" w:ascii="Times New Roman" w:hAnsi="Times New Roman" w:eastAsia="宋体" w:cs="宋体"/>
                <w:lang w:val="en-US" w:eastAsia="zh-CN"/>
              </w:rPr>
              <w:t>。</w:t>
            </w:r>
          </w:p>
          <w:p>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bookmarkStart w:id="61" w:name="_Toc402354081"/>
            <w:bookmarkStart w:id="62" w:name="_Toc376272152"/>
            <w:bookmarkStart w:id="63" w:name="_Toc394504996"/>
            <w:bookmarkStart w:id="64" w:name="_Toc404178067"/>
            <w:bookmarkStart w:id="65" w:name="_Toc402353755"/>
            <w:bookmarkStart w:id="66" w:name="_Toc263844421"/>
            <w:bookmarkStart w:id="67" w:name="_Toc402878763"/>
            <w:bookmarkStart w:id="68" w:name="_Toc399193220"/>
            <w:bookmarkStart w:id="69" w:name="_Toc394504654"/>
            <w:bookmarkStart w:id="70" w:name="_Toc376355361"/>
            <w:bookmarkStart w:id="71" w:name="_Toc402868649"/>
            <w:r>
              <w:rPr>
                <w:rFonts w:hint="default" w:ascii="Times New Roman" w:hAnsi="Times New Roman" w:eastAsia="宋体" w:cs="宋体"/>
                <w:lang w:val="en-US" w:eastAsia="zh-CN"/>
              </w:rPr>
              <w:t>（6）监测及评价结果</w:t>
            </w:r>
            <w:bookmarkEnd w:id="61"/>
            <w:bookmarkEnd w:id="62"/>
            <w:bookmarkEnd w:id="63"/>
            <w:bookmarkEnd w:id="64"/>
            <w:bookmarkEnd w:id="65"/>
            <w:bookmarkEnd w:id="66"/>
            <w:bookmarkEnd w:id="67"/>
            <w:bookmarkEnd w:id="68"/>
            <w:bookmarkEnd w:id="69"/>
            <w:bookmarkEnd w:id="70"/>
            <w:bookmarkEnd w:id="71"/>
          </w:p>
          <w:p>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default" w:ascii="Times New Roman" w:hAnsi="Times New Roman" w:eastAsia="宋体" w:cs="宋体"/>
                <w:lang w:val="en-US" w:eastAsia="zh-CN"/>
              </w:rPr>
              <w:t>根据环境空气质量现状调查结果，常规大气污染物日均监测及评价结果见表</w:t>
            </w:r>
            <w:r>
              <w:rPr>
                <w:rFonts w:hint="eastAsia" w:ascii="Times New Roman" w:hAnsi="Times New Roman" w:eastAsia="宋体" w:cs="宋体"/>
                <w:lang w:val="en-US" w:eastAsia="zh-CN"/>
              </w:rPr>
              <w:t>3.1-3</w:t>
            </w:r>
            <w:r>
              <w:rPr>
                <w:rFonts w:hint="default" w:ascii="Times New Roman" w:hAnsi="Times New Roman" w:eastAsia="宋体" w:cs="宋体"/>
                <w:lang w:val="en-US" w:eastAsia="zh-CN"/>
              </w:rPr>
              <w:t>。</w:t>
            </w:r>
          </w:p>
          <w:p>
            <w:pPr>
              <w:keepNext w:val="0"/>
              <w:keepLines w:val="0"/>
              <w:pageBreakBefore w:val="0"/>
              <w:widowControl w:val="0"/>
              <w:wordWrap/>
              <w:overflowPunct/>
              <w:topLinePunct w:val="0"/>
              <w:autoSpaceDE/>
              <w:autoSpaceDN/>
              <w:bidi w:val="0"/>
              <w:adjustRightInd/>
              <w:snapToGrid/>
              <w:spacing w:before="0" w:after="0" w:line="360" w:lineRule="auto"/>
              <w:ind w:left="0" w:leftChars="0" w:right="0" w:firstLine="0" w:firstLineChars="0"/>
              <w:jc w:val="center"/>
              <w:rPr>
                <w:rFonts w:hint="default" w:ascii="Times New Roman" w:hAnsi="Times New Roman" w:eastAsia="宋体" w:cs="宋体"/>
                <w:b/>
                <w:bCs/>
                <w:lang w:val="en-US" w:eastAsia="zh-CN"/>
              </w:rPr>
            </w:pPr>
            <w:r>
              <w:rPr>
                <w:rFonts w:hint="default" w:ascii="Times New Roman" w:hAnsi="Times New Roman" w:eastAsia="宋体" w:cs="宋体"/>
                <w:b/>
                <w:bCs/>
                <w:lang w:val="en-US" w:eastAsia="zh-CN"/>
              </w:rPr>
              <w:t>表</w:t>
            </w:r>
            <w:r>
              <w:rPr>
                <w:rFonts w:hint="eastAsia" w:ascii="Times New Roman" w:hAnsi="Times New Roman" w:eastAsia="宋体" w:cs="宋体"/>
                <w:b/>
                <w:bCs/>
                <w:lang w:val="en-US" w:eastAsia="zh-CN"/>
              </w:rPr>
              <w:t>3.1-3</w:t>
            </w:r>
            <w:r>
              <w:rPr>
                <w:rFonts w:hint="default" w:ascii="Times New Roman" w:hAnsi="Times New Roman" w:eastAsia="宋体" w:cs="宋体"/>
                <w:b/>
                <w:bCs/>
                <w:lang w:val="en-US" w:eastAsia="zh-CN"/>
              </w:rPr>
              <w:t>环境空气质量特征因子现状监测与评价结果统计表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2856"/>
              <w:gridCol w:w="1944"/>
              <w:gridCol w:w="19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监测点</w:t>
                  </w:r>
                </w:p>
              </w:tc>
              <w:tc>
                <w:tcPr>
                  <w:tcW w:w="3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项目</w:t>
                  </w:r>
                </w:p>
              </w:tc>
              <w:tc>
                <w:tcPr>
                  <w:tcW w:w="25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sz w:val="21"/>
                      <w:szCs w:val="21"/>
                      <w:lang w:val="en-US" w:eastAsia="zh-CN"/>
                    </w:rPr>
                  </w:pPr>
                  <w:r>
                    <w:rPr>
                      <w:rFonts w:hint="eastAsia" w:cs="宋体"/>
                      <w:sz w:val="21"/>
                      <w:szCs w:val="21"/>
                      <w:lang w:val="en-US" w:eastAsia="zh-CN"/>
                    </w:rPr>
                    <w:t>非甲烷总烃</w:t>
                  </w:r>
                </w:p>
              </w:tc>
              <w:tc>
                <w:tcPr>
                  <w:tcW w:w="25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cs="宋体"/>
                      <w:sz w:val="21"/>
                      <w:szCs w:val="21"/>
                      <w:lang w:val="en-US" w:eastAsia="zh-CN"/>
                    </w:rPr>
                  </w:pPr>
                  <w:r>
                    <w:rPr>
                      <w:rFonts w:hint="eastAsia" w:cs="宋体"/>
                      <w:sz w:val="21"/>
                      <w:szCs w:val="21"/>
                      <w:lang w:val="en-US" w:eastAsia="zh-CN"/>
                    </w:rPr>
                    <w:t>TSP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项目区</w:t>
                  </w:r>
                </w:p>
              </w:tc>
              <w:tc>
                <w:tcPr>
                  <w:tcW w:w="3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有效日数</w:t>
                  </w:r>
                </w:p>
              </w:tc>
              <w:tc>
                <w:tcPr>
                  <w:tcW w:w="25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3</w:t>
                  </w:r>
                </w:p>
              </w:tc>
              <w:tc>
                <w:tcPr>
                  <w:tcW w:w="25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outlineLvl w:val="3"/>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9"/>
                    <w:rPr>
                      <w:rFonts w:hint="default" w:ascii="Times New Roman" w:hAnsi="Times New Roman" w:eastAsia="宋体" w:cs="宋体"/>
                      <w:sz w:val="21"/>
                      <w:szCs w:val="21"/>
                      <w:lang w:val="en-US" w:eastAsia="zh-CN"/>
                    </w:rPr>
                  </w:pPr>
                </w:p>
              </w:tc>
              <w:tc>
                <w:tcPr>
                  <w:tcW w:w="3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浓度范围（mg/m</w:t>
                  </w:r>
                  <w:r>
                    <w:rPr>
                      <w:rFonts w:hint="default" w:ascii="Times New Roman" w:hAnsi="Times New Roman" w:eastAsia="宋体" w:cs="宋体"/>
                      <w:sz w:val="21"/>
                      <w:szCs w:val="21"/>
                      <w:vertAlign w:val="superscript"/>
                    </w:rPr>
                    <w:t>3</w:t>
                  </w:r>
                  <w:r>
                    <w:rPr>
                      <w:rFonts w:hint="default" w:ascii="Times New Roman" w:hAnsi="Times New Roman" w:eastAsia="宋体" w:cs="宋体"/>
                      <w:sz w:val="21"/>
                      <w:szCs w:val="21"/>
                      <w:lang w:val="en-US" w:eastAsia="zh-CN"/>
                    </w:rPr>
                    <w:t>）</w:t>
                  </w:r>
                </w:p>
              </w:tc>
              <w:tc>
                <w:tcPr>
                  <w:tcW w:w="25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sz w:val="21"/>
                      <w:szCs w:val="21"/>
                      <w:highlight w:val="none"/>
                      <w:lang w:val="en-US" w:eastAsia="zh-CN"/>
                    </w:rPr>
                  </w:pPr>
                  <w:r>
                    <w:rPr>
                      <w:rFonts w:hint="eastAsia" w:cs="宋体"/>
                      <w:sz w:val="21"/>
                      <w:szCs w:val="21"/>
                      <w:highlight w:val="none"/>
                      <w:lang w:val="en-US" w:eastAsia="zh-CN"/>
                    </w:rPr>
                    <w:t>0.52-0.58</w:t>
                  </w:r>
                </w:p>
              </w:tc>
              <w:tc>
                <w:tcPr>
                  <w:tcW w:w="25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outlineLvl w:val="3"/>
                    <w:rPr>
                      <w:rFonts w:hint="default" w:cs="宋体"/>
                      <w:sz w:val="21"/>
                      <w:szCs w:val="21"/>
                      <w:highlight w:val="none"/>
                      <w:lang w:val="en-US" w:eastAsia="zh-CN"/>
                    </w:rPr>
                  </w:pPr>
                  <w:r>
                    <w:rPr>
                      <w:rFonts w:hint="eastAsia" w:cs="宋体"/>
                      <w:sz w:val="21"/>
                      <w:szCs w:val="21"/>
                      <w:lang w:val="en-US" w:eastAsia="zh-CN"/>
                    </w:rPr>
                    <w:t>0.229-0.254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9"/>
                    <w:rPr>
                      <w:rFonts w:hint="default" w:ascii="Times New Roman" w:hAnsi="Times New Roman" w:eastAsia="宋体" w:cs="宋体"/>
                      <w:sz w:val="21"/>
                      <w:szCs w:val="21"/>
                      <w:lang w:val="en-US" w:eastAsia="zh-CN"/>
                    </w:rPr>
                  </w:pPr>
                </w:p>
              </w:tc>
              <w:tc>
                <w:tcPr>
                  <w:tcW w:w="3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超标率（%）</w:t>
                  </w:r>
                </w:p>
              </w:tc>
              <w:tc>
                <w:tcPr>
                  <w:tcW w:w="25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0</w:t>
                  </w:r>
                </w:p>
              </w:tc>
              <w:tc>
                <w:tcPr>
                  <w:tcW w:w="25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outlineLvl w:val="3"/>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9"/>
                    <w:rPr>
                      <w:rFonts w:hint="default" w:ascii="Times New Roman" w:hAnsi="Times New Roman" w:eastAsia="宋体" w:cs="宋体"/>
                      <w:sz w:val="21"/>
                      <w:szCs w:val="21"/>
                      <w:lang w:val="en-US" w:eastAsia="zh-CN"/>
                    </w:rPr>
                  </w:pPr>
                </w:p>
              </w:tc>
              <w:tc>
                <w:tcPr>
                  <w:tcW w:w="3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最大超标倍数</w:t>
                  </w:r>
                </w:p>
              </w:tc>
              <w:tc>
                <w:tcPr>
                  <w:tcW w:w="25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0</w:t>
                  </w:r>
                </w:p>
              </w:tc>
              <w:tc>
                <w:tcPr>
                  <w:tcW w:w="25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outlineLvl w:val="3"/>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9"/>
                    <w:rPr>
                      <w:rFonts w:hint="default" w:ascii="Times New Roman" w:hAnsi="Times New Roman" w:eastAsia="宋体" w:cs="宋体"/>
                      <w:sz w:val="21"/>
                      <w:szCs w:val="21"/>
                      <w:lang w:val="en-US" w:eastAsia="zh-CN"/>
                    </w:rPr>
                  </w:pPr>
                </w:p>
              </w:tc>
              <w:tc>
                <w:tcPr>
                  <w:tcW w:w="3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Pi（%）</w:t>
                  </w:r>
                </w:p>
              </w:tc>
              <w:tc>
                <w:tcPr>
                  <w:tcW w:w="25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sz w:val="21"/>
                      <w:szCs w:val="21"/>
                      <w:highlight w:val="none"/>
                      <w:lang w:val="en-US" w:eastAsia="zh-CN"/>
                    </w:rPr>
                  </w:pPr>
                  <w:r>
                    <w:rPr>
                      <w:rFonts w:hint="eastAsia" w:cs="宋体"/>
                      <w:sz w:val="21"/>
                      <w:szCs w:val="21"/>
                      <w:highlight w:val="none"/>
                      <w:lang w:val="en-US" w:eastAsia="zh-CN"/>
                    </w:rPr>
                    <w:t>26-29</w:t>
                  </w:r>
                </w:p>
              </w:tc>
              <w:tc>
                <w:tcPr>
                  <w:tcW w:w="25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outlineLvl w:val="3"/>
                    <w:rPr>
                      <w:rFonts w:hint="default" w:cs="宋体"/>
                      <w:sz w:val="21"/>
                      <w:szCs w:val="21"/>
                      <w:highlight w:val="none"/>
                      <w:lang w:val="en-US" w:eastAsia="zh-CN"/>
                    </w:rPr>
                  </w:pPr>
                  <w:r>
                    <w:rPr>
                      <w:rFonts w:hint="eastAsia" w:cs="宋体"/>
                      <w:sz w:val="21"/>
                      <w:szCs w:val="21"/>
                      <w:lang w:val="en-US" w:eastAsia="zh-CN"/>
                    </w:rPr>
                    <w:t>76.33-84.67</w:t>
                  </w:r>
                </w:p>
              </w:tc>
            </w:tr>
          </w:tbl>
          <w:p>
            <w:pPr>
              <w:keepNext w:val="0"/>
              <w:keepLines w:val="0"/>
              <w:pageBreakBefore w:val="0"/>
              <w:widowControl w:val="0"/>
              <w:wordWrap/>
              <w:topLinePunct w:val="0"/>
              <w:bidi w:val="0"/>
              <w:adjustRightInd/>
              <w:snapToGrid/>
              <w:spacing w:line="360" w:lineRule="auto"/>
              <w:ind w:firstLine="480" w:firstLineChars="200"/>
              <w:jc w:val="both"/>
              <w:rPr>
                <w:rFonts w:hint="default" w:ascii="Times New Roman" w:hAnsi="Times New Roman" w:eastAsia="宋体" w:cs="宋体"/>
                <w:lang w:val="en-US" w:eastAsia="zh-CN"/>
              </w:rPr>
            </w:pPr>
            <w:r>
              <w:rPr>
                <w:rFonts w:hint="default" w:ascii="Times New Roman" w:hAnsi="Times New Roman" w:eastAsia="宋体" w:cs="Times New Roman"/>
                <w:bCs/>
                <w:kern w:val="2"/>
                <w:sz w:val="24"/>
                <w:szCs w:val="24"/>
                <w:lang w:val="en-US" w:eastAsia="zh-CN" w:bidi="ar-SA"/>
              </w:rPr>
              <w:t>由表</w:t>
            </w:r>
            <w:r>
              <w:rPr>
                <w:rFonts w:hint="eastAsia" w:ascii="Times New Roman" w:hAnsi="Times New Roman" w:eastAsia="宋体" w:cs="Times New Roman"/>
                <w:bCs/>
                <w:kern w:val="2"/>
                <w:sz w:val="24"/>
                <w:szCs w:val="24"/>
                <w:lang w:val="en-US" w:eastAsia="zh-CN" w:bidi="ar-SA"/>
              </w:rPr>
              <w:t>3.1</w:t>
            </w:r>
            <w:r>
              <w:rPr>
                <w:rFonts w:hint="default" w:ascii="Times New Roman" w:hAnsi="Times New Roman" w:eastAsia="宋体" w:cs="Times New Roman"/>
                <w:bCs/>
                <w:kern w:val="2"/>
                <w:sz w:val="24"/>
                <w:szCs w:val="24"/>
                <w:lang w:val="en-US" w:eastAsia="zh-CN" w:bidi="ar-SA"/>
              </w:rPr>
              <w:t>-</w:t>
            </w:r>
            <w:r>
              <w:rPr>
                <w:rFonts w:hint="eastAsia" w:ascii="Times New Roman" w:hAnsi="Times New Roman" w:eastAsia="宋体" w:cs="Times New Roman"/>
                <w:bCs/>
                <w:kern w:val="2"/>
                <w:sz w:val="24"/>
                <w:szCs w:val="24"/>
                <w:lang w:val="en-US" w:eastAsia="zh-CN" w:bidi="ar-SA"/>
              </w:rPr>
              <w:t>3</w:t>
            </w:r>
            <w:r>
              <w:rPr>
                <w:rFonts w:hint="default" w:ascii="Times New Roman" w:hAnsi="Times New Roman" w:eastAsia="宋体" w:cs="Times New Roman"/>
                <w:bCs/>
                <w:kern w:val="2"/>
                <w:sz w:val="24"/>
                <w:szCs w:val="24"/>
                <w:lang w:val="en-US" w:eastAsia="zh-CN" w:bidi="ar-SA"/>
              </w:rPr>
              <w:t>可知，评价区域现状监测点特征因子浓度值均能满足</w:t>
            </w:r>
            <w:r>
              <w:rPr>
                <w:rFonts w:hint="eastAsia" w:ascii="Times New Roman" w:hAnsi="Times New Roman" w:eastAsia="宋体" w:cs="Times New Roman"/>
                <w:bCs/>
                <w:kern w:val="2"/>
                <w:sz w:val="24"/>
                <w:szCs w:val="24"/>
                <w:lang w:val="en-US" w:eastAsia="zh-CN" w:bidi="ar-SA"/>
              </w:rPr>
              <w:t>相关标准限值</w:t>
            </w:r>
            <w:r>
              <w:rPr>
                <w:rFonts w:hint="default" w:ascii="Times New Roman" w:hAnsi="Times New Roman" w:eastAsia="宋体" w:cs="宋体"/>
                <w:lang w:val="en-US" w:eastAsia="zh-CN"/>
              </w:rPr>
              <w:t>。</w:t>
            </w:r>
          </w:p>
          <w:p>
            <w:pPr>
              <w:keepNext w:val="0"/>
              <w:keepLines w:val="0"/>
              <w:pageBreakBefore w:val="0"/>
              <w:widowControl/>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default" w:ascii="Times New Roman" w:hAnsi="Times New Roman" w:eastAsia="宋体" w:cs="宋体"/>
                <w:lang w:val="en-US" w:eastAsia="zh-CN"/>
              </w:rPr>
              <w:t>评价结果表明，根据基本污染源</w:t>
            </w:r>
            <w:r>
              <w:rPr>
                <w:rFonts w:hint="eastAsia" w:cs="宋体"/>
                <w:lang w:val="en-US" w:eastAsia="zh-CN"/>
              </w:rPr>
              <w:t>2023</w:t>
            </w:r>
            <w:r>
              <w:rPr>
                <w:rFonts w:hint="default" w:ascii="Times New Roman" w:hAnsi="Times New Roman" w:eastAsia="宋体" w:cs="宋体"/>
                <w:lang w:val="en-US" w:eastAsia="zh-CN"/>
              </w:rPr>
              <w:t>年</w:t>
            </w:r>
            <w:r>
              <w:rPr>
                <w:rFonts w:hint="eastAsia" w:cs="Times New Roman"/>
                <w:color w:val="auto"/>
                <w:sz w:val="24"/>
                <w:szCs w:val="24"/>
                <w:lang w:val="en-US" w:eastAsia="zh-CN"/>
              </w:rPr>
              <w:t>阜康</w:t>
            </w:r>
            <w:r>
              <w:rPr>
                <w:rFonts w:hint="eastAsia" w:cs="宋体"/>
                <w:lang w:val="en-US" w:eastAsia="zh-CN"/>
              </w:rPr>
              <w:t>市</w:t>
            </w:r>
            <w:r>
              <w:rPr>
                <w:rFonts w:hint="default" w:ascii="Times New Roman" w:hAnsi="Times New Roman" w:eastAsia="宋体" w:cs="宋体"/>
                <w:lang w:val="en-US" w:eastAsia="zh-CN"/>
              </w:rPr>
              <w:t>空气质量监测数据</w:t>
            </w:r>
            <w:r>
              <w:rPr>
                <w:rFonts w:hint="eastAsia" w:ascii="Times New Roman" w:hAnsi="Times New Roman" w:eastAsia="宋体" w:cs="宋体"/>
                <w:lang w:val="en-US" w:eastAsia="zh-CN"/>
              </w:rPr>
              <w:t>中</w:t>
            </w:r>
            <w:r>
              <w:rPr>
                <w:rFonts w:ascii="Times New Roman" w:hAnsi="Times New Roman" w:eastAsia="宋体" w:cs="Times New Roman"/>
                <w:szCs w:val="24"/>
              </w:rPr>
              <w:t>PM</w:t>
            </w:r>
            <w:r>
              <w:rPr>
                <w:rFonts w:ascii="Times New Roman" w:hAnsi="Times New Roman" w:eastAsia="宋体" w:cs="Times New Roman"/>
                <w:szCs w:val="24"/>
                <w:vertAlign w:val="subscript"/>
              </w:rPr>
              <w:t>10</w:t>
            </w:r>
            <w:r>
              <w:rPr>
                <w:rFonts w:ascii="Times New Roman" w:hAnsi="Times New Roman" w:eastAsia="宋体" w:cs="Times New Roman"/>
                <w:szCs w:val="24"/>
              </w:rPr>
              <w:t>、</w:t>
            </w:r>
            <w:r>
              <w:rPr>
                <w:rFonts w:hint="eastAsia" w:ascii="Times New Roman" w:hAnsi="Times New Roman" w:eastAsia="宋体" w:cs="Times New Roman"/>
                <w:kern w:val="2"/>
                <w:szCs w:val="24"/>
              </w:rPr>
              <w:t>PM</w:t>
            </w:r>
            <w:r>
              <w:rPr>
                <w:rFonts w:hint="eastAsia" w:ascii="Times New Roman" w:hAnsi="Times New Roman" w:eastAsia="宋体" w:cs="Times New Roman"/>
                <w:kern w:val="2"/>
                <w:szCs w:val="24"/>
                <w:vertAlign w:val="subscript"/>
              </w:rPr>
              <w:t>2.5</w:t>
            </w:r>
            <w:r>
              <w:rPr>
                <w:rFonts w:hint="eastAsia" w:ascii="Times New Roman" w:hAnsi="Times New Roman" w:eastAsia="宋体" w:cs="Times New Roman"/>
                <w:kern w:val="2"/>
                <w:szCs w:val="24"/>
              </w:rPr>
              <w:t>超标，</w:t>
            </w:r>
            <w:r>
              <w:rPr>
                <w:rFonts w:ascii="Times New Roman" w:hAnsi="Times New Roman" w:eastAsia="宋体" w:cs="Times New Roman"/>
                <w:kern w:val="2"/>
                <w:szCs w:val="24"/>
              </w:rPr>
              <w:t>为</w:t>
            </w:r>
            <w:r>
              <w:rPr>
                <w:rFonts w:hint="eastAsia" w:ascii="Times New Roman" w:hAnsi="Times New Roman" w:eastAsia="宋体" w:cs="Times New Roman"/>
                <w:kern w:val="2"/>
                <w:szCs w:val="24"/>
              </w:rPr>
              <w:t>空气质量非</w:t>
            </w:r>
            <w:r>
              <w:rPr>
                <w:rFonts w:ascii="Times New Roman" w:hAnsi="Times New Roman" w:eastAsia="宋体" w:cs="Times New Roman"/>
                <w:kern w:val="2"/>
                <w:szCs w:val="24"/>
              </w:rPr>
              <w:t>达标区</w:t>
            </w:r>
            <w:r>
              <w:rPr>
                <w:rFonts w:hint="default" w:ascii="Times New Roman" w:hAnsi="Times New Roman" w:eastAsia="宋体" w:cs="宋体"/>
                <w:lang w:val="en-US" w:eastAsia="zh-CN"/>
              </w:rPr>
              <w:t>，特征污染物均达标。</w:t>
            </w:r>
          </w:p>
          <w:p>
            <w:pPr>
              <w:overflowPunct w:val="0"/>
              <w:autoSpaceDE w:val="0"/>
              <w:autoSpaceDN w:val="0"/>
              <w:adjustRightInd w:val="0"/>
              <w:snapToGrid w:val="0"/>
              <w:spacing w:line="360" w:lineRule="auto"/>
              <w:ind w:firstLine="562" w:firstLineChars="200"/>
              <w:jc w:val="left"/>
              <w:outlineLvl w:val="1"/>
              <w:rPr>
                <w:rFonts w:ascii="Times New Roman" w:hAnsi="Times New Roman" w:eastAsia="宋体" w:cs="黑体"/>
                <w:b/>
                <w:sz w:val="28"/>
                <w:szCs w:val="30"/>
              </w:rPr>
            </w:pPr>
            <w:r>
              <w:rPr>
                <w:rFonts w:hint="eastAsia" w:ascii="Times New Roman" w:hAnsi="Times New Roman" w:eastAsia="宋体" w:cs="黑体"/>
                <w:b/>
                <w:sz w:val="28"/>
                <w:szCs w:val="30"/>
              </w:rPr>
              <w:t>3.2</w:t>
            </w:r>
            <w:r>
              <w:rPr>
                <w:rFonts w:ascii="Times New Roman" w:hAnsi="Times New Roman" w:eastAsia="宋体" w:cs="黑体"/>
                <w:b/>
                <w:sz w:val="28"/>
                <w:szCs w:val="30"/>
              </w:rPr>
              <w:t>水环境质量现状调查与评价</w:t>
            </w:r>
          </w:p>
          <w:p>
            <w:pPr>
              <w:overflowPunct w:val="0"/>
              <w:autoSpaceDE w:val="0"/>
              <w:autoSpaceDN w:val="0"/>
              <w:bidi w:val="0"/>
              <w:adjustRightInd w:val="0"/>
              <w:snapToGrid w:val="0"/>
              <w:spacing w:before="0" w:after="0" w:line="360" w:lineRule="auto"/>
              <w:ind w:left="0" w:leftChars="0" w:right="0" w:firstLine="480" w:firstLineChars="200"/>
              <w:jc w:val="left"/>
              <w:rPr>
                <w:rFonts w:hint="default" w:ascii="Times New Roman" w:hAnsi="Times New Roman" w:eastAsia="宋体" w:cs="宋体"/>
                <w:lang w:val="en-US" w:eastAsia="zh-CN"/>
              </w:rPr>
            </w:pPr>
            <w:r>
              <w:rPr>
                <w:rFonts w:hint="eastAsia" w:ascii="Times New Roman" w:hAnsi="Times New Roman" w:eastAsia="宋体" w:cs="宋体"/>
                <w:lang w:val="en-US" w:eastAsia="zh-CN"/>
              </w:rPr>
              <w:t>（1）地表水</w:t>
            </w:r>
          </w:p>
          <w:p>
            <w:pPr>
              <w:widowControl/>
              <w:spacing w:line="360" w:lineRule="auto"/>
              <w:ind w:firstLine="480" w:firstLineChars="200"/>
              <w:jc w:val="left"/>
              <w:rPr>
                <w:rFonts w:hint="eastAsia" w:ascii="Times New Roman" w:hAnsi="Times New Roman" w:eastAsia="宋体" w:cs="宋体"/>
                <w:lang w:eastAsia="zh-CN"/>
              </w:rPr>
            </w:pPr>
            <w:r>
              <w:rPr>
                <w:rFonts w:hint="eastAsia" w:ascii="Times New Roman" w:hAnsi="Times New Roman" w:eastAsia="宋体" w:cs="宋体"/>
                <w:lang w:val="en-US" w:eastAsia="zh-CN"/>
              </w:rPr>
              <w:t>根据</w:t>
            </w:r>
            <w:r>
              <w:rPr>
                <w:rFonts w:hint="eastAsia" w:ascii="Times New Roman" w:hAnsi="Times New Roman" w:eastAsia="宋体" w:cs="宋体"/>
              </w:rPr>
              <w:t>《建设项目环境影响报告表编制技术指南》（污染影响类）</w:t>
            </w:r>
            <w:r>
              <w:rPr>
                <w:rFonts w:hint="eastAsia" w:ascii="Times New Roman" w:hAnsi="Times New Roman" w:eastAsia="宋体" w:cs="宋体"/>
                <w:lang w:eastAsia="zh-CN"/>
              </w:rPr>
              <w:t>，</w:t>
            </w:r>
            <w:r>
              <w:rPr>
                <w:rFonts w:hint="eastAsia" w:ascii="Times New Roman" w:hAnsi="Times New Roman" w:eastAsia="宋体" w:cs="宋体"/>
              </w:rPr>
              <w:t>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Times New Roman" w:hAnsi="Times New Roman" w:eastAsia="宋体" w:cs="宋体"/>
                <w:lang w:eastAsia="zh-CN"/>
              </w:rPr>
              <w:t>。</w:t>
            </w:r>
          </w:p>
          <w:p>
            <w:pPr>
              <w:widowControl/>
              <w:spacing w:line="360" w:lineRule="auto"/>
              <w:ind w:firstLine="480" w:firstLineChars="200"/>
              <w:jc w:val="left"/>
              <w:rPr>
                <w:rFonts w:hint="eastAsia" w:ascii="Times New Roman" w:hAnsi="Times New Roman" w:cs="宋体"/>
                <w:lang w:val="en-US" w:eastAsia="zh-CN"/>
              </w:rPr>
            </w:pPr>
            <w:r>
              <w:rPr>
                <w:rFonts w:hint="eastAsia" w:ascii="Times New Roman" w:hAnsi="Times New Roman" w:eastAsia="宋体" w:cs="宋体"/>
                <w:lang w:val="en-US" w:eastAsia="zh-CN"/>
              </w:rPr>
              <w:t>根据</w:t>
            </w:r>
            <w:r>
              <w:rPr>
                <w:rFonts w:hint="eastAsia" w:cs="宋体"/>
                <w:lang w:val="en-US" w:eastAsia="zh-CN"/>
              </w:rPr>
              <w:t>2023</w:t>
            </w:r>
            <w:r>
              <w:rPr>
                <w:rFonts w:hint="eastAsia" w:ascii="Times New Roman" w:hAnsi="Times New Roman" w:eastAsia="宋体" w:cs="宋体"/>
                <w:lang w:val="en-US" w:eastAsia="zh-CN"/>
              </w:rPr>
              <w:t>年</w:t>
            </w:r>
            <w:r>
              <w:rPr>
                <w:rFonts w:hint="eastAsia" w:cs="宋体"/>
                <w:lang w:val="en-US" w:eastAsia="zh-CN"/>
              </w:rPr>
              <w:t>2月昌吉州集中式生活饮用水水源地水质监测结果</w:t>
            </w:r>
            <w:r>
              <w:rPr>
                <w:rFonts w:hint="eastAsia" w:ascii="Times New Roman" w:hAnsi="Times New Roman" w:eastAsia="宋体" w:cs="宋体"/>
                <w:lang w:val="en-US" w:eastAsia="zh-CN"/>
              </w:rPr>
              <w:t>，对阜康市水磨河水源地展开监测，监测点位如下：</w:t>
            </w:r>
          </w:p>
          <w:p>
            <w:pPr>
              <w:spacing w:line="360" w:lineRule="auto"/>
              <w:jc w:val="center"/>
              <w:rPr>
                <w:rFonts w:ascii="Times New Roman" w:hAnsi="Times New Roman" w:eastAsia="宋体" w:cs="宋体"/>
                <w:b/>
                <w:bCs/>
              </w:rPr>
            </w:pPr>
            <w:r>
              <w:rPr>
                <w:rFonts w:ascii="Times New Roman" w:hAnsi="Times New Roman" w:eastAsia="宋体" w:cs="宋体"/>
                <w:b/>
                <w:bCs/>
              </w:rPr>
              <w:t>表</w:t>
            </w:r>
            <w:r>
              <w:rPr>
                <w:rFonts w:hint="eastAsia" w:ascii="Times New Roman" w:hAnsi="Times New Roman" w:eastAsia="宋体" w:cs="宋体"/>
                <w:b/>
                <w:bCs/>
              </w:rPr>
              <w:t>3.</w:t>
            </w:r>
            <w:r>
              <w:rPr>
                <w:rFonts w:hint="eastAsia" w:ascii="Times New Roman" w:hAnsi="Times New Roman" w:eastAsia="宋体" w:cs="宋体"/>
                <w:b/>
                <w:bCs/>
                <w:lang w:val="en-US" w:eastAsia="zh-CN"/>
              </w:rPr>
              <w:t>2</w:t>
            </w:r>
            <w:r>
              <w:rPr>
                <w:rFonts w:hint="eastAsia" w:ascii="Times New Roman" w:hAnsi="Times New Roman" w:eastAsia="宋体" w:cs="宋体"/>
                <w:b/>
                <w:bCs/>
              </w:rPr>
              <w:t>-1</w:t>
            </w:r>
            <w:r>
              <w:rPr>
                <w:rFonts w:hint="eastAsia" w:ascii="Times New Roman" w:hAnsi="Times New Roman" w:eastAsia="宋体" w:cs="宋体"/>
                <w:b/>
                <w:bCs/>
                <w:lang w:val="en-US" w:eastAsia="zh-CN"/>
              </w:rPr>
              <w:t xml:space="preserve">  监测点位表</w:t>
            </w:r>
            <w:r>
              <w:rPr>
                <w:rFonts w:hint="eastAsia" w:ascii="Times New Roman" w:hAnsi="Times New Roman" w:eastAsia="宋体" w:cs="宋体"/>
                <w:b/>
                <w:bCs/>
              </w:rPr>
              <w:t xml:space="preserve">  </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154"/>
              <w:gridCol w:w="3190"/>
              <w:gridCol w:w="1718"/>
              <w:gridCol w:w="15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760" w:type="dxa"/>
                  <w:vMerge w:val="restart"/>
                  <w:vAlign w:val="center"/>
                </w:tcPr>
                <w:p>
                  <w:pPr>
                    <w:kinsoku w:val="0"/>
                    <w:overflowPunct w:val="0"/>
                    <w:autoSpaceDE w:val="0"/>
                    <w:autoSpaceDN w:val="0"/>
                    <w:jc w:val="center"/>
                    <w:rPr>
                      <w:rFonts w:hint="eastAsia" w:ascii="Times New Roman" w:hAnsi="Times New Roman" w:eastAsia="宋体" w:cs="宋体"/>
                      <w:b/>
                      <w:bCs/>
                      <w:sz w:val="21"/>
                      <w:szCs w:val="21"/>
                      <w:lang w:eastAsia="zh-CN"/>
                    </w:rPr>
                  </w:pPr>
                  <w:r>
                    <w:rPr>
                      <w:rFonts w:hint="eastAsia" w:ascii="Times New Roman" w:hAnsi="Times New Roman" w:eastAsia="宋体" w:cs="宋体"/>
                      <w:b/>
                      <w:bCs/>
                      <w:sz w:val="21"/>
                      <w:szCs w:val="21"/>
                      <w:lang w:val="en-US" w:eastAsia="zh-CN"/>
                    </w:rPr>
                    <w:t>水体名称</w:t>
                  </w:r>
                </w:p>
              </w:tc>
              <w:tc>
                <w:tcPr>
                  <w:tcW w:w="998" w:type="dxa"/>
                  <w:vMerge w:val="restart"/>
                  <w:vAlign w:val="center"/>
                </w:tcPr>
                <w:p>
                  <w:pPr>
                    <w:kinsoku w:val="0"/>
                    <w:overflowPunct w:val="0"/>
                    <w:autoSpaceDE w:val="0"/>
                    <w:autoSpaceDN w:val="0"/>
                    <w:jc w:val="center"/>
                    <w:rPr>
                      <w:rFonts w:hint="eastAsia" w:ascii="Times New Roman" w:hAnsi="Times New Roman" w:eastAsia="宋体" w:cs="宋体"/>
                      <w:b/>
                      <w:bCs/>
                      <w:sz w:val="21"/>
                      <w:szCs w:val="21"/>
                      <w:lang w:eastAsia="zh-CN"/>
                    </w:rPr>
                  </w:pPr>
                  <w:r>
                    <w:rPr>
                      <w:rFonts w:hint="eastAsia" w:cs="宋体"/>
                      <w:b/>
                      <w:bCs/>
                      <w:sz w:val="21"/>
                      <w:szCs w:val="21"/>
                      <w:lang w:val="en-US" w:eastAsia="zh-CN"/>
                    </w:rPr>
                    <w:t>水源类型</w:t>
                  </w:r>
                </w:p>
              </w:tc>
              <w:tc>
                <w:tcPr>
                  <w:tcW w:w="2758" w:type="dxa"/>
                  <w:vMerge w:val="restart"/>
                  <w:vAlign w:val="center"/>
                </w:tcPr>
                <w:p>
                  <w:pPr>
                    <w:kinsoku w:val="0"/>
                    <w:overflowPunct w:val="0"/>
                    <w:autoSpaceDE w:val="0"/>
                    <w:autoSpaceDN w:val="0"/>
                    <w:jc w:val="center"/>
                    <w:rPr>
                      <w:rFonts w:hint="eastAsia" w:ascii="Times New Roman" w:hAnsi="Times New Roman" w:eastAsia="宋体" w:cs="宋体"/>
                      <w:b/>
                      <w:bCs/>
                      <w:sz w:val="21"/>
                      <w:szCs w:val="21"/>
                      <w:lang w:eastAsia="zh-CN"/>
                    </w:rPr>
                  </w:pPr>
                  <w:r>
                    <w:rPr>
                      <w:rFonts w:hint="eastAsia" w:ascii="Times New Roman" w:hAnsi="Times New Roman" w:eastAsia="宋体" w:cs="宋体"/>
                      <w:b/>
                      <w:bCs/>
                      <w:sz w:val="21"/>
                      <w:szCs w:val="21"/>
                      <w:lang w:val="en-US" w:eastAsia="zh-CN"/>
                    </w:rPr>
                    <w:t>监测项目</w:t>
                  </w:r>
                </w:p>
              </w:tc>
              <w:tc>
                <w:tcPr>
                  <w:tcW w:w="2836" w:type="dxa"/>
                  <w:gridSpan w:val="2"/>
                  <w:vAlign w:val="center"/>
                </w:tcPr>
                <w:p>
                  <w:pPr>
                    <w:kinsoku w:val="0"/>
                    <w:overflowPunct w:val="0"/>
                    <w:autoSpaceDE w:val="0"/>
                    <w:autoSpaceDN w:val="0"/>
                    <w:jc w:val="center"/>
                    <w:rPr>
                      <w:rFonts w:ascii="Times New Roman" w:hAnsi="Times New Roman" w:eastAsia="宋体" w:cs="宋体"/>
                      <w:b/>
                      <w:bCs/>
                      <w:sz w:val="21"/>
                      <w:szCs w:val="21"/>
                    </w:rPr>
                  </w:pPr>
                  <w:r>
                    <w:rPr>
                      <w:rFonts w:hint="eastAsia" w:ascii="Times New Roman" w:hAnsi="Times New Roman" w:eastAsia="宋体" w:cs="宋体"/>
                      <w:b/>
                      <w:bCs/>
                      <w:sz w:val="21"/>
                      <w:szCs w:val="21"/>
                      <w:lang w:val="en-US" w:eastAsia="zh-CN"/>
                    </w:rPr>
                    <w:t>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760" w:type="dxa"/>
                  <w:vMerge w:val="continue"/>
                  <w:vAlign w:val="center"/>
                </w:tcPr>
                <w:p>
                  <w:pPr>
                    <w:kinsoku w:val="0"/>
                    <w:overflowPunct w:val="0"/>
                    <w:autoSpaceDE w:val="0"/>
                    <w:autoSpaceDN w:val="0"/>
                    <w:jc w:val="center"/>
                  </w:pPr>
                </w:p>
              </w:tc>
              <w:tc>
                <w:tcPr>
                  <w:tcW w:w="998" w:type="dxa"/>
                  <w:vMerge w:val="continue"/>
                  <w:vAlign w:val="center"/>
                </w:tcPr>
                <w:p>
                  <w:pPr>
                    <w:kinsoku w:val="0"/>
                    <w:overflowPunct w:val="0"/>
                    <w:autoSpaceDE w:val="0"/>
                    <w:autoSpaceDN w:val="0"/>
                    <w:jc w:val="center"/>
                  </w:pPr>
                </w:p>
              </w:tc>
              <w:tc>
                <w:tcPr>
                  <w:tcW w:w="2758" w:type="dxa"/>
                  <w:vMerge w:val="continue"/>
                  <w:vAlign w:val="center"/>
                </w:tcPr>
                <w:p>
                  <w:pPr>
                    <w:kinsoku w:val="0"/>
                    <w:overflowPunct w:val="0"/>
                    <w:autoSpaceDE w:val="0"/>
                    <w:autoSpaceDN w:val="0"/>
                    <w:jc w:val="center"/>
                  </w:pPr>
                </w:p>
              </w:tc>
              <w:tc>
                <w:tcPr>
                  <w:tcW w:w="1485" w:type="dxa"/>
                  <w:vAlign w:val="center"/>
                </w:tcPr>
                <w:p>
                  <w:pPr>
                    <w:kinsoku w:val="0"/>
                    <w:overflowPunct w:val="0"/>
                    <w:autoSpaceDE w:val="0"/>
                    <w:autoSpaceDN w:val="0"/>
                    <w:jc w:val="center"/>
                    <w:rPr>
                      <w:rFonts w:hint="default"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经度</w:t>
                  </w:r>
                </w:p>
              </w:tc>
              <w:tc>
                <w:tcPr>
                  <w:tcW w:w="1351" w:type="dxa"/>
                  <w:vAlign w:val="center"/>
                </w:tcPr>
                <w:p>
                  <w:pPr>
                    <w:kinsoku w:val="0"/>
                    <w:overflowPunct w:val="0"/>
                    <w:autoSpaceDE w:val="0"/>
                    <w:autoSpaceDN w:val="0"/>
                    <w:jc w:val="center"/>
                    <w:rPr>
                      <w:rFonts w:hint="default"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维度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0" w:type="dxa"/>
                  <w:vAlign w:val="center"/>
                </w:tcPr>
                <w:p>
                  <w:pPr>
                    <w:adjustRightInd w:val="0"/>
                    <w:spacing w:line="320" w:lineRule="atLeast"/>
                    <w:jc w:val="center"/>
                    <w:textAlignment w:val="baseline"/>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阜康市水磨河水源地</w:t>
                  </w:r>
                </w:p>
              </w:tc>
              <w:tc>
                <w:tcPr>
                  <w:tcW w:w="998" w:type="dxa"/>
                  <w:vAlign w:val="center"/>
                </w:tcPr>
                <w:p>
                  <w:pPr>
                    <w:adjustRightInd w:val="0"/>
                    <w:spacing w:line="320" w:lineRule="atLeast"/>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河流型</w:t>
                  </w:r>
                </w:p>
              </w:tc>
              <w:tc>
                <w:tcPr>
                  <w:tcW w:w="2758" w:type="dxa"/>
                  <w:vAlign w:val="center"/>
                </w:tcPr>
                <w:p>
                  <w:pPr>
                    <w:adjustRightInd w:val="0"/>
                    <w:spacing w:line="320" w:lineRule="atLeast"/>
                    <w:jc w:val="center"/>
                    <w:textAlignment w:val="baseline"/>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《地表水环境质量标准》（GB3838-2002）65项</w:t>
                  </w:r>
                </w:p>
              </w:tc>
              <w:tc>
                <w:tcPr>
                  <w:tcW w:w="1485" w:type="dxa"/>
                  <w:vAlign w:val="center"/>
                </w:tcPr>
                <w:p>
                  <w:pPr>
                    <w:adjustRightInd w:val="0"/>
                    <w:spacing w:line="320" w:lineRule="atLeast"/>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87°59′29.000″</w:t>
                  </w:r>
                </w:p>
              </w:tc>
              <w:tc>
                <w:tcPr>
                  <w:tcW w:w="1351" w:type="dxa"/>
                  <w:vAlign w:val="center"/>
                </w:tcPr>
                <w:p>
                  <w:pPr>
                    <w:adjustRightInd w:val="0"/>
                    <w:spacing w:line="320" w:lineRule="atLeast"/>
                    <w:jc w:val="center"/>
                    <w:textAlignment w:val="baseline"/>
                    <w:rPr>
                      <w:rFonts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spacing w:val="0"/>
                      <w:sz w:val="21"/>
                      <w:szCs w:val="21"/>
                      <w:shd w:val="clear" w:fill="FFFFFF"/>
                    </w:rPr>
                    <w:t>44°1′47.193″</w:t>
                  </w:r>
                  <w:r>
                    <w:rPr>
                      <w:rFonts w:hint="default" w:ascii="Times New Roman" w:hAnsi="Times New Roman" w:eastAsia="宋体" w:cs="Times New Roman"/>
                      <w:sz w:val="21"/>
                      <w:szCs w:val="21"/>
                    </w:rPr>
                    <w:t xml:space="preserve"> </w:t>
                  </w:r>
                </w:p>
              </w:tc>
            </w:tr>
          </w:tbl>
          <w:p>
            <w:pPr>
              <w:widowControl/>
              <w:spacing w:line="360" w:lineRule="auto"/>
              <w:ind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阜康市水磨河水源地</w:t>
            </w:r>
            <w:r>
              <w:rPr>
                <w:rFonts w:hint="default" w:ascii="Times New Roman" w:hAnsi="Times New Roman" w:eastAsia="宋体" w:cs="Times New Roman"/>
                <w:lang w:val="en-US" w:eastAsia="zh-CN"/>
              </w:rPr>
              <w:t>按照《地表水环境质量标准》（GB3838-2002）中Ⅰ类标准</w:t>
            </w:r>
            <w:r>
              <w:rPr>
                <w:rFonts w:hint="eastAsia" w:ascii="Times New Roman" w:hAnsi="Times New Roman" w:eastAsia="宋体" w:cs="宋体"/>
                <w:lang w:val="en-US" w:eastAsia="zh-CN"/>
              </w:rPr>
              <w:t>，参与评价的</w:t>
            </w:r>
            <w:r>
              <w:rPr>
                <w:rFonts w:hint="eastAsia" w:cs="宋体"/>
                <w:lang w:val="en-US" w:eastAsia="zh-CN"/>
              </w:rPr>
              <w:t>65</w:t>
            </w:r>
            <w:r>
              <w:rPr>
                <w:rFonts w:hint="eastAsia" w:ascii="Times New Roman" w:hAnsi="Times New Roman" w:eastAsia="宋体" w:cs="宋体"/>
                <w:lang w:val="en-US" w:eastAsia="zh-CN"/>
              </w:rPr>
              <w:t>个项目全部达到该功能区水质要求，水质状况</w:t>
            </w:r>
            <w:r>
              <w:rPr>
                <w:rFonts w:hint="eastAsia" w:cs="宋体"/>
                <w:lang w:val="en-US" w:eastAsia="zh-CN"/>
              </w:rPr>
              <w:t>良好</w:t>
            </w:r>
            <w:r>
              <w:rPr>
                <w:rFonts w:hint="eastAsia" w:ascii="Times New Roman" w:hAnsi="Times New Roman" w:eastAsia="宋体" w:cs="宋体"/>
                <w:lang w:val="en-US" w:eastAsia="zh-CN"/>
              </w:rPr>
              <w:t>。</w:t>
            </w:r>
          </w:p>
          <w:p>
            <w:pPr>
              <w:widowControl/>
              <w:spacing w:line="360" w:lineRule="auto"/>
              <w:ind w:firstLine="480" w:firstLineChars="20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本项目</w:t>
            </w:r>
            <w:r>
              <w:rPr>
                <w:rFonts w:hint="eastAsia" w:ascii="Times New Roman" w:hAnsi="Times New Roman" w:cs="Times New Roman"/>
                <w:lang w:val="en-US" w:eastAsia="zh-CN"/>
              </w:rPr>
              <w:t>冷却水循环使用</w:t>
            </w:r>
            <w:r>
              <w:rPr>
                <w:rFonts w:hint="eastAsia" w:cs="Times New Roman"/>
                <w:lang w:val="en-US" w:eastAsia="zh-CN"/>
              </w:rPr>
              <w:t>不外排</w:t>
            </w:r>
            <w:r>
              <w:rPr>
                <w:rFonts w:hint="eastAsia" w:ascii="Times New Roman" w:hAnsi="Times New Roman" w:eastAsia="宋体" w:cs="Times New Roman"/>
                <w:lang w:val="en-US" w:eastAsia="zh-CN"/>
              </w:rPr>
              <w:t>，生活污水</w:t>
            </w:r>
            <w:r>
              <w:rPr>
                <w:rFonts w:hint="eastAsia" w:cs="Times New Roman"/>
                <w:lang w:val="en-US" w:eastAsia="zh-CN"/>
              </w:rPr>
              <w:t>排入园区管网</w:t>
            </w:r>
            <w:r>
              <w:rPr>
                <w:rFonts w:hint="eastAsia" w:ascii="Times New Roman" w:hAnsi="Times New Roman" w:eastAsia="宋体" w:cs="Times New Roman"/>
                <w:lang w:val="en-US" w:eastAsia="zh-CN"/>
              </w:rPr>
              <w:t>，与地表水体无水力联系。</w:t>
            </w:r>
          </w:p>
          <w:p>
            <w:pPr>
              <w:overflowPunct w:val="0"/>
              <w:autoSpaceDE w:val="0"/>
              <w:autoSpaceDN w:val="0"/>
              <w:adjustRightInd w:val="0"/>
              <w:snapToGrid w:val="0"/>
              <w:spacing w:line="360" w:lineRule="auto"/>
              <w:ind w:firstLine="480" w:firstLineChars="200"/>
              <w:rPr>
                <w:rFonts w:ascii="Times New Roman" w:hAnsi="Times New Roman" w:eastAsia="宋体" w:cs="宋体"/>
              </w:rPr>
            </w:pPr>
            <w:r>
              <w:rPr>
                <w:rFonts w:hint="eastAsia" w:ascii="Times New Roman" w:hAnsi="Times New Roman" w:eastAsia="宋体" w:cs="宋体"/>
              </w:rPr>
              <w:t>（2）地下水</w:t>
            </w:r>
          </w:p>
          <w:p>
            <w:pPr>
              <w:overflowPunct w:val="0"/>
              <w:autoSpaceDE w:val="0"/>
              <w:autoSpaceDN w:val="0"/>
              <w:bidi w:val="0"/>
              <w:adjustRightInd w:val="0"/>
              <w:snapToGrid w:val="0"/>
              <w:spacing w:before="0" w:after="0" w:line="360" w:lineRule="auto"/>
              <w:ind w:left="0" w:right="0" w:firstLine="480" w:firstLineChars="200"/>
              <w:jc w:val="both"/>
              <w:rPr>
                <w:rFonts w:ascii="Times New Roman" w:hAnsi="Times New Roman" w:eastAsia="宋体" w:cs="Times New Roman"/>
                <w:kern w:val="2"/>
                <w:szCs w:val="21"/>
              </w:rPr>
            </w:pPr>
            <w:r>
              <w:rPr>
                <w:rFonts w:hint="eastAsia" w:ascii="Times New Roman" w:hAnsi="Times New Roman" w:eastAsia="宋体" w:cs="宋体"/>
                <w:color w:val="auto"/>
                <w:lang w:val="en-US" w:eastAsia="zh-CN"/>
              </w:rPr>
              <w:t>根据《建设项目环境影响报告表编制技术指南（污染影响类）（试行）》，建设项目不存在地下水环境污染途径，原则上不开展地下水环境质量现状调查。</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本项目</w:t>
            </w:r>
            <w:r>
              <w:rPr>
                <w:rFonts w:hint="eastAsia" w:ascii="Times New Roman" w:hAnsi="Times New Roman" w:eastAsia="宋体" w:cs="Times New Roman"/>
                <w:sz w:val="24"/>
                <w:szCs w:val="24"/>
                <w:lang w:val="en-US" w:eastAsia="zh-CN" w:bidi="ar-SA"/>
              </w:rPr>
              <w:t>采取分区防渗处理</w:t>
            </w:r>
            <w:r>
              <w:rPr>
                <w:rFonts w:hint="eastAsia" w:cs="Times New Roman"/>
                <w:sz w:val="24"/>
                <w:szCs w:val="24"/>
                <w:lang w:val="en-US" w:eastAsia="zh-CN" w:bidi="ar-SA"/>
              </w:rPr>
              <w:t>，</w:t>
            </w:r>
            <w:r>
              <w:rPr>
                <w:rFonts w:hint="eastAsia" w:ascii="Times New Roman" w:hAnsi="Times New Roman" w:eastAsia="宋体" w:cs="Times New Roman"/>
                <w:color w:val="000000"/>
                <w:kern w:val="2"/>
                <w:sz w:val="24"/>
                <w:szCs w:val="20"/>
                <w:highlight w:val="none"/>
                <w:lang w:val="en-US" w:eastAsia="zh-CN"/>
              </w:rPr>
              <w:t>危废暂存间</w:t>
            </w:r>
            <w:r>
              <w:rPr>
                <w:rFonts w:hint="eastAsia" w:cs="Times New Roman"/>
                <w:sz w:val="24"/>
                <w:szCs w:val="24"/>
                <w:lang w:val="en-US" w:eastAsia="zh-CN" w:bidi="ar-SA"/>
              </w:rPr>
              <w:t>做重点防渗处理</w:t>
            </w:r>
            <w:r>
              <w:rPr>
                <w:rFonts w:hint="eastAsia" w:ascii="Times New Roman" w:hAnsi="Times New Roman" w:cs="Times New Roman"/>
                <w:sz w:val="24"/>
                <w:szCs w:val="24"/>
                <w:lang w:val="en-US" w:eastAsia="zh-CN" w:bidi="ar-SA"/>
              </w:rPr>
              <w:t>，防渗系数达到1×10</w:t>
            </w:r>
            <w:r>
              <w:rPr>
                <w:rFonts w:hint="eastAsia" w:ascii="Times New Roman" w:hAnsi="Times New Roman" w:cs="Times New Roman"/>
                <w:sz w:val="24"/>
                <w:szCs w:val="24"/>
                <w:vertAlign w:val="superscript"/>
                <w:lang w:val="en-US" w:eastAsia="zh-CN" w:bidi="ar-SA"/>
              </w:rPr>
              <w:t>-7</w:t>
            </w:r>
            <w:r>
              <w:rPr>
                <w:rFonts w:hint="eastAsia" w:ascii="Times New Roman" w:hAnsi="Times New Roman" w:cs="Times New Roman"/>
                <w:sz w:val="24"/>
                <w:szCs w:val="24"/>
                <w:lang w:val="en-US" w:eastAsia="zh-CN" w:bidi="ar-SA"/>
              </w:rPr>
              <w:t>cm/s</w:t>
            </w:r>
            <w:r>
              <w:rPr>
                <w:rFonts w:hint="eastAsia" w:cs="Times New Roman"/>
                <w:sz w:val="24"/>
                <w:szCs w:val="24"/>
                <w:lang w:val="en-US" w:eastAsia="zh-CN" w:bidi="ar-SA"/>
              </w:rPr>
              <w:t>，目前租赁生产车间已建成20cm厚P4等级混凝土防渗措施，办公生活楼、门卫室以及进出场道路已进行基础硬化</w:t>
            </w:r>
            <w:r>
              <w:rPr>
                <w:rFonts w:hint="eastAsia" w:ascii="Times New Roman" w:hAnsi="Times New Roman" w:cs="Times New Roman"/>
                <w:sz w:val="24"/>
                <w:szCs w:val="24"/>
                <w:lang w:val="en-US" w:eastAsia="zh-CN" w:bidi="ar-SA"/>
              </w:rPr>
              <w:t>，不存在</w:t>
            </w:r>
            <w:r>
              <w:rPr>
                <w:rFonts w:hint="eastAsia" w:ascii="Times New Roman" w:hAnsi="Times New Roman" w:eastAsia="宋体" w:cs="宋体"/>
              </w:rPr>
              <w:t>地下水</w:t>
            </w:r>
            <w:r>
              <w:rPr>
                <w:rFonts w:hint="eastAsia" w:ascii="Times New Roman" w:hAnsi="Times New Roman" w:eastAsia="宋体" w:cs="宋体"/>
                <w:lang w:val="en-US" w:eastAsia="zh-CN"/>
              </w:rPr>
              <w:t>污染途径，</w:t>
            </w:r>
            <w:r>
              <w:rPr>
                <w:rFonts w:hint="eastAsia" w:ascii="Times New Roman" w:hAnsi="Times New Roman" w:eastAsia="宋体" w:cs="宋体"/>
                <w:color w:val="auto"/>
                <w:lang w:val="en-US" w:eastAsia="zh-CN"/>
              </w:rPr>
              <w:t>因此，本项目不开展地下水环境影响评价</w:t>
            </w:r>
            <w:r>
              <w:rPr>
                <w:rFonts w:ascii="Times New Roman" w:hAnsi="Times New Roman" w:eastAsia="宋体" w:cs="Times New Roman"/>
                <w:kern w:val="2"/>
                <w:szCs w:val="21"/>
              </w:rPr>
              <w:t>。</w:t>
            </w:r>
          </w:p>
          <w:p>
            <w:pPr>
              <w:overflowPunct w:val="0"/>
              <w:autoSpaceDE w:val="0"/>
              <w:autoSpaceDN w:val="0"/>
              <w:adjustRightInd w:val="0"/>
              <w:snapToGrid w:val="0"/>
              <w:spacing w:line="360" w:lineRule="auto"/>
              <w:ind w:firstLine="562" w:firstLineChars="200"/>
              <w:jc w:val="left"/>
              <w:outlineLvl w:val="1"/>
              <w:rPr>
                <w:rFonts w:ascii="Times New Roman" w:hAnsi="Times New Roman" w:eastAsia="宋体" w:cs="黑体"/>
                <w:b/>
                <w:sz w:val="28"/>
                <w:szCs w:val="30"/>
              </w:rPr>
            </w:pPr>
            <w:r>
              <w:rPr>
                <w:rFonts w:ascii="Times New Roman" w:hAnsi="Times New Roman" w:eastAsia="宋体" w:cs="黑体"/>
                <w:b/>
                <w:sz w:val="28"/>
                <w:szCs w:val="30"/>
              </w:rPr>
              <w:t>3</w:t>
            </w:r>
            <w:r>
              <w:rPr>
                <w:rFonts w:hint="eastAsia" w:ascii="Times New Roman" w:hAnsi="Times New Roman" w:eastAsia="宋体" w:cs="黑体"/>
                <w:b/>
                <w:sz w:val="28"/>
                <w:szCs w:val="30"/>
                <w:lang w:eastAsia="zh-Hans"/>
              </w:rPr>
              <w:t>.</w:t>
            </w:r>
            <w:r>
              <w:rPr>
                <w:rFonts w:ascii="Times New Roman" w:hAnsi="Times New Roman" w:eastAsia="宋体" w:cs="黑体"/>
                <w:b/>
                <w:sz w:val="28"/>
                <w:szCs w:val="30"/>
                <w:lang w:eastAsia="zh-Hans"/>
              </w:rPr>
              <w:t>3</w:t>
            </w:r>
            <w:r>
              <w:rPr>
                <w:rFonts w:ascii="Times New Roman" w:hAnsi="Times New Roman" w:eastAsia="宋体" w:cs="黑体"/>
                <w:b/>
                <w:sz w:val="28"/>
                <w:szCs w:val="30"/>
              </w:rPr>
              <w:t>声环境质量现状与评价</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Times New Roman"/>
                <w:b w:val="0"/>
                <w:bCs/>
                <w:color w:val="000000"/>
                <w:kern w:val="2"/>
                <w:sz w:val="24"/>
                <w:szCs w:val="24"/>
                <w:highlight w:val="none"/>
                <w:lang w:val="en-US" w:eastAsia="zh-CN" w:bidi="ar-SA"/>
              </w:rPr>
              <w:t>本项目属于《声环境质量标准》（GB 3096-2008）中的</w:t>
            </w:r>
            <w:r>
              <w:rPr>
                <w:rFonts w:hint="eastAsia" w:cs="Times New Roman"/>
                <w:b w:val="0"/>
                <w:bCs/>
                <w:color w:val="000000"/>
                <w:kern w:val="2"/>
                <w:sz w:val="24"/>
                <w:szCs w:val="24"/>
                <w:highlight w:val="none"/>
                <w:lang w:val="en-US" w:eastAsia="zh-CN" w:bidi="ar-SA"/>
              </w:rPr>
              <w:t>3</w:t>
            </w:r>
            <w:r>
              <w:rPr>
                <w:rFonts w:hint="eastAsia" w:ascii="Times New Roman" w:hAnsi="Times New Roman" w:eastAsia="宋体" w:cs="Times New Roman"/>
                <w:b w:val="0"/>
                <w:bCs/>
                <w:color w:val="000000"/>
                <w:kern w:val="2"/>
                <w:sz w:val="24"/>
                <w:szCs w:val="24"/>
                <w:highlight w:val="none"/>
                <w:lang w:val="en-US" w:eastAsia="zh-CN" w:bidi="ar-SA"/>
              </w:rPr>
              <w:t>类声功能区。根据《建设项目环境影响报告表编制技术指南》（污染影响类）中的“声环境”，本项目周边50m范围内没有声环境保护目标，故无需对环境敏感点进行声环境质量现状监测。</w:t>
            </w:r>
          </w:p>
          <w:p>
            <w:pPr>
              <w:keepNext/>
              <w:keepLines/>
              <w:overflowPunct w:val="0"/>
              <w:autoSpaceDE w:val="0"/>
              <w:autoSpaceDN w:val="0"/>
              <w:adjustRightInd w:val="0"/>
              <w:snapToGrid w:val="0"/>
              <w:spacing w:line="360" w:lineRule="auto"/>
              <w:ind w:firstLine="562" w:firstLineChars="200"/>
              <w:jc w:val="left"/>
              <w:outlineLvl w:val="2"/>
              <w:rPr>
                <w:rFonts w:ascii="Times New Roman" w:hAnsi="Times New Roman" w:eastAsia="宋体" w:cs="Times New Roman"/>
                <w:color w:val="000000"/>
                <w:kern w:val="2"/>
                <w:szCs w:val="24"/>
              </w:rPr>
            </w:pPr>
            <w:r>
              <w:rPr>
                <w:rFonts w:hint="eastAsia" w:ascii="Times New Roman" w:hAnsi="Times New Roman" w:eastAsia="宋体" w:cs="宋体"/>
                <w:b/>
                <w:sz w:val="28"/>
              </w:rPr>
              <w:t>3.4土壤环境质量现状</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kern w:val="2"/>
                <w:szCs w:val="24"/>
                <w:lang w:eastAsia="zh-CN"/>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本项目</w:t>
            </w:r>
            <w:r>
              <w:rPr>
                <w:rFonts w:hint="eastAsia" w:ascii="Times New Roman" w:hAnsi="Times New Roman" w:eastAsia="宋体" w:cs="Times New Roman"/>
                <w:sz w:val="24"/>
                <w:szCs w:val="24"/>
                <w:lang w:val="en-US" w:eastAsia="zh-CN" w:bidi="ar-SA"/>
              </w:rPr>
              <w:t>采取分区防渗处理</w:t>
            </w:r>
            <w:r>
              <w:rPr>
                <w:rFonts w:hint="eastAsia" w:cs="Times New Roman"/>
                <w:sz w:val="24"/>
                <w:szCs w:val="24"/>
                <w:lang w:val="en-US" w:eastAsia="zh-CN" w:bidi="ar-SA"/>
              </w:rPr>
              <w:t>，</w:t>
            </w:r>
            <w:r>
              <w:rPr>
                <w:rFonts w:hint="eastAsia" w:ascii="Times New Roman" w:hAnsi="Times New Roman" w:eastAsia="宋体" w:cs="Times New Roman"/>
                <w:color w:val="000000"/>
                <w:kern w:val="2"/>
                <w:sz w:val="24"/>
                <w:szCs w:val="20"/>
                <w:highlight w:val="none"/>
                <w:lang w:val="en-US" w:eastAsia="zh-CN"/>
              </w:rPr>
              <w:t>危废暂存间</w:t>
            </w:r>
            <w:r>
              <w:rPr>
                <w:rFonts w:hint="eastAsia" w:cs="Times New Roman"/>
                <w:sz w:val="24"/>
                <w:szCs w:val="24"/>
                <w:lang w:val="en-US" w:eastAsia="zh-CN" w:bidi="ar-SA"/>
              </w:rPr>
              <w:t>做重点防渗处理</w:t>
            </w:r>
            <w:r>
              <w:rPr>
                <w:rFonts w:hint="eastAsia" w:ascii="Times New Roman" w:hAnsi="Times New Roman" w:cs="Times New Roman"/>
                <w:sz w:val="24"/>
                <w:szCs w:val="24"/>
                <w:lang w:val="en-US" w:eastAsia="zh-CN" w:bidi="ar-SA"/>
              </w:rPr>
              <w:t>，防渗系数达到1×10</w:t>
            </w:r>
            <w:r>
              <w:rPr>
                <w:rFonts w:hint="eastAsia" w:ascii="Times New Roman" w:hAnsi="Times New Roman" w:cs="Times New Roman"/>
                <w:sz w:val="24"/>
                <w:szCs w:val="24"/>
                <w:vertAlign w:val="superscript"/>
                <w:lang w:val="en-US" w:eastAsia="zh-CN" w:bidi="ar-SA"/>
              </w:rPr>
              <w:t>-7</w:t>
            </w:r>
            <w:r>
              <w:rPr>
                <w:rFonts w:hint="eastAsia" w:ascii="Times New Roman" w:hAnsi="Times New Roman" w:cs="Times New Roman"/>
                <w:sz w:val="24"/>
                <w:szCs w:val="24"/>
                <w:lang w:val="en-US" w:eastAsia="zh-CN" w:bidi="ar-SA"/>
              </w:rPr>
              <w:t>cm/s</w:t>
            </w:r>
            <w:r>
              <w:rPr>
                <w:rFonts w:hint="eastAsia" w:cs="Times New Roman"/>
                <w:sz w:val="24"/>
                <w:szCs w:val="24"/>
                <w:lang w:val="en-US" w:eastAsia="zh-CN" w:bidi="ar-SA"/>
              </w:rPr>
              <w:t>，目前租赁生产车间已建成20cm厚P4等级混凝土防渗措施，办公生活楼、门卫室以及进出场道路已进行基础硬化</w:t>
            </w:r>
            <w:r>
              <w:rPr>
                <w:rFonts w:hint="eastAsia" w:ascii="Times New Roman" w:hAnsi="Times New Roman" w:cs="Times New Roman"/>
                <w:sz w:val="24"/>
                <w:szCs w:val="24"/>
                <w:lang w:val="en-US" w:eastAsia="zh-CN" w:bidi="ar-SA"/>
              </w:rPr>
              <w:t>，</w:t>
            </w:r>
            <w:r>
              <w:rPr>
                <w:rFonts w:hint="eastAsia" w:ascii="Times New Roman" w:hAnsi="Times New Roman" w:eastAsia="宋体" w:cs="Times New Roman"/>
                <w:sz w:val="24"/>
                <w:szCs w:val="24"/>
                <w:lang w:val="en-US" w:eastAsia="zh-CN" w:bidi="ar-SA"/>
              </w:rPr>
              <w:t>不存在土壤环境污染途径，</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根据</w:t>
            </w:r>
            <w:r>
              <w:rPr>
                <w:rFonts w:hint="eastAsia" w:ascii="Times New Roman" w:hAnsi="Times New Roman" w:eastAsia="宋体" w:cs="Times New Roman"/>
                <w:b w:val="0"/>
                <w:bCs/>
                <w:color w:val="000000"/>
                <w:kern w:val="2"/>
                <w:sz w:val="24"/>
                <w:szCs w:val="24"/>
                <w:highlight w:val="none"/>
                <w:lang w:val="en-US" w:eastAsia="zh-CN" w:bidi="ar-SA"/>
              </w:rPr>
              <w:t>《建设项目环境影响报告表编制技术指南》（污染影响类），原则上不开展环境质量现状调查。</w:t>
            </w:r>
          </w:p>
          <w:p>
            <w:pPr>
              <w:overflowPunct w:val="0"/>
              <w:autoSpaceDE w:val="0"/>
              <w:autoSpaceDN w:val="0"/>
              <w:adjustRightInd w:val="0"/>
              <w:snapToGrid w:val="0"/>
              <w:spacing w:line="360" w:lineRule="auto"/>
              <w:ind w:firstLine="562" w:firstLineChars="200"/>
              <w:jc w:val="left"/>
              <w:outlineLvl w:val="1"/>
              <w:rPr>
                <w:rFonts w:ascii="Times New Roman" w:hAnsi="Times New Roman" w:eastAsia="宋体" w:cs="Times New Roman"/>
                <w:b/>
                <w:szCs w:val="24"/>
              </w:rPr>
            </w:pPr>
            <w:r>
              <w:rPr>
                <w:rFonts w:hint="eastAsia" w:ascii="Times New Roman" w:hAnsi="Times New Roman" w:eastAsia="宋体" w:cs="黑体"/>
                <w:b/>
                <w:sz w:val="28"/>
                <w:szCs w:val="30"/>
              </w:rPr>
              <w:t>3.5生态环境</w:t>
            </w:r>
          </w:p>
          <w:p>
            <w:pPr>
              <w:overflowPunct/>
              <w:autoSpaceDE/>
              <w:autoSpaceDN/>
              <w:bidi w:val="0"/>
              <w:adjustRightInd/>
              <w:snapToGrid/>
              <w:spacing w:before="0" w:after="0" w:line="360" w:lineRule="auto"/>
              <w:ind w:left="0" w:right="0" w:firstLine="480" w:firstLineChars="200"/>
              <w:jc w:val="both"/>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rPr>
              <w:t>根据</w:t>
            </w:r>
            <w:r>
              <w:rPr>
                <w:rFonts w:hint="eastAsia" w:ascii="Times New Roman" w:hAnsi="Times New Roman" w:eastAsia="宋体" w:cs="宋体"/>
                <w:color w:val="auto"/>
                <w:lang w:val="en-US" w:eastAsia="zh-CN"/>
              </w:rPr>
              <w:t>《建设项目环境影响报告表编制技术指南（污染影响类）（试行）》产业园区外建设项目新增用地且用地范围内含有生态环境保护目标时</w:t>
            </w:r>
            <w:r>
              <w:rPr>
                <w:rFonts w:hint="default" w:ascii="Times New Roman" w:hAnsi="Times New Roman" w:eastAsia="宋体" w:cs="Times New Roman"/>
                <w:color w:val="auto"/>
                <w:kern w:val="2"/>
                <w:sz w:val="24"/>
                <w:szCs w:val="24"/>
                <w:lang w:val="en-US" w:eastAsia="zh-CN"/>
              </w:rPr>
              <w:t>，</w:t>
            </w:r>
            <w:r>
              <w:rPr>
                <w:rFonts w:hint="eastAsia" w:ascii="Times New Roman" w:hAnsi="Times New Roman" w:eastAsia="宋体" w:cs="Times New Roman"/>
                <w:color w:val="auto"/>
                <w:kern w:val="2"/>
                <w:sz w:val="24"/>
                <w:szCs w:val="24"/>
                <w:lang w:val="en-US" w:eastAsia="zh-CN"/>
              </w:rPr>
              <w:t>应进行生态现状调查</w:t>
            </w:r>
            <w:r>
              <w:rPr>
                <w:rFonts w:hint="default" w:ascii="Times New Roman" w:hAnsi="Times New Roman" w:eastAsia="宋体" w:cs="Times New Roman"/>
                <w:color w:val="auto"/>
                <w:kern w:val="2"/>
                <w:sz w:val="24"/>
                <w:szCs w:val="24"/>
                <w:lang w:eastAsia="zh-CN"/>
              </w:rPr>
              <w:t>。</w:t>
            </w:r>
          </w:p>
          <w:p>
            <w:pPr>
              <w:keepNext w:val="0"/>
              <w:keepLines w:val="0"/>
              <w:pageBreakBefore w:val="0"/>
              <w:wordWrap/>
              <w:overflowPunct w:val="0"/>
              <w:topLinePunct w:val="0"/>
              <w:autoSpaceDE/>
              <w:autoSpaceDN/>
              <w:bidi w:val="0"/>
              <w:adjustRightInd/>
              <w:snapToGrid/>
              <w:spacing w:before="0" w:after="0" w:line="360" w:lineRule="auto"/>
              <w:ind w:left="0" w:right="0" w:firstLine="480" w:firstLineChars="200"/>
              <w:jc w:val="both"/>
              <w:rPr>
                <w:rFonts w:ascii="Times New Roman" w:hAnsi="Times New Roman" w:eastAsia="宋体" w:cs="Times New Roman"/>
                <w:kern w:val="2"/>
                <w:szCs w:val="24"/>
              </w:rPr>
            </w:pPr>
            <w:r>
              <w:rPr>
                <w:rFonts w:hint="eastAsia" w:ascii="Times New Roman" w:hAnsi="Times New Roman" w:eastAsia="宋体" w:cs="Times New Roman"/>
                <w:sz w:val="24"/>
                <w:szCs w:val="24"/>
                <w:lang w:val="en-US" w:eastAsia="zh-CN"/>
              </w:rPr>
              <w:t>本项目位于</w:t>
            </w:r>
            <w:r>
              <w:rPr>
                <w:rFonts w:hint="eastAsia" w:ascii="Times New Roman" w:hAnsi="Times New Roman" w:eastAsia="宋体" w:cs="宋体"/>
                <w:color w:val="auto"/>
                <w:lang w:val="en-US" w:eastAsia="zh-CN"/>
              </w:rPr>
              <w:t>产业园区</w:t>
            </w:r>
            <w:r>
              <w:rPr>
                <w:rFonts w:hint="eastAsia" w:cs="宋体"/>
                <w:color w:val="auto"/>
                <w:lang w:val="en-US" w:eastAsia="zh-CN"/>
              </w:rPr>
              <w:t>内</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无新增用地，周边无生态保护目标</w:t>
            </w:r>
            <w:r>
              <w:rPr>
                <w:rFonts w:hint="eastAsia" w:ascii="Times New Roman" w:hAnsi="Times New Roman" w:eastAsia="宋体" w:cs="Times New Roman"/>
                <w:sz w:val="24"/>
                <w:szCs w:val="24"/>
                <w:lang w:val="en-US" w:eastAsia="zh-CN"/>
              </w:rPr>
              <w:t>，进行简单分析即可。</w:t>
            </w:r>
            <w:r>
              <w:rPr>
                <w:rFonts w:hint="default" w:ascii="Times New Roman" w:hAnsi="Times New Roman" w:eastAsia="宋体" w:cs="Times New Roman"/>
                <w:sz w:val="24"/>
                <w:szCs w:val="24"/>
              </w:rPr>
              <w:t>评价范围内环境的功能具有一定的稳定性及可持续发展性，具有一定的承受干扰的能力及生态完整性</w:t>
            </w:r>
            <w:r>
              <w:rPr>
                <w:rFonts w:ascii="Times New Roman" w:hAnsi="Times New Roman" w:eastAsia="宋体" w:cs="Times New Roman"/>
                <w:szCs w:val="24"/>
              </w:rPr>
              <w:t>。</w:t>
            </w:r>
          </w:p>
        </w:tc>
      </w:tr>
    </w:tbl>
    <w:p>
      <w:pPr>
        <w:widowControl w:val="0"/>
        <w:tabs>
          <w:tab w:val="left" w:pos="1845"/>
        </w:tabs>
        <w:autoSpaceDE w:val="0"/>
        <w:autoSpaceDN w:val="0"/>
        <w:adjustRightInd w:val="0"/>
        <w:spacing w:line="240" w:lineRule="exact"/>
        <w:jc w:val="center"/>
        <w:rPr>
          <w:rFonts w:ascii="宋体" w:hAnsi="Times New Roman" w:eastAsia="宋体" w:cs="宋体"/>
          <w:color w:val="000000"/>
          <w:kern w:val="2"/>
          <w:sz w:val="24"/>
          <w:szCs w:val="24"/>
          <w:lang w:val="en-US" w:eastAsia="zh-CN" w:bidi="ar-SA"/>
        </w:rPr>
      </w:pPr>
    </w:p>
    <w:p>
      <w:pPr>
        <w:bidi w:val="0"/>
        <w:jc w:val="left"/>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81" w:hRule="atLeast"/>
          <w:jc w:val="center"/>
        </w:trPr>
        <w:tc>
          <w:tcPr>
            <w:tcW w:w="426" w:type="dxa"/>
            <w:vAlign w:val="center"/>
          </w:tcPr>
          <w:p>
            <w:pPr>
              <w:overflowPunct w:val="0"/>
              <w:autoSpaceDE w:val="0"/>
              <w:autoSpaceDN w:val="0"/>
              <w:adjustRightInd w:val="0"/>
              <w:snapToGrid w:val="0"/>
              <w:spacing w:line="500" w:lineRule="exact"/>
              <w:jc w:val="center"/>
              <w:rPr>
                <w:rFonts w:ascii="Times New Roman" w:hAnsi="Times New Roman" w:eastAsia="宋体" w:cs="宋体"/>
              </w:rPr>
            </w:pPr>
            <w:r>
              <w:rPr>
                <w:rFonts w:hint="eastAsia" w:ascii="Times New Roman" w:hAnsi="Times New Roman" w:eastAsia="宋体" w:cs="宋体"/>
                <w:lang w:eastAsia="zh-Hans"/>
              </w:rPr>
              <w:t>环境保护目标</w:t>
            </w:r>
          </w:p>
        </w:tc>
        <w:tc>
          <w:tcPr>
            <w:tcW w:w="8645" w:type="dxa"/>
          </w:tcPr>
          <w:p>
            <w:pPr>
              <w:overflowPunct w:val="0"/>
              <w:autoSpaceDE w:val="0"/>
              <w:autoSpaceDN w:val="0"/>
              <w:adjustRightInd w:val="0"/>
              <w:snapToGrid w:val="0"/>
              <w:spacing w:line="560" w:lineRule="exact"/>
              <w:ind w:firstLine="562" w:firstLineChars="200"/>
              <w:jc w:val="left"/>
              <w:outlineLvl w:val="1"/>
              <w:rPr>
                <w:rFonts w:hint="eastAsia" w:ascii="Times New Roman" w:hAnsi="Times New Roman" w:eastAsia="宋体" w:cs="黑体"/>
                <w:b/>
                <w:sz w:val="28"/>
                <w:szCs w:val="30"/>
              </w:rPr>
            </w:pPr>
            <w:r>
              <w:rPr>
                <w:rFonts w:hint="eastAsia" w:ascii="Times New Roman" w:hAnsi="Times New Roman" w:eastAsia="宋体" w:cs="黑体"/>
                <w:b/>
                <w:sz w:val="28"/>
                <w:szCs w:val="30"/>
              </w:rPr>
              <w:t>3</w:t>
            </w:r>
            <w:r>
              <w:rPr>
                <w:rFonts w:hint="eastAsia" w:ascii="Times New Roman" w:hAnsi="Times New Roman" w:eastAsia="宋体" w:cs="黑体"/>
                <w:b/>
                <w:sz w:val="28"/>
                <w:szCs w:val="30"/>
                <w:lang w:eastAsia="zh-Hans"/>
              </w:rPr>
              <w:t>.</w:t>
            </w:r>
            <w:r>
              <w:rPr>
                <w:rFonts w:hint="eastAsia" w:ascii="Times New Roman" w:hAnsi="Times New Roman" w:eastAsia="宋体" w:cs="黑体"/>
                <w:b/>
                <w:sz w:val="28"/>
                <w:szCs w:val="30"/>
              </w:rPr>
              <w:t>6主要环境敏感目标</w:t>
            </w:r>
          </w:p>
          <w:p>
            <w:pPr>
              <w:overflowPunct w:val="0"/>
              <w:autoSpaceDE w:val="0"/>
              <w:autoSpaceDN w:val="0"/>
              <w:adjustRightInd w:val="0"/>
              <w:snapToGrid w:val="0"/>
              <w:spacing w:line="500" w:lineRule="exact"/>
              <w:ind w:firstLine="480" w:firstLineChars="200"/>
              <w:jc w:val="left"/>
              <w:rPr>
                <w:rFonts w:ascii="Times New Roman" w:hAnsi="Times New Roman" w:eastAsia="宋体" w:cs="宋体"/>
              </w:rPr>
            </w:pPr>
            <w:r>
              <w:rPr>
                <w:rFonts w:ascii="Times New Roman" w:hAnsi="Times New Roman" w:eastAsia="宋体" w:cs="宋体"/>
              </w:rPr>
              <w:t>根据本项目特点和外环境特征确定环境保护目标如下：</w:t>
            </w:r>
          </w:p>
          <w:p>
            <w:pPr>
              <w:numPr>
                <w:ilvl w:val="0"/>
                <w:numId w:val="7"/>
              </w:numPr>
              <w:overflowPunct w:val="0"/>
              <w:autoSpaceDE w:val="0"/>
              <w:autoSpaceDN w:val="0"/>
              <w:adjustRightInd w:val="0"/>
              <w:snapToGrid w:val="0"/>
              <w:spacing w:line="500" w:lineRule="exact"/>
              <w:ind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rPr>
              <w:t>大气环境：保护项目区所在的区域环境空气质量，不因本项目实施而降低空气质量级别。</w:t>
            </w:r>
            <w:r>
              <w:rPr>
                <w:rFonts w:hint="eastAsia" w:ascii="Times New Roman" w:hAnsi="Times New Roman" w:eastAsia="宋体" w:cs="宋体"/>
                <w:lang w:val="en-US" w:eastAsia="zh-CN"/>
              </w:rPr>
              <w:t>根据现场调查，厂界外500米范围内不存在大气环境保护目标。</w:t>
            </w:r>
          </w:p>
          <w:p>
            <w:pPr>
              <w:numPr>
                <w:ilvl w:val="0"/>
                <w:numId w:val="7"/>
              </w:numPr>
              <w:overflowPunct w:val="0"/>
              <w:autoSpaceDE w:val="0"/>
              <w:autoSpaceDN w:val="0"/>
              <w:adjustRightInd w:val="0"/>
              <w:snapToGrid w:val="0"/>
              <w:spacing w:line="500" w:lineRule="exact"/>
              <w:ind w:firstLine="480" w:firstLineChars="200"/>
              <w:jc w:val="left"/>
              <w:rPr>
                <w:rFonts w:ascii="Times New Roman" w:hAnsi="Times New Roman" w:eastAsia="宋体" w:cs="宋体"/>
              </w:rPr>
            </w:pPr>
            <w:r>
              <w:rPr>
                <w:rFonts w:hint="eastAsia" w:ascii="Times New Roman" w:hAnsi="Times New Roman" w:eastAsia="宋体" w:cs="宋体"/>
              </w:rPr>
              <w:t>声环境：</w:t>
            </w:r>
            <w:r>
              <w:rPr>
                <w:rFonts w:hint="eastAsia" w:ascii="Times New Roman" w:hAnsi="Times New Roman" w:eastAsia="宋体" w:cs="宋体"/>
                <w:lang w:val="en-US" w:eastAsia="zh-CN"/>
              </w:rPr>
              <w:t>根据现场调查，厂界50米范围内无声环境保护目标</w:t>
            </w:r>
            <w:r>
              <w:rPr>
                <w:rFonts w:hint="eastAsia" w:ascii="Times New Roman" w:hAnsi="Times New Roman" w:eastAsia="宋体" w:cs="宋体"/>
              </w:rPr>
              <w:t>；</w:t>
            </w:r>
          </w:p>
          <w:p>
            <w:pPr>
              <w:overflowPunct w:val="0"/>
              <w:autoSpaceDE w:val="0"/>
              <w:autoSpaceDN w:val="0"/>
              <w:adjustRightInd w:val="0"/>
              <w:snapToGrid w:val="0"/>
              <w:spacing w:line="500" w:lineRule="exact"/>
              <w:ind w:firstLine="480" w:firstLineChars="200"/>
              <w:jc w:val="left"/>
              <w:rPr>
                <w:rFonts w:hint="default" w:ascii="Times New Roman" w:hAnsi="Times New Roman" w:eastAsia="宋体" w:cs="宋体"/>
                <w:lang w:val="en-US" w:eastAsia="zh-CN"/>
              </w:rPr>
            </w:pPr>
            <w:r>
              <w:rPr>
                <w:rFonts w:hint="eastAsia" w:ascii="Times New Roman" w:hAnsi="Times New Roman" w:eastAsia="宋体" w:cs="宋体"/>
              </w:rPr>
              <w:t>（3）</w:t>
            </w:r>
            <w:r>
              <w:rPr>
                <w:rFonts w:hint="eastAsia" w:cs="宋体"/>
                <w:lang w:val="en-US" w:eastAsia="zh-CN"/>
              </w:rPr>
              <w:t>地表水环境：</w:t>
            </w:r>
            <w:r>
              <w:rPr>
                <w:rFonts w:hint="eastAsia" w:ascii="Times New Roman" w:hAnsi="Times New Roman" w:eastAsia="宋体" w:cs="宋体"/>
              </w:rPr>
              <w:t>根据现场调查，</w:t>
            </w:r>
            <w:r>
              <w:rPr>
                <w:rFonts w:hint="eastAsia" w:ascii="Times New Roman" w:hAnsi="Times New Roman" w:eastAsia="宋体" w:cs="宋体"/>
                <w:lang w:val="en-US" w:eastAsia="zh-CN"/>
              </w:rPr>
              <w:t>厂界外500米范围内内无地表水敏感目标。</w:t>
            </w:r>
          </w:p>
          <w:p>
            <w:pPr>
              <w:overflowPunct w:val="0"/>
              <w:autoSpaceDE w:val="0"/>
              <w:autoSpaceDN w:val="0"/>
              <w:adjustRightInd w:val="0"/>
              <w:snapToGrid w:val="0"/>
              <w:spacing w:line="500" w:lineRule="exact"/>
              <w:ind w:firstLine="480" w:firstLineChars="200"/>
              <w:jc w:val="left"/>
              <w:rPr>
                <w:rFonts w:ascii="Times New Roman" w:hAnsi="Times New Roman" w:eastAsia="宋体" w:cs="宋体"/>
              </w:rPr>
            </w:pPr>
            <w:r>
              <w:rPr>
                <w:rFonts w:hint="eastAsia" w:cs="宋体"/>
                <w:lang w:eastAsia="zh-CN"/>
              </w:rPr>
              <w:t>（</w:t>
            </w:r>
            <w:r>
              <w:rPr>
                <w:rFonts w:hint="eastAsia" w:cs="宋体"/>
                <w:lang w:val="en-US" w:eastAsia="zh-CN"/>
              </w:rPr>
              <w:t>4</w:t>
            </w:r>
            <w:r>
              <w:rPr>
                <w:rFonts w:hint="eastAsia" w:cs="宋体"/>
                <w:lang w:eastAsia="zh-CN"/>
              </w:rPr>
              <w:t>）</w:t>
            </w:r>
            <w:r>
              <w:rPr>
                <w:rFonts w:hint="eastAsia" w:ascii="Times New Roman" w:hAnsi="Times New Roman" w:eastAsia="宋体" w:cs="宋体"/>
              </w:rPr>
              <w:t>地下水环境：</w:t>
            </w:r>
            <w:r>
              <w:rPr>
                <w:rFonts w:hint="eastAsia" w:ascii="Times New Roman" w:hAnsi="Times New Roman" w:eastAsia="宋体" w:cs="宋体"/>
                <w:lang w:val="en-US" w:eastAsia="zh-CN"/>
              </w:rPr>
              <w:t>根据现场调查，厂界外500米范围内无地下水集中式饮用水源和热水、矿泉水、温泉等特殊地下水资源</w:t>
            </w:r>
            <w:r>
              <w:rPr>
                <w:rFonts w:hint="eastAsia" w:ascii="Times New Roman" w:hAnsi="Times New Roman" w:eastAsia="宋体" w:cs="宋体"/>
              </w:rPr>
              <w:t>；</w:t>
            </w:r>
          </w:p>
          <w:p>
            <w:pPr>
              <w:overflowPunct w:val="0"/>
              <w:autoSpaceDE w:val="0"/>
              <w:autoSpaceDN w:val="0"/>
              <w:adjustRightInd w:val="0"/>
              <w:snapToGrid w:val="0"/>
              <w:spacing w:line="500" w:lineRule="exact"/>
              <w:ind w:firstLine="480" w:firstLineChars="200"/>
              <w:jc w:val="left"/>
              <w:rPr>
                <w:rFonts w:hint="eastAsia" w:ascii="Times New Roman" w:hAnsi="Times New Roman" w:eastAsia="宋体" w:cs="宋体"/>
              </w:rPr>
            </w:pPr>
            <w:r>
              <w:rPr>
                <w:rFonts w:hint="eastAsia" w:ascii="Times New Roman" w:hAnsi="Times New Roman" w:eastAsia="宋体" w:cs="宋体"/>
              </w:rPr>
              <w:t>（</w:t>
            </w:r>
            <w:r>
              <w:rPr>
                <w:rFonts w:hint="eastAsia" w:cs="宋体"/>
                <w:lang w:val="en-US" w:eastAsia="zh-CN"/>
              </w:rPr>
              <w:t>5</w:t>
            </w:r>
            <w:r>
              <w:rPr>
                <w:rFonts w:hint="eastAsia" w:ascii="Times New Roman" w:hAnsi="Times New Roman" w:eastAsia="宋体" w:cs="宋体"/>
              </w:rPr>
              <w:t>）生态环境：本项目用地范围内无生态环境保护目标。</w:t>
            </w:r>
          </w:p>
          <w:p>
            <w:pPr>
              <w:overflowPunct w:val="0"/>
              <w:autoSpaceDE w:val="0"/>
              <w:autoSpaceDN w:val="0"/>
              <w:bidi w:val="0"/>
              <w:adjustRightInd w:val="0"/>
              <w:snapToGrid w:val="0"/>
              <w:spacing w:before="0" w:after="0" w:line="500" w:lineRule="exact"/>
              <w:ind w:left="0" w:right="0" w:firstLine="480" w:firstLineChars="200"/>
              <w:jc w:val="left"/>
              <w:rPr>
                <w:rFonts w:hint="default" w:ascii="Times New Roman" w:hAnsi="Times New Roman" w:eastAsia="宋体" w:cs="宋体"/>
                <w:lang w:val="en-US"/>
              </w:rPr>
            </w:pPr>
            <w:r>
              <w:rPr>
                <w:rFonts w:hint="eastAsia" w:ascii="Times New Roman" w:hAnsi="Times New Roman" w:eastAsia="宋体" w:cs="宋体"/>
              </w:rPr>
              <w:t>环境敏感点分布见表</w:t>
            </w:r>
            <w:r>
              <w:rPr>
                <w:rFonts w:hint="eastAsia" w:ascii="Times New Roman" w:hAnsi="Times New Roman" w:eastAsia="宋体" w:cs="宋体"/>
                <w:lang w:val="en-US" w:eastAsia="zh-CN"/>
              </w:rPr>
              <w:t>3.6-1</w:t>
            </w:r>
            <w:r>
              <w:rPr>
                <w:rFonts w:hint="eastAsia" w:cs="宋体"/>
                <w:lang w:val="en-US" w:eastAsia="zh-CN"/>
              </w:rPr>
              <w:t>。</w:t>
            </w:r>
          </w:p>
          <w:p>
            <w:pPr>
              <w:widowControl w:val="0"/>
              <w:overflowPunct w:val="0"/>
              <w:autoSpaceDE w:val="0"/>
              <w:autoSpaceDN w:val="0"/>
              <w:adjustRightInd w:val="0"/>
              <w:snapToGrid w:val="0"/>
              <w:spacing w:before="0" w:after="0" w:line="400" w:lineRule="exact"/>
              <w:ind w:left="0" w:right="0" w:firstLine="0" w:firstLineChars="0"/>
              <w:jc w:val="center"/>
              <w:rPr>
                <w:rFonts w:hint="eastAsia" w:ascii="Times New Roman" w:hAnsi="Times New Roman" w:eastAsia="宋体" w:cs="宋体"/>
                <w:b/>
                <w:color w:val="000000"/>
                <w:sz w:val="24"/>
                <w:szCs w:val="24"/>
                <w:highlight w:val="none"/>
                <w:lang w:val="en-US" w:eastAsia="zh-CN" w:bidi="ar-SA"/>
              </w:rPr>
            </w:pPr>
            <w:r>
              <w:rPr>
                <w:rFonts w:hint="eastAsia" w:ascii="Times New Roman" w:hAnsi="Times New Roman" w:eastAsia="宋体" w:cs="宋体"/>
                <w:b/>
                <w:color w:val="000000"/>
                <w:sz w:val="24"/>
                <w:szCs w:val="24"/>
                <w:lang w:val="en-US" w:eastAsia="zh-CN" w:bidi="ar-SA"/>
              </w:rPr>
              <w:t xml:space="preserve">表3.6-1  </w:t>
            </w:r>
            <w:r>
              <w:rPr>
                <w:rFonts w:hint="eastAsia" w:ascii="Times New Roman" w:hAnsi="Times New Roman" w:eastAsia="宋体" w:cs="宋体"/>
                <w:b/>
                <w:color w:val="000000"/>
                <w:sz w:val="24"/>
                <w:szCs w:val="24"/>
                <w:highlight w:val="none"/>
                <w:lang w:val="en-US" w:eastAsia="zh-CN" w:bidi="ar-SA"/>
              </w:rPr>
              <w:t>主要环境保护目标一览表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0"/>
              <w:gridCol w:w="360"/>
              <w:gridCol w:w="690"/>
              <w:gridCol w:w="690"/>
              <w:gridCol w:w="717"/>
              <w:gridCol w:w="468"/>
              <w:gridCol w:w="585"/>
              <w:gridCol w:w="900"/>
              <w:gridCol w:w="1335"/>
              <w:gridCol w:w="24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2" w:hRule="atLeast"/>
                <w:jc w:val="center"/>
              </w:trPr>
              <w:tc>
                <w:tcPr>
                  <w:tcW w:w="3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序号</w:t>
                  </w:r>
                </w:p>
              </w:tc>
              <w:tc>
                <w:tcPr>
                  <w:tcW w:w="3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环境要素</w:t>
                  </w:r>
                </w:p>
              </w:tc>
              <w:tc>
                <w:tcPr>
                  <w:tcW w:w="69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名称</w:t>
                  </w:r>
                </w:p>
              </w:tc>
              <w:tc>
                <w:tcPr>
                  <w:tcW w:w="140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坐标</w:t>
                  </w:r>
                </w:p>
              </w:tc>
              <w:tc>
                <w:tcPr>
                  <w:tcW w:w="4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保护对象</w:t>
                  </w:r>
                </w:p>
              </w:tc>
              <w:tc>
                <w:tcPr>
                  <w:tcW w:w="58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保护内容</w:t>
                  </w:r>
                </w:p>
              </w:tc>
              <w:tc>
                <w:tcPr>
                  <w:tcW w:w="90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相对</w:t>
                  </w:r>
                  <w:r>
                    <w:rPr>
                      <w:rFonts w:hint="eastAsia" w:ascii="Times New Roman" w:hAnsi="Times New Roman" w:eastAsia="宋体" w:cs="Times New Roman"/>
                      <w:b w:val="0"/>
                      <w:bCs w:val="0"/>
                      <w:sz w:val="21"/>
                      <w:szCs w:val="21"/>
                      <w:lang w:val="en-US" w:eastAsia="zh-CN"/>
                    </w:rPr>
                    <w:t>厂址方位</w:t>
                  </w:r>
                </w:p>
              </w:tc>
              <w:tc>
                <w:tcPr>
                  <w:tcW w:w="13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相对距离（m）</w:t>
                  </w:r>
                </w:p>
              </w:tc>
              <w:tc>
                <w:tcPr>
                  <w:tcW w:w="240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环境功能区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2" w:hRule="atLeast"/>
                <w:jc w:val="center"/>
              </w:trPr>
              <w:tc>
                <w:tcPr>
                  <w:tcW w:w="3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ascii="Times New Roman" w:hAnsi="Times New Roman" w:eastAsia="宋体" w:cs="宋体"/>
                    </w:rPr>
                  </w:pPr>
                </w:p>
              </w:tc>
              <w:tc>
                <w:tcPr>
                  <w:tcW w:w="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ascii="Times New Roman" w:hAnsi="Times New Roman" w:eastAsia="宋体" w:cs="宋体"/>
                    </w:rPr>
                  </w:pPr>
                </w:p>
              </w:tc>
              <w:tc>
                <w:tcPr>
                  <w:tcW w:w="6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ascii="Times New Roman" w:hAnsi="Times New Roman" w:eastAsia="宋体" w:cs="宋体"/>
                    </w:rPr>
                  </w:pP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X</w:t>
                  </w:r>
                </w:p>
              </w:tc>
              <w:tc>
                <w:tcPr>
                  <w:tcW w:w="717" w:type="dxa"/>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Y</w:t>
                  </w:r>
                </w:p>
              </w:tc>
              <w:tc>
                <w:tcPr>
                  <w:tcW w:w="4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eastAsia" w:ascii="Times New Roman" w:hAnsi="Times New Roman" w:eastAsia="宋体" w:cs="Times New Roman"/>
                      <w:b w:val="0"/>
                      <w:bCs w:val="0"/>
                      <w:sz w:val="21"/>
                      <w:szCs w:val="21"/>
                      <w:lang w:val="en-US" w:eastAsia="zh-CN"/>
                    </w:rPr>
                  </w:pPr>
                </w:p>
              </w:tc>
              <w:tc>
                <w:tcPr>
                  <w:tcW w:w="58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eastAsia" w:ascii="Times New Roman" w:hAnsi="Times New Roman" w:eastAsia="宋体" w:cs="Times New Roman"/>
                      <w:b w:val="0"/>
                      <w:bCs w:val="0"/>
                      <w:sz w:val="21"/>
                      <w:szCs w:val="21"/>
                      <w:lang w:val="en-US" w:eastAsia="zh-CN"/>
                    </w:rPr>
                  </w:pPr>
                </w:p>
              </w:tc>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eastAsia" w:ascii="Times New Roman" w:hAnsi="Times New Roman" w:eastAsia="宋体" w:cs="Times New Roman"/>
                      <w:b w:val="0"/>
                      <w:bCs w:val="0"/>
                      <w:sz w:val="21"/>
                      <w:szCs w:val="21"/>
                      <w:lang w:val="en-US" w:eastAsia="zh-CN"/>
                    </w:rPr>
                  </w:pPr>
                </w:p>
              </w:tc>
              <w:tc>
                <w:tcPr>
                  <w:tcW w:w="13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eastAsia" w:ascii="Times New Roman" w:hAnsi="Times New Roman" w:eastAsia="宋体" w:cs="Times New Roman"/>
                      <w:b w:val="0"/>
                      <w:bCs w:val="0"/>
                      <w:sz w:val="21"/>
                      <w:szCs w:val="21"/>
                      <w:lang w:val="en-US" w:eastAsia="zh-CN"/>
                    </w:rPr>
                  </w:pPr>
                </w:p>
              </w:tc>
              <w:tc>
                <w:tcPr>
                  <w:tcW w:w="240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eastAsia" w:ascii="Times New Roman" w:hAnsi="Times New Roman" w:eastAsia="宋体" w:cs="Times New Roman"/>
                      <w:b w:val="0"/>
                      <w:bCs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0" w:type="dxa"/>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10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环境空气</w:t>
                  </w:r>
                </w:p>
              </w:tc>
              <w:tc>
                <w:tcPr>
                  <w:tcW w:w="46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厂址附近500m范围内无大气环境敏感目标</w:t>
                  </w:r>
                </w:p>
              </w:tc>
              <w:tc>
                <w:tcPr>
                  <w:tcW w:w="2409" w:type="dxa"/>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《环境空气质量标准》（GB3095-2012）二类区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50" w:type="dxa"/>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w:t>
                  </w:r>
                </w:p>
              </w:tc>
              <w:tc>
                <w:tcPr>
                  <w:tcW w:w="10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声环境</w:t>
                  </w:r>
                </w:p>
              </w:tc>
              <w:tc>
                <w:tcPr>
                  <w:tcW w:w="46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厂址附近</w:t>
                  </w:r>
                  <w:r>
                    <w:rPr>
                      <w:rFonts w:hint="eastAsia" w:ascii="Times New Roman" w:hAnsi="Times New Roman" w:eastAsia="宋体" w:cs="Times New Roman"/>
                      <w:b w:val="0"/>
                      <w:bCs w:val="0"/>
                      <w:sz w:val="21"/>
                      <w:szCs w:val="21"/>
                      <w:lang w:val="en-US" w:eastAsia="zh-CN"/>
                    </w:rPr>
                    <w:t>50</w:t>
                  </w:r>
                  <w:r>
                    <w:rPr>
                      <w:rFonts w:hint="default" w:ascii="Times New Roman" w:hAnsi="Times New Roman" w:eastAsia="宋体" w:cs="Times New Roman"/>
                      <w:b w:val="0"/>
                      <w:bCs w:val="0"/>
                      <w:sz w:val="21"/>
                      <w:szCs w:val="21"/>
                      <w:lang w:val="en-US" w:eastAsia="zh-CN"/>
                    </w:rPr>
                    <w:t>m范围内无声环境敏感目标</w:t>
                  </w:r>
                </w:p>
              </w:tc>
              <w:tc>
                <w:tcPr>
                  <w:tcW w:w="2409" w:type="dxa"/>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《声环境质量标准》（GB 3096-2008）3类声环境功能区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50" w:type="dxa"/>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w:t>
                  </w:r>
                </w:p>
              </w:tc>
              <w:tc>
                <w:tcPr>
                  <w:tcW w:w="10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地下水环境</w:t>
                  </w:r>
                </w:p>
              </w:tc>
              <w:tc>
                <w:tcPr>
                  <w:tcW w:w="46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厂界500米范围内无地下水</w:t>
                  </w:r>
                  <w:r>
                    <w:rPr>
                      <w:rFonts w:hint="eastAsia" w:ascii="Times New Roman" w:hAnsi="Times New Roman" w:eastAsia="宋体" w:cs="Times New Roman"/>
                      <w:b w:val="0"/>
                      <w:bCs w:val="0"/>
                      <w:sz w:val="21"/>
                      <w:szCs w:val="21"/>
                      <w:lang w:val="en-US" w:eastAsia="zh-CN"/>
                    </w:rPr>
                    <w:t>环境敏感目标</w:t>
                  </w:r>
                </w:p>
              </w:tc>
              <w:tc>
                <w:tcPr>
                  <w:tcW w:w="2409" w:type="dxa"/>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《地下水质量标准》（GB/T 14848-2017）Ⅲ类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50" w:type="dxa"/>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4</w:t>
                  </w:r>
                </w:p>
              </w:tc>
              <w:tc>
                <w:tcPr>
                  <w:tcW w:w="10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地表水</w:t>
                  </w:r>
                </w:p>
              </w:tc>
              <w:tc>
                <w:tcPr>
                  <w:tcW w:w="46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厂址</w:t>
                  </w:r>
                  <w:r>
                    <w:rPr>
                      <w:rFonts w:hint="eastAsia" w:ascii="Times New Roman" w:hAnsi="Times New Roman" w:eastAsia="宋体" w:cs="Times New Roman"/>
                      <w:b w:val="0"/>
                      <w:bCs w:val="0"/>
                      <w:sz w:val="21"/>
                      <w:szCs w:val="21"/>
                      <w:lang w:val="en-US" w:eastAsia="zh-CN"/>
                    </w:rPr>
                    <w:t>500m</w:t>
                  </w:r>
                  <w:r>
                    <w:rPr>
                      <w:rFonts w:hint="default" w:ascii="Times New Roman" w:hAnsi="Times New Roman" w:eastAsia="宋体" w:cs="Times New Roman"/>
                      <w:b w:val="0"/>
                      <w:bCs w:val="0"/>
                      <w:sz w:val="21"/>
                      <w:szCs w:val="21"/>
                      <w:lang w:val="en-US" w:eastAsia="zh-CN"/>
                    </w:rPr>
                    <w:t>范围内无</w:t>
                  </w:r>
                  <w:r>
                    <w:rPr>
                      <w:rFonts w:hint="eastAsia" w:ascii="Times New Roman" w:hAnsi="Times New Roman" w:eastAsia="宋体" w:cs="Times New Roman"/>
                      <w:b w:val="0"/>
                      <w:bCs w:val="0"/>
                      <w:sz w:val="21"/>
                      <w:szCs w:val="21"/>
                      <w:lang w:val="en-US" w:eastAsia="zh-CN"/>
                    </w:rPr>
                    <w:t>地表水敏感目标</w:t>
                  </w:r>
                </w:p>
              </w:tc>
              <w:tc>
                <w:tcPr>
                  <w:tcW w:w="2409" w:type="dxa"/>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项目区生活污水排入园区管网，项目运行后与地表水无直接水力联系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50" w:type="dxa"/>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w:t>
                  </w:r>
                </w:p>
              </w:tc>
              <w:tc>
                <w:tcPr>
                  <w:tcW w:w="10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生态环境</w:t>
                  </w:r>
                </w:p>
              </w:tc>
              <w:tc>
                <w:tcPr>
                  <w:tcW w:w="46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用地范围内无生态环境保护目标</w:t>
                  </w:r>
                </w:p>
              </w:tc>
              <w:tc>
                <w:tcPr>
                  <w:tcW w:w="2409" w:type="dxa"/>
                  <w:noWrap w:val="0"/>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r>
          </w:tbl>
          <w:p>
            <w:pPr>
              <w:widowControl w:val="0"/>
              <w:spacing w:line="240" w:lineRule="auto"/>
              <w:ind w:firstLine="0"/>
              <w:jc w:val="center"/>
              <w:rPr>
                <w:rFonts w:ascii="Times New Roman" w:hAnsi="Times New Roman" w:eastAsia="宋体" w:cs="宋体"/>
                <w:color w:val="auto"/>
                <w:kern w:val="0"/>
                <w:sz w:val="24"/>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2" w:hRule="atLeast"/>
          <w:jc w:val="center"/>
        </w:trPr>
        <w:tc>
          <w:tcPr>
            <w:tcW w:w="426" w:type="dxa"/>
            <w:vAlign w:val="center"/>
          </w:tcPr>
          <w:p>
            <w:pPr>
              <w:overflowPunct w:val="0"/>
              <w:autoSpaceDE w:val="0"/>
              <w:autoSpaceDN w:val="0"/>
              <w:adjustRightInd w:val="0"/>
              <w:snapToGrid w:val="0"/>
              <w:spacing w:line="500" w:lineRule="exact"/>
              <w:jc w:val="center"/>
              <w:rPr>
                <w:rFonts w:ascii="Times New Roman" w:hAnsi="Times New Roman" w:eastAsia="宋体" w:cs="宋体"/>
              </w:rPr>
            </w:pPr>
            <w:r>
              <w:rPr>
                <w:rFonts w:ascii="Times New Roman" w:hAnsi="Times New Roman" w:eastAsia="宋体" w:cs="宋体"/>
              </w:rPr>
              <w:t>污染</w:t>
            </w:r>
            <w:r>
              <w:rPr>
                <w:rFonts w:hint="eastAsia" w:ascii="Times New Roman" w:hAnsi="Times New Roman" w:eastAsia="宋体" w:cs="宋体"/>
                <w:lang w:eastAsia="zh-Hans"/>
              </w:rPr>
              <w:t>物排放控制标准</w:t>
            </w:r>
          </w:p>
        </w:tc>
        <w:tc>
          <w:tcPr>
            <w:tcW w:w="8645" w:type="dxa"/>
          </w:tcPr>
          <w:p>
            <w:pPr>
              <w:overflowPunct w:val="0"/>
              <w:autoSpaceDE w:val="0"/>
              <w:autoSpaceDN w:val="0"/>
              <w:adjustRightInd w:val="0"/>
              <w:snapToGrid w:val="0"/>
              <w:spacing w:line="360" w:lineRule="auto"/>
              <w:ind w:firstLine="562" w:firstLineChars="200"/>
              <w:jc w:val="left"/>
              <w:outlineLvl w:val="1"/>
              <w:rPr>
                <w:rFonts w:ascii="Times New Roman" w:hAnsi="Times New Roman" w:eastAsia="宋体" w:cs="黑体"/>
                <w:b/>
                <w:sz w:val="28"/>
                <w:szCs w:val="30"/>
                <w:highlight w:val="none"/>
              </w:rPr>
            </w:pPr>
            <w:r>
              <w:rPr>
                <w:rFonts w:ascii="Times New Roman" w:hAnsi="Times New Roman" w:eastAsia="宋体" w:cs="黑体"/>
                <w:b/>
                <w:sz w:val="28"/>
                <w:szCs w:val="30"/>
                <w:highlight w:val="none"/>
              </w:rPr>
              <w:t>3</w:t>
            </w:r>
            <w:r>
              <w:rPr>
                <w:rFonts w:hint="eastAsia" w:ascii="Times New Roman" w:hAnsi="Times New Roman" w:eastAsia="宋体" w:cs="黑体"/>
                <w:b/>
                <w:sz w:val="28"/>
                <w:szCs w:val="30"/>
                <w:highlight w:val="none"/>
                <w:lang w:eastAsia="zh-Hans"/>
              </w:rPr>
              <w:t>.</w:t>
            </w:r>
            <w:r>
              <w:rPr>
                <w:rFonts w:hint="eastAsia" w:ascii="Times New Roman" w:hAnsi="Times New Roman" w:eastAsia="宋体" w:cs="黑体"/>
                <w:b/>
                <w:sz w:val="28"/>
                <w:szCs w:val="30"/>
                <w:highlight w:val="none"/>
              </w:rPr>
              <w:t>7污染物排放控制标准</w:t>
            </w:r>
          </w:p>
          <w:p>
            <w:pPr>
              <w:overflowPunct w:val="0"/>
              <w:autoSpaceDE w:val="0"/>
              <w:autoSpaceDN w:val="0"/>
              <w:adjustRightInd w:val="0"/>
              <w:snapToGrid w:val="0"/>
              <w:spacing w:line="360" w:lineRule="auto"/>
              <w:ind w:firstLine="480" w:firstLineChars="200"/>
              <w:jc w:val="left"/>
              <w:rPr>
                <w:rFonts w:ascii="Times New Roman" w:hAnsi="Times New Roman" w:eastAsia="宋体" w:cs="宋体"/>
              </w:rPr>
            </w:pPr>
            <w:r>
              <w:rPr>
                <w:rFonts w:hint="eastAsia" w:ascii="Times New Roman" w:hAnsi="Times New Roman" w:eastAsia="宋体" w:cs="宋体"/>
              </w:rPr>
              <w:t>（1）大气污染物排放标准</w:t>
            </w:r>
          </w:p>
          <w:p>
            <w:pPr>
              <w:overflowPunct w:val="0"/>
              <w:autoSpaceDE w:val="0"/>
              <w:autoSpaceDN w:val="0"/>
              <w:bidi w:val="0"/>
              <w:adjustRightInd w:val="0"/>
              <w:snapToGrid w:val="0"/>
              <w:spacing w:before="0" w:after="0" w:line="360" w:lineRule="auto"/>
              <w:ind w:left="0" w:right="0" w:firstLine="480" w:firstLineChars="200"/>
              <w:jc w:val="both"/>
              <w:rPr>
                <w:rFonts w:hint="eastAsia" w:cs="宋体"/>
                <w:highlight w:val="none"/>
                <w:lang w:val="en-US" w:eastAsia="zh-CN"/>
              </w:rPr>
            </w:pPr>
            <w:r>
              <w:rPr>
                <w:rFonts w:hint="eastAsia" w:cs="宋体"/>
                <w:highlight w:val="none"/>
                <w:lang w:val="en-US" w:eastAsia="zh-CN"/>
              </w:rPr>
              <w:t>本项目运营期生产车间挤塑、紫外光交联有组织非甲烷总烃</w:t>
            </w:r>
            <w:r>
              <w:rPr>
                <w:rFonts w:hint="eastAsia" w:ascii="Times New Roman" w:hAnsi="Times New Roman" w:eastAsia="宋体" w:cs="宋体"/>
                <w:highlight w:val="none"/>
                <w:lang w:val="en-US" w:eastAsia="zh-CN"/>
              </w:rPr>
              <w:t>执行</w:t>
            </w:r>
            <w:r>
              <w:rPr>
                <w:rFonts w:hint="eastAsia" w:cs="宋体"/>
                <w:highlight w:val="none"/>
                <w:lang w:val="en-US" w:eastAsia="zh-CN"/>
              </w:rPr>
              <w:t>《合成树脂工业污染物排放标准》（GB31572-2015）（含2024年修改单）</w:t>
            </w:r>
            <w:r>
              <w:rPr>
                <w:rFonts w:hint="eastAsia" w:ascii="Times New Roman" w:hAnsi="Times New Roman" w:eastAsia="宋体" w:cs="宋体"/>
                <w:highlight w:val="none"/>
                <w:lang w:val="en-US" w:eastAsia="zh-CN"/>
              </w:rPr>
              <w:t>表5 大气污染物特别排放限值</w:t>
            </w:r>
            <w:r>
              <w:rPr>
                <w:rFonts w:hint="eastAsia" w:cs="宋体"/>
                <w:highlight w:val="none"/>
                <w:lang w:val="en-US" w:eastAsia="zh-CN"/>
              </w:rPr>
              <w:t>（60mg/m</w:t>
            </w:r>
            <w:r>
              <w:rPr>
                <w:rFonts w:hint="eastAsia" w:cs="宋体"/>
                <w:highlight w:val="none"/>
                <w:vertAlign w:val="superscript"/>
                <w:lang w:val="en-US" w:eastAsia="zh-CN"/>
              </w:rPr>
              <w:t>3</w:t>
            </w:r>
            <w:r>
              <w:rPr>
                <w:rFonts w:hint="eastAsia" w:cs="宋体"/>
                <w:highlight w:val="none"/>
                <w:lang w:val="en-US" w:eastAsia="zh-CN"/>
              </w:rPr>
              <w:t>），喷码有组织非甲烷总烃</w:t>
            </w:r>
            <w:r>
              <w:rPr>
                <w:rFonts w:hint="eastAsia" w:ascii="Times New Roman" w:hAnsi="Times New Roman" w:eastAsia="宋体" w:cs="宋体"/>
                <w:highlight w:val="none"/>
                <w:lang w:val="en-US" w:eastAsia="zh-CN"/>
              </w:rPr>
              <w:t>执行</w:t>
            </w:r>
            <w:r>
              <w:rPr>
                <w:rFonts w:hint="eastAsia" w:cs="宋体"/>
                <w:highlight w:val="none"/>
                <w:lang w:val="en-US" w:eastAsia="zh-CN"/>
              </w:rPr>
              <w:t>《涂料、油墨及胶粘剂工业大气污染物排放标准》（GB 37824-2019）表2 大气污染物特别排放限值（60mg/m</w:t>
            </w:r>
            <w:r>
              <w:rPr>
                <w:rFonts w:hint="eastAsia" w:cs="宋体"/>
                <w:highlight w:val="none"/>
                <w:vertAlign w:val="superscript"/>
                <w:lang w:val="en-US" w:eastAsia="zh-CN"/>
              </w:rPr>
              <w:t>3</w:t>
            </w:r>
            <w:r>
              <w:rPr>
                <w:rFonts w:hint="eastAsia" w:cs="宋体"/>
                <w:highlight w:val="none"/>
                <w:lang w:val="en-US" w:eastAsia="zh-CN"/>
              </w:rPr>
              <w:t>），拉丝有组织非甲烷总烃</w:t>
            </w:r>
            <w:r>
              <w:rPr>
                <w:rFonts w:hint="eastAsia" w:ascii="Times New Roman" w:hAnsi="Times New Roman" w:eastAsia="宋体" w:cs="宋体"/>
                <w:highlight w:val="none"/>
                <w:lang w:val="en-US" w:eastAsia="zh-CN"/>
              </w:rPr>
              <w:t>执行</w:t>
            </w:r>
            <w:r>
              <w:rPr>
                <w:rFonts w:hint="eastAsia" w:cs="宋体"/>
                <w:highlight w:val="none"/>
                <w:lang w:val="en-US" w:eastAsia="zh-CN"/>
              </w:rPr>
              <w:t>《大气污染物综合排放标准》（GB 16297-1996）表2 新污染源大气污染物排放限值，由于生产车间主要污染物为挤塑产生的非甲烷总烃，因此统一执行《合成树脂工业污染物排放标准》（GB31572-2015）（含2024年修改单）</w:t>
            </w:r>
            <w:r>
              <w:rPr>
                <w:rFonts w:hint="eastAsia" w:ascii="Times New Roman" w:hAnsi="Times New Roman" w:eastAsia="宋体" w:cs="宋体"/>
                <w:highlight w:val="none"/>
                <w:lang w:val="en-US" w:eastAsia="zh-CN"/>
              </w:rPr>
              <w:t>表5 大气污染物特别排放限值</w:t>
            </w:r>
            <w:r>
              <w:rPr>
                <w:rFonts w:hint="eastAsia" w:cs="宋体"/>
                <w:highlight w:val="none"/>
                <w:lang w:val="en-US" w:eastAsia="zh-CN"/>
              </w:rPr>
              <w:t>。</w:t>
            </w:r>
          </w:p>
          <w:p>
            <w:pPr>
              <w:overflowPunct w:val="0"/>
              <w:autoSpaceDE w:val="0"/>
              <w:autoSpaceDN w:val="0"/>
              <w:bidi w:val="0"/>
              <w:adjustRightInd w:val="0"/>
              <w:snapToGrid w:val="0"/>
              <w:spacing w:before="0" w:after="0" w:line="360" w:lineRule="auto"/>
              <w:ind w:left="0" w:right="0" w:firstLine="480" w:firstLineChars="200"/>
              <w:jc w:val="both"/>
              <w:rPr>
                <w:rFonts w:hint="eastAsia" w:cs="宋体"/>
                <w:highlight w:val="none"/>
                <w:lang w:val="en-US" w:eastAsia="zh-CN"/>
              </w:rPr>
            </w:pPr>
            <w:r>
              <w:rPr>
                <w:rFonts w:hint="eastAsia" w:cs="宋体"/>
                <w:highlight w:val="none"/>
                <w:lang w:val="en-US" w:eastAsia="zh-CN"/>
              </w:rPr>
              <w:t>根据生态环境部部长信箱《关于树脂制品业的排放标准问题的回复》“以聚氯乙烯树脂为原料，采用混合、共混、改性等工艺，通过挤出、注射、压制、压延、发泡等方法生产聚氯乙烯树脂制品的企业生产过程中产生的废气应执行《大气污染物综合排放标准》（GB 16297-1996）。”因此，本项目挤护外套产生的有组织氯化氢执行《大气污染物综合排放标准》（GB 16297-1996）表2 新污染源大气污染物排放限值</w:t>
            </w:r>
            <w:r>
              <w:rPr>
                <w:rFonts w:hint="eastAsia" w:ascii="Times New Roman" w:hAnsi="Times New Roman" w:eastAsia="宋体" w:cs="宋体"/>
                <w:highlight w:val="none"/>
                <w:lang w:val="en-US" w:eastAsia="zh-CN"/>
              </w:rPr>
              <w:t>。</w:t>
            </w:r>
            <w:r>
              <w:rPr>
                <w:rFonts w:hint="eastAsia" w:cs="宋体"/>
                <w:highlight w:val="none"/>
                <w:lang w:val="en-US" w:eastAsia="zh-CN"/>
              </w:rPr>
              <w:t>挤护外套使用原料为聚氯乙烯以及低烟无卤阻燃聚烯烃电缆料，因此挤护外套产生的有组织非甲烷总烃</w:t>
            </w:r>
            <w:r>
              <w:rPr>
                <w:rFonts w:hint="eastAsia" w:ascii="Times New Roman" w:hAnsi="Times New Roman" w:eastAsia="宋体" w:cs="宋体"/>
                <w:highlight w:val="none"/>
                <w:lang w:val="en-US" w:eastAsia="zh-CN"/>
              </w:rPr>
              <w:t>执行</w:t>
            </w:r>
            <w:r>
              <w:rPr>
                <w:rFonts w:hint="eastAsia" w:cs="宋体"/>
                <w:highlight w:val="none"/>
                <w:lang w:val="en-US" w:eastAsia="zh-CN"/>
              </w:rPr>
              <w:t>《合成树脂工业污染物排放标准》（GB31572-2015）（含2024年修改单）</w:t>
            </w:r>
            <w:r>
              <w:rPr>
                <w:rFonts w:hint="eastAsia" w:ascii="Times New Roman" w:hAnsi="Times New Roman" w:eastAsia="宋体" w:cs="宋体"/>
                <w:highlight w:val="none"/>
                <w:lang w:val="en-US" w:eastAsia="zh-CN"/>
              </w:rPr>
              <w:t>表5 大气污染物特别排放限值</w:t>
            </w:r>
            <w:r>
              <w:rPr>
                <w:rFonts w:hint="eastAsia" w:cs="宋体"/>
                <w:highlight w:val="none"/>
                <w:lang w:val="en-US" w:eastAsia="zh-CN"/>
              </w:rPr>
              <w:t>。</w:t>
            </w:r>
          </w:p>
          <w:p>
            <w:pPr>
              <w:overflowPunct w:val="0"/>
              <w:autoSpaceDE w:val="0"/>
              <w:autoSpaceDN w:val="0"/>
              <w:bidi w:val="0"/>
              <w:adjustRightInd w:val="0"/>
              <w:snapToGrid w:val="0"/>
              <w:spacing w:before="0" w:after="0" w:line="360" w:lineRule="auto"/>
              <w:ind w:left="0" w:right="0" w:firstLine="480" w:firstLineChars="200"/>
              <w:jc w:val="both"/>
              <w:rPr>
                <w:rFonts w:hint="default" w:cs="宋体"/>
                <w:highlight w:val="none"/>
                <w:lang w:val="en-US" w:eastAsia="zh-CN"/>
              </w:rPr>
            </w:pPr>
            <w:r>
              <w:rPr>
                <w:rFonts w:hint="eastAsia" w:cs="宋体"/>
                <w:highlight w:val="none"/>
                <w:lang w:val="en-US" w:eastAsia="zh-CN"/>
              </w:rPr>
              <w:t>臭气浓度执行《恶臭污染物排放标准》（GB14554-93）表2 恶臭污染物排放标准值。</w:t>
            </w:r>
          </w:p>
          <w:p>
            <w:pPr>
              <w:overflowPunct w:val="0"/>
              <w:autoSpaceDE w:val="0"/>
              <w:autoSpaceDN w:val="0"/>
              <w:bidi w:val="0"/>
              <w:adjustRightInd w:val="0"/>
              <w:snapToGrid w:val="0"/>
              <w:spacing w:before="0" w:after="0" w:line="360" w:lineRule="auto"/>
              <w:ind w:left="0" w:right="0" w:firstLine="480" w:firstLineChars="200"/>
              <w:jc w:val="both"/>
              <w:rPr>
                <w:rFonts w:hint="eastAsia" w:ascii="Times New Roman" w:hAnsi="Times New Roman" w:eastAsia="宋体" w:cs="宋体"/>
                <w:b w:val="0"/>
                <w:color w:val="000000"/>
                <w:highlight w:val="none"/>
                <w:lang w:val="en-US" w:eastAsia="zh-CN"/>
              </w:rPr>
            </w:pPr>
            <w:r>
              <w:rPr>
                <w:rFonts w:hint="eastAsia" w:ascii="Times New Roman" w:hAnsi="Times New Roman" w:eastAsia="宋体" w:cs="宋体"/>
                <w:b w:val="0"/>
                <w:color w:val="000000"/>
                <w:highlight w:val="none"/>
                <w:lang w:val="en-US" w:eastAsia="zh-CN"/>
              </w:rPr>
              <w:t>厂界无组织排放的</w:t>
            </w:r>
            <w:r>
              <w:rPr>
                <w:rFonts w:hint="eastAsia" w:cs="宋体"/>
                <w:highlight w:val="none"/>
                <w:lang w:val="en-US" w:eastAsia="zh-CN"/>
              </w:rPr>
              <w:t>非甲烷总烃</w:t>
            </w:r>
            <w:r>
              <w:rPr>
                <w:rFonts w:hint="eastAsia" w:ascii="Times New Roman" w:hAnsi="Times New Roman" w:eastAsia="宋体" w:cs="宋体"/>
                <w:b w:val="0"/>
                <w:color w:val="000000"/>
                <w:highlight w:val="none"/>
                <w:lang w:val="en-US" w:eastAsia="zh-CN"/>
              </w:rPr>
              <w:t>执行</w:t>
            </w:r>
            <w:r>
              <w:rPr>
                <w:rFonts w:hint="eastAsia" w:cs="宋体"/>
                <w:highlight w:val="none"/>
                <w:lang w:val="en-US" w:eastAsia="zh-CN"/>
              </w:rPr>
              <w:t>《合成树脂工业污染物排放标准》（GB31572-2015）（含2024年修改单）</w:t>
            </w:r>
            <w:r>
              <w:rPr>
                <w:rFonts w:hint="eastAsia" w:ascii="Times New Roman" w:hAnsi="Times New Roman" w:eastAsia="宋体" w:cs="宋体"/>
                <w:b w:val="0"/>
                <w:color w:val="000000"/>
                <w:highlight w:val="none"/>
                <w:lang w:val="en-US" w:eastAsia="zh-CN"/>
              </w:rPr>
              <w:t>表9 企业边界大气污染物浓度限值</w:t>
            </w:r>
            <w:r>
              <w:rPr>
                <w:rFonts w:hint="eastAsia" w:cs="宋体"/>
                <w:b w:val="0"/>
                <w:color w:val="000000"/>
                <w:highlight w:val="none"/>
                <w:lang w:val="en-US" w:eastAsia="zh-CN"/>
              </w:rPr>
              <w:t>，</w:t>
            </w:r>
            <w:r>
              <w:rPr>
                <w:rFonts w:hint="eastAsia" w:cs="宋体"/>
                <w:highlight w:val="none"/>
                <w:lang w:val="en-US" w:eastAsia="zh-CN"/>
              </w:rPr>
              <w:t>氯化氢、颗粒物执行《大气污染物综合排放标准》（GB 16297-1996）表2 新污染源大气污染物排放限值</w:t>
            </w:r>
            <w:r>
              <w:rPr>
                <w:rFonts w:hint="eastAsia" w:cs="宋体"/>
                <w:b w:val="0"/>
                <w:color w:val="000000"/>
                <w:highlight w:val="none"/>
                <w:lang w:val="en-US" w:eastAsia="zh-CN"/>
              </w:rPr>
              <w:t>，</w:t>
            </w:r>
            <w:r>
              <w:rPr>
                <w:rFonts w:hint="eastAsia" w:ascii="Times New Roman" w:hAnsi="Times New Roman" w:eastAsia="宋体" w:cs="宋体"/>
                <w:lang w:val="en-US" w:eastAsia="zh-CN"/>
              </w:rPr>
              <w:t>臭气浓度执行《恶臭污染物排放标准》（GB14554-93）表1 恶臭污染物厂界标准值</w:t>
            </w:r>
            <w:r>
              <w:rPr>
                <w:rFonts w:hint="eastAsia" w:cs="宋体"/>
                <w:lang w:val="en-US" w:eastAsia="zh-CN"/>
              </w:rPr>
              <w:t>中二级标准限值</w:t>
            </w:r>
            <w:r>
              <w:rPr>
                <w:rFonts w:hint="eastAsia" w:cs="宋体"/>
                <w:b w:val="0"/>
                <w:color w:val="000000"/>
                <w:highlight w:val="none"/>
                <w:lang w:val="en-US" w:eastAsia="zh-CN"/>
              </w:rPr>
              <w:t>，</w:t>
            </w:r>
            <w:r>
              <w:rPr>
                <w:rFonts w:hint="eastAsia" w:ascii="Times New Roman" w:hAnsi="Times New Roman" w:eastAsia="宋体" w:cs="宋体"/>
                <w:b w:val="0"/>
                <w:color w:val="000000"/>
                <w:highlight w:val="none"/>
                <w:lang w:val="en-US" w:eastAsia="zh-CN"/>
              </w:rPr>
              <w:t>厂区内无组织</w:t>
            </w:r>
            <w:r>
              <w:rPr>
                <w:rFonts w:hint="eastAsia" w:cs="宋体"/>
                <w:highlight w:val="none"/>
                <w:lang w:val="en-US" w:eastAsia="zh-CN"/>
              </w:rPr>
              <w:t>非甲烷总烃</w:t>
            </w:r>
            <w:r>
              <w:rPr>
                <w:rFonts w:hint="eastAsia" w:ascii="Times New Roman" w:hAnsi="Times New Roman" w:eastAsia="宋体" w:cs="宋体"/>
                <w:b w:val="0"/>
                <w:color w:val="000000"/>
                <w:highlight w:val="none"/>
                <w:lang w:val="en-US" w:eastAsia="zh-CN"/>
              </w:rPr>
              <w:t>执行《挥发性有机物无组织排放控制标准》（GB37822-2019）表A.1厂区内VOCs无组织</w:t>
            </w:r>
            <w:r>
              <w:rPr>
                <w:rFonts w:hint="eastAsia" w:cs="宋体"/>
                <w:b w:val="0"/>
                <w:color w:val="000000"/>
                <w:highlight w:val="none"/>
                <w:lang w:val="en-US" w:eastAsia="zh-CN"/>
              </w:rPr>
              <w:t>特别</w:t>
            </w:r>
            <w:r>
              <w:rPr>
                <w:rFonts w:hint="eastAsia" w:ascii="Times New Roman" w:hAnsi="Times New Roman" w:eastAsia="宋体" w:cs="宋体"/>
                <w:b w:val="0"/>
                <w:color w:val="000000"/>
                <w:highlight w:val="none"/>
                <w:lang w:val="en-US" w:eastAsia="zh-CN"/>
              </w:rPr>
              <w:t>排放限值。</w:t>
            </w:r>
          </w:p>
          <w:p>
            <w:pPr>
              <w:overflowPunct w:val="0"/>
              <w:autoSpaceDE w:val="0"/>
              <w:autoSpaceDN w:val="0"/>
              <w:bidi w:val="0"/>
              <w:adjustRightInd w:val="0"/>
              <w:snapToGrid w:val="0"/>
              <w:spacing w:before="0" w:after="0" w:line="360" w:lineRule="auto"/>
              <w:ind w:left="0" w:right="0" w:firstLine="480" w:firstLineChars="200"/>
              <w:jc w:val="both"/>
              <w:rPr>
                <w:rFonts w:hint="eastAsia" w:ascii="Times New Roman" w:hAnsi="Times New Roman" w:eastAsia="宋体" w:cs="宋体"/>
                <w:color w:val="000000"/>
                <w:highlight w:val="none"/>
                <w:lang w:val="en-US" w:eastAsia="zh-CN"/>
              </w:rPr>
            </w:pPr>
            <w:r>
              <w:rPr>
                <w:rFonts w:hint="eastAsia" w:ascii="Times New Roman" w:hAnsi="Times New Roman" w:eastAsia="宋体" w:cs="宋体"/>
                <w:highlight w:val="none"/>
                <w:lang w:val="en-US" w:eastAsia="zh-CN"/>
              </w:rPr>
              <w:t>本项目</w:t>
            </w:r>
            <w:r>
              <w:rPr>
                <w:rFonts w:hint="eastAsia" w:ascii="Times New Roman" w:hAnsi="Times New Roman" w:eastAsia="宋体" w:cs="宋体"/>
                <w:highlight w:val="none"/>
              </w:rPr>
              <w:t>运营期</w:t>
            </w:r>
            <w:r>
              <w:rPr>
                <w:rFonts w:hint="eastAsia" w:ascii="Times New Roman" w:hAnsi="Times New Roman" w:eastAsia="宋体" w:cs="宋体"/>
                <w:highlight w:val="none"/>
                <w:lang w:val="en-US" w:eastAsia="zh-CN"/>
              </w:rPr>
              <w:t>大气污染物排放标准见表3.7-1。</w:t>
            </w:r>
          </w:p>
          <w:p>
            <w:pPr>
              <w:widowControl w:val="0"/>
              <w:overflow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表</w:t>
            </w:r>
            <w:r>
              <w:rPr>
                <w:rFonts w:hint="eastAsia" w:ascii="Times New Roman" w:hAnsi="Times New Roman" w:eastAsia="宋体" w:cs="Times New Roman"/>
                <w:b/>
                <w:kern w:val="2"/>
                <w:sz w:val="24"/>
                <w:szCs w:val="24"/>
                <w:lang w:val="en-US" w:eastAsia="zh-CN" w:bidi="ar-SA"/>
              </w:rPr>
              <w:t xml:space="preserve">3.7-1  </w:t>
            </w:r>
            <w:r>
              <w:rPr>
                <w:rFonts w:hint="default" w:ascii="Times New Roman" w:hAnsi="Times New Roman" w:eastAsia="宋体" w:cs="Times New Roman"/>
                <w:b/>
                <w:kern w:val="2"/>
                <w:sz w:val="24"/>
                <w:szCs w:val="24"/>
                <w:lang w:val="en-US" w:eastAsia="zh-CN" w:bidi="ar-SA"/>
              </w:rPr>
              <w:t>大气污染物排放所执行的标准</w:t>
            </w:r>
          </w:p>
          <w:tbl>
            <w:tblPr>
              <w:tblStyle w:val="1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67"/>
              <w:gridCol w:w="809"/>
              <w:gridCol w:w="804"/>
              <w:gridCol w:w="1205"/>
              <w:gridCol w:w="1125"/>
              <w:gridCol w:w="299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567"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污染源</w:t>
                  </w:r>
                </w:p>
              </w:tc>
              <w:tc>
                <w:tcPr>
                  <w:tcW w:w="1613" w:type="dxa"/>
                  <w:gridSpan w:val="2"/>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污染物</w:t>
                  </w:r>
                </w:p>
              </w:tc>
              <w:tc>
                <w:tcPr>
                  <w:tcW w:w="120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排放浓度mg/</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3</w:t>
                  </w:r>
                </w:p>
              </w:tc>
              <w:tc>
                <w:tcPr>
                  <w:tcW w:w="112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排放速率kg/h</w:t>
                  </w:r>
                </w:p>
              </w:tc>
              <w:tc>
                <w:tcPr>
                  <w:tcW w:w="2994"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标准来源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67" w:type="dxa"/>
                  <w:vMerge w:val="restart"/>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DA001（</w:t>
                  </w:r>
                  <w:r>
                    <w:rPr>
                      <w:rFonts w:hint="default" w:ascii="Times New Roman" w:hAnsi="Times New Roman" w:eastAsia="宋体" w:cs="Times New Roman"/>
                      <w:kern w:val="2"/>
                      <w:sz w:val="21"/>
                      <w:szCs w:val="21"/>
                      <w:lang w:val="en-US" w:eastAsia="zh-CN" w:bidi="ar-SA"/>
                    </w:rPr>
                    <w:t>生产车间排放口</w:t>
                  </w:r>
                  <w:r>
                    <w:rPr>
                      <w:rFonts w:hint="eastAsia" w:cs="Times New Roman"/>
                      <w:kern w:val="2"/>
                      <w:sz w:val="21"/>
                      <w:szCs w:val="21"/>
                      <w:lang w:val="en-US" w:eastAsia="zh-CN" w:bidi="ar-SA"/>
                    </w:rPr>
                    <w:t>）</w:t>
                  </w:r>
                </w:p>
              </w:tc>
              <w:tc>
                <w:tcPr>
                  <w:tcW w:w="809" w:type="dxa"/>
                  <w:vMerge w:val="restart"/>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有组织</w:t>
                  </w:r>
                </w:p>
              </w:tc>
              <w:tc>
                <w:tcPr>
                  <w:tcW w:w="804"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非甲烷总烃</w:t>
                  </w:r>
                </w:p>
              </w:tc>
              <w:tc>
                <w:tcPr>
                  <w:tcW w:w="120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shd w:val="clear" w:color="auto" w:fill="auto"/>
                      <w:lang w:val="en-US" w:eastAsia="zh-CN" w:bidi="ar-SA"/>
                    </w:rPr>
                  </w:pPr>
                  <w:r>
                    <w:rPr>
                      <w:rFonts w:hint="eastAsia" w:cs="Times New Roman"/>
                      <w:kern w:val="2"/>
                      <w:sz w:val="21"/>
                      <w:szCs w:val="21"/>
                      <w:shd w:val="clear" w:color="auto" w:fill="auto"/>
                      <w:lang w:val="en-US" w:eastAsia="zh-CN" w:bidi="ar-SA"/>
                    </w:rPr>
                    <w:t>60</w:t>
                  </w:r>
                </w:p>
              </w:tc>
              <w:tc>
                <w:tcPr>
                  <w:tcW w:w="112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shd w:val="clear" w:color="auto" w:fill="auto"/>
                      <w:lang w:val="en-US" w:eastAsia="zh-CN" w:bidi="ar-SA"/>
                    </w:rPr>
                  </w:pPr>
                  <w:r>
                    <w:rPr>
                      <w:rFonts w:hint="eastAsia" w:ascii="Times New Roman" w:hAnsi="Times New Roman" w:eastAsia="宋体" w:cs="Times New Roman"/>
                      <w:kern w:val="2"/>
                      <w:sz w:val="21"/>
                      <w:szCs w:val="21"/>
                      <w:shd w:val="clear" w:color="auto" w:fill="auto"/>
                      <w:lang w:val="en-US" w:eastAsia="zh-CN" w:bidi="ar-SA"/>
                    </w:rPr>
                    <w:t>/</w:t>
                  </w:r>
                </w:p>
              </w:tc>
              <w:tc>
                <w:tcPr>
                  <w:tcW w:w="2994"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《合成树脂工业污染物排放标准》（GB31572-2015）</w:t>
                  </w:r>
                  <w:r>
                    <w:rPr>
                      <w:rFonts w:hint="eastAsia" w:cs="Times New Roman"/>
                      <w:kern w:val="2"/>
                      <w:sz w:val="21"/>
                      <w:szCs w:val="21"/>
                      <w:lang w:val="en-US" w:eastAsia="zh-CN" w:bidi="ar-SA"/>
                    </w:rPr>
                    <w:t>（含2024年修改单）</w:t>
                  </w:r>
                  <w:r>
                    <w:rPr>
                      <w:rFonts w:hint="eastAsia" w:ascii="Times New Roman" w:hAnsi="Times New Roman" w:eastAsia="宋体" w:cs="Times New Roman"/>
                      <w:kern w:val="2"/>
                      <w:sz w:val="21"/>
                      <w:szCs w:val="21"/>
                      <w:lang w:val="en-US" w:eastAsia="zh-CN" w:bidi="ar-SA"/>
                    </w:rPr>
                    <w:t>表5 大气污染物特别排放限值</w:t>
                  </w:r>
                  <w:r>
                    <w:rPr>
                      <w:rFonts w:hint="eastAsia" w:cs="Times New Roman"/>
                      <w:kern w:val="2"/>
                      <w:sz w:val="21"/>
                      <w:szCs w:val="21"/>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67"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cs="Times New Roman"/>
                      <w:kern w:val="2"/>
                      <w:sz w:val="21"/>
                      <w:szCs w:val="21"/>
                      <w:lang w:val="en-US" w:eastAsia="zh-CN" w:bidi="ar-SA"/>
                    </w:rPr>
                  </w:pPr>
                </w:p>
              </w:tc>
              <w:tc>
                <w:tcPr>
                  <w:tcW w:w="809"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p>
              </w:tc>
              <w:tc>
                <w:tcPr>
                  <w:tcW w:w="804"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cs="Times New Roman"/>
                      <w:kern w:val="2"/>
                      <w:sz w:val="21"/>
                      <w:szCs w:val="21"/>
                      <w:lang w:val="en-US" w:eastAsia="zh-CN" w:bidi="ar-SA"/>
                    </w:rPr>
                  </w:pPr>
                  <w:r>
                    <w:rPr>
                      <w:rFonts w:hint="eastAsia" w:cs="Times New Roman"/>
                      <w:kern w:val="2"/>
                      <w:sz w:val="21"/>
                      <w:szCs w:val="21"/>
                      <w:lang w:val="en-US" w:eastAsia="zh-CN" w:bidi="ar-SA"/>
                    </w:rPr>
                    <w:t>氯化氢</w:t>
                  </w:r>
                </w:p>
              </w:tc>
              <w:tc>
                <w:tcPr>
                  <w:tcW w:w="120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cs="Times New Roman"/>
                      <w:kern w:val="2"/>
                      <w:sz w:val="21"/>
                      <w:szCs w:val="21"/>
                      <w:shd w:val="clear" w:color="auto" w:fill="auto"/>
                      <w:lang w:val="en-US" w:eastAsia="zh-CN" w:bidi="ar-SA"/>
                    </w:rPr>
                  </w:pPr>
                  <w:r>
                    <w:rPr>
                      <w:rFonts w:hint="eastAsia" w:cs="Times New Roman"/>
                      <w:kern w:val="2"/>
                      <w:sz w:val="21"/>
                      <w:szCs w:val="21"/>
                      <w:shd w:val="clear" w:color="auto" w:fill="auto"/>
                      <w:lang w:val="en-US" w:eastAsia="zh-CN" w:bidi="ar-SA"/>
                    </w:rPr>
                    <w:t>100</w:t>
                  </w:r>
                </w:p>
              </w:tc>
              <w:tc>
                <w:tcPr>
                  <w:tcW w:w="112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shd w:val="clear" w:color="auto" w:fill="auto"/>
                      <w:lang w:val="en-US" w:eastAsia="zh-CN" w:bidi="ar-SA"/>
                    </w:rPr>
                  </w:pPr>
                  <w:r>
                    <w:rPr>
                      <w:rFonts w:hint="eastAsia" w:cs="Times New Roman"/>
                      <w:kern w:val="2"/>
                      <w:sz w:val="21"/>
                      <w:szCs w:val="21"/>
                      <w:shd w:val="clear" w:color="auto" w:fill="auto"/>
                      <w:lang w:val="en-US" w:eastAsia="zh-CN" w:bidi="ar-SA"/>
                    </w:rPr>
                    <w:t>0.43</w:t>
                  </w:r>
                </w:p>
              </w:tc>
              <w:tc>
                <w:tcPr>
                  <w:tcW w:w="2994"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《大气污染物综合排放标准》（GB 16297-1996）表2 新污染源大气污染物排放限值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67"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cs="Times New Roman"/>
                      <w:kern w:val="2"/>
                      <w:sz w:val="21"/>
                      <w:szCs w:val="21"/>
                      <w:lang w:val="en-US" w:eastAsia="zh-CN" w:bidi="ar-SA"/>
                    </w:rPr>
                  </w:pPr>
                </w:p>
              </w:tc>
              <w:tc>
                <w:tcPr>
                  <w:tcW w:w="809"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p>
              </w:tc>
              <w:tc>
                <w:tcPr>
                  <w:tcW w:w="804"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cs="Times New Roman"/>
                      <w:kern w:val="2"/>
                      <w:sz w:val="21"/>
                      <w:szCs w:val="21"/>
                      <w:lang w:val="en-US" w:eastAsia="zh-CN" w:bidi="ar-SA"/>
                    </w:rPr>
                  </w:pPr>
                  <w:r>
                    <w:rPr>
                      <w:rFonts w:hint="eastAsia" w:cs="Times New Roman"/>
                      <w:kern w:val="2"/>
                      <w:sz w:val="21"/>
                      <w:szCs w:val="21"/>
                      <w:lang w:val="en-US" w:eastAsia="zh-CN" w:bidi="ar-SA"/>
                    </w:rPr>
                    <w:t>臭气浓度</w:t>
                  </w:r>
                </w:p>
              </w:tc>
              <w:tc>
                <w:tcPr>
                  <w:tcW w:w="120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cs="Times New Roman"/>
                      <w:kern w:val="2"/>
                      <w:sz w:val="21"/>
                      <w:szCs w:val="21"/>
                      <w:shd w:val="clear" w:color="auto" w:fill="auto"/>
                      <w:lang w:val="en-US" w:eastAsia="zh-CN" w:bidi="ar-SA"/>
                    </w:rPr>
                  </w:pPr>
                  <w:r>
                    <w:rPr>
                      <w:rFonts w:hint="eastAsia" w:cs="Times New Roman"/>
                      <w:kern w:val="2"/>
                      <w:sz w:val="21"/>
                      <w:szCs w:val="21"/>
                      <w:shd w:val="clear" w:color="auto" w:fill="auto"/>
                      <w:lang w:val="en-US" w:eastAsia="zh-CN" w:bidi="ar-SA"/>
                    </w:rPr>
                    <w:t>/</w:t>
                  </w:r>
                </w:p>
              </w:tc>
              <w:tc>
                <w:tcPr>
                  <w:tcW w:w="112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cs="Times New Roman"/>
                      <w:kern w:val="2"/>
                      <w:sz w:val="21"/>
                      <w:szCs w:val="21"/>
                      <w:shd w:val="clear" w:color="auto" w:fill="auto"/>
                      <w:lang w:val="en-US" w:eastAsia="zh-CN" w:bidi="ar-SA"/>
                    </w:rPr>
                  </w:pPr>
                  <w:r>
                    <w:rPr>
                      <w:rFonts w:hint="eastAsia" w:cs="Times New Roman"/>
                      <w:kern w:val="2"/>
                      <w:sz w:val="21"/>
                      <w:szCs w:val="21"/>
                      <w:shd w:val="clear" w:color="auto" w:fill="auto"/>
                      <w:lang w:val="en-US" w:eastAsia="zh-CN" w:bidi="ar-SA"/>
                    </w:rPr>
                    <w:t>2000</w:t>
                  </w:r>
                  <w:r>
                    <w:rPr>
                      <w:rFonts w:hint="eastAsia" w:cs="Times New Roman"/>
                      <w:kern w:val="2"/>
                      <w:sz w:val="21"/>
                      <w:szCs w:val="21"/>
                      <w:lang w:val="en-US" w:eastAsia="zh-CN" w:bidi="ar-SA"/>
                    </w:rPr>
                    <w:t>（无量纲）</w:t>
                  </w:r>
                </w:p>
              </w:tc>
              <w:tc>
                <w:tcPr>
                  <w:tcW w:w="2994"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《恶臭污染物排放标准》（GB14554-93）表2 恶臭污染物排放标准值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67" w:type="dxa"/>
                  <w:vMerge w:val="restart"/>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厂区内</w:t>
                  </w:r>
                </w:p>
              </w:tc>
              <w:tc>
                <w:tcPr>
                  <w:tcW w:w="809" w:type="dxa"/>
                  <w:vMerge w:val="restart"/>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无组织</w:t>
                  </w:r>
                </w:p>
              </w:tc>
              <w:tc>
                <w:tcPr>
                  <w:tcW w:w="804" w:type="dxa"/>
                  <w:vMerge w:val="restart"/>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非甲烷总烃</w:t>
                  </w:r>
                </w:p>
              </w:tc>
              <w:tc>
                <w:tcPr>
                  <w:tcW w:w="120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w:t>
                  </w:r>
                  <w:r>
                    <w:rPr>
                      <w:rFonts w:hint="eastAsia" w:ascii="Times New Roman" w:hAnsi="Times New Roman" w:eastAsia="宋体" w:cs="Times New Roman"/>
                      <w:kern w:val="2"/>
                      <w:sz w:val="21"/>
                      <w:szCs w:val="21"/>
                      <w:lang w:val="en-US" w:eastAsia="zh-CN" w:bidi="ar-SA"/>
                    </w:rPr>
                    <w:t>监控点处1 h平均浓度值</w:t>
                  </w:r>
                </w:p>
              </w:tc>
              <w:tc>
                <w:tcPr>
                  <w:tcW w:w="112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2994" w:type="dxa"/>
                  <w:vMerge w:val="restart"/>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《挥发性有机物无组织排放控制标准》（GB37822-2019）表A.1厂区内VOCs无组织排放限值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67"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p>
              </w:tc>
              <w:tc>
                <w:tcPr>
                  <w:tcW w:w="809"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p>
              </w:tc>
              <w:tc>
                <w:tcPr>
                  <w:tcW w:w="804"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p>
              </w:tc>
              <w:tc>
                <w:tcPr>
                  <w:tcW w:w="120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20</w:t>
                  </w:r>
                  <w:r>
                    <w:rPr>
                      <w:rFonts w:hint="eastAsia" w:ascii="Times New Roman" w:hAnsi="Times New Roman" w:eastAsia="宋体" w:cs="Times New Roman"/>
                      <w:kern w:val="2"/>
                      <w:sz w:val="21"/>
                      <w:szCs w:val="21"/>
                      <w:lang w:val="en-US" w:eastAsia="zh-CN" w:bidi="ar-SA"/>
                    </w:rPr>
                    <w:t>监控点处任意一次浓度值</w:t>
                  </w:r>
                </w:p>
              </w:tc>
              <w:tc>
                <w:tcPr>
                  <w:tcW w:w="112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2994"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67" w:type="dxa"/>
                  <w:vMerge w:val="restart"/>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厂界</w:t>
                  </w:r>
                </w:p>
              </w:tc>
              <w:tc>
                <w:tcPr>
                  <w:tcW w:w="809" w:type="dxa"/>
                  <w:vMerge w:val="restart"/>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无组织</w:t>
                  </w:r>
                </w:p>
              </w:tc>
              <w:tc>
                <w:tcPr>
                  <w:tcW w:w="804"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非甲烷总烃</w:t>
                  </w:r>
                </w:p>
              </w:tc>
              <w:tc>
                <w:tcPr>
                  <w:tcW w:w="120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4.0</w:t>
                  </w:r>
                </w:p>
              </w:tc>
              <w:tc>
                <w:tcPr>
                  <w:tcW w:w="112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2994"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《合成树脂工业污染物排放标准》（GB31572-2015）（含2024年修改单）表9 企业边界大气污染物浓度限值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67"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cs="Times New Roman"/>
                      <w:kern w:val="2"/>
                      <w:sz w:val="21"/>
                      <w:szCs w:val="21"/>
                      <w:lang w:val="en-US" w:eastAsia="zh-CN" w:bidi="ar-SA"/>
                    </w:rPr>
                  </w:pPr>
                </w:p>
              </w:tc>
              <w:tc>
                <w:tcPr>
                  <w:tcW w:w="809"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cs="Times New Roman"/>
                      <w:kern w:val="2"/>
                      <w:sz w:val="21"/>
                      <w:szCs w:val="21"/>
                      <w:lang w:val="en-US" w:eastAsia="zh-CN" w:bidi="ar-SA"/>
                    </w:rPr>
                  </w:pPr>
                </w:p>
              </w:tc>
              <w:tc>
                <w:tcPr>
                  <w:tcW w:w="804"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cs="Times New Roman"/>
                      <w:kern w:val="2"/>
                      <w:sz w:val="21"/>
                      <w:szCs w:val="21"/>
                      <w:lang w:val="en-US" w:eastAsia="zh-CN" w:bidi="ar-SA"/>
                    </w:rPr>
                  </w:pPr>
                  <w:r>
                    <w:rPr>
                      <w:rFonts w:hint="eastAsia" w:cs="Times New Roman"/>
                      <w:kern w:val="2"/>
                      <w:sz w:val="21"/>
                      <w:szCs w:val="21"/>
                      <w:lang w:val="en-US" w:eastAsia="zh-CN" w:bidi="ar-SA"/>
                    </w:rPr>
                    <w:t>氯化氢</w:t>
                  </w:r>
                </w:p>
              </w:tc>
              <w:tc>
                <w:tcPr>
                  <w:tcW w:w="120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cs="Times New Roman"/>
                      <w:kern w:val="2"/>
                      <w:sz w:val="21"/>
                      <w:szCs w:val="21"/>
                      <w:lang w:val="en-US" w:eastAsia="zh-CN" w:bidi="ar-SA"/>
                    </w:rPr>
                  </w:pPr>
                  <w:r>
                    <w:rPr>
                      <w:rFonts w:hint="eastAsia" w:cs="Times New Roman"/>
                      <w:kern w:val="2"/>
                      <w:sz w:val="21"/>
                      <w:szCs w:val="21"/>
                      <w:lang w:val="en-US" w:eastAsia="zh-CN" w:bidi="ar-SA"/>
                    </w:rPr>
                    <w:t>0.2</w:t>
                  </w:r>
                </w:p>
              </w:tc>
              <w:tc>
                <w:tcPr>
                  <w:tcW w:w="112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cs="Times New Roman"/>
                      <w:kern w:val="2"/>
                      <w:sz w:val="21"/>
                      <w:szCs w:val="21"/>
                      <w:lang w:val="en-US" w:eastAsia="zh-CN" w:bidi="ar-SA"/>
                    </w:rPr>
                  </w:pPr>
                  <w:r>
                    <w:rPr>
                      <w:rFonts w:hint="eastAsia" w:cs="Times New Roman"/>
                      <w:kern w:val="2"/>
                      <w:sz w:val="21"/>
                      <w:szCs w:val="21"/>
                      <w:lang w:val="en-US" w:eastAsia="zh-CN" w:bidi="ar-SA"/>
                    </w:rPr>
                    <w:t>/</w:t>
                  </w:r>
                </w:p>
              </w:tc>
              <w:tc>
                <w:tcPr>
                  <w:tcW w:w="2994" w:type="dxa"/>
                  <w:vMerge w:val="restart"/>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《大气污染物综合排放标准》（GB 16297-1996）表2 新污染源大气污染物排放限值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67"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cs="Times New Roman"/>
                      <w:kern w:val="2"/>
                      <w:sz w:val="21"/>
                      <w:szCs w:val="21"/>
                      <w:lang w:val="en-US" w:eastAsia="zh-CN" w:bidi="ar-SA"/>
                    </w:rPr>
                  </w:pPr>
                </w:p>
              </w:tc>
              <w:tc>
                <w:tcPr>
                  <w:tcW w:w="809"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cs="Times New Roman"/>
                      <w:kern w:val="2"/>
                      <w:sz w:val="21"/>
                      <w:szCs w:val="21"/>
                      <w:lang w:val="en-US" w:eastAsia="zh-CN" w:bidi="ar-SA"/>
                    </w:rPr>
                  </w:pPr>
                </w:p>
              </w:tc>
              <w:tc>
                <w:tcPr>
                  <w:tcW w:w="804"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cs="Times New Roman"/>
                      <w:kern w:val="2"/>
                      <w:sz w:val="21"/>
                      <w:szCs w:val="21"/>
                      <w:lang w:val="en-US" w:eastAsia="zh-CN" w:bidi="ar-SA"/>
                    </w:rPr>
                  </w:pPr>
                  <w:r>
                    <w:rPr>
                      <w:rFonts w:hint="eastAsia" w:cs="Times New Roman"/>
                      <w:kern w:val="2"/>
                      <w:sz w:val="21"/>
                      <w:szCs w:val="21"/>
                      <w:lang w:val="en-US" w:eastAsia="zh-CN" w:bidi="ar-SA"/>
                    </w:rPr>
                    <w:t>颗粒物</w:t>
                  </w:r>
                </w:p>
              </w:tc>
              <w:tc>
                <w:tcPr>
                  <w:tcW w:w="120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cs="Times New Roman"/>
                      <w:kern w:val="2"/>
                      <w:sz w:val="21"/>
                      <w:szCs w:val="21"/>
                      <w:lang w:val="en-US" w:eastAsia="zh-CN" w:bidi="ar-SA"/>
                    </w:rPr>
                  </w:pPr>
                  <w:r>
                    <w:rPr>
                      <w:rFonts w:hint="eastAsia" w:cs="Times New Roman"/>
                      <w:kern w:val="2"/>
                      <w:sz w:val="21"/>
                      <w:szCs w:val="21"/>
                      <w:lang w:val="en-US" w:eastAsia="zh-CN" w:bidi="ar-SA"/>
                    </w:rPr>
                    <w:t>1.0</w:t>
                  </w:r>
                </w:p>
              </w:tc>
              <w:tc>
                <w:tcPr>
                  <w:tcW w:w="112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cs="Times New Roman"/>
                      <w:kern w:val="2"/>
                      <w:sz w:val="21"/>
                      <w:szCs w:val="21"/>
                      <w:lang w:val="en-US" w:eastAsia="zh-CN" w:bidi="ar-SA"/>
                    </w:rPr>
                  </w:pPr>
                  <w:r>
                    <w:rPr>
                      <w:rFonts w:hint="eastAsia" w:cs="Times New Roman"/>
                      <w:kern w:val="2"/>
                      <w:sz w:val="21"/>
                      <w:szCs w:val="21"/>
                      <w:lang w:val="en-US" w:eastAsia="zh-CN" w:bidi="ar-SA"/>
                    </w:rPr>
                    <w:t>/</w:t>
                  </w:r>
                </w:p>
              </w:tc>
              <w:tc>
                <w:tcPr>
                  <w:tcW w:w="2994"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67"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p>
              </w:tc>
              <w:tc>
                <w:tcPr>
                  <w:tcW w:w="809"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p>
              </w:tc>
              <w:tc>
                <w:tcPr>
                  <w:tcW w:w="804"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Hans" w:bidi="ar-SA"/>
                    </w:rPr>
                    <w:t>臭气浓度</w:t>
                  </w:r>
                </w:p>
              </w:tc>
              <w:tc>
                <w:tcPr>
                  <w:tcW w:w="120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20（无量纲）</w:t>
                  </w:r>
                </w:p>
              </w:tc>
              <w:tc>
                <w:tcPr>
                  <w:tcW w:w="112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2994"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《恶臭污染物排放标准》（GB14554-93）表1 恶臭污染物厂界标准值中二级标准限值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504" w:type="dxa"/>
                  <w:gridSpan w:val="6"/>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注：根据</w:t>
                  </w:r>
                  <w:r>
                    <w:rPr>
                      <w:rFonts w:hint="eastAsia" w:ascii="Times New Roman" w:hAnsi="Times New Roman" w:eastAsia="宋体" w:cs="Times New Roman"/>
                      <w:kern w:val="2"/>
                      <w:sz w:val="21"/>
                      <w:szCs w:val="21"/>
                      <w:lang w:val="en-US" w:eastAsia="zh-CN" w:bidi="ar-SA"/>
                    </w:rPr>
                    <w:t>《合成树脂工业污染物排放标准》（GB31572-2015）</w:t>
                  </w:r>
                  <w:r>
                    <w:rPr>
                      <w:rFonts w:hint="eastAsia" w:cs="Times New Roman"/>
                      <w:kern w:val="2"/>
                      <w:sz w:val="21"/>
                      <w:szCs w:val="21"/>
                      <w:lang w:val="en-US" w:eastAsia="zh-CN" w:bidi="ar-SA"/>
                    </w:rPr>
                    <w:t>（含2024年修改单），塑料制品工业企业或生产设施的大气污染物排放限值根据其涉及的合成树脂种类，分别执行表4或表5的标准限值（单位产品非甲烷总烃排放量除外）</w:t>
                  </w:r>
                </w:p>
              </w:tc>
            </w:tr>
          </w:tbl>
          <w:p>
            <w:pPr>
              <w:overflowPunct w:val="0"/>
              <w:autoSpaceDE w:val="0"/>
              <w:autoSpaceDN w:val="0"/>
              <w:adjustRightInd w:val="0"/>
              <w:snapToGrid w:val="0"/>
              <w:spacing w:line="360" w:lineRule="auto"/>
              <w:ind w:firstLine="480" w:firstLineChars="200"/>
              <w:rPr>
                <w:rFonts w:ascii="Times New Roman" w:hAnsi="Times New Roman" w:eastAsia="宋体" w:cs="宋体"/>
              </w:rPr>
            </w:pPr>
            <w:r>
              <w:rPr>
                <w:rFonts w:hint="eastAsia" w:ascii="Times New Roman" w:hAnsi="Times New Roman" w:eastAsia="宋体" w:cs="宋体"/>
              </w:rPr>
              <w:t>（2）噪声排放标准</w:t>
            </w:r>
          </w:p>
          <w:p>
            <w:pPr>
              <w:overflowPunct w:val="0"/>
              <w:autoSpaceDE w:val="0"/>
              <w:autoSpaceDN w:val="0"/>
              <w:adjustRightInd w:val="0"/>
              <w:snapToGrid w:val="0"/>
              <w:spacing w:line="360" w:lineRule="auto"/>
              <w:ind w:firstLine="480" w:firstLineChars="200"/>
              <w:rPr>
                <w:rFonts w:ascii="Times New Roman" w:hAnsi="Times New Roman" w:eastAsia="宋体" w:cs="宋体"/>
              </w:rPr>
            </w:pPr>
            <w:r>
              <w:rPr>
                <w:rFonts w:hint="eastAsia" w:ascii="Times New Roman" w:hAnsi="Times New Roman" w:eastAsia="宋体" w:cs="宋体"/>
              </w:rPr>
              <w:t>施工期执行《建筑施工场界环境噪声排放标准》(GB12523-2011)（昼间：70dB（A）、夜间：55dB（A））运营期执行《工业企业厂界环境噪声排放标准》（GB12348-2008）</w:t>
            </w:r>
            <w:r>
              <w:rPr>
                <w:rFonts w:hint="eastAsia" w:cs="宋体"/>
                <w:lang w:val="en-US" w:eastAsia="zh-CN"/>
              </w:rPr>
              <w:t>3</w:t>
            </w:r>
            <w:r>
              <w:rPr>
                <w:rFonts w:hint="eastAsia" w:ascii="Times New Roman" w:hAnsi="Times New Roman" w:eastAsia="宋体" w:cs="宋体"/>
              </w:rPr>
              <w:t>类的标准限值（昼间：</w:t>
            </w:r>
            <w:r>
              <w:rPr>
                <w:rFonts w:hint="eastAsia" w:cs="宋体"/>
                <w:lang w:val="en-US" w:eastAsia="zh-CN"/>
              </w:rPr>
              <w:t>65</w:t>
            </w:r>
            <w:r>
              <w:rPr>
                <w:rFonts w:hint="eastAsia" w:ascii="Times New Roman" w:hAnsi="Times New Roman" w:eastAsia="宋体" w:cs="宋体"/>
              </w:rPr>
              <w:t>dB（A）、夜间：</w:t>
            </w:r>
            <w:r>
              <w:rPr>
                <w:rFonts w:hint="eastAsia" w:cs="宋体"/>
                <w:lang w:val="en-US" w:eastAsia="zh-CN"/>
              </w:rPr>
              <w:t>55</w:t>
            </w:r>
            <w:r>
              <w:rPr>
                <w:rFonts w:hint="eastAsia" w:ascii="Times New Roman" w:hAnsi="Times New Roman" w:eastAsia="宋体" w:cs="宋体"/>
              </w:rPr>
              <w:t>dB（A））。</w:t>
            </w:r>
          </w:p>
          <w:p>
            <w:pPr>
              <w:overflowPunct w:val="0"/>
              <w:autoSpaceDE w:val="0"/>
              <w:autoSpaceDN w:val="0"/>
              <w:adjustRightInd w:val="0"/>
              <w:snapToGrid w:val="0"/>
              <w:spacing w:line="360" w:lineRule="auto"/>
              <w:ind w:firstLine="480" w:firstLineChars="200"/>
              <w:rPr>
                <w:rFonts w:ascii="Times New Roman" w:hAnsi="Times New Roman" w:eastAsia="宋体" w:cs="宋体"/>
              </w:rPr>
            </w:pPr>
            <w:r>
              <w:rPr>
                <w:rFonts w:hint="eastAsia" w:ascii="Times New Roman" w:hAnsi="Times New Roman" w:eastAsia="宋体" w:cs="宋体"/>
              </w:rPr>
              <w:t>（3）水污染物排放标准</w:t>
            </w:r>
          </w:p>
          <w:p>
            <w:pPr>
              <w:overflowPunct w:val="0"/>
              <w:autoSpaceDE w:val="0"/>
              <w:autoSpaceDN w:val="0"/>
              <w:adjustRightInd w:val="0"/>
              <w:snapToGrid w:val="0"/>
              <w:spacing w:line="360" w:lineRule="auto"/>
              <w:ind w:firstLine="480" w:firstLineChars="200"/>
              <w:rPr>
                <w:rFonts w:ascii="Times New Roman" w:hAnsi="Times New Roman" w:eastAsia="宋体" w:cs="宋体"/>
              </w:rPr>
            </w:pPr>
            <w:r>
              <w:rPr>
                <w:rFonts w:ascii="Times New Roman" w:hAnsi="Times New Roman" w:eastAsia="宋体" w:cs="宋体"/>
              </w:rPr>
              <w:t>本项目</w:t>
            </w:r>
            <w:r>
              <w:rPr>
                <w:rFonts w:hint="eastAsia" w:ascii="Times New Roman" w:hAnsi="Times New Roman" w:eastAsia="宋体" w:cs="宋体"/>
              </w:rPr>
              <w:t>生活污水</w:t>
            </w:r>
            <w:r>
              <w:rPr>
                <w:rFonts w:hint="eastAsia" w:cs="宋体"/>
                <w:lang w:val="en-US" w:eastAsia="zh-CN"/>
              </w:rPr>
              <w:t>排入园区管网，由</w:t>
            </w:r>
            <w:r>
              <w:rPr>
                <w:rFonts w:hint="eastAsia" w:ascii="Times New Roman" w:hAnsi="Times New Roman" w:eastAsia="宋体" w:cs="宋体"/>
                <w:lang w:val="en-US" w:eastAsia="zh-CN"/>
              </w:rPr>
              <w:t>污水处理厂</w:t>
            </w:r>
            <w:r>
              <w:rPr>
                <w:rFonts w:hint="eastAsia" w:cs="宋体"/>
                <w:lang w:val="en-US" w:eastAsia="zh-CN"/>
              </w:rPr>
              <w:t>处置</w:t>
            </w:r>
            <w:r>
              <w:rPr>
                <w:rFonts w:hint="eastAsia" w:ascii="Times New Roman" w:hAnsi="Times New Roman" w:eastAsia="宋体" w:cs="宋体"/>
              </w:rPr>
              <w:t>，</w:t>
            </w:r>
            <w:r>
              <w:rPr>
                <w:rFonts w:hint="eastAsia" w:cs="宋体"/>
                <w:lang w:val="en-US" w:eastAsia="zh-CN"/>
              </w:rPr>
              <w:t>满足《污水排入城镇下水道水质标准》（GB/T 31962-2015）表1 污水排入城镇下水道水质控制项目限值B级标准</w:t>
            </w:r>
            <w:r>
              <w:rPr>
                <w:rFonts w:ascii="Times New Roman" w:hAnsi="Times New Roman" w:eastAsia="宋体" w:cs="宋体"/>
              </w:rPr>
              <w:t>。</w:t>
            </w:r>
          </w:p>
          <w:p>
            <w:pPr>
              <w:overflowPunct w:val="0"/>
              <w:autoSpaceDE w:val="0"/>
              <w:autoSpaceDN w:val="0"/>
              <w:adjustRightInd w:val="0"/>
              <w:snapToGrid w:val="0"/>
              <w:spacing w:line="360" w:lineRule="auto"/>
              <w:jc w:val="center"/>
              <w:rPr>
                <w:rFonts w:ascii="Times New Roman" w:hAnsi="Times New Roman" w:eastAsia="宋体" w:cs="宋体"/>
              </w:rPr>
            </w:pPr>
            <w:r>
              <w:rPr>
                <w:rFonts w:hint="eastAsia" w:ascii="Times New Roman" w:hAnsi="Times New Roman" w:eastAsia="宋体" w:cs="宋体"/>
                <w:b/>
                <w:bCs/>
              </w:rPr>
              <w:t xml:space="preserve">表3.7-2排放标准限值 单位：mg/L </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09"/>
              <w:gridCol w:w="2513"/>
              <w:gridCol w:w="1255"/>
              <w:gridCol w:w="15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209" w:type="dxa"/>
                  <w:vMerge w:val="restart"/>
                  <w:vAlign w:val="center"/>
                </w:tcPr>
                <w:p>
                  <w:pPr>
                    <w:spacing w:line="400" w:lineRule="exact"/>
                    <w:jc w:val="center"/>
                    <w:rPr>
                      <w:rFonts w:ascii="Times New Roman" w:hAnsi="Times New Roman" w:eastAsia="宋体" w:cs="宋体"/>
                      <w:sz w:val="21"/>
                      <w:szCs w:val="21"/>
                    </w:rPr>
                  </w:pPr>
                  <w:r>
                    <w:rPr>
                      <w:rFonts w:ascii="Times New Roman" w:hAnsi="Times New Roman" w:eastAsia="宋体" w:cs="宋体"/>
                      <w:sz w:val="21"/>
                      <w:szCs w:val="21"/>
                    </w:rPr>
                    <w:t>标准号</w:t>
                  </w:r>
                </w:p>
              </w:tc>
              <w:tc>
                <w:tcPr>
                  <w:tcW w:w="2513" w:type="dxa"/>
                  <w:vMerge w:val="restart"/>
                  <w:vAlign w:val="center"/>
                </w:tcPr>
                <w:p>
                  <w:pPr>
                    <w:spacing w:line="400" w:lineRule="exact"/>
                    <w:jc w:val="center"/>
                    <w:rPr>
                      <w:rFonts w:ascii="Times New Roman" w:hAnsi="Times New Roman" w:eastAsia="宋体" w:cs="宋体"/>
                      <w:sz w:val="21"/>
                      <w:szCs w:val="21"/>
                    </w:rPr>
                  </w:pPr>
                  <w:r>
                    <w:rPr>
                      <w:rFonts w:ascii="Times New Roman" w:hAnsi="Times New Roman" w:eastAsia="宋体" w:cs="宋体"/>
                      <w:sz w:val="21"/>
                      <w:szCs w:val="21"/>
                    </w:rPr>
                    <w:t>污染因子</w:t>
                  </w:r>
                </w:p>
              </w:tc>
              <w:tc>
                <w:tcPr>
                  <w:tcW w:w="1255" w:type="dxa"/>
                  <w:vMerge w:val="restart"/>
                  <w:vAlign w:val="center"/>
                </w:tcPr>
                <w:p>
                  <w:pPr>
                    <w:spacing w:line="400" w:lineRule="exact"/>
                    <w:jc w:val="center"/>
                    <w:rPr>
                      <w:rFonts w:ascii="Times New Roman" w:hAnsi="Times New Roman" w:eastAsia="宋体" w:cs="宋体"/>
                      <w:sz w:val="21"/>
                      <w:szCs w:val="21"/>
                    </w:rPr>
                  </w:pPr>
                  <w:r>
                    <w:rPr>
                      <w:rFonts w:ascii="Times New Roman" w:hAnsi="Times New Roman" w:eastAsia="宋体" w:cs="宋体"/>
                      <w:sz w:val="21"/>
                      <w:szCs w:val="21"/>
                    </w:rPr>
                    <w:t>单位</w:t>
                  </w:r>
                </w:p>
              </w:tc>
              <w:tc>
                <w:tcPr>
                  <w:tcW w:w="1527" w:type="dxa"/>
                  <w:vAlign w:val="center"/>
                </w:tcPr>
                <w:p>
                  <w:pPr>
                    <w:spacing w:line="400" w:lineRule="exact"/>
                    <w:jc w:val="center"/>
                    <w:rPr>
                      <w:rFonts w:ascii="Times New Roman" w:hAnsi="Times New Roman" w:eastAsia="宋体" w:cs="宋体"/>
                      <w:sz w:val="21"/>
                      <w:szCs w:val="21"/>
                    </w:rPr>
                  </w:pPr>
                  <w:r>
                    <w:rPr>
                      <w:rFonts w:ascii="Times New Roman" w:hAnsi="Times New Roman" w:eastAsia="宋体" w:cs="宋体"/>
                      <w:sz w:val="21"/>
                      <w:szCs w:val="21"/>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209" w:type="dxa"/>
                  <w:vMerge w:val="continue"/>
                  <w:vAlign w:val="center"/>
                </w:tcPr>
                <w:p>
                  <w:pPr>
                    <w:spacing w:line="400" w:lineRule="exact"/>
                    <w:jc w:val="center"/>
                    <w:rPr>
                      <w:rFonts w:ascii="Times New Roman" w:hAnsi="Times New Roman" w:eastAsia="宋体" w:cs="宋体"/>
                      <w:sz w:val="21"/>
                      <w:szCs w:val="21"/>
                    </w:rPr>
                  </w:pPr>
                </w:p>
              </w:tc>
              <w:tc>
                <w:tcPr>
                  <w:tcW w:w="2513" w:type="dxa"/>
                  <w:vMerge w:val="continue"/>
                  <w:vAlign w:val="center"/>
                </w:tcPr>
                <w:p>
                  <w:pPr>
                    <w:spacing w:line="400" w:lineRule="exact"/>
                    <w:jc w:val="center"/>
                    <w:rPr>
                      <w:rFonts w:ascii="Times New Roman" w:hAnsi="Times New Roman" w:eastAsia="宋体" w:cs="宋体"/>
                      <w:sz w:val="21"/>
                      <w:szCs w:val="21"/>
                    </w:rPr>
                  </w:pPr>
                </w:p>
              </w:tc>
              <w:tc>
                <w:tcPr>
                  <w:tcW w:w="1255" w:type="dxa"/>
                  <w:vMerge w:val="continue"/>
                  <w:vAlign w:val="center"/>
                </w:tcPr>
                <w:p>
                  <w:pPr>
                    <w:spacing w:line="400" w:lineRule="exact"/>
                    <w:jc w:val="center"/>
                    <w:rPr>
                      <w:rFonts w:ascii="Times New Roman" w:hAnsi="Times New Roman" w:eastAsia="宋体" w:cs="宋体"/>
                      <w:sz w:val="21"/>
                      <w:szCs w:val="21"/>
                    </w:rPr>
                  </w:pPr>
                </w:p>
              </w:tc>
              <w:tc>
                <w:tcPr>
                  <w:tcW w:w="1527" w:type="dxa"/>
                  <w:vAlign w:val="center"/>
                </w:tcPr>
                <w:p>
                  <w:pPr>
                    <w:spacing w:line="400" w:lineRule="exact"/>
                    <w:jc w:val="center"/>
                    <w:rPr>
                      <w:rFonts w:ascii="Times New Roman" w:hAnsi="Times New Roman" w:eastAsia="宋体" w:cs="宋体"/>
                      <w:sz w:val="21"/>
                      <w:szCs w:val="21"/>
                    </w:rPr>
                  </w:pPr>
                  <w:r>
                    <w:rPr>
                      <w:rFonts w:hint="eastAsia" w:ascii="Times New Roman" w:hAnsi="Times New Roman" w:eastAsia="宋体" w:cs="宋体"/>
                      <w:sz w:val="21"/>
                      <w:szCs w:val="21"/>
                    </w:rPr>
                    <w:t>企业总排放口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209" w:type="dxa"/>
                  <w:vMerge w:val="restart"/>
                  <w:vAlign w:val="center"/>
                </w:tcPr>
                <w:p>
                  <w:pPr>
                    <w:spacing w:line="400" w:lineRule="exact"/>
                    <w:jc w:val="center"/>
                    <w:rPr>
                      <w:rFonts w:hint="default" w:ascii="Times New Roman" w:hAnsi="Times New Roman" w:eastAsia="宋体" w:cs="宋体"/>
                      <w:sz w:val="21"/>
                      <w:szCs w:val="21"/>
                      <w:lang w:val="en-US"/>
                    </w:rPr>
                  </w:pPr>
                  <w:r>
                    <w:rPr>
                      <w:rFonts w:hint="eastAsia" w:ascii="Times New Roman" w:hAnsi="Times New Roman" w:eastAsia="宋体" w:cs="宋体"/>
                      <w:sz w:val="21"/>
                      <w:szCs w:val="21"/>
                      <w:lang w:val="en-US" w:eastAsia="zh-CN"/>
                    </w:rPr>
                    <w:t>《污水排入城镇下水道水质标准》（GB/T 31962-2015）表1 污水排入城镇下水道水质控制项目限值</w:t>
                  </w:r>
                  <w:r>
                    <w:rPr>
                      <w:rFonts w:hint="eastAsia" w:cs="宋体"/>
                      <w:sz w:val="21"/>
                      <w:szCs w:val="21"/>
                      <w:lang w:val="en-US" w:eastAsia="zh-CN"/>
                    </w:rPr>
                    <w:t>B级标准</w:t>
                  </w:r>
                </w:p>
              </w:tc>
              <w:tc>
                <w:tcPr>
                  <w:tcW w:w="2513" w:type="dxa"/>
                  <w:vAlign w:val="center"/>
                </w:tcPr>
                <w:p>
                  <w:pPr>
                    <w:spacing w:line="400" w:lineRule="exact"/>
                    <w:jc w:val="center"/>
                    <w:rPr>
                      <w:rFonts w:ascii="Times New Roman" w:hAnsi="Times New Roman" w:eastAsia="宋体" w:cs="宋体"/>
                      <w:sz w:val="21"/>
                      <w:szCs w:val="21"/>
                    </w:rPr>
                  </w:pPr>
                  <w:r>
                    <w:rPr>
                      <w:rFonts w:ascii="Times New Roman" w:hAnsi="Times New Roman" w:eastAsia="宋体" w:cs="宋体"/>
                      <w:sz w:val="21"/>
                      <w:szCs w:val="21"/>
                    </w:rPr>
                    <w:t>pH</w:t>
                  </w:r>
                </w:p>
              </w:tc>
              <w:tc>
                <w:tcPr>
                  <w:tcW w:w="1255" w:type="dxa"/>
                  <w:vAlign w:val="center"/>
                </w:tcPr>
                <w:p>
                  <w:pPr>
                    <w:spacing w:line="400" w:lineRule="exact"/>
                    <w:jc w:val="center"/>
                    <w:rPr>
                      <w:rFonts w:ascii="Times New Roman" w:hAnsi="Times New Roman" w:eastAsia="宋体" w:cs="宋体"/>
                      <w:sz w:val="21"/>
                      <w:szCs w:val="21"/>
                    </w:rPr>
                  </w:pPr>
                  <w:r>
                    <w:rPr>
                      <w:rFonts w:ascii="Times New Roman" w:hAnsi="Times New Roman" w:eastAsia="宋体" w:cs="宋体"/>
                      <w:sz w:val="21"/>
                      <w:szCs w:val="21"/>
                    </w:rPr>
                    <w:t>/</w:t>
                  </w:r>
                </w:p>
              </w:tc>
              <w:tc>
                <w:tcPr>
                  <w:tcW w:w="1527" w:type="dxa"/>
                  <w:vAlign w:val="center"/>
                </w:tcPr>
                <w:p>
                  <w:pPr>
                    <w:spacing w:line="400" w:lineRule="exact"/>
                    <w:jc w:val="center"/>
                    <w:rPr>
                      <w:rFonts w:hint="default" w:ascii="Times New Roman" w:hAnsi="Times New Roman" w:eastAsia="宋体" w:cs="宋体"/>
                      <w:sz w:val="21"/>
                      <w:szCs w:val="21"/>
                      <w:lang w:val="en-US" w:eastAsia="zh-CN"/>
                    </w:rPr>
                  </w:pPr>
                  <w:r>
                    <w:rPr>
                      <w:rFonts w:hint="eastAsia" w:cs="宋体"/>
                      <w:sz w:val="21"/>
                      <w:szCs w:val="21"/>
                      <w:lang w:val="en-US" w:eastAsia="zh-CN"/>
                    </w:rPr>
                    <w:t>6.5-9.5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209" w:type="dxa"/>
                  <w:vMerge w:val="continue"/>
                  <w:vAlign w:val="center"/>
                </w:tcPr>
                <w:p>
                  <w:pPr>
                    <w:spacing w:line="400" w:lineRule="exact"/>
                    <w:jc w:val="center"/>
                    <w:rPr>
                      <w:rFonts w:ascii="Times New Roman" w:hAnsi="Times New Roman" w:eastAsia="宋体" w:cs="宋体"/>
                      <w:sz w:val="21"/>
                      <w:szCs w:val="21"/>
                    </w:rPr>
                  </w:pPr>
                </w:p>
              </w:tc>
              <w:tc>
                <w:tcPr>
                  <w:tcW w:w="2513" w:type="dxa"/>
                  <w:vAlign w:val="center"/>
                </w:tcPr>
                <w:p>
                  <w:pPr>
                    <w:spacing w:line="400" w:lineRule="exact"/>
                    <w:jc w:val="center"/>
                    <w:rPr>
                      <w:rFonts w:ascii="Times New Roman" w:hAnsi="Times New Roman" w:eastAsia="宋体" w:cs="宋体"/>
                      <w:sz w:val="21"/>
                      <w:szCs w:val="21"/>
                    </w:rPr>
                  </w:pPr>
                  <w:r>
                    <w:rPr>
                      <w:rFonts w:ascii="Times New Roman" w:hAnsi="Times New Roman" w:eastAsia="宋体" w:cs="宋体"/>
                      <w:sz w:val="21"/>
                      <w:szCs w:val="21"/>
                    </w:rPr>
                    <w:t>COD</w:t>
                  </w:r>
                </w:p>
              </w:tc>
              <w:tc>
                <w:tcPr>
                  <w:tcW w:w="1255" w:type="dxa"/>
                  <w:vAlign w:val="center"/>
                </w:tcPr>
                <w:p>
                  <w:pPr>
                    <w:spacing w:line="400" w:lineRule="exact"/>
                    <w:jc w:val="center"/>
                    <w:rPr>
                      <w:rFonts w:ascii="Times New Roman" w:hAnsi="Times New Roman" w:eastAsia="宋体" w:cs="宋体"/>
                      <w:sz w:val="21"/>
                      <w:szCs w:val="21"/>
                    </w:rPr>
                  </w:pPr>
                  <w:r>
                    <w:rPr>
                      <w:rFonts w:ascii="Times New Roman" w:hAnsi="Times New Roman" w:eastAsia="宋体" w:cs="宋体"/>
                      <w:sz w:val="21"/>
                      <w:szCs w:val="21"/>
                    </w:rPr>
                    <w:t>mg/L</w:t>
                  </w:r>
                </w:p>
              </w:tc>
              <w:tc>
                <w:tcPr>
                  <w:tcW w:w="1527" w:type="dxa"/>
                  <w:vAlign w:val="center"/>
                </w:tcPr>
                <w:p>
                  <w:pPr>
                    <w:spacing w:line="400" w:lineRule="exact"/>
                    <w:jc w:val="center"/>
                    <w:rPr>
                      <w:rFonts w:ascii="Times New Roman" w:hAnsi="Times New Roman" w:eastAsia="宋体" w:cs="宋体"/>
                      <w:sz w:val="21"/>
                      <w:szCs w:val="21"/>
                    </w:rPr>
                  </w:pPr>
                  <w:r>
                    <w:rPr>
                      <w:rFonts w:hint="eastAsia" w:ascii="Times New Roman" w:hAnsi="Times New Roman" w:eastAsia="宋体" w:cs="宋体"/>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0" w:hRule="atLeast"/>
                <w:jc w:val="center"/>
              </w:trPr>
              <w:tc>
                <w:tcPr>
                  <w:tcW w:w="3209" w:type="dxa"/>
                  <w:vMerge w:val="continue"/>
                  <w:vAlign w:val="center"/>
                </w:tcPr>
                <w:p>
                  <w:pPr>
                    <w:spacing w:line="400" w:lineRule="exact"/>
                    <w:jc w:val="center"/>
                    <w:rPr>
                      <w:rFonts w:ascii="Times New Roman" w:hAnsi="Times New Roman" w:eastAsia="宋体" w:cs="宋体"/>
                      <w:sz w:val="21"/>
                      <w:szCs w:val="21"/>
                    </w:rPr>
                  </w:pPr>
                </w:p>
              </w:tc>
              <w:tc>
                <w:tcPr>
                  <w:tcW w:w="2513" w:type="dxa"/>
                  <w:vAlign w:val="center"/>
                </w:tcPr>
                <w:p>
                  <w:pPr>
                    <w:spacing w:line="400" w:lineRule="exact"/>
                    <w:jc w:val="center"/>
                    <w:rPr>
                      <w:rFonts w:ascii="Times New Roman" w:hAnsi="Times New Roman" w:eastAsia="宋体" w:cs="宋体"/>
                      <w:sz w:val="21"/>
                      <w:szCs w:val="21"/>
                    </w:rPr>
                  </w:pPr>
                  <w:r>
                    <w:rPr>
                      <w:rFonts w:ascii="Times New Roman" w:hAnsi="Times New Roman" w:eastAsia="宋体" w:cs="宋体"/>
                      <w:sz w:val="21"/>
                      <w:szCs w:val="21"/>
                    </w:rPr>
                    <w:t>SS</w:t>
                  </w:r>
                </w:p>
              </w:tc>
              <w:tc>
                <w:tcPr>
                  <w:tcW w:w="1255" w:type="dxa"/>
                  <w:vAlign w:val="center"/>
                </w:tcPr>
                <w:p>
                  <w:pPr>
                    <w:spacing w:line="400" w:lineRule="exact"/>
                    <w:jc w:val="center"/>
                    <w:rPr>
                      <w:rFonts w:ascii="Times New Roman" w:hAnsi="Times New Roman" w:eastAsia="宋体" w:cs="宋体"/>
                      <w:sz w:val="21"/>
                      <w:szCs w:val="21"/>
                    </w:rPr>
                  </w:pPr>
                  <w:r>
                    <w:rPr>
                      <w:rFonts w:ascii="Times New Roman" w:hAnsi="Times New Roman" w:eastAsia="宋体" w:cs="宋体"/>
                      <w:sz w:val="21"/>
                      <w:szCs w:val="21"/>
                    </w:rPr>
                    <w:t>mg/L</w:t>
                  </w:r>
                </w:p>
              </w:tc>
              <w:tc>
                <w:tcPr>
                  <w:tcW w:w="1527" w:type="dxa"/>
                  <w:vAlign w:val="center"/>
                </w:tcPr>
                <w:p>
                  <w:pPr>
                    <w:spacing w:line="400" w:lineRule="exact"/>
                    <w:jc w:val="center"/>
                    <w:rPr>
                      <w:rFonts w:ascii="Times New Roman" w:hAnsi="Times New Roman" w:eastAsia="宋体" w:cs="宋体"/>
                      <w:sz w:val="21"/>
                      <w:szCs w:val="21"/>
                    </w:rPr>
                  </w:pPr>
                  <w:r>
                    <w:rPr>
                      <w:rFonts w:hint="eastAsia" w:ascii="Times New Roman" w:hAnsi="Times New Roman" w:eastAsia="宋体" w:cs="宋体"/>
                      <w:sz w:val="21"/>
                      <w:szCs w:val="21"/>
                    </w:rPr>
                    <w:t>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209" w:type="dxa"/>
                  <w:vMerge w:val="continue"/>
                  <w:vAlign w:val="center"/>
                </w:tcPr>
                <w:p>
                  <w:pPr>
                    <w:spacing w:line="400" w:lineRule="exact"/>
                    <w:jc w:val="center"/>
                    <w:rPr>
                      <w:rFonts w:ascii="Times New Roman" w:hAnsi="Times New Roman" w:eastAsia="宋体" w:cs="宋体"/>
                      <w:sz w:val="21"/>
                      <w:szCs w:val="21"/>
                    </w:rPr>
                  </w:pPr>
                </w:p>
              </w:tc>
              <w:tc>
                <w:tcPr>
                  <w:tcW w:w="2513" w:type="dxa"/>
                  <w:vAlign w:val="center"/>
                </w:tcPr>
                <w:p>
                  <w:pPr>
                    <w:spacing w:line="400" w:lineRule="exact"/>
                    <w:jc w:val="center"/>
                    <w:rPr>
                      <w:rFonts w:ascii="Times New Roman" w:hAnsi="Times New Roman" w:eastAsia="宋体" w:cs="宋体"/>
                      <w:sz w:val="21"/>
                      <w:szCs w:val="21"/>
                    </w:rPr>
                  </w:pPr>
                  <w:r>
                    <w:rPr>
                      <w:rFonts w:hint="eastAsia" w:ascii="Times New Roman" w:hAnsi="Times New Roman" w:eastAsia="宋体" w:cs="宋体"/>
                      <w:sz w:val="21"/>
                      <w:szCs w:val="21"/>
                    </w:rPr>
                    <w:t>BOD</w:t>
                  </w:r>
                </w:p>
              </w:tc>
              <w:tc>
                <w:tcPr>
                  <w:tcW w:w="1255" w:type="dxa"/>
                  <w:vAlign w:val="center"/>
                </w:tcPr>
                <w:p>
                  <w:pPr>
                    <w:spacing w:line="400" w:lineRule="exact"/>
                    <w:jc w:val="center"/>
                    <w:rPr>
                      <w:rFonts w:ascii="Times New Roman" w:hAnsi="Times New Roman" w:eastAsia="宋体" w:cs="宋体"/>
                      <w:sz w:val="21"/>
                      <w:szCs w:val="21"/>
                    </w:rPr>
                  </w:pPr>
                  <w:r>
                    <w:rPr>
                      <w:rFonts w:ascii="Times New Roman" w:hAnsi="Times New Roman" w:eastAsia="宋体" w:cs="宋体"/>
                      <w:sz w:val="21"/>
                      <w:szCs w:val="21"/>
                    </w:rPr>
                    <w:t>mg/L</w:t>
                  </w:r>
                </w:p>
              </w:tc>
              <w:tc>
                <w:tcPr>
                  <w:tcW w:w="1527" w:type="dxa"/>
                  <w:vAlign w:val="center"/>
                </w:tcPr>
                <w:p>
                  <w:pPr>
                    <w:spacing w:line="400" w:lineRule="exact"/>
                    <w:jc w:val="center"/>
                    <w:rPr>
                      <w:rFonts w:hint="default" w:ascii="Times New Roman" w:hAnsi="Times New Roman" w:eastAsia="宋体" w:cs="宋体"/>
                      <w:sz w:val="21"/>
                      <w:szCs w:val="21"/>
                      <w:lang w:val="en-US" w:eastAsia="zh-CN"/>
                    </w:rPr>
                  </w:pPr>
                  <w:r>
                    <w:rPr>
                      <w:rFonts w:hint="eastAsia" w:cs="宋体"/>
                      <w:sz w:val="21"/>
                      <w:szCs w:val="21"/>
                      <w:lang w:val="en-US" w:eastAsia="zh-CN"/>
                    </w:rP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209" w:type="dxa"/>
                  <w:vMerge w:val="continue"/>
                  <w:vAlign w:val="center"/>
                </w:tcPr>
                <w:p>
                  <w:pPr>
                    <w:spacing w:line="400" w:lineRule="exact"/>
                    <w:jc w:val="center"/>
                    <w:rPr>
                      <w:rFonts w:ascii="Times New Roman" w:hAnsi="Times New Roman" w:eastAsia="宋体" w:cs="宋体"/>
                      <w:sz w:val="21"/>
                      <w:szCs w:val="21"/>
                    </w:rPr>
                  </w:pPr>
                </w:p>
              </w:tc>
              <w:tc>
                <w:tcPr>
                  <w:tcW w:w="2513" w:type="dxa"/>
                  <w:vAlign w:val="center"/>
                </w:tcPr>
                <w:p>
                  <w:pPr>
                    <w:spacing w:line="400" w:lineRule="exact"/>
                    <w:jc w:val="center"/>
                    <w:rPr>
                      <w:rFonts w:ascii="Times New Roman" w:hAnsi="Times New Roman" w:eastAsia="宋体" w:cs="宋体"/>
                      <w:sz w:val="21"/>
                      <w:szCs w:val="21"/>
                    </w:rPr>
                  </w:pPr>
                  <w:r>
                    <w:rPr>
                      <w:rFonts w:hint="eastAsia" w:ascii="Times New Roman" w:hAnsi="Times New Roman" w:eastAsia="宋体" w:cs="宋体"/>
                      <w:sz w:val="21"/>
                      <w:szCs w:val="21"/>
                    </w:rPr>
                    <w:t>氨氮</w:t>
                  </w:r>
                </w:p>
              </w:tc>
              <w:tc>
                <w:tcPr>
                  <w:tcW w:w="1255" w:type="dxa"/>
                  <w:vAlign w:val="center"/>
                </w:tcPr>
                <w:p>
                  <w:pPr>
                    <w:spacing w:line="400" w:lineRule="exact"/>
                    <w:jc w:val="center"/>
                    <w:rPr>
                      <w:rFonts w:ascii="Times New Roman" w:hAnsi="Times New Roman" w:eastAsia="宋体" w:cs="宋体"/>
                      <w:sz w:val="21"/>
                      <w:szCs w:val="21"/>
                    </w:rPr>
                  </w:pPr>
                  <w:r>
                    <w:rPr>
                      <w:rFonts w:ascii="Times New Roman" w:hAnsi="Times New Roman" w:eastAsia="宋体" w:cs="宋体"/>
                      <w:sz w:val="21"/>
                      <w:szCs w:val="21"/>
                    </w:rPr>
                    <w:t>mg/L</w:t>
                  </w:r>
                </w:p>
              </w:tc>
              <w:tc>
                <w:tcPr>
                  <w:tcW w:w="1527" w:type="dxa"/>
                  <w:vAlign w:val="center"/>
                </w:tcPr>
                <w:p>
                  <w:pPr>
                    <w:spacing w:line="400" w:lineRule="exact"/>
                    <w:jc w:val="center"/>
                    <w:rPr>
                      <w:rFonts w:hint="default" w:ascii="Times New Roman" w:hAnsi="Times New Roman" w:eastAsia="宋体" w:cs="宋体"/>
                      <w:sz w:val="21"/>
                      <w:szCs w:val="21"/>
                      <w:lang w:val="en-US" w:eastAsia="zh-CN"/>
                    </w:rPr>
                  </w:pPr>
                  <w:r>
                    <w:rPr>
                      <w:rFonts w:hint="eastAsia" w:cs="宋体"/>
                      <w:sz w:val="21"/>
                      <w:szCs w:val="21"/>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209" w:type="dxa"/>
                  <w:vMerge w:val="continue"/>
                  <w:vAlign w:val="center"/>
                </w:tcPr>
                <w:p>
                  <w:pPr>
                    <w:spacing w:line="400" w:lineRule="exact"/>
                    <w:jc w:val="center"/>
                    <w:rPr>
                      <w:rFonts w:ascii="Times New Roman" w:hAnsi="Times New Roman" w:eastAsia="宋体" w:cs="宋体"/>
                      <w:sz w:val="21"/>
                      <w:szCs w:val="21"/>
                    </w:rPr>
                  </w:pPr>
                </w:p>
              </w:tc>
              <w:tc>
                <w:tcPr>
                  <w:tcW w:w="2513" w:type="dxa"/>
                  <w:vAlign w:val="center"/>
                </w:tcPr>
                <w:p>
                  <w:pPr>
                    <w:spacing w:line="400" w:lineRule="exact"/>
                    <w:jc w:val="center"/>
                    <w:rPr>
                      <w:rFonts w:hint="eastAsia" w:ascii="Times New Roman" w:hAnsi="Times New Roman" w:eastAsia="宋体" w:cs="宋体"/>
                      <w:sz w:val="21"/>
                      <w:szCs w:val="21"/>
                    </w:rPr>
                  </w:pPr>
                  <w:r>
                    <w:rPr>
                      <w:rFonts w:hint="eastAsia" w:cs="宋体"/>
                      <w:sz w:val="21"/>
                      <w:szCs w:val="21"/>
                      <w:lang w:val="en-US" w:eastAsia="zh-CN"/>
                    </w:rPr>
                    <w:t>动植物油</w:t>
                  </w:r>
                </w:p>
              </w:tc>
              <w:tc>
                <w:tcPr>
                  <w:tcW w:w="1255" w:type="dxa"/>
                  <w:vAlign w:val="center"/>
                </w:tcPr>
                <w:p>
                  <w:pPr>
                    <w:spacing w:line="400" w:lineRule="exact"/>
                    <w:jc w:val="center"/>
                    <w:rPr>
                      <w:rFonts w:ascii="Times New Roman" w:hAnsi="Times New Roman" w:eastAsia="宋体" w:cs="宋体"/>
                      <w:sz w:val="21"/>
                      <w:szCs w:val="21"/>
                    </w:rPr>
                  </w:pPr>
                  <w:r>
                    <w:rPr>
                      <w:rFonts w:ascii="Times New Roman" w:hAnsi="Times New Roman" w:eastAsia="宋体" w:cs="宋体"/>
                      <w:sz w:val="21"/>
                      <w:szCs w:val="21"/>
                    </w:rPr>
                    <w:t>mg/L</w:t>
                  </w:r>
                </w:p>
              </w:tc>
              <w:tc>
                <w:tcPr>
                  <w:tcW w:w="1527" w:type="dxa"/>
                  <w:vAlign w:val="center"/>
                </w:tcPr>
                <w:p>
                  <w:pPr>
                    <w:spacing w:line="400" w:lineRule="exact"/>
                    <w:jc w:val="center"/>
                    <w:rPr>
                      <w:rFonts w:hint="default" w:ascii="Times New Roman" w:hAnsi="Times New Roman" w:eastAsia="宋体" w:cs="宋体"/>
                      <w:sz w:val="21"/>
                      <w:szCs w:val="21"/>
                      <w:lang w:val="en-US" w:eastAsia="zh-CN"/>
                    </w:rPr>
                  </w:pPr>
                  <w:r>
                    <w:rPr>
                      <w:rFonts w:hint="eastAsia" w:cs="宋体"/>
                      <w:sz w:val="21"/>
                      <w:szCs w:val="21"/>
                      <w:lang w:val="en-US" w:eastAsia="zh-CN"/>
                    </w:rPr>
                    <w:t>100</w:t>
                  </w:r>
                </w:p>
              </w:tc>
            </w:tr>
          </w:tbl>
          <w:p>
            <w:pPr>
              <w:overflowPunct w:val="0"/>
              <w:autoSpaceDE w:val="0"/>
              <w:autoSpaceDN w:val="0"/>
              <w:adjustRightInd w:val="0"/>
              <w:snapToGrid w:val="0"/>
              <w:spacing w:line="360" w:lineRule="auto"/>
              <w:ind w:firstLine="480" w:firstLineChars="200"/>
              <w:jc w:val="both"/>
              <w:rPr>
                <w:rFonts w:ascii="Times New Roman" w:hAnsi="Times New Roman" w:eastAsia="宋体" w:cs="宋体"/>
              </w:rPr>
            </w:pPr>
            <w:r>
              <w:rPr>
                <w:rFonts w:hint="eastAsia" w:ascii="Times New Roman" w:hAnsi="Times New Roman" w:eastAsia="宋体" w:cs="宋体"/>
              </w:rPr>
              <w:t>（4）固体废物排放执行标准</w:t>
            </w:r>
          </w:p>
          <w:p>
            <w:pPr>
              <w:overflowPunct w:val="0"/>
              <w:autoSpaceDE w:val="0"/>
              <w:autoSpaceDN w:val="0"/>
              <w:adjustRightInd w:val="0"/>
              <w:snapToGrid w:val="0"/>
              <w:spacing w:line="360" w:lineRule="auto"/>
              <w:ind w:firstLine="480" w:firstLineChars="200"/>
              <w:jc w:val="both"/>
              <w:rPr>
                <w:rFonts w:hint="eastAsia" w:ascii="Times New Roman" w:hAnsi="Times New Roman" w:eastAsia="宋体" w:cs="宋体"/>
                <w:snapToGrid w:val="0"/>
                <w:sz w:val="24"/>
                <w:szCs w:val="21"/>
                <w:lang w:val="en-US" w:eastAsia="zh-CN" w:bidi="ar-SA"/>
              </w:rPr>
            </w:pPr>
            <w:r>
              <w:rPr>
                <w:rFonts w:ascii="Times New Roman" w:hAnsi="Times New Roman" w:eastAsia="宋体" w:cs="宋体"/>
              </w:rPr>
              <w:t>一般固体废物执行《一般工业固体废物贮存和填埋场污染控制标准》（GB18599-2020）；危险废物在厂区内的贮存执行《危险废物贮存污染控制标准》（GB18597-20</w:t>
            </w:r>
            <w:r>
              <w:rPr>
                <w:rFonts w:hint="eastAsia" w:cs="宋体"/>
                <w:lang w:val="en-US" w:eastAsia="zh-CN"/>
              </w:rPr>
              <w:t>23</w:t>
            </w:r>
            <w:r>
              <w:rPr>
                <w:rFonts w:ascii="Times New Roman" w:hAnsi="Times New Roman"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0" w:hRule="atLeast"/>
          <w:jc w:val="center"/>
        </w:trPr>
        <w:tc>
          <w:tcPr>
            <w:tcW w:w="426" w:type="dxa"/>
            <w:vAlign w:val="center"/>
          </w:tcPr>
          <w:p>
            <w:pPr>
              <w:overflowPunct w:val="0"/>
              <w:autoSpaceDE w:val="0"/>
              <w:autoSpaceDN w:val="0"/>
              <w:adjustRightInd w:val="0"/>
              <w:snapToGrid w:val="0"/>
              <w:spacing w:line="500" w:lineRule="exact"/>
              <w:jc w:val="center"/>
              <w:rPr>
                <w:rFonts w:ascii="Times New Roman" w:hAnsi="Times New Roman" w:eastAsia="宋体" w:cs="宋体"/>
              </w:rPr>
            </w:pPr>
            <w:r>
              <w:rPr>
                <w:rFonts w:hint="eastAsia" w:ascii="Times New Roman" w:hAnsi="Times New Roman" w:eastAsia="宋体" w:cs="宋体"/>
              </w:rPr>
              <w:t>总量控制标准</w:t>
            </w:r>
          </w:p>
        </w:tc>
        <w:tc>
          <w:tcPr>
            <w:tcW w:w="8645" w:type="dxa"/>
          </w:tcPr>
          <w:p>
            <w:pPr>
              <w:overflowPunct w:val="0"/>
              <w:autoSpaceDE w:val="0"/>
              <w:autoSpaceDN w:val="0"/>
              <w:adjustRightInd w:val="0"/>
              <w:snapToGrid w:val="0"/>
              <w:spacing w:line="560" w:lineRule="exact"/>
              <w:ind w:firstLine="562" w:firstLineChars="200"/>
              <w:jc w:val="left"/>
              <w:outlineLvl w:val="1"/>
              <w:rPr>
                <w:rFonts w:ascii="Times New Roman" w:hAnsi="Times New Roman" w:eastAsia="宋体" w:cs="黑体"/>
                <w:b/>
                <w:color w:val="000000"/>
                <w:sz w:val="28"/>
                <w:szCs w:val="30"/>
              </w:rPr>
            </w:pPr>
            <w:r>
              <w:rPr>
                <w:rFonts w:ascii="Times New Roman" w:hAnsi="Times New Roman" w:eastAsia="宋体" w:cs="黑体"/>
                <w:b/>
                <w:sz w:val="28"/>
                <w:szCs w:val="30"/>
              </w:rPr>
              <w:t>3</w:t>
            </w:r>
            <w:r>
              <w:rPr>
                <w:rFonts w:hint="eastAsia" w:ascii="Times New Roman" w:hAnsi="Times New Roman" w:eastAsia="宋体" w:cs="黑体"/>
                <w:b/>
                <w:sz w:val="28"/>
                <w:szCs w:val="30"/>
                <w:lang w:eastAsia="zh-Hans"/>
              </w:rPr>
              <w:t>.</w:t>
            </w:r>
            <w:r>
              <w:rPr>
                <w:rFonts w:hint="eastAsia" w:ascii="Times New Roman" w:hAnsi="Times New Roman" w:eastAsia="宋体" w:cs="黑体"/>
                <w:b/>
                <w:sz w:val="28"/>
                <w:szCs w:val="30"/>
              </w:rPr>
              <w:t>9总量控制标准</w:t>
            </w:r>
          </w:p>
          <w:p>
            <w:pPr>
              <w:overflowPunct w:val="0"/>
              <w:autoSpaceDE w:val="0"/>
              <w:autoSpaceDN w:val="0"/>
              <w:adjustRightInd w:val="0"/>
              <w:snapToGrid w:val="0"/>
              <w:spacing w:line="500" w:lineRule="exact"/>
              <w:ind w:firstLine="480" w:firstLineChars="200"/>
              <w:jc w:val="left"/>
              <w:rPr>
                <w:rFonts w:ascii="Times New Roman" w:hAnsi="Times New Roman" w:eastAsia="宋体" w:cs="Times New Roman"/>
              </w:rPr>
            </w:pPr>
            <w:r>
              <w:rPr>
                <w:rFonts w:ascii="Times New Roman" w:hAnsi="Times New Roman" w:eastAsia="宋体" w:cs="Times New Roman"/>
              </w:rPr>
              <w:t>根据自治区党委自治区人民政府印发的</w:t>
            </w:r>
            <w:r>
              <w:rPr>
                <w:rFonts w:hint="eastAsia" w:ascii="Times New Roman" w:hAnsi="Times New Roman" w:eastAsia="宋体" w:cs="Times New Roman"/>
              </w:rPr>
              <w:t>《新疆生态环境保护“十四五”规划》</w:t>
            </w:r>
            <w:r>
              <w:rPr>
                <w:rFonts w:ascii="Times New Roman" w:hAnsi="Times New Roman" w:eastAsia="宋体" w:cs="Times New Roman"/>
              </w:rPr>
              <w:t>，</w:t>
            </w:r>
            <w:r>
              <w:rPr>
                <w:rFonts w:hint="eastAsia" w:ascii="Times New Roman" w:hAnsi="Times New Roman" w:eastAsia="宋体" w:cs="Times New Roman"/>
              </w:rPr>
              <w:t>新疆“</w:t>
            </w:r>
            <w:r>
              <w:rPr>
                <w:rFonts w:ascii="Times New Roman" w:hAnsi="Times New Roman" w:eastAsia="宋体" w:cs="Times New Roman"/>
              </w:rPr>
              <w:t>十四五</w:t>
            </w:r>
            <w:r>
              <w:rPr>
                <w:rFonts w:hint="eastAsia" w:ascii="Times New Roman" w:hAnsi="Times New Roman" w:eastAsia="宋体" w:cs="Times New Roman"/>
              </w:rPr>
              <w:t>”</w:t>
            </w:r>
            <w:r>
              <w:rPr>
                <w:rFonts w:ascii="Times New Roman" w:hAnsi="Times New Roman" w:eastAsia="宋体" w:cs="Times New Roman"/>
              </w:rPr>
              <w:t>生态环境保护规划</w:t>
            </w:r>
            <w:r>
              <w:rPr>
                <w:rFonts w:hint="eastAsia" w:ascii="Times New Roman" w:hAnsi="Times New Roman" w:eastAsia="宋体" w:cs="Times New Roman"/>
              </w:rPr>
              <w:t>总量控制指标为</w:t>
            </w:r>
            <w:r>
              <w:rPr>
                <w:rFonts w:ascii="Times New Roman" w:hAnsi="Times New Roman" w:eastAsia="宋体" w:cs="Times New Roman"/>
              </w:rPr>
              <w:t>COD、氨氮、氮氧化物和VOCs。</w:t>
            </w:r>
          </w:p>
          <w:p>
            <w:pPr>
              <w:overflowPunct w:val="0"/>
              <w:autoSpaceDE w:val="0"/>
              <w:autoSpaceDN w:val="0"/>
              <w:adjustRightInd w:val="0"/>
              <w:snapToGrid w:val="0"/>
              <w:spacing w:before="0" w:after="0" w:line="500" w:lineRule="exact"/>
              <w:ind w:left="0" w:right="0" w:firstLine="480" w:firstLineChars="200"/>
              <w:jc w:val="left"/>
              <w:rPr>
                <w:rFonts w:hint="eastAsia" w:ascii="Times New Roman" w:hAnsi="Times New Roman" w:eastAsia="宋体" w:cs="Times New Roman"/>
                <w:color w:val="000000"/>
                <w:kern w:val="2"/>
                <w:sz w:val="24"/>
                <w:szCs w:val="24"/>
                <w:highlight w:val="none"/>
                <w:lang w:val="en-US" w:eastAsia="zh-CN" w:bidi="ar-SA"/>
              </w:rPr>
            </w:pPr>
            <w:r>
              <w:rPr>
                <w:rFonts w:ascii="Times New Roman" w:hAnsi="Times New Roman" w:eastAsia="宋体" w:cs="Times New Roman"/>
                <w:kern w:val="2"/>
                <w:szCs w:val="24"/>
              </w:rPr>
              <w:t>本项目</w:t>
            </w:r>
            <w:r>
              <w:rPr>
                <w:rFonts w:hint="eastAsia" w:cs="Times New Roman"/>
                <w:kern w:val="2"/>
                <w:szCs w:val="24"/>
                <w:lang w:val="en-US" w:eastAsia="zh-CN"/>
              </w:rPr>
              <w:t>生产废水不外排，</w:t>
            </w:r>
            <w:r>
              <w:rPr>
                <w:rFonts w:hint="eastAsia" w:ascii="Times New Roman" w:hAnsi="Times New Roman" w:eastAsia="宋体" w:cs="Times New Roman"/>
                <w:kern w:val="2"/>
                <w:szCs w:val="24"/>
              </w:rPr>
              <w:t>生活污水排入</w:t>
            </w:r>
            <w:r>
              <w:rPr>
                <w:rFonts w:hint="eastAsia" w:ascii="Times New Roman" w:hAnsi="Times New Roman" w:eastAsia="宋体" w:cs="Times New Roman"/>
                <w:kern w:val="2"/>
                <w:szCs w:val="24"/>
                <w:lang w:val="en-US" w:eastAsia="zh-CN"/>
              </w:rPr>
              <w:t>污水处理厂</w:t>
            </w:r>
            <w:r>
              <w:rPr>
                <w:rFonts w:hint="eastAsia" w:ascii="Times New Roman" w:hAnsi="Times New Roman" w:eastAsia="宋体" w:cs="Times New Roman"/>
                <w:kern w:val="2"/>
                <w:szCs w:val="24"/>
              </w:rPr>
              <w:t>，由污水处理厂进行调控</w:t>
            </w:r>
            <w:r>
              <w:rPr>
                <w:rFonts w:ascii="Times New Roman" w:hAnsi="Times New Roman" w:eastAsia="宋体" w:cs="Times New Roman"/>
                <w:kern w:val="2"/>
                <w:szCs w:val="24"/>
              </w:rPr>
              <w:t>。</w:t>
            </w:r>
            <w:r>
              <w:rPr>
                <w:rFonts w:ascii="Times New Roman" w:hAnsi="Times New Roman" w:eastAsia="宋体" w:cs="Times New Roman"/>
              </w:rPr>
              <w:t>根据本项目总量因子排放特点，</w:t>
            </w:r>
            <w:r>
              <w:rPr>
                <w:rFonts w:hint="eastAsia" w:ascii="Times New Roman" w:hAnsi="Times New Roman" w:eastAsia="宋体" w:cs="Times New Roman"/>
              </w:rPr>
              <w:t>本项目可不申请水污染物总量指标</w:t>
            </w:r>
            <w:r>
              <w:rPr>
                <w:rFonts w:hint="eastAsia" w:ascii="Times New Roman" w:hAnsi="Times New Roman" w:eastAsia="宋体" w:cs="Times New Roman"/>
                <w:kern w:val="2"/>
                <w:szCs w:val="24"/>
              </w:rPr>
              <w:t>。根据《</w:t>
            </w:r>
            <w:r>
              <w:rPr>
                <w:rFonts w:hint="eastAsia" w:ascii="Times New Roman" w:hAnsi="Times New Roman" w:eastAsia="宋体" w:cs="Times New Roman"/>
              </w:rPr>
              <w:t>新疆生态环境保护“十四五”规划</w:t>
            </w:r>
            <w:r>
              <w:rPr>
                <w:rFonts w:hint="eastAsia" w:ascii="Times New Roman" w:hAnsi="Times New Roman" w:eastAsia="宋体" w:cs="Times New Roman"/>
                <w:kern w:val="2"/>
                <w:szCs w:val="24"/>
              </w:rPr>
              <w:t>》，</w:t>
            </w:r>
            <w:r>
              <w:rPr>
                <w:rFonts w:hint="eastAsia" w:ascii="Times New Roman" w:hAnsi="Times New Roman" w:eastAsia="宋体" w:cs="Times New Roman"/>
                <w:color w:val="auto"/>
                <w:kern w:val="2"/>
                <w:sz w:val="24"/>
                <w:szCs w:val="24"/>
                <w:highlight w:val="none"/>
                <w:vertAlign w:val="baseline"/>
                <w:lang w:val="en-US" w:eastAsia="zh-CN" w:bidi="ar-SA"/>
              </w:rPr>
              <w:t>根据《自治区打赢蓝天保卫战三年行动计划（2018-2020年）》文件指出：“‘乌-昌-石’区域和‘奎-独-乌’区域所有新（改、扩）建设项目应执行最严格的大气污染物排放标准；PM</w:t>
            </w:r>
            <w:r>
              <w:rPr>
                <w:rFonts w:hint="eastAsia" w:ascii="Times New Roman" w:hAnsi="Times New Roman" w:eastAsia="宋体" w:cs="Times New Roman"/>
                <w:color w:val="auto"/>
                <w:kern w:val="2"/>
                <w:sz w:val="24"/>
                <w:szCs w:val="24"/>
                <w:highlight w:val="none"/>
                <w:vertAlign w:val="subscript"/>
                <w:lang w:val="en-US" w:eastAsia="zh-CN" w:bidi="ar-SA"/>
              </w:rPr>
              <w:t>2.5</w:t>
            </w:r>
            <w:r>
              <w:rPr>
                <w:rFonts w:hint="eastAsia" w:ascii="Times New Roman" w:hAnsi="Times New Roman" w:eastAsia="宋体" w:cs="Times New Roman"/>
                <w:color w:val="auto"/>
                <w:kern w:val="2"/>
                <w:sz w:val="24"/>
                <w:szCs w:val="24"/>
                <w:highlight w:val="none"/>
                <w:vertAlign w:val="baseline"/>
                <w:lang w:val="en-US" w:eastAsia="zh-CN" w:bidi="ar-SA"/>
              </w:rPr>
              <w:t>年平均浓度不达标的城市禁止新建（改、扩）建未落实SO</w:t>
            </w:r>
            <w:r>
              <w:rPr>
                <w:rFonts w:hint="eastAsia" w:ascii="Times New Roman" w:hAnsi="Times New Roman" w:eastAsia="宋体" w:cs="Times New Roman"/>
                <w:color w:val="auto"/>
                <w:kern w:val="2"/>
                <w:sz w:val="24"/>
                <w:szCs w:val="24"/>
                <w:highlight w:val="none"/>
                <w:vertAlign w:val="subscript"/>
                <w:lang w:val="en-US" w:eastAsia="zh-CN" w:bidi="ar-SA"/>
              </w:rPr>
              <w:t>2</w:t>
            </w:r>
            <w:r>
              <w:rPr>
                <w:rFonts w:hint="eastAsia" w:ascii="Times New Roman" w:hAnsi="Times New Roman" w:eastAsia="宋体" w:cs="Times New Roman"/>
                <w:color w:val="auto"/>
                <w:kern w:val="2"/>
                <w:sz w:val="24"/>
                <w:szCs w:val="24"/>
                <w:highlight w:val="none"/>
                <w:vertAlign w:val="baseline"/>
                <w:lang w:val="en-US" w:eastAsia="zh-CN" w:bidi="ar-SA"/>
              </w:rPr>
              <w:t>、NOx、烟粉尘、挥发性有机物（VOCs）等四项大气污染物总量指标倍量替代的项目”。因此</w:t>
            </w:r>
            <w:r>
              <w:rPr>
                <w:rFonts w:hint="eastAsia" w:ascii="Times New Roman" w:hAnsi="Times New Roman" w:eastAsia="宋体" w:cs="Times New Roman"/>
                <w:color w:val="auto"/>
                <w:kern w:val="2"/>
                <w:sz w:val="24"/>
                <w:szCs w:val="24"/>
                <w:highlight w:val="none"/>
                <w:lang w:val="en-US" w:eastAsia="zh-CN" w:bidi="ar-SA"/>
              </w:rPr>
              <w:t>本项目大气污染物总量申请</w:t>
            </w:r>
            <w:r>
              <w:rPr>
                <w:rFonts w:hint="eastAsia" w:cs="Times New Roman"/>
                <w:highlight w:val="none"/>
                <w:lang w:val="en-US" w:eastAsia="zh-CN"/>
              </w:rPr>
              <w:t>VOCs1.40t/a，倍量替代后VOCs2.80t/a</w:t>
            </w:r>
            <w:r>
              <w:rPr>
                <w:rFonts w:hint="eastAsia" w:ascii="Times New Roman" w:hAnsi="Times New Roman" w:eastAsia="宋体" w:cs="Times New Roman"/>
                <w:color w:val="000000"/>
                <w:kern w:val="2"/>
                <w:sz w:val="24"/>
                <w:szCs w:val="24"/>
                <w:highlight w:val="none"/>
                <w:lang w:val="en-US" w:eastAsia="zh-CN" w:bidi="ar-SA"/>
              </w:rPr>
              <w:t>。</w:t>
            </w:r>
          </w:p>
          <w:p>
            <w:pPr>
              <w:overflowPunct w:val="0"/>
              <w:autoSpaceDE w:val="0"/>
              <w:autoSpaceDN w:val="0"/>
              <w:adjustRightInd w:val="0"/>
              <w:snapToGrid w:val="0"/>
              <w:spacing w:before="0" w:after="0" w:line="500" w:lineRule="exact"/>
              <w:ind w:right="0"/>
              <w:jc w:val="left"/>
              <w:rPr>
                <w:rFonts w:hint="eastAsia" w:ascii="Times New Roman" w:hAnsi="Times New Roman" w:eastAsia="宋体" w:cs="Times New Roman"/>
                <w:color w:val="000000"/>
                <w:kern w:val="2"/>
                <w:sz w:val="24"/>
                <w:szCs w:val="24"/>
                <w:highlight w:val="none"/>
                <w:lang w:val="en-US" w:eastAsia="zh-CN" w:bidi="ar-SA"/>
              </w:rPr>
            </w:pPr>
          </w:p>
          <w:p>
            <w:pPr>
              <w:overflowPunct w:val="0"/>
              <w:autoSpaceDE w:val="0"/>
              <w:autoSpaceDN w:val="0"/>
              <w:adjustRightInd w:val="0"/>
              <w:snapToGrid w:val="0"/>
              <w:spacing w:line="360" w:lineRule="exact"/>
              <w:rPr>
                <w:rFonts w:ascii="Times New Roman" w:hAnsi="Times New Roman" w:eastAsia="宋体" w:cs="宋体"/>
                <w:snapToGrid w:val="0"/>
                <w:szCs w:val="21"/>
              </w:rPr>
            </w:pPr>
          </w:p>
        </w:tc>
      </w:tr>
    </w:tbl>
    <w:p>
      <w:pPr>
        <w:rPr>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val="0"/>
        <w:numPr>
          <w:ilvl w:val="0"/>
          <w:numId w:val="6"/>
        </w:numPr>
        <w:overflowPunct w:val="0"/>
        <w:autoSpaceDE w:val="0"/>
        <w:autoSpaceDN w:val="0"/>
        <w:bidi w:val="0"/>
        <w:adjustRightInd w:val="0"/>
        <w:snapToGrid w:val="0"/>
        <w:spacing w:before="0" w:after="0" w:line="560" w:lineRule="exact"/>
        <w:ind w:left="0" w:right="0" w:firstLine="0" w:firstLineChars="0"/>
        <w:jc w:val="center"/>
        <w:outlineLvl w:val="0"/>
        <w:rPr>
          <w:rFonts w:ascii="Times New Roman" w:hAnsi="Times New Roman" w:eastAsia="宋体" w:cs="宋体"/>
          <w:b/>
          <w:kern w:val="44"/>
          <w:sz w:val="28"/>
          <w:szCs w:val="22"/>
          <w:lang w:val="en-US" w:eastAsia="zh-CN" w:bidi="ar-SA"/>
        </w:rPr>
      </w:pPr>
      <w:bookmarkStart w:id="72" w:name="_Toc19166"/>
      <w:bookmarkStart w:id="73" w:name="_Toc23430"/>
      <w:bookmarkStart w:id="74" w:name="_Toc11198"/>
      <w:bookmarkStart w:id="75" w:name="_Toc16786"/>
      <w:bookmarkStart w:id="76" w:name="_Toc30971"/>
      <w:bookmarkStart w:id="77" w:name="_Toc23383"/>
      <w:r>
        <w:rPr>
          <w:rFonts w:hint="eastAsia" w:ascii="Times New Roman" w:hAnsi="Times New Roman" w:eastAsia="宋体" w:cs="宋体"/>
          <w:b/>
          <w:kern w:val="44"/>
          <w:sz w:val="28"/>
          <w:szCs w:val="22"/>
          <w:lang w:val="en-US" w:eastAsia="zh-CN" w:bidi="ar-SA"/>
        </w:rPr>
        <w:t>主要环境影响和保护措施</w:t>
      </w:r>
      <w:bookmarkEnd w:id="72"/>
      <w:bookmarkEnd w:id="73"/>
      <w:bookmarkEnd w:id="74"/>
      <w:bookmarkEnd w:id="75"/>
      <w:bookmarkEnd w:id="76"/>
      <w:bookmarkEnd w:id="77"/>
    </w:p>
    <w:tbl>
      <w:tblPr>
        <w:tblStyle w:val="1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426" w:type="dxa"/>
            <w:noWrap w:val="0"/>
            <w:tcMar>
              <w:left w:w="28" w:type="dxa"/>
              <w:right w:w="28" w:type="dxa"/>
            </w:tcMar>
            <w:vAlign w:val="center"/>
          </w:tcPr>
          <w:p>
            <w:pPr>
              <w:widowControl/>
              <w:overflowPunct w:val="0"/>
              <w:autoSpaceDE w:val="0"/>
              <w:autoSpaceDN w:val="0"/>
              <w:adjustRightInd w:val="0"/>
              <w:snapToGrid w:val="0"/>
              <w:spacing w:before="0" w:beforeAutospacing="0" w:after="0" w:afterAutospacing="0" w:line="360" w:lineRule="auto"/>
              <w:ind w:left="0" w:right="0" w:firstLine="480" w:firstLineChars="200"/>
              <w:jc w:val="center"/>
              <w:rPr>
                <w:rFonts w:hint="default" w:ascii="Times New Roman" w:hAnsi="Times New Roman" w:eastAsia="宋体" w:cs="宋体"/>
                <w:color w:val="000000"/>
                <w:kern w:val="2"/>
                <w:sz w:val="24"/>
                <w:szCs w:val="24"/>
                <w:highlight w:val="none"/>
                <w:lang w:val="en-US" w:eastAsia="zh-CN" w:bidi="ar-SA"/>
              </w:rPr>
            </w:pPr>
            <w:r>
              <w:rPr>
                <w:rFonts w:hint="eastAsia" w:ascii="Times New Roman" w:hAnsi="Times New Roman" w:eastAsia="宋体" w:cs="宋体"/>
                <w:color w:val="000000"/>
                <w:kern w:val="2"/>
                <w:sz w:val="24"/>
                <w:szCs w:val="24"/>
                <w:highlight w:val="none"/>
                <w:lang w:val="en-US" w:eastAsia="zh-CN" w:bidi="ar-SA"/>
              </w:rPr>
              <w:t>施施工期环保措施</w:t>
            </w:r>
          </w:p>
          <w:p>
            <w:pPr>
              <w:widowControl/>
              <w:overflowPunct w:val="0"/>
              <w:autoSpaceDE w:val="0"/>
              <w:autoSpaceDN w:val="0"/>
              <w:adjustRightInd w:val="0"/>
              <w:snapToGrid w:val="0"/>
              <w:spacing w:before="0" w:beforeAutospacing="0" w:after="0" w:afterAutospacing="0" w:line="360" w:lineRule="auto"/>
              <w:ind w:left="0" w:right="0" w:firstLine="480" w:firstLineChars="200"/>
              <w:jc w:val="center"/>
              <w:rPr>
                <w:rFonts w:hint="eastAsia" w:ascii="Times New Roman" w:hAnsi="Times New Roman" w:eastAsia="宋体" w:cs="宋体"/>
                <w:bCs/>
                <w:color w:val="000000"/>
                <w:kern w:val="2"/>
                <w:sz w:val="21"/>
                <w:szCs w:val="21"/>
                <w:highlight w:val="none"/>
                <w:lang w:val="en-US" w:eastAsia="zh-CN" w:bidi="ar-SA"/>
              </w:rPr>
            </w:pPr>
            <w:r>
              <w:rPr>
                <w:rFonts w:hint="eastAsia" w:ascii="Times New Roman" w:hAnsi="Times New Roman" w:eastAsia="宋体" w:cs="宋体"/>
                <w:color w:val="000000"/>
                <w:kern w:val="2"/>
                <w:sz w:val="24"/>
                <w:szCs w:val="24"/>
                <w:highlight w:val="none"/>
                <w:lang w:val="en-US" w:eastAsia="zh-CN" w:bidi="ar-SA"/>
              </w:rPr>
              <w:t>施</w:t>
            </w:r>
          </w:p>
        </w:tc>
        <w:tc>
          <w:tcPr>
            <w:tcW w:w="8645" w:type="dxa"/>
            <w:noWrap w:val="0"/>
            <w:vAlign w:val="center"/>
          </w:tcPr>
          <w:p>
            <w:pPr>
              <w:widowControl w:val="0"/>
              <w:overflowPunct w:val="0"/>
              <w:autoSpaceDE w:val="0"/>
              <w:autoSpaceDN w:val="0"/>
              <w:bidi w:val="0"/>
              <w:adjustRightInd w:val="0"/>
              <w:snapToGrid w:val="0"/>
              <w:spacing w:before="0" w:after="0" w:line="360" w:lineRule="auto"/>
              <w:ind w:left="0" w:right="0" w:firstLine="562" w:firstLineChars="200"/>
              <w:jc w:val="left"/>
              <w:outlineLvl w:val="1"/>
              <w:rPr>
                <w:rFonts w:ascii="Times New Roman" w:hAnsi="Times New Roman" w:eastAsia="宋体" w:cs="黑体"/>
                <w:b/>
                <w:sz w:val="28"/>
                <w:szCs w:val="30"/>
                <w:lang w:val="en-US" w:eastAsia="zh-CN" w:bidi="ar-SA"/>
              </w:rPr>
            </w:pPr>
            <w:bookmarkStart w:id="78" w:name="_Toc231294733"/>
            <w:bookmarkStart w:id="79" w:name="_Toc384391623"/>
            <w:bookmarkStart w:id="80" w:name="_Toc231294631"/>
            <w:bookmarkStart w:id="81" w:name="_Toc385251976"/>
            <w:bookmarkStart w:id="82" w:name="_Toc384740754"/>
            <w:bookmarkStart w:id="83" w:name="_Toc271467869"/>
            <w:r>
              <w:rPr>
                <w:rFonts w:hint="eastAsia" w:ascii="Times New Roman" w:hAnsi="Times New Roman" w:eastAsia="宋体" w:cs="黑体"/>
                <w:b/>
                <w:sz w:val="28"/>
                <w:szCs w:val="30"/>
                <w:lang w:val="en-US" w:eastAsia="zh-CN" w:bidi="ar-SA"/>
              </w:rPr>
              <w:t>4.1</w:t>
            </w:r>
            <w:r>
              <w:rPr>
                <w:rFonts w:ascii="Times New Roman" w:hAnsi="Times New Roman" w:eastAsia="宋体" w:cs="黑体"/>
                <w:b/>
                <w:sz w:val="28"/>
                <w:szCs w:val="30"/>
                <w:lang w:val="en-US" w:eastAsia="zh-CN" w:bidi="ar-SA"/>
              </w:rPr>
              <w:t>施工期大气环境</w:t>
            </w:r>
            <w:bookmarkEnd w:id="78"/>
            <w:bookmarkEnd w:id="79"/>
            <w:bookmarkEnd w:id="80"/>
            <w:bookmarkEnd w:id="81"/>
            <w:bookmarkEnd w:id="82"/>
            <w:bookmarkEnd w:id="83"/>
            <w:r>
              <w:rPr>
                <w:rFonts w:hint="eastAsia" w:ascii="Times New Roman" w:hAnsi="Times New Roman" w:eastAsia="宋体" w:cs="黑体"/>
                <w:b/>
                <w:sz w:val="28"/>
                <w:szCs w:val="30"/>
                <w:lang w:val="en-US" w:eastAsia="zh-CN" w:bidi="ar-SA"/>
              </w:rPr>
              <w:t>保护措施</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宋体"/>
                <w:color w:val="000000"/>
                <w:kern w:val="0"/>
                <w:sz w:val="24"/>
                <w:szCs w:val="24"/>
                <w:highlight w:val="none"/>
                <w:lang w:val="en-US" w:eastAsia="zh-CN" w:bidi="ar"/>
              </w:rPr>
            </w:pPr>
            <w:r>
              <w:rPr>
                <w:rFonts w:hint="eastAsia" w:ascii="Times New Roman" w:hAnsi="Times New Roman" w:eastAsia="宋体" w:cs="宋体"/>
                <w:color w:val="000000"/>
                <w:kern w:val="0"/>
                <w:sz w:val="24"/>
                <w:szCs w:val="24"/>
                <w:highlight w:val="none"/>
                <w:lang w:val="zh-TW" w:eastAsia="zh-CN" w:bidi="ar"/>
              </w:rPr>
              <w:t>本项目</w:t>
            </w:r>
            <w:r>
              <w:rPr>
                <w:rFonts w:hint="eastAsia" w:ascii="Times New Roman" w:hAnsi="Times New Roman" w:cs="宋体"/>
                <w:color w:val="000000"/>
                <w:kern w:val="0"/>
                <w:sz w:val="24"/>
                <w:szCs w:val="24"/>
                <w:highlight w:val="none"/>
                <w:lang w:val="en-US" w:eastAsia="zh-CN" w:bidi="ar"/>
              </w:rPr>
              <w:t>利用新疆伟康高科管业有限公司</w:t>
            </w:r>
            <w:r>
              <w:rPr>
                <w:rFonts w:hint="eastAsia" w:ascii="Times New Roman" w:hAnsi="Times New Roman" w:eastAsia="宋体" w:cs="宋体"/>
                <w:color w:val="000000"/>
                <w:kern w:val="0"/>
                <w:sz w:val="24"/>
                <w:szCs w:val="24"/>
                <w:highlight w:val="none"/>
                <w:lang w:val="en-US" w:eastAsia="zh-Hans" w:bidi="ar"/>
              </w:rPr>
              <w:t>已建</w:t>
            </w:r>
            <w:r>
              <w:rPr>
                <w:rFonts w:hint="eastAsia" w:cs="宋体"/>
                <w:color w:val="000000"/>
                <w:kern w:val="0"/>
                <w:sz w:val="24"/>
                <w:szCs w:val="24"/>
                <w:highlight w:val="none"/>
                <w:lang w:val="en-US" w:eastAsia="zh-CN" w:bidi="ar"/>
              </w:rPr>
              <w:t>生产车间</w:t>
            </w:r>
            <w:r>
              <w:rPr>
                <w:rFonts w:hint="eastAsia" w:ascii="Times New Roman" w:hAnsi="Times New Roman" w:eastAsia="宋体" w:cs="宋体"/>
                <w:color w:val="000000"/>
                <w:kern w:val="0"/>
                <w:sz w:val="24"/>
                <w:szCs w:val="24"/>
                <w:highlight w:val="none"/>
                <w:lang w:val="en-US" w:eastAsia="zh-Hans" w:bidi="ar"/>
              </w:rPr>
              <w:t>进行建设</w:t>
            </w:r>
            <w:r>
              <w:rPr>
                <w:rFonts w:hint="default" w:ascii="Times New Roman" w:hAnsi="Times New Roman" w:eastAsia="宋体" w:cs="宋体"/>
                <w:color w:val="000000"/>
                <w:kern w:val="0"/>
                <w:sz w:val="24"/>
                <w:szCs w:val="24"/>
                <w:highlight w:val="none"/>
                <w:lang w:val="en-US" w:eastAsia="zh-Hans" w:bidi="ar"/>
              </w:rPr>
              <w:t>，</w:t>
            </w:r>
            <w:r>
              <w:rPr>
                <w:rFonts w:hint="eastAsia" w:ascii="Times New Roman" w:hAnsi="Times New Roman" w:eastAsia="宋体" w:cs="宋体"/>
                <w:color w:val="000000"/>
                <w:kern w:val="0"/>
                <w:sz w:val="24"/>
                <w:szCs w:val="24"/>
                <w:highlight w:val="none"/>
                <w:lang w:val="en-US" w:eastAsia="zh-Hans" w:bidi="ar"/>
              </w:rPr>
              <w:t>仅需进行</w:t>
            </w:r>
            <w:r>
              <w:rPr>
                <w:rFonts w:hint="eastAsia" w:ascii="Times New Roman" w:hAnsi="Times New Roman" w:eastAsia="宋体" w:cs="宋体"/>
                <w:color w:val="000000"/>
                <w:kern w:val="0"/>
                <w:sz w:val="24"/>
                <w:szCs w:val="24"/>
                <w:highlight w:val="none"/>
                <w:lang w:val="en-US" w:eastAsia="zh-CN" w:bidi="ar"/>
              </w:rPr>
              <w:t>补充</w:t>
            </w:r>
            <w:r>
              <w:rPr>
                <w:rFonts w:hint="eastAsia" w:ascii="Times New Roman" w:hAnsi="Times New Roman" w:cs="宋体"/>
                <w:color w:val="000000"/>
                <w:kern w:val="0"/>
                <w:sz w:val="24"/>
                <w:szCs w:val="24"/>
                <w:highlight w:val="none"/>
                <w:lang w:val="en-US" w:eastAsia="zh-CN" w:bidi="ar"/>
              </w:rPr>
              <w:t>防渗、</w:t>
            </w:r>
            <w:r>
              <w:rPr>
                <w:rFonts w:hint="eastAsia" w:ascii="Times New Roman" w:hAnsi="Times New Roman" w:eastAsia="宋体" w:cs="宋体"/>
                <w:color w:val="000000"/>
                <w:kern w:val="0"/>
                <w:sz w:val="24"/>
                <w:szCs w:val="24"/>
                <w:highlight w:val="none"/>
                <w:lang w:val="en-US" w:eastAsia="zh-Hans" w:bidi="ar"/>
              </w:rPr>
              <w:t>墙壁装饰</w:t>
            </w:r>
            <w:r>
              <w:rPr>
                <w:rFonts w:hint="eastAsia" w:ascii="Times New Roman" w:hAnsi="Times New Roman" w:eastAsia="宋体" w:cs="宋体"/>
                <w:color w:val="000000"/>
                <w:kern w:val="0"/>
                <w:sz w:val="24"/>
                <w:szCs w:val="24"/>
                <w:highlight w:val="none"/>
                <w:lang w:val="en-US" w:eastAsia="zh-CN" w:bidi="ar"/>
              </w:rPr>
              <w:t>以及进行</w:t>
            </w:r>
            <w:r>
              <w:rPr>
                <w:rFonts w:hint="eastAsia" w:ascii="Times New Roman" w:hAnsi="Times New Roman" w:eastAsia="宋体" w:cs="宋体"/>
                <w:color w:val="000000"/>
                <w:kern w:val="0"/>
                <w:sz w:val="24"/>
                <w:szCs w:val="24"/>
                <w:highlight w:val="none"/>
                <w:lang w:val="en-US" w:eastAsia="zh-Hans" w:bidi="ar"/>
              </w:rPr>
              <w:t>机械设备安装</w:t>
            </w:r>
            <w:r>
              <w:rPr>
                <w:rFonts w:hint="eastAsia" w:ascii="Times New Roman" w:hAnsi="Times New Roman" w:eastAsia="宋体" w:cs="宋体"/>
                <w:color w:val="000000"/>
                <w:kern w:val="0"/>
                <w:sz w:val="24"/>
                <w:szCs w:val="24"/>
                <w:highlight w:val="none"/>
                <w:lang w:val="en-US" w:eastAsia="zh-CN" w:bidi="ar"/>
              </w:rPr>
              <w:t>等工程</w:t>
            </w:r>
            <w:r>
              <w:rPr>
                <w:rFonts w:hint="default" w:ascii="Times New Roman" w:hAnsi="Times New Roman" w:eastAsia="宋体" w:cs="宋体"/>
                <w:color w:val="000000"/>
                <w:kern w:val="0"/>
                <w:sz w:val="24"/>
                <w:szCs w:val="24"/>
                <w:highlight w:val="none"/>
                <w:lang w:val="en-US" w:eastAsia="zh-Hans" w:bidi="ar"/>
              </w:rPr>
              <w:t>。</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宋体"/>
                <w:color w:val="000000"/>
                <w:kern w:val="0"/>
                <w:sz w:val="24"/>
                <w:szCs w:val="24"/>
                <w:highlight w:val="none"/>
                <w:lang w:val="en-US" w:eastAsia="zh-CN" w:bidi="ar"/>
              </w:rPr>
            </w:pPr>
            <w:r>
              <w:rPr>
                <w:rFonts w:hint="eastAsia" w:ascii="Times New Roman" w:hAnsi="Times New Roman" w:eastAsia="宋体" w:cs="宋体"/>
                <w:color w:val="000000"/>
                <w:kern w:val="0"/>
                <w:sz w:val="24"/>
                <w:szCs w:val="24"/>
                <w:highlight w:val="none"/>
                <w:lang w:val="en-US" w:eastAsia="zh-CN" w:bidi="ar"/>
              </w:rPr>
              <w:t>施工期间对环境空气影响最主要的是粉尘和施工机械、运输车辆的尾气排放。施工过程中清除杂物等过程会产生粉尘污染，车辆运输会引起二次扬尘。</w:t>
            </w:r>
          </w:p>
          <w:p>
            <w:pPr>
              <w:pageBreakBefore w:val="0"/>
              <w:widowControl w:val="0"/>
              <w:kinsoku/>
              <w:wordWrap/>
              <w:overflowPunct/>
              <w:topLinePunct w:val="0"/>
              <w:autoSpaceDE/>
              <w:autoSpaceDN/>
              <w:bidi w:val="0"/>
              <w:adjustRightInd w:val="0"/>
              <w:snapToGrid w:val="0"/>
              <w:spacing w:before="0" w:after="0" w:line="360" w:lineRule="auto"/>
              <w:ind w:left="0" w:right="0" w:firstLine="480" w:firstLineChars="200"/>
              <w:jc w:val="both"/>
              <w:textAlignment w:val="auto"/>
              <w:rPr>
                <w:rFonts w:hint="eastAsia" w:ascii="Times New Roman" w:hAnsi="Times New Roman" w:eastAsia="宋体" w:cs="宋体"/>
                <w:color w:val="000000"/>
                <w:kern w:val="0"/>
                <w:sz w:val="24"/>
                <w:szCs w:val="24"/>
                <w:highlight w:val="none"/>
                <w:lang w:val="en-US" w:eastAsia="zh-CN" w:bidi="ar"/>
              </w:rPr>
            </w:pPr>
            <w:r>
              <w:rPr>
                <w:rFonts w:hint="eastAsia" w:ascii="Times New Roman" w:hAnsi="Times New Roman" w:eastAsia="宋体" w:cs="宋体"/>
                <w:color w:val="000000"/>
                <w:kern w:val="0"/>
                <w:sz w:val="24"/>
                <w:szCs w:val="24"/>
                <w:highlight w:val="none"/>
                <w:lang w:val="en-US" w:eastAsia="zh-CN" w:bidi="ar"/>
              </w:rPr>
              <w:t>采取适当措施，严格控制施工期间产生的扬尘，确保能够满足《大气污染物综合排放标准》（GB 16297-1996），措施可行。</w:t>
            </w:r>
          </w:p>
          <w:p>
            <w:pPr>
              <w:widowControl w:val="0"/>
              <w:overflowPunct w:val="0"/>
              <w:autoSpaceDE w:val="0"/>
              <w:autoSpaceDN w:val="0"/>
              <w:bidi w:val="0"/>
              <w:adjustRightInd w:val="0"/>
              <w:snapToGrid w:val="0"/>
              <w:spacing w:before="0" w:after="0" w:line="360" w:lineRule="auto"/>
              <w:ind w:left="0" w:right="0" w:firstLine="562" w:firstLineChars="200"/>
              <w:jc w:val="left"/>
              <w:outlineLvl w:val="1"/>
              <w:rPr>
                <w:rFonts w:hint="eastAsia"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4.2施工期水环境保护措施</w:t>
            </w:r>
          </w:p>
          <w:p>
            <w:pPr>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宋体" w:cs="Times New Roman"/>
                <w:color w:val="000000"/>
                <w:kern w:val="2"/>
                <w:sz w:val="21"/>
                <w:szCs w:val="20"/>
                <w:highlight w:val="none"/>
              </w:rPr>
            </w:pPr>
            <w:r>
              <w:rPr>
                <w:rFonts w:ascii="Times New Roman" w:hAnsi="Times New Roman" w:eastAsia="宋体" w:cs="Times New Roman"/>
                <w:color w:val="000000"/>
                <w:kern w:val="2"/>
                <w:sz w:val="24"/>
                <w:szCs w:val="24"/>
                <w:highlight w:val="none"/>
              </w:rPr>
              <w:t>施工期间</w:t>
            </w:r>
            <w:r>
              <w:rPr>
                <w:rFonts w:hint="eastAsia" w:ascii="Times New Roman" w:hAnsi="Times New Roman" w:eastAsia="宋体" w:cs="Times New Roman"/>
                <w:color w:val="000000"/>
                <w:kern w:val="2"/>
                <w:sz w:val="24"/>
                <w:szCs w:val="24"/>
                <w:highlight w:val="none"/>
                <w:lang w:val="en-US" w:eastAsia="zh-CN"/>
              </w:rPr>
              <w:t>不设置临时生活区</w:t>
            </w:r>
            <w:r>
              <w:rPr>
                <w:rFonts w:hint="eastAsia" w:ascii="Times New Roman" w:hAnsi="Times New Roman" w:eastAsia="宋体" w:cs="Times New Roman"/>
                <w:color w:val="000000"/>
                <w:kern w:val="2"/>
                <w:sz w:val="24"/>
                <w:szCs w:val="24"/>
                <w:highlight w:val="none"/>
              </w:rPr>
              <w:t>，</w:t>
            </w:r>
            <w:r>
              <w:rPr>
                <w:rFonts w:ascii="Times New Roman" w:hAnsi="Times New Roman" w:eastAsia="宋体" w:cs="Times New Roman"/>
                <w:color w:val="000000"/>
                <w:kern w:val="2"/>
                <w:sz w:val="24"/>
                <w:szCs w:val="24"/>
                <w:highlight w:val="none"/>
              </w:rPr>
              <w:t>施工期生活污水主要污染物为COD、BOD、SS、氨氮，施工期生活污水</w:t>
            </w:r>
            <w:r>
              <w:rPr>
                <w:rFonts w:hint="eastAsia" w:ascii="Times New Roman" w:hAnsi="Times New Roman" w:eastAsia="宋体" w:cs="Times New Roman"/>
                <w:color w:val="000000"/>
                <w:kern w:val="2"/>
                <w:sz w:val="24"/>
                <w:szCs w:val="24"/>
                <w:highlight w:val="none"/>
                <w:lang w:val="en-US" w:eastAsia="zh-CN"/>
              </w:rPr>
              <w:t>排入</w:t>
            </w:r>
            <w:r>
              <w:rPr>
                <w:rFonts w:hint="eastAsia" w:ascii="Times New Roman" w:hAnsi="Times New Roman" w:cs="Times New Roman"/>
                <w:color w:val="000000"/>
                <w:kern w:val="2"/>
                <w:sz w:val="24"/>
                <w:szCs w:val="24"/>
                <w:highlight w:val="none"/>
                <w:lang w:val="en-US" w:eastAsia="zh-CN"/>
              </w:rPr>
              <w:t>园区</w:t>
            </w:r>
            <w:r>
              <w:rPr>
                <w:rFonts w:hint="eastAsia" w:ascii="Times New Roman" w:hAnsi="Times New Roman" w:eastAsia="宋体" w:cs="宋体"/>
                <w:color w:val="000000"/>
                <w:kern w:val="0"/>
                <w:sz w:val="24"/>
                <w:szCs w:val="24"/>
                <w:highlight w:val="none"/>
                <w:lang w:val="en-US" w:eastAsia="zh-CN" w:bidi="ar"/>
              </w:rPr>
              <w:t>管网内</w:t>
            </w:r>
            <w:r>
              <w:rPr>
                <w:rFonts w:ascii="Times New Roman" w:hAnsi="Times New Roman" w:eastAsia="宋体" w:cs="Times New Roman"/>
                <w:color w:val="000000"/>
                <w:kern w:val="2"/>
                <w:sz w:val="24"/>
                <w:szCs w:val="24"/>
                <w:highlight w:val="none"/>
              </w:rPr>
              <w:t>。</w:t>
            </w:r>
          </w:p>
          <w:p>
            <w:pPr>
              <w:widowControl w:val="0"/>
              <w:overflowPunct w:val="0"/>
              <w:autoSpaceDE w:val="0"/>
              <w:autoSpaceDN w:val="0"/>
              <w:bidi w:val="0"/>
              <w:adjustRightInd w:val="0"/>
              <w:snapToGrid w:val="0"/>
              <w:spacing w:before="0" w:after="0" w:line="360" w:lineRule="auto"/>
              <w:ind w:left="0" w:right="0" w:firstLine="562" w:firstLineChars="200"/>
              <w:jc w:val="left"/>
              <w:outlineLvl w:val="1"/>
              <w:rPr>
                <w:rFonts w:hint="eastAsia"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4.3施工期声环境保护措施</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宋体"/>
                <w:color w:val="000000"/>
                <w:kern w:val="0"/>
                <w:sz w:val="24"/>
                <w:szCs w:val="24"/>
                <w:highlight w:val="none"/>
                <w:lang w:val="en-US" w:eastAsia="zh-CN" w:bidi="ar"/>
              </w:rPr>
            </w:pPr>
            <w:bookmarkStart w:id="84" w:name="_Toc231294638"/>
            <w:bookmarkStart w:id="85" w:name="_Toc231294740"/>
            <w:r>
              <w:rPr>
                <w:rFonts w:hint="eastAsia" w:ascii="Times New Roman" w:hAnsi="Times New Roman" w:eastAsia="宋体" w:cs="宋体"/>
                <w:color w:val="000000"/>
                <w:kern w:val="0"/>
                <w:sz w:val="24"/>
                <w:szCs w:val="24"/>
                <w:highlight w:val="none"/>
                <w:lang w:val="en-US" w:eastAsia="zh-CN" w:bidi="ar"/>
              </w:rPr>
              <w:t>施工期设备安装过程产生的噪声，主要来源于包括施工现场的各类机械设备、设备装卸碰撞噪声和机械设备调试噪声。</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ascii="Times New Roman" w:hAnsi="Times New Roman" w:eastAsia="宋体" w:cs="Times New Roman"/>
                <w:color w:val="000000"/>
                <w:kern w:val="2"/>
                <w:sz w:val="24"/>
                <w:szCs w:val="24"/>
                <w:highlight w:val="none"/>
              </w:rPr>
            </w:pPr>
            <w:r>
              <w:rPr>
                <w:rFonts w:hint="eastAsia" w:ascii="Times New Roman" w:hAnsi="Times New Roman"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w:t>
            </w:r>
            <w:r>
              <w:rPr>
                <w:rFonts w:hint="eastAsia" w:ascii="Times New Roman" w:hAnsi="Times New Roman" w:eastAsia="宋体" w:cs="宋体"/>
                <w:color w:val="000000"/>
                <w:kern w:val="0"/>
                <w:sz w:val="24"/>
                <w:szCs w:val="24"/>
                <w:highlight w:val="none"/>
                <w:lang w:val="en-US" w:eastAsia="zh-CN" w:bidi="ar"/>
              </w:rPr>
              <w:t>）加强施工管理，合理安排作业时间，严格按照施工噪声管理的有关规定，夜间不得进行打桩作业；</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ascii="Times New Roman" w:hAnsi="Times New Roman" w:eastAsia="宋体" w:cs="Times New Roman"/>
                <w:color w:val="000000"/>
                <w:kern w:val="2"/>
                <w:sz w:val="24"/>
                <w:szCs w:val="24"/>
                <w:highlight w:val="none"/>
              </w:rPr>
            </w:pPr>
            <w:r>
              <w:rPr>
                <w:rFonts w:hint="eastAsia" w:ascii="Times New Roman" w:hAnsi="Times New Roman"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w:t>
            </w:r>
            <w:r>
              <w:rPr>
                <w:rFonts w:hint="eastAsia" w:ascii="Times New Roman" w:hAnsi="Times New Roman" w:eastAsia="宋体" w:cs="宋体"/>
                <w:color w:val="000000"/>
                <w:kern w:val="0"/>
                <w:sz w:val="24"/>
                <w:szCs w:val="24"/>
                <w:highlight w:val="none"/>
                <w:lang w:val="en-US" w:eastAsia="zh-CN" w:bidi="ar"/>
              </w:rPr>
              <w:t>）尽量采用低噪声施工设备和噪声低的施工方法；</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ascii="Times New Roman" w:hAnsi="Times New Roman" w:eastAsia="宋体" w:cs="Times New Roman"/>
                <w:color w:val="000000"/>
                <w:kern w:val="2"/>
                <w:sz w:val="24"/>
                <w:szCs w:val="24"/>
                <w:highlight w:val="none"/>
              </w:rPr>
            </w:pPr>
            <w:r>
              <w:rPr>
                <w:rFonts w:hint="eastAsia" w:ascii="Times New Roman" w:hAnsi="Times New Roman"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w:t>
            </w:r>
            <w:r>
              <w:rPr>
                <w:rFonts w:hint="eastAsia" w:ascii="Times New Roman" w:hAnsi="Times New Roman" w:eastAsia="宋体" w:cs="宋体"/>
                <w:color w:val="000000"/>
                <w:kern w:val="0"/>
                <w:sz w:val="24"/>
                <w:szCs w:val="24"/>
                <w:highlight w:val="none"/>
                <w:lang w:val="en-US" w:eastAsia="zh-CN" w:bidi="ar"/>
              </w:rPr>
              <w:t>）作业时在高噪声设备周围设置屏蔽；</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ascii="Times New Roman" w:hAnsi="Times New Roman" w:eastAsia="宋体" w:cs="Times New Roman"/>
                <w:color w:val="000000"/>
                <w:kern w:val="2"/>
                <w:sz w:val="24"/>
                <w:szCs w:val="24"/>
                <w:highlight w:val="none"/>
              </w:rPr>
            </w:pPr>
            <w:r>
              <w:rPr>
                <w:rFonts w:hint="eastAsia" w:ascii="Times New Roman" w:hAnsi="Times New Roman"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4</w:t>
            </w:r>
            <w:r>
              <w:rPr>
                <w:rFonts w:hint="eastAsia" w:ascii="Times New Roman" w:hAnsi="Times New Roman" w:eastAsia="宋体" w:cs="宋体"/>
                <w:color w:val="000000"/>
                <w:kern w:val="0"/>
                <w:sz w:val="24"/>
                <w:szCs w:val="24"/>
                <w:highlight w:val="none"/>
                <w:lang w:val="en-US" w:eastAsia="zh-CN" w:bidi="ar"/>
              </w:rPr>
              <w:t>）尽量采用商品混凝土；</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宋体"/>
                <w:color w:val="000000"/>
                <w:kern w:val="0"/>
                <w:sz w:val="24"/>
                <w:szCs w:val="24"/>
                <w:highlight w:val="none"/>
                <w:lang w:val="en-US" w:eastAsia="zh-CN" w:bidi="ar"/>
              </w:rPr>
            </w:pPr>
            <w:r>
              <w:rPr>
                <w:rFonts w:hint="eastAsia" w:ascii="Times New Roman" w:hAnsi="Times New Roman"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5</w:t>
            </w:r>
            <w:r>
              <w:rPr>
                <w:rFonts w:hint="eastAsia" w:ascii="Times New Roman" w:hAnsi="Times New Roman" w:eastAsia="宋体" w:cs="宋体"/>
                <w:color w:val="000000"/>
                <w:kern w:val="0"/>
                <w:sz w:val="24"/>
                <w:szCs w:val="24"/>
                <w:highlight w:val="none"/>
                <w:lang w:val="en-US" w:eastAsia="zh-CN" w:bidi="ar"/>
              </w:rPr>
              <w:t>）加强运输车辆的管理，运输尽量在白天进行，并控制车辆鸣笛。</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宋体"/>
                <w:color w:val="000000"/>
                <w:kern w:val="0"/>
                <w:sz w:val="24"/>
                <w:szCs w:val="24"/>
                <w:highlight w:val="none"/>
                <w:lang w:val="en-US" w:eastAsia="zh-CN" w:bidi="ar"/>
              </w:rPr>
            </w:pPr>
            <w:r>
              <w:rPr>
                <w:rFonts w:hint="eastAsia" w:ascii="Times New Roman" w:hAnsi="Times New Roman" w:eastAsia="宋体" w:cs="宋体"/>
                <w:color w:val="000000"/>
                <w:kern w:val="0"/>
                <w:sz w:val="24"/>
                <w:szCs w:val="24"/>
                <w:highlight w:val="none"/>
                <w:lang w:val="en-US" w:eastAsia="zh-CN" w:bidi="ar"/>
              </w:rPr>
              <w:t>通过上述措施，施工场界噪声可以达到《建筑施工场界环境噪声排放标准》 （GB12523-2011），对环境影响较小。</w:t>
            </w:r>
          </w:p>
          <w:p>
            <w:pPr>
              <w:widowControl w:val="0"/>
              <w:overflowPunct w:val="0"/>
              <w:autoSpaceDE w:val="0"/>
              <w:autoSpaceDN w:val="0"/>
              <w:bidi w:val="0"/>
              <w:adjustRightInd w:val="0"/>
              <w:snapToGrid w:val="0"/>
              <w:spacing w:before="0" w:after="0" w:line="360" w:lineRule="auto"/>
              <w:ind w:left="0" w:right="0" w:firstLine="562" w:firstLineChars="200"/>
              <w:jc w:val="left"/>
              <w:outlineLvl w:val="1"/>
              <w:rPr>
                <w:rFonts w:hint="eastAsia"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4.4施工期固体废物</w:t>
            </w:r>
            <w:bookmarkEnd w:id="84"/>
            <w:bookmarkEnd w:id="85"/>
            <w:r>
              <w:rPr>
                <w:rFonts w:hint="eastAsia" w:ascii="Times New Roman" w:hAnsi="Times New Roman" w:eastAsia="宋体" w:cs="黑体"/>
                <w:b/>
                <w:sz w:val="28"/>
                <w:szCs w:val="30"/>
                <w:lang w:val="en-US" w:eastAsia="zh-CN" w:bidi="ar-SA"/>
              </w:rPr>
              <w:t>污染防治措施</w:t>
            </w:r>
          </w:p>
          <w:p>
            <w:pPr>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kern w:val="2"/>
                <w:sz w:val="24"/>
                <w:szCs w:val="20"/>
                <w:highlight w:val="none"/>
              </w:rPr>
            </w:pPr>
            <w:r>
              <w:rPr>
                <w:rFonts w:hint="eastAsia" w:ascii="Times New Roman" w:hAnsi="Times New Roman" w:eastAsia="宋体" w:cs="Times New Roman"/>
                <w:color w:val="000000"/>
                <w:kern w:val="2"/>
                <w:sz w:val="24"/>
                <w:szCs w:val="20"/>
                <w:highlight w:val="none"/>
              </w:rPr>
              <w:t>施工期固废主要是废弃的包装材料、工人产生的生活垃圾等。</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宋体"/>
                <w:color w:val="000000"/>
                <w:kern w:val="0"/>
                <w:sz w:val="24"/>
                <w:szCs w:val="24"/>
                <w:highlight w:val="none"/>
                <w:lang w:val="en-US" w:eastAsia="zh-CN" w:bidi="ar"/>
              </w:rPr>
            </w:pPr>
            <w:r>
              <w:rPr>
                <w:rFonts w:hint="eastAsia" w:ascii="Times New Roman" w:hAnsi="Times New Roman" w:eastAsia="宋体" w:cs="宋体"/>
                <w:color w:val="000000"/>
                <w:kern w:val="0"/>
                <w:sz w:val="24"/>
                <w:szCs w:val="24"/>
                <w:highlight w:val="none"/>
                <w:lang w:val="en-US" w:eastAsia="zh-CN" w:bidi="ar"/>
              </w:rPr>
              <w:t>（1）</w:t>
            </w:r>
            <w:r>
              <w:rPr>
                <w:rFonts w:hint="eastAsia" w:ascii="Times New Roman" w:hAnsi="Times New Roman" w:eastAsia="宋体" w:cs="Times New Roman"/>
                <w:color w:val="000000"/>
                <w:kern w:val="2"/>
                <w:sz w:val="24"/>
                <w:szCs w:val="20"/>
                <w:highlight w:val="none"/>
              </w:rPr>
              <w:t>废</w:t>
            </w:r>
            <w:r>
              <w:rPr>
                <w:rFonts w:hint="eastAsia" w:ascii="Times New Roman" w:hAnsi="Times New Roman" w:eastAsia="宋体" w:cs="宋体"/>
                <w:color w:val="000000"/>
                <w:kern w:val="0"/>
                <w:sz w:val="24"/>
                <w:szCs w:val="24"/>
                <w:highlight w:val="none"/>
                <w:lang w:val="en-US" w:eastAsia="zh-CN" w:bidi="ar"/>
              </w:rPr>
              <w:t>弃的包装材料</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0" w:firstLineChars="200"/>
              <w:jc w:val="both"/>
              <w:textAlignment w:val="auto"/>
              <w:rPr>
                <w:rFonts w:hint="eastAsia" w:ascii="Times New Roman" w:hAnsi="Times New Roman" w:eastAsia="宋体" w:cs="Times New Roman"/>
                <w:color w:val="000000"/>
                <w:kern w:val="2"/>
                <w:sz w:val="24"/>
                <w:szCs w:val="20"/>
                <w:highlight w:val="none"/>
              </w:rPr>
            </w:pPr>
            <w:r>
              <w:rPr>
                <w:rFonts w:hint="eastAsia" w:ascii="Times New Roman" w:hAnsi="Times New Roman" w:eastAsia="宋体" w:cs="Times New Roman"/>
                <w:color w:val="000000"/>
                <w:kern w:val="2"/>
                <w:sz w:val="24"/>
                <w:szCs w:val="20"/>
                <w:highlight w:val="none"/>
              </w:rPr>
              <w:t>废</w:t>
            </w:r>
            <w:r>
              <w:rPr>
                <w:rFonts w:hint="eastAsia" w:ascii="Times New Roman" w:hAnsi="Times New Roman" w:eastAsia="宋体" w:cs="宋体"/>
                <w:color w:val="000000"/>
                <w:kern w:val="0"/>
                <w:sz w:val="24"/>
                <w:szCs w:val="24"/>
                <w:highlight w:val="none"/>
                <w:lang w:val="en-US" w:eastAsia="zh-CN" w:bidi="ar"/>
              </w:rPr>
              <w:t>弃的包装材料</w:t>
            </w:r>
            <w:r>
              <w:rPr>
                <w:rFonts w:hint="eastAsia" w:ascii="Times New Roman" w:hAnsi="Times New Roman" w:cs="Times New Roman"/>
                <w:color w:val="000000"/>
                <w:kern w:val="2"/>
                <w:sz w:val="24"/>
                <w:szCs w:val="20"/>
                <w:highlight w:val="none"/>
                <w:lang w:val="en-US" w:eastAsia="zh-CN"/>
              </w:rPr>
              <w:t>集中收集后外售回收单位综合利用</w:t>
            </w:r>
            <w:r>
              <w:rPr>
                <w:rFonts w:hint="eastAsia" w:ascii="Times New Roman" w:hAnsi="Times New Roman" w:eastAsia="宋体" w:cs="Times New Roman"/>
                <w:color w:val="000000"/>
                <w:kern w:val="2"/>
                <w:sz w:val="24"/>
                <w:szCs w:val="20"/>
                <w:highlight w:val="none"/>
              </w:rPr>
              <w:t>，不得随意抛弃、转移和扩散。</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宋体"/>
                <w:color w:val="000000"/>
                <w:kern w:val="0"/>
                <w:sz w:val="24"/>
                <w:szCs w:val="24"/>
                <w:highlight w:val="none"/>
                <w:lang w:val="en-US" w:eastAsia="zh-CN" w:bidi="ar"/>
              </w:rPr>
            </w:pPr>
            <w:r>
              <w:rPr>
                <w:rFonts w:hint="eastAsia" w:ascii="Times New Roman" w:hAnsi="Times New Roman" w:eastAsia="宋体" w:cs="宋体"/>
                <w:color w:val="000000"/>
                <w:kern w:val="0"/>
                <w:sz w:val="24"/>
                <w:szCs w:val="24"/>
                <w:highlight w:val="none"/>
                <w:lang w:val="en-US" w:eastAsia="zh-CN" w:bidi="ar"/>
              </w:rPr>
              <w:t>（2）生活垃圾</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宋体" w:cs="Times New Roman"/>
                <w:color w:val="000000"/>
                <w:kern w:val="2"/>
                <w:sz w:val="24"/>
                <w:szCs w:val="20"/>
                <w:highlight w:val="none"/>
              </w:rPr>
            </w:pPr>
            <w:r>
              <w:rPr>
                <w:rFonts w:hint="eastAsia" w:ascii="Times New Roman" w:hAnsi="Times New Roman" w:eastAsia="宋体" w:cs="Times New Roman"/>
                <w:color w:val="000000"/>
                <w:kern w:val="2"/>
                <w:sz w:val="24"/>
                <w:szCs w:val="20"/>
                <w:highlight w:val="none"/>
              </w:rPr>
              <w:t>生活垃圾以易拉罐、矿泉水瓶、塑料袋</w:t>
            </w:r>
            <w:r>
              <w:rPr>
                <w:rFonts w:hint="eastAsia" w:cs="Times New Roman"/>
                <w:color w:val="000000"/>
                <w:kern w:val="2"/>
                <w:sz w:val="24"/>
                <w:szCs w:val="20"/>
                <w:highlight w:val="none"/>
                <w:lang w:val="en-US" w:eastAsia="zh-CN"/>
              </w:rPr>
              <w:t>为主</w:t>
            </w:r>
            <w:r>
              <w:rPr>
                <w:rFonts w:hint="eastAsia" w:ascii="Times New Roman" w:hAnsi="Times New Roman" w:eastAsia="宋体" w:cs="Times New Roman"/>
                <w:color w:val="000000"/>
                <w:kern w:val="2"/>
                <w:sz w:val="24"/>
                <w:szCs w:val="20"/>
                <w:highlight w:val="none"/>
              </w:rPr>
              <w:t>。</w:t>
            </w:r>
            <w:r>
              <w:rPr>
                <w:rFonts w:hint="eastAsia" w:ascii="Times New Roman" w:hAnsi="Times New Roman" w:eastAsia="宋体" w:cs="Times New Roman"/>
                <w:color w:val="000000"/>
                <w:kern w:val="2"/>
                <w:sz w:val="24"/>
                <w:szCs w:val="20"/>
                <w:highlight w:val="none"/>
                <w:lang w:val="en-US" w:eastAsia="zh-CN"/>
              </w:rPr>
              <w:t>生活垃圾委托</w:t>
            </w:r>
            <w:r>
              <w:rPr>
                <w:rFonts w:hint="eastAsia" w:ascii="Times New Roman" w:hAnsi="Times New Roman" w:cs="Times New Roman"/>
                <w:color w:val="000000"/>
                <w:kern w:val="2"/>
                <w:sz w:val="24"/>
                <w:szCs w:val="20"/>
                <w:highlight w:val="none"/>
                <w:lang w:val="en-US" w:eastAsia="zh-CN"/>
              </w:rPr>
              <w:t>市政</w:t>
            </w:r>
            <w:r>
              <w:rPr>
                <w:rFonts w:hint="eastAsia" w:ascii="Times New Roman" w:hAnsi="Times New Roman" w:eastAsia="宋体" w:cs="Times New Roman"/>
                <w:color w:val="000000"/>
                <w:kern w:val="2"/>
                <w:sz w:val="24"/>
                <w:szCs w:val="20"/>
                <w:highlight w:val="none"/>
                <w:lang w:val="en-US" w:eastAsia="zh-CN"/>
              </w:rPr>
              <w:t>环卫部门定期清运</w:t>
            </w:r>
            <w:r>
              <w:rPr>
                <w:rFonts w:hint="eastAsia" w:ascii="Times New Roman" w:hAnsi="Times New Roman" w:eastAsia="宋体" w:cs="Times New Roman"/>
                <w:color w:val="000000"/>
                <w:kern w:val="2"/>
                <w:sz w:val="24"/>
                <w:szCs w:val="20"/>
                <w:highlight w:val="none"/>
              </w:rPr>
              <w:t>。</w:t>
            </w:r>
          </w:p>
          <w:p>
            <w:pPr>
              <w:pageBreakBefore w:val="0"/>
              <w:widowControl w:val="0"/>
              <w:kinsoku/>
              <w:wordWrap/>
              <w:overflowPunct/>
              <w:topLinePunct w:val="0"/>
              <w:autoSpaceDE/>
              <w:autoSpaceDN/>
              <w:bidi w:val="0"/>
              <w:adjustRightInd w:val="0"/>
              <w:snapToGrid w:val="0"/>
              <w:spacing w:before="0" w:after="0" w:line="360" w:lineRule="auto"/>
              <w:ind w:left="0" w:right="0" w:firstLine="480" w:firstLineChars="200"/>
              <w:jc w:val="both"/>
              <w:textAlignment w:val="auto"/>
              <w:rPr>
                <w:rFonts w:hint="eastAsia"/>
                <w:lang w:val="en-US" w:eastAsia="zh-CN"/>
              </w:rPr>
            </w:pPr>
            <w:r>
              <w:rPr>
                <w:rFonts w:hint="eastAsia" w:ascii="Times New Roman" w:hAnsi="Times New Roman" w:eastAsia="宋体" w:cs="Times New Roman"/>
                <w:color w:val="000000"/>
                <w:kern w:val="2"/>
                <w:sz w:val="24"/>
                <w:szCs w:val="20"/>
                <w:highlight w:val="none"/>
              </w:rPr>
              <w:t>经以上分析可知，根据各类固体废物的不同特点，分别采取不同的、行之有效的处理措施，项目建设过程中产生的各类固体废物均可得到妥善的、合理可行的处理处置，并将其对周围环境带来的影响降低到最低程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tcMar>
              <w:left w:w="28" w:type="dxa"/>
              <w:right w:w="28" w:type="dxa"/>
            </w:tcMar>
            <w:vAlign w:val="center"/>
          </w:tcPr>
          <w:p>
            <w:pPr>
              <w:widowControl/>
              <w:spacing w:before="0" w:beforeAutospacing="0" w:after="0" w:afterAutospacing="0" w:line="360" w:lineRule="auto"/>
              <w:ind w:right="-175" w:rightChars="-73" w:firstLine="482"/>
              <w:jc w:val="center"/>
              <w:rPr>
                <w:rFonts w:hint="eastAsia" w:ascii="Times New Roman" w:hAnsi="Times New Roman" w:eastAsia="宋体" w:cs="宋体"/>
                <w:color w:val="000000"/>
                <w:kern w:val="2"/>
                <w:sz w:val="24"/>
                <w:szCs w:val="24"/>
                <w:highlight w:val="none"/>
                <w:lang w:val="en-US" w:eastAsia="zh-CN" w:bidi="ar-SA"/>
              </w:rPr>
            </w:pPr>
            <w:r>
              <w:rPr>
                <w:rFonts w:hint="eastAsia" w:ascii="Times New Roman" w:hAnsi="Times New Roman" w:eastAsia="宋体" w:cs="宋体"/>
                <w:color w:val="000000"/>
                <w:kern w:val="2"/>
                <w:sz w:val="24"/>
                <w:szCs w:val="24"/>
                <w:highlight w:val="none"/>
                <w:lang w:val="en-US" w:eastAsia="zh-CN" w:bidi="ar-SA"/>
              </w:rPr>
              <w:t>运</w:t>
            </w:r>
          </w:p>
          <w:p>
            <w:pPr>
              <w:bidi w:val="0"/>
              <w:spacing w:line="360" w:lineRule="auto"/>
              <w:jc w:val="center"/>
              <w:rPr>
                <w:rFonts w:hint="default" w:ascii="Times New Roman" w:hAnsi="Times New Roman" w:eastAsia="宋体" w:cs="宋体"/>
                <w:lang w:val="en-US" w:eastAsia="zh-CN"/>
              </w:rPr>
            </w:pPr>
            <w:r>
              <w:rPr>
                <w:rFonts w:hint="eastAsia" w:ascii="Times New Roman" w:hAnsi="Times New Roman" w:eastAsia="宋体" w:cs="宋体"/>
                <w:color w:val="000000"/>
                <w:kern w:val="2"/>
                <w:sz w:val="24"/>
                <w:szCs w:val="24"/>
                <w:highlight w:val="none"/>
                <w:lang w:val="en-US" w:eastAsia="zh-CN" w:bidi="ar-SA"/>
              </w:rPr>
              <w:t>运营期环保措施</w:t>
            </w:r>
          </w:p>
        </w:tc>
        <w:tc>
          <w:tcPr>
            <w:tcW w:w="8645" w:type="dxa"/>
            <w:noWrap w:val="0"/>
            <w:vAlign w:val="center"/>
          </w:tcPr>
          <w:p>
            <w:pPr>
              <w:widowControl w:val="0"/>
              <w:overflowPunct w:val="0"/>
              <w:autoSpaceDE w:val="0"/>
              <w:autoSpaceDN w:val="0"/>
              <w:bidi w:val="0"/>
              <w:adjustRightInd w:val="0"/>
              <w:snapToGrid w:val="0"/>
              <w:spacing w:before="0" w:after="0" w:line="360" w:lineRule="auto"/>
              <w:ind w:left="0" w:right="0" w:firstLine="562" w:firstLineChars="200"/>
              <w:jc w:val="left"/>
              <w:outlineLvl w:val="1"/>
              <w:rPr>
                <w:rFonts w:hint="eastAsia" w:ascii="Times New Roman" w:hAnsi="Times New Roman" w:eastAsia="宋体" w:cs="黑体"/>
                <w:b/>
                <w:color w:val="auto"/>
                <w:sz w:val="28"/>
                <w:szCs w:val="30"/>
                <w:lang w:val="en-US" w:eastAsia="zh-CN" w:bidi="ar-SA"/>
              </w:rPr>
            </w:pPr>
            <w:r>
              <w:rPr>
                <w:rFonts w:hint="default" w:ascii="Times New Roman" w:hAnsi="Times New Roman" w:eastAsia="宋体" w:cs="黑体"/>
                <w:b/>
                <w:color w:val="auto"/>
                <w:sz w:val="28"/>
                <w:szCs w:val="30"/>
                <w:lang w:val="en-US" w:eastAsia="zh-CN" w:bidi="ar-SA"/>
              </w:rPr>
              <w:t>4</w:t>
            </w:r>
            <w:r>
              <w:rPr>
                <w:rFonts w:hint="eastAsia" w:ascii="Times New Roman" w:hAnsi="Times New Roman" w:eastAsia="宋体" w:cs="黑体"/>
                <w:b/>
                <w:color w:val="auto"/>
                <w:sz w:val="28"/>
                <w:szCs w:val="30"/>
                <w:lang w:val="en-US" w:eastAsia="zh-CN" w:bidi="ar-SA"/>
              </w:rPr>
              <w:t>.5废气</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（1）废气产排情况</w:t>
            </w:r>
          </w:p>
          <w:p>
            <w:pPr>
              <w:widowControl w:val="0"/>
              <w:overflowPunct/>
              <w:autoSpaceDE/>
              <w:autoSpaceDN/>
              <w:adjustRightInd/>
              <w:snapToGrid/>
              <w:spacing w:before="0" w:after="0" w:line="360" w:lineRule="auto"/>
              <w:ind w:left="0" w:right="0" w:firstLine="480" w:firstLineChars="200"/>
              <w:jc w:val="both"/>
              <w:rPr>
                <w:rFonts w:hint="eastAsia"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eastAsia="宋体" w:cs="Times New Roman"/>
                <w:snapToGrid w:val="0"/>
                <w:color w:val="auto"/>
                <w:sz w:val="24"/>
                <w:szCs w:val="24"/>
                <w:highlight w:val="none"/>
                <w:lang w:val="en-US" w:eastAsia="zh-CN" w:bidi="ar-SA"/>
              </w:rPr>
              <w:t>根据工程产污分析，项目废气主要为：</w:t>
            </w:r>
            <w:r>
              <w:rPr>
                <w:rFonts w:hint="eastAsia" w:cs="Times New Roman"/>
                <w:snapToGrid w:val="0"/>
                <w:color w:val="auto"/>
                <w:sz w:val="24"/>
                <w:szCs w:val="24"/>
                <w:highlight w:val="none"/>
                <w:lang w:val="en-US" w:eastAsia="zh-CN" w:bidi="ar-SA"/>
              </w:rPr>
              <w:t>拉丝有机废气、</w:t>
            </w:r>
            <w:r>
              <w:rPr>
                <w:rFonts w:hint="eastAsia" w:ascii="Times New Roman" w:hAnsi="Times New Roman" w:eastAsia="宋体" w:cs="Times New Roman"/>
                <w:snapToGrid w:val="0"/>
                <w:color w:val="auto"/>
                <w:sz w:val="24"/>
                <w:szCs w:val="24"/>
                <w:highlight w:val="none"/>
                <w:lang w:val="en-US" w:eastAsia="zh-CN" w:bidi="ar-SA"/>
              </w:rPr>
              <w:t>挤塑有机废气</w:t>
            </w:r>
            <w:r>
              <w:rPr>
                <w:rFonts w:hint="eastAsia" w:cs="Times New Roman"/>
                <w:snapToGrid w:val="0"/>
                <w:color w:val="auto"/>
                <w:sz w:val="24"/>
                <w:szCs w:val="24"/>
                <w:highlight w:val="none"/>
                <w:lang w:val="en-US" w:eastAsia="zh-CN" w:bidi="ar-SA"/>
              </w:rPr>
              <w:t>、交联有机废气、挤护外套有机废气</w:t>
            </w:r>
            <w:r>
              <w:rPr>
                <w:rFonts w:hint="eastAsia" w:ascii="Times New Roman" w:hAnsi="Times New Roman" w:eastAsia="宋体" w:cs="Times New Roman"/>
                <w:snapToGrid w:val="0"/>
                <w:color w:val="auto"/>
                <w:sz w:val="24"/>
                <w:szCs w:val="24"/>
                <w:highlight w:val="none"/>
                <w:lang w:val="en-US" w:eastAsia="zh-CN" w:bidi="ar-SA"/>
              </w:rPr>
              <w:t>、喷码有机废气、</w:t>
            </w:r>
            <w:r>
              <w:rPr>
                <w:rFonts w:hint="eastAsia" w:cs="Times New Roman"/>
                <w:snapToGrid w:val="0"/>
                <w:color w:val="auto"/>
                <w:sz w:val="24"/>
                <w:szCs w:val="24"/>
                <w:highlight w:val="none"/>
                <w:lang w:val="en-US" w:eastAsia="zh-CN" w:bidi="ar-SA"/>
              </w:rPr>
              <w:t>焊接烟尘、车间</w:t>
            </w:r>
            <w:r>
              <w:rPr>
                <w:rFonts w:hint="eastAsia" w:ascii="Times New Roman" w:hAnsi="Times New Roman" w:eastAsia="宋体" w:cs="Times New Roman"/>
                <w:snapToGrid w:val="0"/>
                <w:color w:val="auto"/>
                <w:sz w:val="24"/>
                <w:szCs w:val="24"/>
                <w:highlight w:val="none"/>
                <w:lang w:val="en-US" w:eastAsia="zh-CN" w:bidi="ar-SA"/>
              </w:rPr>
              <w:t>恶臭。</w:t>
            </w:r>
          </w:p>
          <w:p>
            <w:pPr>
              <w:overflowPunct w:val="0"/>
              <w:autoSpaceDE w:val="0"/>
              <w:autoSpaceDN w:val="0"/>
              <w:bidi w:val="0"/>
              <w:adjustRightInd w:val="0"/>
              <w:snapToGrid w:val="0"/>
              <w:spacing w:line="360" w:lineRule="auto"/>
              <w:ind w:firstLine="480" w:firstLineChars="200"/>
              <w:rPr>
                <w:rFonts w:hint="eastAsia" w:ascii="Times New Roman" w:hAnsi="Times New Roman" w:eastAsia="宋体" w:cs="Times New Roman"/>
                <w:kern w:val="2"/>
                <w:szCs w:val="24"/>
                <w:lang w:val="en-US" w:eastAsia="zh-CN"/>
              </w:rPr>
            </w:pPr>
            <w:r>
              <w:rPr>
                <w:rFonts w:hint="eastAsia" w:ascii="Times New Roman" w:hAnsi="Times New Roman" w:eastAsia="宋体" w:cs="Times New Roman"/>
                <w:kern w:val="2"/>
                <w:szCs w:val="24"/>
                <w:lang w:val="en-US" w:eastAsia="zh-CN"/>
              </w:rPr>
              <w:t>①</w:t>
            </w:r>
            <w:r>
              <w:rPr>
                <w:rFonts w:hint="eastAsia" w:cs="Times New Roman"/>
                <w:snapToGrid w:val="0"/>
                <w:color w:val="auto"/>
                <w:sz w:val="24"/>
                <w:szCs w:val="24"/>
                <w:highlight w:val="none"/>
                <w:lang w:val="en-US" w:eastAsia="zh-CN" w:bidi="ar-SA"/>
              </w:rPr>
              <w:t>拉丝有机废气</w:t>
            </w:r>
          </w:p>
          <w:p>
            <w:pPr>
              <w:overflowPunct w:val="0"/>
              <w:autoSpaceDE w:val="0"/>
              <w:autoSpaceDN w:val="0"/>
              <w:bidi w:val="0"/>
              <w:adjustRightInd w:val="0"/>
              <w:snapToGrid w:val="0"/>
              <w:spacing w:line="360" w:lineRule="auto"/>
              <w:ind w:firstLine="480" w:firstLineChars="200"/>
              <w:rPr>
                <w:rFonts w:hint="default" w:cs="Times New Roman"/>
                <w:kern w:val="2"/>
                <w:szCs w:val="24"/>
                <w:lang w:val="en-US" w:eastAsia="zh-CN"/>
              </w:rPr>
            </w:pPr>
            <w:r>
              <w:rPr>
                <w:rFonts w:hint="eastAsia" w:cs="Times New Roman"/>
                <w:kern w:val="2"/>
                <w:szCs w:val="24"/>
                <w:lang w:val="en-US" w:eastAsia="zh-CN"/>
              </w:rPr>
              <w:t>本项目拉丝工段使用的拉丝油会产生一定的拉丝有机废气，主要为烃类物质，主要以非甲烷总烃计，</w:t>
            </w:r>
            <w:r>
              <w:rPr>
                <w:rFonts w:hint="eastAsia" w:cs="Times New Roman"/>
                <w:color w:val="000000" w:themeColor="text1"/>
                <w:sz w:val="24"/>
                <w:szCs w:val="24"/>
                <w:lang w:val="en-US" w:eastAsia="zh-CN" w:bidi="ar-SA"/>
                <w14:textFill>
                  <w14:solidFill>
                    <w14:schemeClr w14:val="tx1"/>
                  </w14:solidFill>
                </w14:textFill>
              </w:rPr>
              <w:t>参照</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《关于印发乌鲁木齐市环保局涉VOCs建设项目环境影响评价审批暂行规定的通知》（乌环发[2018]46号），</w:t>
            </w:r>
            <w:r>
              <w:rPr>
                <w:rFonts w:hint="eastAsia" w:cs="Times New Roman"/>
                <w:color w:val="000000" w:themeColor="text1"/>
                <w:sz w:val="24"/>
                <w:szCs w:val="24"/>
                <w:lang w:val="en-US" w:eastAsia="zh-CN" w:bidi="ar-SA"/>
                <w14:textFill>
                  <w14:solidFill>
                    <w14:schemeClr w14:val="tx1"/>
                  </w14:solidFill>
                </w14:textFill>
              </w:rPr>
              <w:t>有机化学原料-甘油产污系数65.81kg/t产品，本项目使用的拉丝油共12.5吨，因此拉丝过程中产生的</w:t>
            </w:r>
            <w:r>
              <w:rPr>
                <w:rFonts w:hint="eastAsia" w:ascii="Times New Roman" w:hAnsi="Times New Roman" w:eastAsia="宋体" w:cs="Times New Roman"/>
                <w:color w:val="000000"/>
                <w:sz w:val="24"/>
                <w:szCs w:val="24"/>
                <w:lang w:val="en-US" w:eastAsia="zh-CN" w:bidi="ar-SA"/>
              </w:rPr>
              <w:t>非甲烷总烃共</w:t>
            </w:r>
            <w:r>
              <w:rPr>
                <w:rFonts w:hint="default" w:ascii="Times New Roman" w:hAnsi="Times New Roman" w:eastAsia="宋体" w:cs="Times New Roman"/>
                <w:color w:val="000000"/>
                <w:sz w:val="24"/>
                <w:szCs w:val="24"/>
                <w:lang w:val="en-US" w:eastAsia="zh-CN" w:bidi="ar-SA"/>
              </w:rPr>
              <w:t>约</w:t>
            </w:r>
            <w:r>
              <w:rPr>
                <w:rFonts w:hint="eastAsia" w:cs="Times New Roman"/>
                <w:color w:val="000000"/>
                <w:sz w:val="24"/>
                <w:szCs w:val="24"/>
                <w:lang w:val="en-US" w:eastAsia="zh-CN" w:bidi="ar-SA"/>
              </w:rPr>
              <w:t>0.82</w:t>
            </w:r>
            <w:r>
              <w:rPr>
                <w:rFonts w:hint="default" w:ascii="Times New Roman" w:hAnsi="Times New Roman" w:eastAsia="宋体" w:cs="Times New Roman"/>
                <w:color w:val="000000"/>
                <w:sz w:val="24"/>
                <w:szCs w:val="24"/>
                <w:lang w:val="en-US" w:eastAsia="zh-CN" w:bidi="ar-SA"/>
              </w:rPr>
              <w:t>t/a</w:t>
            </w:r>
            <w:r>
              <w:rPr>
                <w:rFonts w:hint="eastAsia" w:ascii="Times New Roman" w:hAnsi="Times New Roman" w:eastAsia="宋体" w:cs="Times New Roman"/>
                <w:color w:val="000000"/>
                <w:sz w:val="24"/>
                <w:szCs w:val="24"/>
                <w:lang w:val="en-US" w:eastAsia="zh-CN" w:bidi="ar-SA"/>
              </w:rPr>
              <w:t>。</w:t>
            </w:r>
          </w:p>
          <w:p>
            <w:pPr>
              <w:overflowPunct w:val="0"/>
              <w:autoSpaceDE w:val="0"/>
              <w:autoSpaceDN w:val="0"/>
              <w:bidi w:val="0"/>
              <w:adjustRightInd w:val="0"/>
              <w:snapToGrid w:val="0"/>
              <w:spacing w:line="360" w:lineRule="auto"/>
              <w:ind w:firstLine="480" w:firstLineChars="200"/>
              <w:rPr>
                <w:rFonts w:hint="default" w:ascii="Times New Roman" w:hAnsi="Times New Roman" w:eastAsia="宋体" w:cs="Times New Roman"/>
                <w:kern w:val="2"/>
                <w:szCs w:val="24"/>
                <w:lang w:val="en-US" w:eastAsia="zh-CN"/>
              </w:rPr>
            </w:pPr>
            <w:r>
              <w:rPr>
                <w:rFonts w:hint="eastAsia" w:cs="Times New Roman"/>
                <w:kern w:val="2"/>
                <w:szCs w:val="24"/>
                <w:lang w:val="en-US" w:eastAsia="zh-CN"/>
              </w:rPr>
              <w:t>②</w:t>
            </w:r>
            <w:r>
              <w:rPr>
                <w:rFonts w:hint="eastAsia" w:ascii="Times New Roman" w:hAnsi="Times New Roman" w:eastAsia="宋体" w:cs="Times New Roman"/>
                <w:kern w:val="2"/>
                <w:szCs w:val="24"/>
                <w:lang w:val="en-US" w:eastAsia="zh-CN"/>
              </w:rPr>
              <w:t>挤塑有机废气</w:t>
            </w:r>
          </w:p>
          <w:p>
            <w:pPr>
              <w:overflow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000000"/>
                <w:sz w:val="24"/>
                <w:szCs w:val="24"/>
                <w:lang w:val="en-US" w:eastAsia="zh-CN" w:bidi="ar-SA"/>
              </w:rPr>
            </w:pPr>
            <w:r>
              <w:rPr>
                <w:rFonts w:hint="eastAsia" w:ascii="Times New Roman" w:hAnsi="Times New Roman" w:eastAsia="宋体" w:cs="宋体"/>
                <w:b w:val="0"/>
                <w:bCs w:val="0"/>
                <w:lang w:val="en-US" w:eastAsia="zh-CN"/>
              </w:rPr>
              <w:t>低压电缆生产线、控制电缆生产线</w:t>
            </w:r>
            <w:r>
              <w:rPr>
                <w:rFonts w:hint="eastAsia" w:cs="宋体"/>
                <w:b w:val="0"/>
                <w:bCs w:val="0"/>
                <w:lang w:val="en-US" w:eastAsia="zh-CN"/>
              </w:rPr>
              <w:t>以及</w:t>
            </w:r>
            <w:r>
              <w:rPr>
                <w:rFonts w:hint="eastAsia" w:ascii="Times New Roman" w:hAnsi="Times New Roman" w:eastAsia="宋体" w:cs="宋体"/>
                <w:b w:val="0"/>
                <w:bCs w:val="0"/>
                <w:lang w:val="en-US" w:eastAsia="zh-CN"/>
              </w:rPr>
              <w:t>防火电缆生产线</w:t>
            </w:r>
            <w:r>
              <w:rPr>
                <w:rFonts w:hint="eastAsia" w:ascii="Times New Roman" w:hAnsi="Times New Roman" w:eastAsia="宋体" w:cs="Times New Roman"/>
                <w:color w:val="000000"/>
                <w:sz w:val="24"/>
                <w:szCs w:val="24"/>
                <w:lang w:val="en-US" w:eastAsia="zh-CN" w:bidi="ar-SA"/>
              </w:rPr>
              <w:t>挤塑料使用的</w:t>
            </w:r>
            <w:r>
              <w:rPr>
                <w:rFonts w:hint="eastAsia" w:cs="Times New Roman"/>
                <w:color w:val="000000"/>
                <w:sz w:val="24"/>
                <w:szCs w:val="24"/>
                <w:lang w:val="en-US" w:eastAsia="zh-CN" w:bidi="ar-SA"/>
              </w:rPr>
              <w:t>均</w:t>
            </w:r>
            <w:r>
              <w:rPr>
                <w:rFonts w:hint="eastAsia" w:ascii="Times New Roman" w:hAnsi="Times New Roman" w:eastAsia="宋体" w:cs="Times New Roman"/>
                <w:color w:val="000000"/>
                <w:sz w:val="24"/>
                <w:szCs w:val="24"/>
                <w:lang w:val="en-US" w:eastAsia="zh-CN" w:bidi="ar-SA"/>
              </w:rPr>
              <w:t>为聚乙烯颗粒料</w:t>
            </w:r>
            <w:r>
              <w:rPr>
                <w:rFonts w:hint="eastAsia" w:cs="Times New Roman"/>
                <w:color w:val="000000"/>
                <w:sz w:val="24"/>
                <w:szCs w:val="24"/>
                <w:lang w:val="en-US" w:eastAsia="zh-CN" w:bidi="ar-SA"/>
              </w:rPr>
              <w:t>，</w:t>
            </w:r>
            <w:r>
              <w:rPr>
                <w:rFonts w:hint="eastAsia" w:ascii="Times New Roman" w:hAnsi="Times New Roman" w:eastAsia="宋体" w:cs="宋体"/>
                <w:b w:val="0"/>
                <w:bCs w:val="0"/>
                <w:lang w:val="en-US" w:eastAsia="zh-CN"/>
              </w:rPr>
              <w:t>消防电线</w:t>
            </w:r>
            <w:r>
              <w:rPr>
                <w:rFonts w:hint="eastAsia" w:cs="宋体"/>
                <w:b w:val="0"/>
                <w:bCs w:val="0"/>
                <w:lang w:val="en-US" w:eastAsia="zh-CN"/>
              </w:rPr>
              <w:t>生产线按需要分别添加聚乙烯、聚氯乙烯以及低烟无卤阻燃聚烯烃电缆料</w:t>
            </w:r>
            <w:r>
              <w:rPr>
                <w:rFonts w:hint="eastAsia" w:cs="Times New Roman"/>
                <w:color w:val="000000"/>
                <w:sz w:val="24"/>
                <w:szCs w:val="24"/>
                <w:lang w:val="en-US" w:eastAsia="zh-CN" w:bidi="ar-SA"/>
              </w:rPr>
              <w:t>，</w:t>
            </w:r>
            <w:r>
              <w:rPr>
                <w:rFonts w:hint="eastAsia" w:ascii="Times New Roman" w:hAnsi="Times New Roman" w:eastAsia="宋体" w:cs="Times New Roman"/>
                <w:color w:val="000000"/>
                <w:sz w:val="24"/>
                <w:szCs w:val="24"/>
                <w:lang w:val="en-US" w:eastAsia="zh-CN" w:bidi="ar-SA"/>
              </w:rPr>
              <w:t>均为袋装新料，因此不产生粉尘。</w:t>
            </w:r>
          </w:p>
          <w:p>
            <w:pPr>
              <w:overflowPunct w:val="0"/>
              <w:autoSpaceDE w:val="0"/>
              <w:autoSpaceDN w:val="0"/>
              <w:bidi w:val="0"/>
              <w:adjustRightInd w:val="0"/>
              <w:snapToGrid w:val="0"/>
              <w:spacing w:line="360" w:lineRule="auto"/>
              <w:ind w:firstLine="480" w:firstLineChars="200"/>
              <w:rPr>
                <w:rFonts w:hint="eastAsia"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本项目采用电加热方式对料筒进行加热，热熔挤出成型过程主要为物理熔融变化过程，加热和挤出过程中最高被加热至约150</w:t>
            </w:r>
            <w:r>
              <w:rPr>
                <w:rFonts w:hint="default" w:ascii="Times New Roman" w:hAnsi="Times New Roman" w:eastAsia="宋体" w:cs="Times New Roman"/>
                <w:color w:val="000000"/>
                <w:sz w:val="24"/>
                <w:szCs w:val="24"/>
                <w:lang w:val="en-US" w:eastAsia="zh-CN" w:bidi="ar-SA"/>
              </w:rPr>
              <w:t>℃</w:t>
            </w:r>
            <w:r>
              <w:rPr>
                <w:rFonts w:hint="eastAsia" w:ascii="Times New Roman" w:hAnsi="Times New Roman" w:eastAsia="宋体" w:cs="Times New Roman"/>
                <w:color w:val="000000"/>
                <w:sz w:val="24"/>
                <w:szCs w:val="24"/>
                <w:lang w:val="en-US" w:eastAsia="zh-CN" w:bidi="ar-SA"/>
              </w:rPr>
              <w:t>-160</w:t>
            </w:r>
            <w:r>
              <w:rPr>
                <w:rFonts w:hint="default" w:ascii="Times New Roman" w:hAnsi="Times New Roman" w:eastAsia="宋体" w:cs="Times New Roman"/>
                <w:color w:val="000000"/>
                <w:sz w:val="24"/>
                <w:szCs w:val="24"/>
                <w:lang w:val="en-US" w:eastAsia="zh-CN" w:bidi="ar-SA"/>
              </w:rPr>
              <w:t>℃</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未达到聚乙烯的热解温度（约300℃）</w:t>
            </w:r>
            <w:r>
              <w:rPr>
                <w:rFonts w:hint="eastAsia" w:cs="Times New Roman"/>
                <w:color w:val="000000"/>
                <w:sz w:val="24"/>
                <w:szCs w:val="24"/>
                <w:lang w:val="en-US" w:eastAsia="zh-CN" w:bidi="ar-SA"/>
              </w:rPr>
              <w:t>以及</w:t>
            </w:r>
            <w:r>
              <w:rPr>
                <w:rFonts w:hint="default" w:ascii="Times New Roman" w:hAnsi="Times New Roman" w:eastAsia="宋体" w:cs="Times New Roman"/>
                <w:color w:val="000000"/>
                <w:sz w:val="24"/>
                <w:szCs w:val="24"/>
                <w:lang w:val="en-US" w:eastAsia="zh-CN" w:bidi="ar-SA"/>
              </w:rPr>
              <w:t>聚氯乙烯的热解温度（约220℃）</w:t>
            </w:r>
            <w:r>
              <w:rPr>
                <w:rFonts w:hint="eastAsia" w:ascii="Times New Roman" w:hAnsi="Times New Roman" w:eastAsia="宋体" w:cs="Times New Roman"/>
                <w:color w:val="000000"/>
                <w:sz w:val="24"/>
                <w:szCs w:val="24"/>
                <w:lang w:val="en-US" w:eastAsia="zh-CN" w:bidi="ar-SA"/>
              </w:rPr>
              <w:t>，因加热温度控制在不发生裂解的温度条件下，故无裂解废气产生，但在实际操作过程中，因料筒局部过热等其它原因，会有少量单体产生，其中挤塑工段的聚乙烯会产生少量乙烯等挥发性有机物</w:t>
            </w:r>
            <w:r>
              <w:rPr>
                <w:rFonts w:hint="eastAsia" w:cs="Times New Roman"/>
                <w:color w:val="000000"/>
                <w:sz w:val="24"/>
                <w:szCs w:val="24"/>
                <w:lang w:val="en-US" w:eastAsia="zh-CN" w:bidi="ar-SA"/>
              </w:rPr>
              <w:t>，低烟无卤阻燃聚烯烃电缆料会产生少量烯烃等挥发性有机物，均以非甲烷总烃计。</w:t>
            </w:r>
          </w:p>
          <w:p>
            <w:pPr>
              <w:overflowPunct w:val="0"/>
              <w:autoSpaceDE w:val="0"/>
              <w:autoSpaceDN w:val="0"/>
              <w:bidi w:val="0"/>
              <w:adjustRightInd w:val="0"/>
              <w:snapToGrid w:val="0"/>
              <w:spacing w:line="360" w:lineRule="auto"/>
              <w:ind w:firstLine="480" w:firstLineChars="200"/>
              <w:rPr>
                <w:rFonts w:hint="eastAsia" w:cs="Times New Roman"/>
                <w:color w:val="000000"/>
                <w:sz w:val="24"/>
                <w:szCs w:val="24"/>
                <w:lang w:val="en-US" w:eastAsia="zh-CN" w:bidi="ar-SA"/>
              </w:rPr>
            </w:pPr>
            <w:r>
              <w:rPr>
                <w:rFonts w:hint="eastAsia" w:cs="Times New Roman"/>
                <w:color w:val="000000"/>
                <w:sz w:val="24"/>
                <w:szCs w:val="24"/>
                <w:lang w:val="en-US" w:eastAsia="zh-CN" w:bidi="ar-SA"/>
              </w:rPr>
              <w:t>根据《气相色谱质谱法分析聚氯乙烯加热分解产物》（中国卫生检验杂志），聚氯乙烯加热到150℃会产生氯乙烯、乙烯、二氯乙烯等挥发性有机物（以下均以非甲烷总烃计）、氯化氢以及臭气浓度。</w:t>
            </w:r>
          </w:p>
          <w:p>
            <w:pPr>
              <w:tabs>
                <w:tab w:val="left" w:pos="6295"/>
              </w:tabs>
              <w:overflowPunct/>
              <w:autoSpaceDE/>
              <w:autoSpaceDN/>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eastAsia" w:ascii="Times New Roman" w:hAnsi="Times New Roman" w:eastAsia="宋体" w:cs="Times New Roman"/>
                <w:snapToGrid w:val="0"/>
                <w:color w:val="000000"/>
                <w:sz w:val="24"/>
                <w:szCs w:val="24"/>
                <w:highlight w:val="none"/>
                <w:lang w:val="en-US" w:eastAsia="zh-CN" w:bidi="ar-SA"/>
              </w:rPr>
              <w:t>根据</w:t>
            </w:r>
            <w:r>
              <w:rPr>
                <w:rFonts w:hint="default" w:ascii="Times New Roman" w:hAnsi="Times New Roman" w:eastAsia="宋体" w:cs="Times New Roman"/>
                <w:snapToGrid w:val="0"/>
                <w:color w:val="000000"/>
                <w:sz w:val="24"/>
                <w:szCs w:val="24"/>
                <w:highlight w:val="none"/>
                <w:lang w:val="en-US" w:eastAsia="zh-CN" w:bidi="ar-SA"/>
              </w:rPr>
              <w:t>《排放源统计调查产排污核算方法和系数手册》2929 塑料零件及其他塑料制品制造行业系数表</w:t>
            </w:r>
            <w:r>
              <w:rPr>
                <w:rFonts w:hint="eastAsia" w:ascii="Times New Roman" w:hAnsi="Times New Roman" w:eastAsia="宋体" w:cs="Times New Roman"/>
                <w:snapToGrid w:val="0"/>
                <w:color w:val="000000"/>
                <w:sz w:val="24"/>
                <w:szCs w:val="24"/>
                <w:highlight w:val="none"/>
                <w:lang w:val="en-US" w:eastAsia="zh-CN" w:bidi="ar-SA"/>
              </w:rPr>
              <w:t>，配料-混合-挤出</w:t>
            </w:r>
            <w:r>
              <w:rPr>
                <w:rFonts w:hint="eastAsia" w:cs="Times New Roman"/>
                <w:snapToGrid w:val="0"/>
                <w:color w:val="000000"/>
                <w:sz w:val="24"/>
                <w:szCs w:val="24"/>
                <w:highlight w:val="none"/>
                <w:lang w:val="en-US" w:eastAsia="zh-CN" w:bidi="ar-SA"/>
              </w:rPr>
              <w:t>/注塑</w:t>
            </w:r>
            <w:r>
              <w:rPr>
                <w:rFonts w:hint="eastAsia" w:ascii="Times New Roman" w:hAnsi="Times New Roman" w:eastAsia="宋体" w:cs="Times New Roman"/>
                <w:snapToGrid w:val="0"/>
                <w:color w:val="000000"/>
                <w:sz w:val="24"/>
                <w:szCs w:val="24"/>
                <w:highlight w:val="none"/>
                <w:lang w:val="en-US" w:eastAsia="zh-CN" w:bidi="ar-SA"/>
              </w:rPr>
              <w:t>等挥发性有机物产污系数为</w:t>
            </w:r>
            <w:r>
              <w:rPr>
                <w:rFonts w:hint="eastAsia" w:cs="Times New Roman"/>
                <w:snapToGrid w:val="0"/>
                <w:color w:val="000000"/>
                <w:sz w:val="24"/>
                <w:szCs w:val="24"/>
                <w:highlight w:val="none"/>
                <w:lang w:val="en-US" w:eastAsia="zh-CN" w:bidi="ar-SA"/>
              </w:rPr>
              <w:t>2.7</w:t>
            </w:r>
            <w:r>
              <w:rPr>
                <w:rFonts w:hint="eastAsia" w:ascii="Times New Roman" w:hAnsi="Times New Roman" w:eastAsia="宋体" w:cs="Times New Roman"/>
                <w:snapToGrid w:val="0"/>
                <w:color w:val="000000"/>
                <w:sz w:val="24"/>
                <w:szCs w:val="24"/>
                <w:highlight w:val="none"/>
                <w:lang w:val="en-US" w:eastAsia="zh-CN" w:bidi="ar-SA"/>
              </w:rPr>
              <w:t>kg/吨</w:t>
            </w:r>
            <w:r>
              <w:rPr>
                <w:rFonts w:hint="eastAsia" w:ascii="Times New Roman" w:hAnsi="Times New Roman" w:eastAsia="宋体" w:cs="Times New Roman"/>
                <w:kern w:val="2"/>
                <w:szCs w:val="24"/>
                <w:lang w:val="en-US" w:eastAsia="zh-CN"/>
              </w:rPr>
              <w:t>-产品</w:t>
            </w:r>
            <w:r>
              <w:rPr>
                <w:rFonts w:hint="default" w:ascii="Times New Roman" w:hAnsi="Times New Roman" w:eastAsia="宋体" w:cs="Times New Roman"/>
                <w:color w:val="000000"/>
                <w:sz w:val="24"/>
                <w:szCs w:val="24"/>
                <w:lang w:val="en-US" w:eastAsia="zh-CN" w:bidi="ar-SA"/>
              </w:rPr>
              <w:t>，</w:t>
            </w:r>
            <w:r>
              <w:rPr>
                <w:rFonts w:hint="eastAsia" w:ascii="Times New Roman" w:hAnsi="Times New Roman" w:eastAsia="宋体" w:cs="Times New Roman"/>
                <w:color w:val="000000"/>
                <w:sz w:val="24"/>
                <w:szCs w:val="24"/>
                <w:lang w:val="en-US" w:eastAsia="zh-CN" w:bidi="ar-SA"/>
              </w:rPr>
              <w:t>本项目电线电缆所需挤塑产品最大可能产生量以原料总用量计，即挤塑料聚乙烯</w:t>
            </w:r>
            <w:r>
              <w:rPr>
                <w:rFonts w:hint="eastAsia" w:cs="Times New Roman"/>
                <w:color w:val="000000"/>
                <w:sz w:val="24"/>
                <w:szCs w:val="24"/>
                <w:lang w:val="en-US" w:eastAsia="zh-CN" w:bidi="ar-SA"/>
              </w:rPr>
              <w:t>340</w:t>
            </w:r>
            <w:r>
              <w:rPr>
                <w:rFonts w:hint="eastAsia" w:ascii="Times New Roman" w:hAnsi="Times New Roman" w:eastAsia="宋体" w:cs="Times New Roman"/>
                <w:color w:val="000000"/>
                <w:sz w:val="24"/>
                <w:szCs w:val="24"/>
                <w:lang w:val="en-US" w:eastAsia="zh-CN" w:bidi="ar-SA"/>
              </w:rPr>
              <w:t>t/a</w:t>
            </w:r>
            <w:r>
              <w:rPr>
                <w:rFonts w:hint="eastAsia" w:cs="Times New Roman"/>
                <w:color w:val="000000"/>
                <w:sz w:val="24"/>
                <w:szCs w:val="24"/>
                <w:lang w:val="en-US" w:eastAsia="zh-CN" w:bidi="ar-SA"/>
              </w:rPr>
              <w:t>，</w:t>
            </w:r>
            <w:r>
              <w:rPr>
                <w:rFonts w:hint="eastAsia" w:ascii="Times New Roman" w:hAnsi="Times New Roman" w:eastAsia="宋体" w:cs="Times New Roman"/>
                <w:color w:val="000000"/>
                <w:sz w:val="24"/>
                <w:szCs w:val="24"/>
                <w:lang w:val="en-US" w:eastAsia="zh-CN" w:bidi="ar-SA"/>
              </w:rPr>
              <w:t>聚氯乙烯50t/a、</w:t>
            </w:r>
            <w:r>
              <w:rPr>
                <w:rFonts w:hint="eastAsia" w:ascii="Times New Roman" w:hAnsi="Times New Roman" w:eastAsia="宋体" w:cs="宋体"/>
                <w:lang w:val="en-US" w:eastAsia="zh-CN"/>
              </w:rPr>
              <w:t>低烟无卤阻燃聚烯烃电缆料</w:t>
            </w:r>
            <w:r>
              <w:rPr>
                <w:rFonts w:hint="eastAsia" w:cs="Times New Roman"/>
                <w:color w:val="000000"/>
                <w:sz w:val="24"/>
                <w:szCs w:val="24"/>
                <w:lang w:val="en-US" w:eastAsia="zh-CN" w:bidi="ar-SA"/>
              </w:rPr>
              <w:t>50</w:t>
            </w:r>
            <w:r>
              <w:rPr>
                <w:rFonts w:hint="eastAsia" w:ascii="Times New Roman" w:hAnsi="Times New Roman" w:eastAsia="宋体" w:cs="Times New Roman"/>
                <w:color w:val="000000"/>
                <w:sz w:val="24"/>
                <w:szCs w:val="24"/>
                <w:lang w:val="en-US" w:eastAsia="zh-CN" w:bidi="ar-SA"/>
              </w:rPr>
              <w:t>t/a。</w:t>
            </w:r>
            <w:r>
              <w:rPr>
                <w:rFonts w:hint="default" w:ascii="Times New Roman" w:hAnsi="Times New Roman" w:eastAsia="宋体" w:cs="Times New Roman"/>
                <w:color w:val="000000"/>
                <w:sz w:val="24"/>
                <w:szCs w:val="24"/>
                <w:lang w:val="en-US" w:eastAsia="zh-CN" w:bidi="ar-SA"/>
              </w:rPr>
              <w:t>因此本项目在挤塑</w:t>
            </w:r>
            <w:r>
              <w:rPr>
                <w:rFonts w:hint="eastAsia" w:ascii="Times New Roman" w:hAnsi="Times New Roman" w:eastAsia="宋体" w:cs="Times New Roman"/>
                <w:color w:val="000000"/>
                <w:sz w:val="24"/>
                <w:szCs w:val="24"/>
                <w:lang w:val="en-US" w:eastAsia="zh-CN" w:bidi="ar-SA"/>
              </w:rPr>
              <w:t>生产过程中产生的非甲烷总烃共</w:t>
            </w:r>
            <w:r>
              <w:rPr>
                <w:rFonts w:hint="default" w:ascii="Times New Roman" w:hAnsi="Times New Roman" w:eastAsia="宋体" w:cs="Times New Roman"/>
                <w:color w:val="000000"/>
                <w:sz w:val="24"/>
                <w:szCs w:val="24"/>
                <w:lang w:val="en-US" w:eastAsia="zh-CN" w:bidi="ar-SA"/>
              </w:rPr>
              <w:t>约</w:t>
            </w:r>
            <w:r>
              <w:rPr>
                <w:rFonts w:hint="eastAsia" w:cs="Times New Roman"/>
                <w:color w:val="000000"/>
                <w:sz w:val="24"/>
                <w:szCs w:val="24"/>
                <w:lang w:val="en-US" w:eastAsia="zh-CN" w:bidi="ar-SA"/>
              </w:rPr>
              <w:t>1.19</w:t>
            </w:r>
            <w:r>
              <w:rPr>
                <w:rFonts w:hint="default" w:ascii="Times New Roman" w:hAnsi="Times New Roman" w:eastAsia="宋体" w:cs="Times New Roman"/>
                <w:color w:val="000000"/>
                <w:sz w:val="24"/>
                <w:szCs w:val="24"/>
                <w:lang w:val="en-US" w:eastAsia="zh-CN" w:bidi="ar-SA"/>
              </w:rPr>
              <w:t>t/a</w:t>
            </w:r>
            <w:r>
              <w:rPr>
                <w:rFonts w:hint="eastAsia" w:ascii="Times New Roman" w:hAnsi="Times New Roman" w:eastAsia="宋体" w:cs="Times New Roman"/>
                <w:color w:val="000000"/>
                <w:sz w:val="24"/>
                <w:szCs w:val="24"/>
                <w:lang w:val="en-US" w:eastAsia="zh-CN" w:bidi="ar-SA"/>
              </w:rPr>
              <w:t>。</w:t>
            </w:r>
          </w:p>
          <w:p>
            <w:pPr>
              <w:tabs>
                <w:tab w:val="left" w:pos="6295"/>
              </w:tabs>
              <w:overflowPunct/>
              <w:autoSpaceDE/>
              <w:autoSpaceDN/>
              <w:adjustRightInd/>
              <w:snapToGrid/>
              <w:spacing w:before="0" w:after="0" w:line="360" w:lineRule="auto"/>
              <w:ind w:left="0" w:right="0" w:firstLine="480" w:firstLineChars="200"/>
              <w:jc w:val="both"/>
              <w:rPr>
                <w:rFonts w:hint="eastAsia" w:ascii="Times New Roman" w:hAnsi="Times New Roman" w:eastAsia="宋体" w:cs="Times New Roman"/>
                <w:snapToGrid w:val="0"/>
                <w:color w:val="000000"/>
                <w:sz w:val="24"/>
                <w:szCs w:val="24"/>
                <w:highlight w:val="none"/>
                <w:lang w:val="en-US" w:eastAsia="zh-CN" w:bidi="ar-SA"/>
              </w:rPr>
            </w:pPr>
            <w:r>
              <w:rPr>
                <w:rFonts w:hint="eastAsia" w:ascii="Times New Roman" w:hAnsi="Times New Roman" w:eastAsia="宋体" w:cs="Times New Roman"/>
                <w:snapToGrid w:val="0"/>
                <w:color w:val="000000"/>
                <w:sz w:val="24"/>
                <w:szCs w:val="24"/>
                <w:highlight w:val="none"/>
                <w:lang w:val="en-US" w:eastAsia="zh-CN" w:bidi="ar-SA"/>
              </w:rPr>
              <w:t>参考《气相色谱质谱法分析聚氯乙烯加热分解产物》（中国卫生检验杂志），在温度为</w:t>
            </w:r>
            <w:r>
              <w:rPr>
                <w:rFonts w:hint="default" w:ascii="Times New Roman" w:hAnsi="Times New Roman" w:eastAsia="宋体" w:cs="Times New Roman"/>
                <w:snapToGrid w:val="0"/>
                <w:color w:val="000000"/>
                <w:sz w:val="24"/>
                <w:szCs w:val="24"/>
                <w:highlight w:val="none"/>
                <w:lang w:val="en-US" w:eastAsia="zh-CN" w:bidi="ar-SA"/>
              </w:rPr>
              <w:t>150℃</w:t>
            </w:r>
            <w:r>
              <w:rPr>
                <w:rFonts w:hint="eastAsia" w:ascii="Times New Roman" w:hAnsi="Times New Roman" w:eastAsia="宋体" w:cs="Times New Roman"/>
                <w:snapToGrid w:val="0"/>
                <w:color w:val="000000"/>
                <w:sz w:val="24"/>
                <w:szCs w:val="24"/>
                <w:highlight w:val="none"/>
                <w:lang w:val="en-US" w:eastAsia="zh-CN" w:bidi="ar-SA"/>
              </w:rPr>
              <w:t>下，25g纯聚氯乙烯在250mL具塞碘量瓶中加热分解氯化氢浓度为9.48mg/m</w:t>
            </w:r>
            <w:r>
              <w:rPr>
                <w:rFonts w:hint="eastAsia" w:ascii="Times New Roman" w:hAnsi="Times New Roman" w:eastAsia="宋体" w:cs="Times New Roman"/>
                <w:snapToGrid w:val="0"/>
                <w:color w:val="000000"/>
                <w:sz w:val="24"/>
                <w:szCs w:val="24"/>
                <w:highlight w:val="none"/>
                <w:vertAlign w:val="superscript"/>
                <w:lang w:val="en-US" w:eastAsia="zh-CN" w:bidi="ar-SA"/>
              </w:rPr>
              <w:t>3</w:t>
            </w:r>
            <w:r>
              <w:rPr>
                <w:rFonts w:hint="eastAsia" w:ascii="Times New Roman" w:hAnsi="Times New Roman" w:eastAsia="宋体" w:cs="Times New Roman"/>
                <w:snapToGrid w:val="0"/>
                <w:color w:val="000000"/>
                <w:sz w:val="24"/>
                <w:szCs w:val="24"/>
                <w:highlight w:val="none"/>
                <w:lang w:val="en-US" w:eastAsia="zh-CN" w:bidi="ar-SA"/>
              </w:rPr>
              <w:t>，折算出25g纯聚氯乙烯在下150</w:t>
            </w:r>
            <w:r>
              <w:rPr>
                <w:rFonts w:hint="default" w:ascii="Times New Roman" w:hAnsi="Times New Roman" w:eastAsia="宋体" w:cs="Times New Roman"/>
                <w:snapToGrid w:val="0"/>
                <w:color w:val="000000"/>
                <w:sz w:val="24"/>
                <w:szCs w:val="24"/>
                <w:highlight w:val="none"/>
                <w:lang w:val="en-US" w:eastAsia="zh-CN" w:bidi="ar-SA"/>
              </w:rPr>
              <w:t>℃</w:t>
            </w:r>
            <w:r>
              <w:rPr>
                <w:rFonts w:hint="eastAsia" w:ascii="Times New Roman" w:hAnsi="Times New Roman" w:eastAsia="宋体" w:cs="Times New Roman"/>
                <w:snapToGrid w:val="0"/>
                <w:color w:val="000000"/>
                <w:sz w:val="24"/>
                <w:szCs w:val="24"/>
                <w:highlight w:val="none"/>
                <w:lang w:val="en-US" w:eastAsia="zh-CN" w:bidi="ar-SA"/>
              </w:rPr>
              <w:t>产生氯化氢量为2.37×10</w:t>
            </w:r>
            <w:r>
              <w:rPr>
                <w:rFonts w:hint="eastAsia" w:ascii="Times New Roman" w:hAnsi="Times New Roman" w:eastAsia="宋体" w:cs="Times New Roman"/>
                <w:snapToGrid w:val="0"/>
                <w:color w:val="000000"/>
                <w:sz w:val="24"/>
                <w:szCs w:val="24"/>
                <w:highlight w:val="none"/>
                <w:vertAlign w:val="superscript"/>
                <w:lang w:val="en-US" w:eastAsia="zh-CN" w:bidi="ar-SA"/>
              </w:rPr>
              <w:t>-3</w:t>
            </w:r>
            <w:r>
              <w:rPr>
                <w:rFonts w:hint="eastAsia" w:ascii="Times New Roman" w:hAnsi="Times New Roman" w:eastAsia="宋体" w:cs="Times New Roman"/>
                <w:snapToGrid w:val="0"/>
                <w:color w:val="000000"/>
                <w:sz w:val="24"/>
                <w:szCs w:val="24"/>
                <w:highlight w:val="none"/>
                <w:lang w:val="en-US" w:eastAsia="zh-CN" w:bidi="ar-SA"/>
              </w:rPr>
              <w:t>mg；</w:t>
            </w:r>
            <w:r>
              <w:rPr>
                <w:rFonts w:hint="eastAsia" w:cs="Times New Roman"/>
                <w:snapToGrid w:val="0"/>
                <w:color w:val="000000"/>
                <w:sz w:val="24"/>
                <w:szCs w:val="24"/>
                <w:highlight w:val="none"/>
                <w:lang w:val="en-US" w:eastAsia="zh-CN" w:bidi="ar-SA"/>
              </w:rPr>
              <w:t>挤塑</w:t>
            </w:r>
            <w:r>
              <w:rPr>
                <w:rFonts w:hint="eastAsia" w:ascii="Times New Roman" w:hAnsi="Times New Roman" w:eastAsia="宋体" w:cs="Times New Roman"/>
                <w:snapToGrid w:val="0"/>
                <w:color w:val="000000"/>
                <w:sz w:val="24"/>
                <w:szCs w:val="24"/>
                <w:highlight w:val="none"/>
                <w:lang w:val="en-US" w:eastAsia="zh-CN" w:bidi="ar-SA"/>
              </w:rPr>
              <w:t>聚氯乙烯年用量为50t/a，因此氯化氢产量为0.0</w:t>
            </w:r>
            <w:r>
              <w:rPr>
                <w:rFonts w:hint="eastAsia" w:cs="Times New Roman"/>
                <w:snapToGrid w:val="0"/>
                <w:color w:val="000000"/>
                <w:sz w:val="24"/>
                <w:szCs w:val="24"/>
                <w:highlight w:val="none"/>
                <w:lang w:val="en-US" w:eastAsia="zh-CN" w:bidi="ar-SA"/>
              </w:rPr>
              <w:t>05</w:t>
            </w:r>
            <w:r>
              <w:rPr>
                <w:rFonts w:hint="eastAsia" w:ascii="Times New Roman" w:hAnsi="Times New Roman" w:eastAsia="宋体" w:cs="Times New Roman"/>
                <w:snapToGrid w:val="0"/>
                <w:color w:val="000000"/>
                <w:sz w:val="24"/>
                <w:szCs w:val="24"/>
                <w:highlight w:val="none"/>
                <w:lang w:val="en-US" w:eastAsia="zh-CN" w:bidi="ar-SA"/>
              </w:rPr>
              <w:t xml:space="preserve">kg/a。  </w:t>
            </w:r>
          </w:p>
          <w:p>
            <w:pPr>
              <w:tabs>
                <w:tab w:val="left" w:pos="6295"/>
              </w:tabs>
              <w:overflowPunct/>
              <w:autoSpaceDE/>
              <w:autoSpaceDN/>
              <w:adjustRightInd/>
              <w:snapToGrid/>
              <w:spacing w:before="0" w:after="0" w:line="360" w:lineRule="auto"/>
              <w:ind w:left="0" w:right="0" w:firstLine="480" w:firstLineChars="200"/>
              <w:jc w:val="both"/>
              <w:rPr>
                <w:rFonts w:hint="default" w:cs="宋体"/>
                <w:snapToGrid w:val="0"/>
                <w:color w:val="auto"/>
                <w:sz w:val="24"/>
                <w:szCs w:val="21"/>
                <w:lang w:val="en-US" w:eastAsia="zh-CN" w:bidi="ar-SA"/>
              </w:rPr>
            </w:pPr>
            <w:r>
              <w:rPr>
                <w:rFonts w:hint="eastAsia" w:cs="宋体"/>
                <w:snapToGrid w:val="0"/>
                <w:color w:val="auto"/>
                <w:sz w:val="24"/>
                <w:szCs w:val="21"/>
                <w:lang w:val="en-US" w:eastAsia="zh-CN" w:bidi="ar-SA"/>
              </w:rPr>
              <w:t>③交联有机废气</w:t>
            </w:r>
          </w:p>
          <w:p>
            <w:pPr>
              <w:overflowPunct w:val="0"/>
              <w:autoSpaceDE w:val="0"/>
              <w:autoSpaceDN w:val="0"/>
              <w:bidi w:val="0"/>
              <w:adjustRightInd w:val="0"/>
              <w:snapToGrid w:val="0"/>
              <w:spacing w:line="360" w:lineRule="auto"/>
              <w:ind w:firstLine="480" w:firstLineChars="200"/>
              <w:rPr>
                <w:rFonts w:hint="eastAsia" w:cs="Times New Roman"/>
                <w:color w:val="000000"/>
                <w:sz w:val="24"/>
                <w:szCs w:val="24"/>
                <w:lang w:val="en-US" w:eastAsia="zh-CN" w:bidi="ar-SA"/>
              </w:rPr>
            </w:pPr>
            <w:r>
              <w:rPr>
                <w:rFonts w:hint="eastAsia" w:cs="Times New Roman"/>
                <w:snapToGrid w:val="0"/>
                <w:color w:val="000000"/>
                <w:sz w:val="24"/>
                <w:szCs w:val="24"/>
                <w:highlight w:val="none"/>
                <w:lang w:val="en-US" w:eastAsia="zh-CN" w:bidi="ar-SA"/>
              </w:rPr>
              <w:t>本项目挤塑聚乙烯、</w:t>
            </w:r>
            <w:r>
              <w:rPr>
                <w:rFonts w:hint="eastAsia" w:ascii="Times New Roman" w:hAnsi="Times New Roman" w:eastAsia="宋体" w:cs="宋体"/>
                <w:lang w:val="en-US" w:eastAsia="zh-CN"/>
              </w:rPr>
              <w:t>低烟无卤阻燃聚烯烃电缆料</w:t>
            </w:r>
            <w:r>
              <w:rPr>
                <w:rFonts w:hint="eastAsia" w:cs="宋体"/>
                <w:lang w:val="en-US" w:eastAsia="zh-CN"/>
              </w:rPr>
              <w:t>进行紫外光交联时（聚氯乙烯挤塑不进行紫外光交联），</w:t>
            </w:r>
            <w:r>
              <w:rPr>
                <w:rFonts w:hint="eastAsia" w:cs="Times New Roman"/>
                <w:color w:val="000000"/>
                <w:sz w:val="24"/>
                <w:szCs w:val="24"/>
                <w:lang w:val="en-US" w:eastAsia="zh-CN" w:bidi="ar-SA"/>
              </w:rPr>
              <w:t>由于使用的是未进行冷却的挤塑半成品，紫外光作为热源，紫外光交联</w:t>
            </w:r>
            <w:r>
              <w:rPr>
                <w:rFonts w:hint="eastAsia" w:ascii="Times New Roman" w:hAnsi="Times New Roman" w:eastAsia="宋体" w:cs="Times New Roman"/>
                <w:color w:val="000000"/>
                <w:sz w:val="24"/>
                <w:szCs w:val="24"/>
                <w:lang w:val="en-US" w:eastAsia="zh-CN" w:bidi="ar-SA"/>
              </w:rPr>
              <w:t>会有少量单体产生，其中挤塑工段的聚乙烯会产生少量乙烯等挥发性有机物</w:t>
            </w:r>
            <w:r>
              <w:rPr>
                <w:rFonts w:hint="eastAsia" w:cs="Times New Roman"/>
                <w:color w:val="000000"/>
                <w:sz w:val="24"/>
                <w:szCs w:val="24"/>
                <w:lang w:val="en-US" w:eastAsia="zh-CN" w:bidi="ar-SA"/>
              </w:rPr>
              <w:t>，低烟无卤阻燃聚烯烃电缆料会产生少量烯烃等挥发性有机物，均以非甲烷总烃计。</w:t>
            </w:r>
          </w:p>
          <w:p>
            <w:pPr>
              <w:tabs>
                <w:tab w:val="left" w:pos="6295"/>
              </w:tabs>
              <w:overflowPunct/>
              <w:autoSpaceDE/>
              <w:autoSpaceDN/>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eastAsia" w:cs="Times New Roman"/>
                <w:snapToGrid w:val="0"/>
                <w:color w:val="000000"/>
                <w:sz w:val="24"/>
                <w:szCs w:val="24"/>
                <w:highlight w:val="none"/>
                <w:lang w:val="en-US" w:eastAsia="zh-CN" w:bidi="ar-SA"/>
              </w:rPr>
              <w:t>参照</w:t>
            </w:r>
            <w:r>
              <w:rPr>
                <w:rFonts w:hint="default" w:ascii="Times New Roman" w:hAnsi="Times New Roman" w:eastAsia="宋体" w:cs="Times New Roman"/>
                <w:snapToGrid w:val="0"/>
                <w:color w:val="000000"/>
                <w:sz w:val="24"/>
                <w:szCs w:val="24"/>
                <w:highlight w:val="none"/>
                <w:lang w:val="en-US" w:eastAsia="zh-CN" w:bidi="ar-SA"/>
              </w:rPr>
              <w:t>《排放源统计调查产排污核算方法和系数手册》2929 塑料零件及其他塑料制品制造行业系数表</w:t>
            </w:r>
            <w:r>
              <w:rPr>
                <w:rFonts w:hint="eastAsia" w:ascii="Times New Roman" w:hAnsi="Times New Roman" w:eastAsia="宋体" w:cs="Times New Roman"/>
                <w:snapToGrid w:val="0"/>
                <w:color w:val="000000"/>
                <w:sz w:val="24"/>
                <w:szCs w:val="24"/>
                <w:highlight w:val="none"/>
                <w:lang w:val="en-US" w:eastAsia="zh-CN" w:bidi="ar-SA"/>
              </w:rPr>
              <w:t>，配料-混合-挤出</w:t>
            </w:r>
            <w:r>
              <w:rPr>
                <w:rFonts w:hint="eastAsia" w:cs="Times New Roman"/>
                <w:snapToGrid w:val="0"/>
                <w:color w:val="000000"/>
                <w:sz w:val="24"/>
                <w:szCs w:val="24"/>
                <w:highlight w:val="none"/>
                <w:lang w:val="en-US" w:eastAsia="zh-CN" w:bidi="ar-SA"/>
              </w:rPr>
              <w:t>/注塑</w:t>
            </w:r>
            <w:r>
              <w:rPr>
                <w:rFonts w:hint="eastAsia" w:ascii="Times New Roman" w:hAnsi="Times New Roman" w:eastAsia="宋体" w:cs="Times New Roman"/>
                <w:snapToGrid w:val="0"/>
                <w:color w:val="000000"/>
                <w:sz w:val="24"/>
                <w:szCs w:val="24"/>
                <w:highlight w:val="none"/>
                <w:lang w:val="en-US" w:eastAsia="zh-CN" w:bidi="ar-SA"/>
              </w:rPr>
              <w:t>等挥发性有机物产污系数为</w:t>
            </w:r>
            <w:r>
              <w:rPr>
                <w:rFonts w:hint="eastAsia" w:cs="Times New Roman"/>
                <w:snapToGrid w:val="0"/>
                <w:color w:val="000000"/>
                <w:sz w:val="24"/>
                <w:szCs w:val="24"/>
                <w:highlight w:val="none"/>
                <w:lang w:val="en-US" w:eastAsia="zh-CN" w:bidi="ar-SA"/>
              </w:rPr>
              <w:t>2.7</w:t>
            </w:r>
            <w:r>
              <w:rPr>
                <w:rFonts w:hint="eastAsia" w:ascii="Times New Roman" w:hAnsi="Times New Roman" w:eastAsia="宋体" w:cs="Times New Roman"/>
                <w:snapToGrid w:val="0"/>
                <w:color w:val="000000"/>
                <w:sz w:val="24"/>
                <w:szCs w:val="24"/>
                <w:highlight w:val="none"/>
                <w:lang w:val="en-US" w:eastAsia="zh-CN" w:bidi="ar-SA"/>
              </w:rPr>
              <w:t>kg/吨</w:t>
            </w:r>
            <w:r>
              <w:rPr>
                <w:rFonts w:hint="eastAsia" w:ascii="Times New Roman" w:hAnsi="Times New Roman" w:eastAsia="宋体" w:cs="Times New Roman"/>
                <w:kern w:val="2"/>
                <w:szCs w:val="24"/>
                <w:lang w:val="en-US" w:eastAsia="zh-CN"/>
              </w:rPr>
              <w:t>-产品</w:t>
            </w:r>
            <w:r>
              <w:rPr>
                <w:rFonts w:hint="default" w:ascii="Times New Roman" w:hAnsi="Times New Roman" w:eastAsia="宋体" w:cs="Times New Roman"/>
                <w:color w:val="000000"/>
                <w:sz w:val="24"/>
                <w:szCs w:val="24"/>
                <w:lang w:val="en-US" w:eastAsia="zh-CN" w:bidi="ar-SA"/>
              </w:rPr>
              <w:t>，</w:t>
            </w:r>
            <w:r>
              <w:rPr>
                <w:rFonts w:hint="eastAsia" w:ascii="Times New Roman" w:hAnsi="Times New Roman" w:eastAsia="宋体" w:cs="Times New Roman"/>
                <w:color w:val="000000"/>
                <w:sz w:val="24"/>
                <w:szCs w:val="24"/>
                <w:lang w:val="en-US" w:eastAsia="zh-CN" w:bidi="ar-SA"/>
              </w:rPr>
              <w:t>本项目电线电缆所需挤塑产品最大可能产生量以原料总用量计，即挤塑料聚乙烯</w:t>
            </w:r>
            <w:r>
              <w:rPr>
                <w:rFonts w:hint="eastAsia" w:cs="Times New Roman"/>
                <w:color w:val="000000"/>
                <w:sz w:val="24"/>
                <w:szCs w:val="24"/>
                <w:lang w:val="en-US" w:eastAsia="zh-CN" w:bidi="ar-SA"/>
              </w:rPr>
              <w:t>340</w:t>
            </w:r>
            <w:r>
              <w:rPr>
                <w:rFonts w:hint="eastAsia" w:ascii="Times New Roman" w:hAnsi="Times New Roman" w:eastAsia="宋体" w:cs="Times New Roman"/>
                <w:color w:val="000000"/>
                <w:sz w:val="24"/>
                <w:szCs w:val="24"/>
                <w:lang w:val="en-US" w:eastAsia="zh-CN" w:bidi="ar-SA"/>
              </w:rPr>
              <w:t>t/a</w:t>
            </w:r>
            <w:r>
              <w:rPr>
                <w:rFonts w:hint="eastAsia" w:cs="Times New Roman"/>
                <w:color w:val="000000"/>
                <w:sz w:val="24"/>
                <w:szCs w:val="24"/>
                <w:lang w:val="en-US" w:eastAsia="zh-CN" w:bidi="ar-SA"/>
              </w:rPr>
              <w:t>，</w:t>
            </w:r>
            <w:r>
              <w:rPr>
                <w:rFonts w:hint="eastAsia" w:ascii="Times New Roman" w:hAnsi="Times New Roman" w:eastAsia="宋体" w:cs="宋体"/>
                <w:lang w:val="en-US" w:eastAsia="zh-CN"/>
              </w:rPr>
              <w:t>低烟无卤阻燃聚烯烃电缆料</w:t>
            </w:r>
            <w:r>
              <w:rPr>
                <w:rFonts w:hint="eastAsia" w:cs="Times New Roman"/>
                <w:color w:val="000000"/>
                <w:sz w:val="24"/>
                <w:szCs w:val="24"/>
                <w:lang w:val="en-US" w:eastAsia="zh-CN" w:bidi="ar-SA"/>
              </w:rPr>
              <w:t>50</w:t>
            </w:r>
            <w:r>
              <w:rPr>
                <w:rFonts w:hint="eastAsia" w:ascii="Times New Roman" w:hAnsi="Times New Roman" w:eastAsia="宋体" w:cs="Times New Roman"/>
                <w:color w:val="000000"/>
                <w:sz w:val="24"/>
                <w:szCs w:val="24"/>
                <w:lang w:val="en-US" w:eastAsia="zh-CN" w:bidi="ar-SA"/>
              </w:rPr>
              <w:t>t/a。</w:t>
            </w:r>
            <w:r>
              <w:rPr>
                <w:rFonts w:hint="default" w:ascii="Times New Roman" w:hAnsi="Times New Roman" w:eastAsia="宋体" w:cs="Times New Roman"/>
                <w:color w:val="000000"/>
                <w:sz w:val="24"/>
                <w:szCs w:val="24"/>
                <w:lang w:val="en-US" w:eastAsia="zh-CN" w:bidi="ar-SA"/>
              </w:rPr>
              <w:t>因此本项目在挤塑</w:t>
            </w:r>
            <w:r>
              <w:rPr>
                <w:rFonts w:hint="eastAsia" w:ascii="Times New Roman" w:hAnsi="Times New Roman" w:eastAsia="宋体" w:cs="Times New Roman"/>
                <w:color w:val="000000"/>
                <w:sz w:val="24"/>
                <w:szCs w:val="24"/>
                <w:lang w:val="en-US" w:eastAsia="zh-CN" w:bidi="ar-SA"/>
              </w:rPr>
              <w:t>生产过程中产生的非甲烷总烃共</w:t>
            </w:r>
            <w:r>
              <w:rPr>
                <w:rFonts w:hint="default" w:ascii="Times New Roman" w:hAnsi="Times New Roman" w:eastAsia="宋体" w:cs="Times New Roman"/>
                <w:color w:val="000000"/>
                <w:sz w:val="24"/>
                <w:szCs w:val="24"/>
                <w:lang w:val="en-US" w:eastAsia="zh-CN" w:bidi="ar-SA"/>
              </w:rPr>
              <w:t>约</w:t>
            </w:r>
            <w:r>
              <w:rPr>
                <w:rFonts w:hint="eastAsia" w:cs="Times New Roman"/>
                <w:color w:val="000000"/>
                <w:sz w:val="24"/>
                <w:szCs w:val="24"/>
                <w:lang w:val="en-US" w:eastAsia="zh-CN" w:bidi="ar-SA"/>
              </w:rPr>
              <w:t>1.05</w:t>
            </w:r>
            <w:r>
              <w:rPr>
                <w:rFonts w:hint="default" w:ascii="Times New Roman" w:hAnsi="Times New Roman" w:eastAsia="宋体" w:cs="Times New Roman"/>
                <w:color w:val="000000"/>
                <w:sz w:val="24"/>
                <w:szCs w:val="24"/>
                <w:lang w:val="en-US" w:eastAsia="zh-CN" w:bidi="ar-SA"/>
              </w:rPr>
              <w:t>t/a</w:t>
            </w:r>
            <w:r>
              <w:rPr>
                <w:rFonts w:hint="eastAsia" w:ascii="Times New Roman" w:hAnsi="Times New Roman" w:eastAsia="宋体" w:cs="Times New Roman"/>
                <w:color w:val="000000"/>
                <w:sz w:val="24"/>
                <w:szCs w:val="24"/>
                <w:lang w:val="en-US" w:eastAsia="zh-CN" w:bidi="ar-SA"/>
              </w:rPr>
              <w:t>。</w:t>
            </w:r>
          </w:p>
          <w:p>
            <w:pPr>
              <w:tabs>
                <w:tab w:val="left" w:pos="6295"/>
              </w:tabs>
              <w:overflowPunct/>
              <w:autoSpaceDE/>
              <w:autoSpaceDN/>
              <w:adjustRightInd/>
              <w:snapToGrid/>
              <w:spacing w:before="0" w:after="0" w:line="360" w:lineRule="auto"/>
              <w:ind w:left="0" w:right="0" w:firstLine="480" w:firstLineChars="200"/>
              <w:jc w:val="both"/>
              <w:rPr>
                <w:rFonts w:hint="default" w:ascii="Times New Roman" w:hAnsi="Times New Roman" w:eastAsia="宋体" w:cs="Times New Roman"/>
                <w:snapToGrid w:val="0"/>
                <w:color w:val="000000"/>
                <w:sz w:val="24"/>
                <w:szCs w:val="24"/>
                <w:highlight w:val="none"/>
                <w:lang w:val="en-US" w:eastAsia="zh-CN" w:bidi="ar-SA"/>
              </w:rPr>
            </w:pPr>
            <w:r>
              <w:rPr>
                <w:rFonts w:hint="eastAsia" w:cs="Times New Roman"/>
                <w:snapToGrid w:val="0"/>
                <w:color w:val="000000"/>
                <w:sz w:val="24"/>
                <w:szCs w:val="24"/>
                <w:highlight w:val="none"/>
                <w:lang w:val="en-US" w:eastAsia="zh-CN" w:bidi="ar-SA"/>
              </w:rPr>
              <w:t>④</w:t>
            </w:r>
            <w:r>
              <w:rPr>
                <w:rFonts w:hint="eastAsia" w:ascii="Times New Roman" w:hAnsi="Times New Roman" w:eastAsia="宋体" w:cs="Times New Roman"/>
                <w:snapToGrid w:val="0"/>
                <w:color w:val="000000"/>
                <w:sz w:val="24"/>
                <w:szCs w:val="24"/>
                <w:highlight w:val="none"/>
                <w:lang w:val="en-US" w:eastAsia="zh-CN" w:bidi="ar-SA"/>
              </w:rPr>
              <w:t>挤护外套有机废气</w:t>
            </w:r>
          </w:p>
          <w:p>
            <w:pPr>
              <w:tabs>
                <w:tab w:val="left" w:pos="6295"/>
              </w:tabs>
              <w:overflowPunct/>
              <w:autoSpaceDE/>
              <w:autoSpaceDN/>
              <w:adjustRightInd/>
              <w:snapToGrid/>
              <w:spacing w:before="0" w:after="0" w:line="360" w:lineRule="auto"/>
              <w:ind w:left="0" w:right="0"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由于本项目</w:t>
            </w:r>
            <w:r>
              <w:rPr>
                <w:rFonts w:hint="eastAsia" w:ascii="Times New Roman" w:hAnsi="Times New Roman" w:eastAsia="宋体" w:cs="Times New Roman"/>
                <w:snapToGrid w:val="0"/>
                <w:color w:val="000000"/>
                <w:sz w:val="24"/>
                <w:szCs w:val="24"/>
                <w:highlight w:val="none"/>
                <w:lang w:val="en-US" w:eastAsia="zh-CN" w:bidi="ar-SA"/>
              </w:rPr>
              <w:t>挤护外套</w:t>
            </w:r>
            <w:r>
              <w:rPr>
                <w:rFonts w:hint="eastAsia" w:ascii="Times New Roman" w:hAnsi="Times New Roman" w:eastAsia="宋体" w:cs="Times New Roman"/>
                <w:color w:val="000000"/>
                <w:sz w:val="24"/>
                <w:szCs w:val="24"/>
                <w:lang w:val="en-US" w:eastAsia="zh-CN" w:bidi="ar-SA"/>
              </w:rPr>
              <w:t>料使用的为聚氯乙烯以及</w:t>
            </w:r>
            <w:r>
              <w:rPr>
                <w:rFonts w:hint="eastAsia" w:ascii="Times New Roman" w:hAnsi="Times New Roman" w:eastAsia="宋体" w:cs="宋体"/>
                <w:lang w:val="en-US" w:eastAsia="zh-CN"/>
              </w:rPr>
              <w:t>低烟无卤阻燃聚烯烃电缆料均为颗粒料</w:t>
            </w:r>
            <w:r>
              <w:rPr>
                <w:rFonts w:hint="eastAsia" w:ascii="Times New Roman" w:hAnsi="Times New Roman" w:eastAsia="宋体" w:cs="Times New Roman"/>
                <w:color w:val="000000"/>
                <w:sz w:val="24"/>
                <w:szCs w:val="24"/>
                <w:lang w:val="en-US" w:eastAsia="zh-CN" w:bidi="ar-SA"/>
              </w:rPr>
              <w:t>，袋装新料，因此不产生粉尘。</w:t>
            </w:r>
          </w:p>
          <w:p>
            <w:pPr>
              <w:tabs>
                <w:tab w:val="left" w:pos="6295"/>
              </w:tabs>
              <w:overflowPunct/>
              <w:autoSpaceDE/>
              <w:autoSpaceDN/>
              <w:adjustRightInd/>
              <w:snapToGrid/>
              <w:spacing w:before="0" w:after="0" w:line="360" w:lineRule="auto"/>
              <w:ind w:left="0" w:right="0"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本项目采用电加热方式对料筒进行加热，热熔挤出成型过程主要为物理熔融变化过程，加热和挤出过程中最高被加热至约150</w:t>
            </w:r>
            <w:r>
              <w:rPr>
                <w:rFonts w:hint="default" w:ascii="Times New Roman" w:hAnsi="Times New Roman" w:eastAsia="宋体" w:cs="Times New Roman"/>
                <w:color w:val="000000"/>
                <w:sz w:val="24"/>
                <w:szCs w:val="24"/>
                <w:lang w:val="en-US" w:eastAsia="zh-CN" w:bidi="ar-SA"/>
              </w:rPr>
              <w:t>℃</w:t>
            </w:r>
            <w:r>
              <w:rPr>
                <w:rFonts w:hint="eastAsia" w:ascii="Times New Roman" w:hAnsi="Times New Roman" w:eastAsia="宋体" w:cs="Times New Roman"/>
                <w:color w:val="000000"/>
                <w:sz w:val="24"/>
                <w:szCs w:val="24"/>
                <w:lang w:val="en-US" w:eastAsia="zh-CN" w:bidi="ar-SA"/>
              </w:rPr>
              <w:t>-160</w:t>
            </w:r>
            <w:r>
              <w:rPr>
                <w:rFonts w:hint="default" w:ascii="Times New Roman" w:hAnsi="Times New Roman" w:eastAsia="宋体" w:cs="Times New Roman"/>
                <w:color w:val="000000"/>
                <w:sz w:val="24"/>
                <w:szCs w:val="24"/>
                <w:lang w:val="en-US" w:eastAsia="zh-CN" w:bidi="ar-SA"/>
              </w:rPr>
              <w:t>℃</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未达到聚氯乙烯的热解温度（约220℃）</w:t>
            </w:r>
            <w:r>
              <w:rPr>
                <w:rFonts w:hint="eastAsia" w:ascii="Times New Roman" w:hAnsi="Times New Roman" w:eastAsia="宋体" w:cs="Times New Roman"/>
                <w:color w:val="000000"/>
                <w:sz w:val="24"/>
                <w:szCs w:val="24"/>
                <w:lang w:val="en-US" w:eastAsia="zh-CN" w:bidi="ar-SA"/>
              </w:rPr>
              <w:t>，因加热温度控制在不发生裂解的温度条件下，故无裂解废气产生，但在实际操作过程中，因料筒局部过热等其它原因，会有少量单体产生，挤护外套的</w:t>
            </w:r>
            <w:r>
              <w:rPr>
                <w:rFonts w:hint="eastAsia" w:ascii="Times New Roman" w:hAnsi="Times New Roman" w:eastAsia="宋体" w:cs="宋体"/>
                <w:lang w:val="en-US" w:eastAsia="zh-CN"/>
              </w:rPr>
              <w:t>低烟无卤阻燃聚烯烃电缆料</w:t>
            </w:r>
            <w:r>
              <w:rPr>
                <w:rFonts w:hint="eastAsia" w:ascii="Times New Roman" w:hAnsi="Times New Roman" w:eastAsia="宋体" w:cs="Times New Roman"/>
                <w:color w:val="000000"/>
                <w:sz w:val="24"/>
                <w:szCs w:val="24"/>
                <w:lang w:val="en-US" w:eastAsia="zh-CN" w:bidi="ar-SA"/>
              </w:rPr>
              <w:t>会产生少量烯烃等挥发性有机物，以非甲烷总烃计。根据</w:t>
            </w:r>
            <w:r>
              <w:rPr>
                <w:rFonts w:hint="eastAsia" w:ascii="Times New Roman" w:hAnsi="Times New Roman" w:eastAsia="宋体" w:cs="Times New Roman"/>
                <w:snapToGrid w:val="0"/>
                <w:color w:val="000000"/>
                <w:sz w:val="24"/>
                <w:szCs w:val="24"/>
                <w:highlight w:val="none"/>
                <w:lang w:val="en-US" w:eastAsia="zh-CN" w:bidi="ar-SA"/>
              </w:rPr>
              <w:t>《气相色谱质谱法分析聚氯乙烯加热分解产物》（中国卫生检验杂志），聚氯乙烯加热到150</w:t>
            </w:r>
            <w:r>
              <w:rPr>
                <w:rFonts w:hint="default" w:ascii="Times New Roman" w:hAnsi="Times New Roman" w:eastAsia="宋体" w:cs="Times New Roman"/>
                <w:color w:val="000000"/>
                <w:sz w:val="24"/>
                <w:szCs w:val="24"/>
                <w:lang w:val="en-US" w:eastAsia="zh-CN" w:bidi="ar-SA"/>
              </w:rPr>
              <w:t>℃</w:t>
            </w:r>
            <w:r>
              <w:rPr>
                <w:rFonts w:hint="eastAsia" w:ascii="Times New Roman" w:hAnsi="Times New Roman" w:eastAsia="宋体" w:cs="Times New Roman"/>
                <w:color w:val="000000"/>
                <w:sz w:val="24"/>
                <w:szCs w:val="24"/>
                <w:lang w:val="en-US" w:eastAsia="zh-CN" w:bidi="ar-SA"/>
              </w:rPr>
              <w:t>会产生氯乙烯、乙烯、二氯乙烯等挥发性有机物（以下均以非甲烷总烃计）、氯化氢以及臭气浓度。</w:t>
            </w:r>
          </w:p>
          <w:p>
            <w:pPr>
              <w:tabs>
                <w:tab w:val="left" w:pos="6295"/>
              </w:tabs>
              <w:overflowPunct/>
              <w:autoSpaceDE/>
              <w:autoSpaceDN/>
              <w:adjustRightInd/>
              <w:snapToGrid/>
              <w:spacing w:before="0" w:after="0" w:line="360" w:lineRule="auto"/>
              <w:ind w:left="0" w:right="0" w:firstLine="480" w:firstLineChars="200"/>
              <w:jc w:val="both"/>
              <w:rPr>
                <w:rFonts w:hint="default" w:ascii="Times New Roman" w:hAnsi="Times New Roman" w:eastAsia="宋体" w:cs="宋体"/>
                <w:highlight w:val="yellow"/>
                <w:lang w:val="en-US" w:eastAsia="zh-CN"/>
              </w:rPr>
            </w:pPr>
            <w:r>
              <w:rPr>
                <w:rFonts w:hint="eastAsia" w:ascii="Times New Roman" w:hAnsi="Times New Roman" w:eastAsia="宋体" w:cs="Times New Roman"/>
                <w:snapToGrid w:val="0"/>
                <w:color w:val="000000"/>
                <w:sz w:val="24"/>
                <w:szCs w:val="24"/>
                <w:highlight w:val="none"/>
                <w:lang w:val="en-US" w:eastAsia="zh-CN" w:bidi="ar-SA"/>
              </w:rPr>
              <w:t>根据</w:t>
            </w:r>
            <w:r>
              <w:rPr>
                <w:rFonts w:hint="default" w:ascii="Times New Roman" w:hAnsi="Times New Roman" w:eastAsia="宋体" w:cs="Times New Roman"/>
                <w:snapToGrid w:val="0"/>
                <w:color w:val="000000"/>
                <w:sz w:val="24"/>
                <w:szCs w:val="24"/>
                <w:highlight w:val="none"/>
                <w:lang w:val="en-US" w:eastAsia="zh-CN" w:bidi="ar-SA"/>
              </w:rPr>
              <w:t>《排放源统计调查产排污核算方法和系数手册》2929 塑料零件及其他塑料制品制造行业系数表</w:t>
            </w:r>
            <w:r>
              <w:rPr>
                <w:rFonts w:hint="eastAsia" w:ascii="Times New Roman" w:hAnsi="Times New Roman" w:eastAsia="宋体" w:cs="Times New Roman"/>
                <w:snapToGrid w:val="0"/>
                <w:color w:val="000000"/>
                <w:sz w:val="24"/>
                <w:szCs w:val="24"/>
                <w:highlight w:val="none"/>
                <w:lang w:val="en-US" w:eastAsia="zh-CN" w:bidi="ar-SA"/>
              </w:rPr>
              <w:t>，配料-混合-挤出</w:t>
            </w:r>
            <w:r>
              <w:rPr>
                <w:rFonts w:hint="eastAsia" w:cs="Times New Roman"/>
                <w:snapToGrid w:val="0"/>
                <w:color w:val="000000"/>
                <w:sz w:val="24"/>
                <w:szCs w:val="24"/>
                <w:highlight w:val="none"/>
                <w:lang w:val="en-US" w:eastAsia="zh-CN" w:bidi="ar-SA"/>
              </w:rPr>
              <w:t>/注塑</w:t>
            </w:r>
            <w:r>
              <w:rPr>
                <w:rFonts w:hint="eastAsia" w:ascii="Times New Roman" w:hAnsi="Times New Roman" w:eastAsia="宋体" w:cs="Times New Roman"/>
                <w:snapToGrid w:val="0"/>
                <w:color w:val="000000"/>
                <w:sz w:val="24"/>
                <w:szCs w:val="24"/>
                <w:highlight w:val="none"/>
                <w:lang w:val="en-US" w:eastAsia="zh-CN" w:bidi="ar-SA"/>
              </w:rPr>
              <w:t>等挥发性有机物产污系数为</w:t>
            </w:r>
            <w:r>
              <w:rPr>
                <w:rFonts w:hint="eastAsia" w:cs="Times New Roman"/>
                <w:snapToGrid w:val="0"/>
                <w:color w:val="000000"/>
                <w:sz w:val="24"/>
                <w:szCs w:val="24"/>
                <w:highlight w:val="none"/>
                <w:lang w:val="en-US" w:eastAsia="zh-CN" w:bidi="ar-SA"/>
              </w:rPr>
              <w:t>2.7</w:t>
            </w:r>
            <w:r>
              <w:rPr>
                <w:rFonts w:hint="eastAsia" w:ascii="Times New Roman" w:hAnsi="Times New Roman" w:eastAsia="宋体" w:cs="Times New Roman"/>
                <w:snapToGrid w:val="0"/>
                <w:color w:val="000000"/>
                <w:sz w:val="24"/>
                <w:szCs w:val="24"/>
                <w:highlight w:val="none"/>
                <w:lang w:val="en-US" w:eastAsia="zh-CN" w:bidi="ar-SA"/>
              </w:rPr>
              <w:t>kg/吨</w:t>
            </w:r>
            <w:r>
              <w:rPr>
                <w:rFonts w:hint="eastAsia" w:ascii="Times New Roman" w:hAnsi="Times New Roman" w:eastAsia="宋体" w:cs="Times New Roman"/>
                <w:kern w:val="2"/>
                <w:szCs w:val="24"/>
                <w:lang w:val="en-US" w:eastAsia="zh-CN"/>
              </w:rPr>
              <w:t>-产品</w:t>
            </w:r>
            <w:r>
              <w:rPr>
                <w:rFonts w:hint="default" w:ascii="Times New Roman" w:hAnsi="Times New Roman" w:eastAsia="宋体" w:cs="Times New Roman"/>
                <w:color w:val="000000"/>
                <w:sz w:val="24"/>
                <w:szCs w:val="24"/>
                <w:lang w:val="en-US" w:eastAsia="zh-CN" w:bidi="ar-SA"/>
              </w:rPr>
              <w:t>，</w:t>
            </w:r>
            <w:r>
              <w:rPr>
                <w:rFonts w:hint="eastAsia" w:ascii="Times New Roman" w:hAnsi="Times New Roman" w:eastAsia="宋体" w:cs="Times New Roman"/>
                <w:color w:val="000000"/>
                <w:sz w:val="24"/>
                <w:szCs w:val="24"/>
                <w:highlight w:val="none"/>
                <w:lang w:val="en-US" w:eastAsia="zh-CN" w:bidi="ar-SA"/>
              </w:rPr>
              <w:t>本项目电线电缆所需挤护外套产品最大可能产生量以原料总用量计，即聚氯乙烯</w:t>
            </w:r>
            <w:r>
              <w:rPr>
                <w:rFonts w:hint="eastAsia" w:cs="Times New Roman"/>
                <w:color w:val="000000"/>
                <w:sz w:val="24"/>
                <w:szCs w:val="24"/>
                <w:highlight w:val="none"/>
                <w:lang w:val="en-US" w:eastAsia="zh-CN" w:bidi="ar-SA"/>
              </w:rPr>
              <w:t>160</w:t>
            </w:r>
            <w:r>
              <w:rPr>
                <w:rFonts w:hint="eastAsia" w:ascii="Times New Roman" w:hAnsi="Times New Roman" w:eastAsia="宋体" w:cs="Times New Roman"/>
                <w:color w:val="000000"/>
                <w:sz w:val="24"/>
                <w:szCs w:val="24"/>
                <w:highlight w:val="none"/>
                <w:lang w:val="en-US" w:eastAsia="zh-CN" w:bidi="ar-SA"/>
              </w:rPr>
              <w:t>t/a、</w:t>
            </w:r>
            <w:r>
              <w:rPr>
                <w:rFonts w:hint="eastAsia" w:ascii="Times New Roman" w:hAnsi="Times New Roman" w:eastAsia="宋体" w:cs="宋体"/>
                <w:highlight w:val="none"/>
                <w:lang w:val="en-US" w:eastAsia="zh-CN"/>
              </w:rPr>
              <w:t>低烟无卤阻燃聚烯烃电缆料</w:t>
            </w:r>
            <w:r>
              <w:rPr>
                <w:rFonts w:hint="eastAsia" w:cs="Times New Roman"/>
                <w:color w:val="000000"/>
                <w:sz w:val="24"/>
                <w:szCs w:val="24"/>
                <w:highlight w:val="none"/>
                <w:lang w:val="en-US" w:eastAsia="zh-CN" w:bidi="ar-SA"/>
              </w:rPr>
              <w:t>295</w:t>
            </w:r>
            <w:r>
              <w:rPr>
                <w:rFonts w:hint="eastAsia" w:ascii="Times New Roman" w:hAnsi="Times New Roman" w:eastAsia="宋体" w:cs="Times New Roman"/>
                <w:color w:val="000000"/>
                <w:sz w:val="24"/>
                <w:szCs w:val="24"/>
                <w:highlight w:val="none"/>
                <w:lang w:val="en-US" w:eastAsia="zh-CN" w:bidi="ar-SA"/>
              </w:rPr>
              <w:t>t/a。</w:t>
            </w:r>
            <w:r>
              <w:rPr>
                <w:rFonts w:hint="default" w:ascii="Times New Roman" w:hAnsi="Times New Roman" w:eastAsia="宋体" w:cs="Times New Roman"/>
                <w:color w:val="000000"/>
                <w:sz w:val="24"/>
                <w:szCs w:val="24"/>
                <w:highlight w:val="none"/>
                <w:lang w:val="en-US" w:eastAsia="zh-CN" w:bidi="ar-SA"/>
              </w:rPr>
              <w:t>因此本项目在挤护外套工段</w:t>
            </w:r>
            <w:r>
              <w:rPr>
                <w:rFonts w:hint="eastAsia" w:ascii="Times New Roman" w:hAnsi="Times New Roman" w:eastAsia="宋体" w:cs="Times New Roman"/>
                <w:color w:val="000000"/>
                <w:sz w:val="24"/>
                <w:szCs w:val="24"/>
                <w:highlight w:val="none"/>
                <w:lang w:val="en-US" w:eastAsia="zh-CN" w:bidi="ar-SA"/>
              </w:rPr>
              <w:t>生产过程中产生的非甲烷总烃共</w:t>
            </w:r>
            <w:r>
              <w:rPr>
                <w:rFonts w:hint="default" w:ascii="Times New Roman" w:hAnsi="Times New Roman" w:eastAsia="宋体" w:cs="Times New Roman"/>
                <w:color w:val="000000"/>
                <w:sz w:val="24"/>
                <w:szCs w:val="24"/>
                <w:highlight w:val="none"/>
                <w:lang w:val="en-US" w:eastAsia="zh-CN" w:bidi="ar-SA"/>
              </w:rPr>
              <w:t>约</w:t>
            </w:r>
            <w:r>
              <w:rPr>
                <w:rFonts w:hint="eastAsia" w:cs="Times New Roman"/>
                <w:color w:val="000000"/>
                <w:sz w:val="24"/>
                <w:szCs w:val="24"/>
                <w:highlight w:val="none"/>
                <w:lang w:val="en-US" w:eastAsia="zh-CN" w:bidi="ar-SA"/>
              </w:rPr>
              <w:t>1.23</w:t>
            </w:r>
            <w:r>
              <w:rPr>
                <w:rFonts w:hint="default" w:ascii="Times New Roman" w:hAnsi="Times New Roman" w:eastAsia="宋体" w:cs="Times New Roman"/>
                <w:color w:val="000000"/>
                <w:sz w:val="24"/>
                <w:szCs w:val="24"/>
                <w:highlight w:val="none"/>
                <w:lang w:val="en-US" w:eastAsia="zh-CN" w:bidi="ar-SA"/>
              </w:rPr>
              <w:t>t/a</w:t>
            </w:r>
            <w:r>
              <w:rPr>
                <w:rFonts w:hint="eastAsia" w:ascii="Times New Roman" w:hAnsi="Times New Roman" w:eastAsia="宋体" w:cs="Times New Roman"/>
                <w:color w:val="000000"/>
                <w:sz w:val="24"/>
                <w:szCs w:val="24"/>
                <w:highlight w:val="none"/>
                <w:lang w:val="en-US" w:eastAsia="zh-CN" w:bidi="ar-SA"/>
              </w:rPr>
              <w:t>。</w:t>
            </w:r>
          </w:p>
          <w:p>
            <w:pPr>
              <w:tabs>
                <w:tab w:val="left" w:pos="6295"/>
              </w:tabs>
              <w:overflowPunct/>
              <w:autoSpaceDE/>
              <w:autoSpaceDN/>
              <w:adjustRightInd/>
              <w:snapToGrid/>
              <w:spacing w:before="0" w:after="0" w:line="360" w:lineRule="auto"/>
              <w:ind w:left="0" w:right="0" w:firstLine="480" w:firstLineChars="200"/>
              <w:jc w:val="both"/>
              <w:rPr>
                <w:rFonts w:hint="eastAsia" w:ascii="Times New Roman" w:hAnsi="Times New Roman" w:eastAsia="宋体" w:cs="Times New Roman"/>
                <w:snapToGrid w:val="0"/>
                <w:color w:val="000000"/>
                <w:sz w:val="24"/>
                <w:szCs w:val="24"/>
                <w:highlight w:val="none"/>
                <w:lang w:val="en-US" w:eastAsia="zh-CN" w:bidi="ar-SA"/>
              </w:rPr>
            </w:pPr>
            <w:r>
              <w:rPr>
                <w:rFonts w:hint="eastAsia" w:ascii="Times New Roman" w:hAnsi="Times New Roman" w:eastAsia="宋体" w:cs="Times New Roman"/>
                <w:snapToGrid w:val="0"/>
                <w:color w:val="000000"/>
                <w:sz w:val="24"/>
                <w:szCs w:val="24"/>
                <w:highlight w:val="none"/>
                <w:lang w:val="en-US" w:eastAsia="zh-CN" w:bidi="ar-SA"/>
              </w:rPr>
              <w:t>参考《气相色谱质谱法分析聚氯乙烯加热分解产物》（中国卫生检验杂志），在温度为</w:t>
            </w:r>
            <w:r>
              <w:rPr>
                <w:rFonts w:hint="default" w:ascii="Times New Roman" w:hAnsi="Times New Roman" w:eastAsia="宋体" w:cs="Times New Roman"/>
                <w:snapToGrid w:val="0"/>
                <w:color w:val="000000"/>
                <w:sz w:val="24"/>
                <w:szCs w:val="24"/>
                <w:highlight w:val="none"/>
                <w:lang w:val="en-US" w:eastAsia="zh-CN" w:bidi="ar-SA"/>
              </w:rPr>
              <w:t>150℃</w:t>
            </w:r>
            <w:r>
              <w:rPr>
                <w:rFonts w:hint="eastAsia" w:ascii="Times New Roman" w:hAnsi="Times New Roman" w:eastAsia="宋体" w:cs="Times New Roman"/>
                <w:snapToGrid w:val="0"/>
                <w:color w:val="000000"/>
                <w:sz w:val="24"/>
                <w:szCs w:val="24"/>
                <w:highlight w:val="none"/>
                <w:lang w:val="en-US" w:eastAsia="zh-CN" w:bidi="ar-SA"/>
              </w:rPr>
              <w:t>下，25g纯聚氯乙烯在250mL具塞碘量瓶中加热分解氯化氢浓度为9.48mg/m</w:t>
            </w:r>
            <w:r>
              <w:rPr>
                <w:rFonts w:hint="eastAsia" w:ascii="Times New Roman" w:hAnsi="Times New Roman" w:eastAsia="宋体" w:cs="Times New Roman"/>
                <w:snapToGrid w:val="0"/>
                <w:color w:val="000000"/>
                <w:sz w:val="24"/>
                <w:szCs w:val="24"/>
                <w:highlight w:val="none"/>
                <w:vertAlign w:val="superscript"/>
                <w:lang w:val="en-US" w:eastAsia="zh-CN" w:bidi="ar-SA"/>
              </w:rPr>
              <w:t>3</w:t>
            </w:r>
            <w:r>
              <w:rPr>
                <w:rFonts w:hint="eastAsia" w:ascii="Times New Roman" w:hAnsi="Times New Roman" w:eastAsia="宋体" w:cs="Times New Roman"/>
                <w:snapToGrid w:val="0"/>
                <w:color w:val="000000"/>
                <w:sz w:val="24"/>
                <w:szCs w:val="24"/>
                <w:highlight w:val="none"/>
                <w:lang w:val="en-US" w:eastAsia="zh-CN" w:bidi="ar-SA"/>
              </w:rPr>
              <w:t>，折算出25g纯聚氯乙烯在下150</w:t>
            </w:r>
            <w:r>
              <w:rPr>
                <w:rFonts w:hint="default" w:ascii="Times New Roman" w:hAnsi="Times New Roman" w:eastAsia="宋体" w:cs="Times New Roman"/>
                <w:snapToGrid w:val="0"/>
                <w:color w:val="000000"/>
                <w:sz w:val="24"/>
                <w:szCs w:val="24"/>
                <w:highlight w:val="none"/>
                <w:lang w:val="en-US" w:eastAsia="zh-CN" w:bidi="ar-SA"/>
              </w:rPr>
              <w:t>℃</w:t>
            </w:r>
            <w:r>
              <w:rPr>
                <w:rFonts w:hint="eastAsia" w:ascii="Times New Roman" w:hAnsi="Times New Roman" w:eastAsia="宋体" w:cs="Times New Roman"/>
                <w:snapToGrid w:val="0"/>
                <w:color w:val="000000"/>
                <w:sz w:val="24"/>
                <w:szCs w:val="24"/>
                <w:highlight w:val="none"/>
                <w:lang w:val="en-US" w:eastAsia="zh-CN" w:bidi="ar-SA"/>
              </w:rPr>
              <w:t>产生氯化氢量为2.37×10</w:t>
            </w:r>
            <w:r>
              <w:rPr>
                <w:rFonts w:hint="eastAsia" w:ascii="Times New Roman" w:hAnsi="Times New Roman" w:eastAsia="宋体" w:cs="Times New Roman"/>
                <w:snapToGrid w:val="0"/>
                <w:color w:val="000000"/>
                <w:sz w:val="24"/>
                <w:szCs w:val="24"/>
                <w:highlight w:val="none"/>
                <w:vertAlign w:val="superscript"/>
                <w:lang w:val="en-US" w:eastAsia="zh-CN" w:bidi="ar-SA"/>
              </w:rPr>
              <w:t>-3</w:t>
            </w:r>
            <w:r>
              <w:rPr>
                <w:rFonts w:hint="eastAsia" w:ascii="Times New Roman" w:hAnsi="Times New Roman" w:eastAsia="宋体" w:cs="Times New Roman"/>
                <w:snapToGrid w:val="0"/>
                <w:color w:val="000000"/>
                <w:sz w:val="24"/>
                <w:szCs w:val="24"/>
                <w:highlight w:val="none"/>
                <w:lang w:val="en-US" w:eastAsia="zh-CN" w:bidi="ar-SA"/>
              </w:rPr>
              <w:t>mg；本项目挤护外套聚氯乙烯年用量为</w:t>
            </w:r>
            <w:r>
              <w:rPr>
                <w:rFonts w:hint="eastAsia" w:cs="Times New Roman"/>
                <w:snapToGrid w:val="0"/>
                <w:color w:val="000000"/>
                <w:sz w:val="24"/>
                <w:szCs w:val="24"/>
                <w:highlight w:val="none"/>
                <w:lang w:val="en-US" w:eastAsia="zh-CN" w:bidi="ar-SA"/>
              </w:rPr>
              <w:t>160</w:t>
            </w:r>
            <w:r>
              <w:rPr>
                <w:rFonts w:hint="eastAsia" w:ascii="Times New Roman" w:hAnsi="Times New Roman" w:eastAsia="宋体" w:cs="Times New Roman"/>
                <w:snapToGrid w:val="0"/>
                <w:color w:val="000000"/>
                <w:sz w:val="24"/>
                <w:szCs w:val="24"/>
                <w:highlight w:val="none"/>
                <w:lang w:val="en-US" w:eastAsia="zh-CN" w:bidi="ar-SA"/>
              </w:rPr>
              <w:t>t/a，因此氯化氢产量为0.0</w:t>
            </w:r>
            <w:r>
              <w:rPr>
                <w:rFonts w:hint="eastAsia" w:cs="Times New Roman"/>
                <w:snapToGrid w:val="0"/>
                <w:color w:val="000000"/>
                <w:sz w:val="24"/>
                <w:szCs w:val="24"/>
                <w:highlight w:val="none"/>
                <w:lang w:val="en-US" w:eastAsia="zh-CN" w:bidi="ar-SA"/>
              </w:rPr>
              <w:t>15</w:t>
            </w:r>
            <w:r>
              <w:rPr>
                <w:rFonts w:hint="eastAsia" w:ascii="Times New Roman" w:hAnsi="Times New Roman" w:eastAsia="宋体" w:cs="Times New Roman"/>
                <w:snapToGrid w:val="0"/>
                <w:color w:val="000000"/>
                <w:sz w:val="24"/>
                <w:szCs w:val="24"/>
                <w:highlight w:val="none"/>
                <w:lang w:val="en-US" w:eastAsia="zh-CN" w:bidi="ar-SA"/>
              </w:rPr>
              <w:t xml:space="preserve">kg/a。  </w:t>
            </w:r>
          </w:p>
          <w:p>
            <w:pPr>
              <w:tabs>
                <w:tab w:val="left" w:pos="6295"/>
              </w:tabs>
              <w:overflowPunct/>
              <w:autoSpaceDE/>
              <w:autoSpaceDN/>
              <w:adjustRightInd/>
              <w:snapToGrid/>
              <w:spacing w:before="0" w:after="0" w:line="360" w:lineRule="auto"/>
              <w:ind w:left="0" w:right="0" w:firstLine="480" w:firstLineChars="200"/>
              <w:jc w:val="both"/>
              <w:rPr>
                <w:rFonts w:hint="eastAsia" w:ascii="Times New Roman" w:hAnsi="Times New Roman" w:eastAsia="宋体" w:cs="Times New Roman"/>
                <w:snapToGrid w:val="0"/>
                <w:color w:val="000000"/>
                <w:sz w:val="24"/>
                <w:szCs w:val="24"/>
                <w:highlight w:val="none"/>
                <w:lang w:val="en-US" w:eastAsia="zh-CN" w:bidi="ar-SA"/>
              </w:rPr>
            </w:pPr>
            <w:r>
              <w:rPr>
                <w:rFonts w:hint="eastAsia" w:cs="Times New Roman"/>
                <w:snapToGrid w:val="0"/>
                <w:color w:val="000000"/>
                <w:sz w:val="24"/>
                <w:szCs w:val="24"/>
                <w:highlight w:val="none"/>
                <w:lang w:val="en-US" w:eastAsia="zh-CN" w:bidi="ar-SA"/>
              </w:rPr>
              <w:t>⑤</w:t>
            </w:r>
            <w:r>
              <w:rPr>
                <w:rFonts w:hint="eastAsia" w:ascii="Times New Roman" w:hAnsi="Times New Roman" w:eastAsia="宋体" w:cs="Times New Roman"/>
                <w:snapToGrid w:val="0"/>
                <w:color w:val="000000"/>
                <w:sz w:val="24"/>
                <w:szCs w:val="24"/>
                <w:highlight w:val="none"/>
                <w:lang w:val="en-US" w:eastAsia="zh-CN" w:bidi="ar-SA"/>
              </w:rPr>
              <w:t>喷码有机废气</w:t>
            </w:r>
          </w:p>
          <w:p>
            <w:pPr>
              <w:widowControl w:val="0"/>
              <w:autoSpaceDE w:val="0"/>
              <w:autoSpaceDN w:val="0"/>
              <w:adjustRightInd w:val="0"/>
              <w:spacing w:line="360" w:lineRule="auto"/>
              <w:ind w:firstLine="480" w:firstLineChars="200"/>
              <w:rPr>
                <w:rFonts w:hint="default" w:ascii="Times New Roman" w:hAnsi="Times New Roman" w:eastAsia="宋体" w:cs="Times New Roman"/>
                <w:color w:val="000000"/>
                <w:sz w:val="24"/>
                <w:szCs w:val="24"/>
                <w:lang w:val="en-US" w:eastAsia="zh-CN" w:bidi="ar-SA"/>
              </w:rPr>
            </w:pPr>
            <w:r>
              <w:rPr>
                <w:rFonts w:hint="eastAsia" w:cs="Times New Roman"/>
                <w:color w:val="000000" w:themeColor="text1"/>
                <w:sz w:val="24"/>
                <w:szCs w:val="24"/>
                <w:lang w:val="en-US" w:eastAsia="zh-CN" w:bidi="ar-SA"/>
                <w14:textFill>
                  <w14:solidFill>
                    <w14:schemeClr w14:val="tx1"/>
                  </w14:solidFill>
                </w14:textFill>
              </w:rPr>
              <w:t>参照</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《关于印发乌鲁木齐市环保局涉VOCs建设项目环境影响评价审批暂行规定的通知》（乌环发[2018]46号），</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油墨使用-即用状态溶剂型油墨VOCs（以非甲烷总烃计）</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产污系数700g/kg。本项目喷码工段油墨用量约</w:t>
            </w:r>
            <w:r>
              <w:rPr>
                <w:rFonts w:hint="eastAsia" w:cs="Times New Roman"/>
                <w:color w:val="000000" w:themeColor="text1"/>
                <w:sz w:val="24"/>
                <w:szCs w:val="24"/>
                <w:lang w:val="en-US" w:eastAsia="zh-CN" w:bidi="ar-SA"/>
                <w14:textFill>
                  <w14:solidFill>
                    <w14:schemeClr w14:val="tx1"/>
                  </w14:solidFill>
                </w14:textFill>
              </w:rPr>
              <w:t>120</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kg/a，因此油墨产生的</w:t>
            </w:r>
            <w:r>
              <w:rPr>
                <w:rFonts w:hint="eastAsia" w:ascii="Times New Roman" w:hAnsi="Times New Roman" w:eastAsia="宋体" w:cs="Times New Roman"/>
                <w:color w:val="000000"/>
                <w:sz w:val="24"/>
                <w:szCs w:val="24"/>
                <w:lang w:val="en-US" w:eastAsia="zh-CN" w:bidi="ar-SA"/>
              </w:rPr>
              <w:t>非甲烷总烃约为</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0.0</w:t>
            </w:r>
            <w:r>
              <w:rPr>
                <w:rFonts w:hint="eastAsia" w:cs="Times New Roman"/>
                <w:color w:val="000000" w:themeColor="text1"/>
                <w:sz w:val="24"/>
                <w:szCs w:val="24"/>
                <w:lang w:val="en-US" w:eastAsia="zh-CN" w:bidi="ar-SA"/>
                <w14:textFill>
                  <w14:solidFill>
                    <w14:schemeClr w14:val="tx1"/>
                  </w14:solidFill>
                </w14:textFill>
              </w:rPr>
              <w:t>8</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t/a。</w:t>
            </w:r>
          </w:p>
          <w:p>
            <w:pPr>
              <w:widowControl w:val="0"/>
              <w:autoSpaceDE w:val="0"/>
              <w:autoSpaceDN w:val="0"/>
              <w:adjustRightInd w:val="0"/>
              <w:spacing w:line="360" w:lineRule="auto"/>
              <w:ind w:firstLine="480" w:firstLineChars="200"/>
              <w:rPr>
                <w:rFonts w:hint="eastAsia" w:ascii="Times New Roman" w:hAnsi="Times New Roman" w:eastAsia="宋体" w:cs="Times New Roman"/>
                <w:snapToGrid w:val="0"/>
                <w:color w:val="000000"/>
                <w:sz w:val="24"/>
                <w:szCs w:val="24"/>
                <w:highlight w:val="none"/>
                <w:lang w:val="en-US" w:eastAsia="zh-CN" w:bidi="ar-SA"/>
              </w:rPr>
            </w:pPr>
            <w:r>
              <w:rPr>
                <w:rFonts w:hint="eastAsia" w:ascii="Times New Roman" w:hAnsi="Times New Roman" w:eastAsia="宋体" w:cs="Times New Roman"/>
                <w:color w:val="000000"/>
                <w:sz w:val="24"/>
                <w:szCs w:val="24"/>
                <w:lang w:val="en-US" w:eastAsia="zh-CN" w:bidi="ar-SA"/>
              </w:rPr>
              <w:t>由于生产车间内</w:t>
            </w:r>
            <w:r>
              <w:rPr>
                <w:rFonts w:hint="eastAsia" w:cs="Times New Roman"/>
                <w:color w:val="000000"/>
                <w:sz w:val="24"/>
                <w:szCs w:val="24"/>
                <w:lang w:val="en-US" w:eastAsia="zh-CN" w:bidi="ar-SA"/>
              </w:rPr>
              <w:t>拉丝工段拉丝机、</w:t>
            </w:r>
            <w:r>
              <w:rPr>
                <w:rFonts w:hint="eastAsia" w:ascii="Times New Roman" w:hAnsi="Times New Roman" w:eastAsia="宋体" w:cs="Times New Roman"/>
                <w:snapToGrid w:val="0"/>
                <w:color w:val="auto"/>
                <w:sz w:val="24"/>
                <w:szCs w:val="24"/>
                <w:highlight w:val="none"/>
                <w:lang w:val="en-US" w:eastAsia="zh-CN" w:bidi="ar-SA"/>
              </w:rPr>
              <w:t>挤塑</w:t>
            </w:r>
            <w:r>
              <w:rPr>
                <w:rFonts w:hint="eastAsia" w:cs="Times New Roman"/>
                <w:snapToGrid w:val="0"/>
                <w:color w:val="auto"/>
                <w:sz w:val="24"/>
                <w:szCs w:val="24"/>
                <w:highlight w:val="none"/>
                <w:lang w:val="en-US" w:eastAsia="zh-CN" w:bidi="ar-SA"/>
              </w:rPr>
              <w:t>、挤护外套工段的挤出机以及</w:t>
            </w:r>
            <w:r>
              <w:rPr>
                <w:rFonts w:hint="eastAsia" w:ascii="Times New Roman" w:hAnsi="Times New Roman" w:eastAsia="宋体" w:cs="Times New Roman"/>
                <w:snapToGrid w:val="0"/>
                <w:color w:val="auto"/>
                <w:sz w:val="24"/>
                <w:szCs w:val="24"/>
                <w:highlight w:val="none"/>
                <w:lang w:val="en-US" w:eastAsia="zh-CN" w:bidi="ar-SA"/>
              </w:rPr>
              <w:t>喷码</w:t>
            </w:r>
            <w:r>
              <w:rPr>
                <w:rFonts w:hint="eastAsia" w:ascii="Times New Roman" w:hAnsi="Times New Roman" w:eastAsia="宋体" w:cs="Times New Roman"/>
                <w:color w:val="000000"/>
                <w:sz w:val="24"/>
                <w:szCs w:val="24"/>
                <w:lang w:val="en-US" w:eastAsia="zh-CN" w:bidi="ar-SA"/>
              </w:rPr>
              <w:t>工段</w:t>
            </w:r>
            <w:r>
              <w:rPr>
                <w:rFonts w:hint="eastAsia" w:cs="Times New Roman"/>
                <w:color w:val="000000"/>
                <w:sz w:val="24"/>
                <w:szCs w:val="24"/>
                <w:lang w:val="en-US" w:eastAsia="zh-CN" w:bidi="ar-SA"/>
              </w:rPr>
              <w:t>的喷码机均</w:t>
            </w:r>
            <w:r>
              <w:rPr>
                <w:rFonts w:hint="eastAsia" w:ascii="Times New Roman" w:hAnsi="Times New Roman" w:eastAsia="宋体" w:cs="Times New Roman"/>
                <w:color w:val="000000"/>
                <w:sz w:val="24"/>
                <w:szCs w:val="24"/>
                <w:lang w:val="en-US" w:eastAsia="zh-CN" w:bidi="ar-SA"/>
              </w:rPr>
              <w:t>临近</w:t>
            </w:r>
            <w:r>
              <w:rPr>
                <w:rFonts w:hint="eastAsia" w:cs="Times New Roman"/>
                <w:color w:val="000000"/>
                <w:sz w:val="24"/>
                <w:szCs w:val="24"/>
                <w:lang w:val="en-US" w:eastAsia="zh-CN" w:bidi="ar-SA"/>
              </w:rPr>
              <w:t>布设</w:t>
            </w:r>
            <w:r>
              <w:rPr>
                <w:rFonts w:hint="eastAsia" w:ascii="Times New Roman" w:hAnsi="Times New Roman" w:eastAsia="宋体" w:cs="Times New Roman"/>
                <w:color w:val="000000"/>
                <w:sz w:val="24"/>
                <w:szCs w:val="24"/>
                <w:lang w:val="en-US" w:eastAsia="zh-CN" w:bidi="ar-SA"/>
              </w:rPr>
              <w:t>，</w:t>
            </w:r>
            <w:r>
              <w:rPr>
                <w:rFonts w:hint="eastAsia" w:cs="Times New Roman"/>
                <w:color w:val="000000"/>
                <w:sz w:val="24"/>
                <w:szCs w:val="24"/>
                <w:lang w:val="en-US" w:eastAsia="zh-CN" w:bidi="ar-SA"/>
              </w:rPr>
              <w:t>拉丝、</w:t>
            </w:r>
            <w:r>
              <w:rPr>
                <w:rFonts w:hint="eastAsia" w:ascii="Times New Roman" w:hAnsi="Times New Roman" w:eastAsia="宋体" w:cs="Times New Roman"/>
                <w:snapToGrid w:val="0"/>
                <w:color w:val="auto"/>
                <w:sz w:val="24"/>
                <w:szCs w:val="24"/>
                <w:highlight w:val="none"/>
                <w:lang w:val="en-US" w:eastAsia="zh-CN" w:bidi="ar-SA"/>
              </w:rPr>
              <w:t>挤塑</w:t>
            </w:r>
            <w:r>
              <w:rPr>
                <w:rFonts w:hint="eastAsia" w:cs="Times New Roman"/>
                <w:snapToGrid w:val="0"/>
                <w:color w:val="auto"/>
                <w:sz w:val="24"/>
                <w:szCs w:val="24"/>
                <w:highlight w:val="none"/>
                <w:lang w:val="en-US" w:eastAsia="zh-CN" w:bidi="ar-SA"/>
              </w:rPr>
              <w:t>、挤护外套</w:t>
            </w:r>
            <w:r>
              <w:rPr>
                <w:rFonts w:hint="eastAsia" w:ascii="Times New Roman" w:hAnsi="Times New Roman" w:eastAsia="宋体" w:cs="Times New Roman"/>
                <w:snapToGrid w:val="0"/>
                <w:color w:val="auto"/>
                <w:sz w:val="24"/>
                <w:szCs w:val="24"/>
                <w:highlight w:val="none"/>
                <w:lang w:val="en-US" w:eastAsia="zh-CN" w:bidi="ar-SA"/>
              </w:rPr>
              <w:t>、</w:t>
            </w:r>
            <w:r>
              <w:rPr>
                <w:rFonts w:hint="eastAsia" w:ascii="Times New Roman" w:hAnsi="Times New Roman" w:eastAsia="宋体" w:cs="Times New Roman"/>
                <w:color w:val="000000"/>
                <w:sz w:val="24"/>
                <w:szCs w:val="24"/>
                <w:lang w:val="en-US" w:eastAsia="zh-CN" w:bidi="ar-SA"/>
              </w:rPr>
              <w:t>喷码工段分别设置集气罩收集后，可由一套</w:t>
            </w:r>
            <w:r>
              <w:rPr>
                <w:rFonts w:hint="eastAsia" w:cs="Times New Roman"/>
                <w:color w:val="000000"/>
                <w:sz w:val="24"/>
                <w:szCs w:val="24"/>
                <w:lang w:val="en-US" w:eastAsia="zh-CN" w:bidi="ar-SA"/>
              </w:rPr>
              <w:t>水洗填料塔+活性炭吸附+脱附+催化燃烧</w:t>
            </w:r>
            <w:r>
              <w:rPr>
                <w:rFonts w:hint="eastAsia" w:ascii="Times New Roman" w:hAnsi="Times New Roman" w:eastAsia="宋体" w:cs="Times New Roman"/>
                <w:kern w:val="2"/>
                <w:szCs w:val="24"/>
                <w:lang w:val="en-US" w:eastAsia="zh-CN"/>
              </w:rPr>
              <w:t>装置</w:t>
            </w:r>
            <w:r>
              <w:rPr>
                <w:rFonts w:hint="eastAsia" w:ascii="Times New Roman" w:hAnsi="Times New Roman" w:eastAsia="宋体" w:cs="Times New Roman"/>
                <w:color w:val="000000"/>
                <w:sz w:val="24"/>
                <w:szCs w:val="24"/>
                <w:lang w:val="en-US" w:eastAsia="zh-CN" w:bidi="ar-SA"/>
              </w:rPr>
              <w:t>处理，处理后</w:t>
            </w:r>
            <w:r>
              <w:rPr>
                <w:rFonts w:hint="default" w:ascii="Times New Roman" w:hAnsi="Times New Roman" w:eastAsia="宋体" w:cs="Times New Roman"/>
                <w:snapToGrid w:val="0"/>
                <w:color w:val="000000"/>
                <w:sz w:val="24"/>
                <w:szCs w:val="24"/>
                <w:highlight w:val="none"/>
                <w:lang w:val="en-US" w:eastAsia="zh-CN" w:bidi="ar-SA"/>
              </w:rPr>
              <w:t>经</w:t>
            </w:r>
            <w:r>
              <w:rPr>
                <w:rFonts w:hint="eastAsia" w:ascii="Times New Roman" w:hAnsi="Times New Roman" w:eastAsia="宋体" w:cs="Times New Roman"/>
                <w:snapToGrid w:val="0"/>
                <w:color w:val="000000"/>
                <w:sz w:val="24"/>
                <w:szCs w:val="24"/>
                <w:highlight w:val="none"/>
                <w:lang w:val="en-US" w:eastAsia="zh-CN" w:bidi="ar-SA"/>
              </w:rPr>
              <w:t>1根</w:t>
            </w:r>
            <w:r>
              <w:rPr>
                <w:rFonts w:hint="eastAsia" w:cs="Times New Roman"/>
                <w:snapToGrid w:val="0"/>
                <w:color w:val="000000"/>
                <w:sz w:val="24"/>
                <w:szCs w:val="24"/>
                <w:highlight w:val="none"/>
                <w:lang w:val="en-US" w:eastAsia="zh-CN" w:bidi="ar-SA"/>
              </w:rPr>
              <w:t>20</w:t>
            </w:r>
            <w:r>
              <w:rPr>
                <w:rFonts w:hint="eastAsia" w:ascii="Times New Roman" w:hAnsi="Times New Roman" w:eastAsia="宋体" w:cs="Times New Roman"/>
                <w:snapToGrid w:val="0"/>
                <w:color w:val="000000"/>
                <w:sz w:val="24"/>
                <w:szCs w:val="24"/>
                <w:highlight w:val="none"/>
                <w:lang w:val="en-US" w:eastAsia="zh-CN" w:bidi="ar-SA"/>
              </w:rPr>
              <w:t>m</w:t>
            </w:r>
            <w:r>
              <w:rPr>
                <w:rFonts w:hint="default" w:ascii="Times New Roman" w:hAnsi="Times New Roman" w:eastAsia="宋体" w:cs="Times New Roman"/>
                <w:snapToGrid w:val="0"/>
                <w:color w:val="000000"/>
                <w:sz w:val="24"/>
                <w:szCs w:val="24"/>
                <w:highlight w:val="none"/>
                <w:lang w:val="en-US" w:eastAsia="zh-CN" w:bidi="ar-SA"/>
              </w:rPr>
              <w:t>排气筒排放</w:t>
            </w:r>
            <w:r>
              <w:rPr>
                <w:rFonts w:hint="eastAsia" w:ascii="Times New Roman" w:hAnsi="Times New Roman" w:eastAsia="宋体" w:cs="Times New Roman"/>
                <w:snapToGrid w:val="0"/>
                <w:color w:val="000000"/>
                <w:sz w:val="24"/>
                <w:szCs w:val="24"/>
                <w:highlight w:val="none"/>
                <w:lang w:val="en-US" w:eastAsia="zh-CN" w:bidi="ar-SA"/>
              </w:rPr>
              <w:t>。</w:t>
            </w:r>
          </w:p>
          <w:p>
            <w:pPr>
              <w:widowControl w:val="0"/>
              <w:autoSpaceDE w:val="0"/>
              <w:autoSpaceDN w:val="0"/>
              <w:adjustRightInd w:val="0"/>
              <w:spacing w:line="360" w:lineRule="auto"/>
              <w:ind w:firstLine="480" w:firstLineChars="200"/>
              <w:rPr>
                <w:rFonts w:hint="eastAsia" w:ascii="Times New Roman" w:hAnsi="Times New Roman" w:eastAsia="宋体" w:cs="Times New Roman"/>
                <w:color w:val="000000"/>
                <w:sz w:val="24"/>
                <w:szCs w:val="24"/>
                <w:lang w:val="zh-CN" w:eastAsia="zh-CN" w:bidi="ar-SA"/>
              </w:rPr>
            </w:pPr>
            <w:r>
              <w:rPr>
                <w:rFonts w:hint="eastAsia" w:ascii="Times New Roman" w:hAnsi="Times New Roman" w:eastAsia="宋体" w:cs="Times New Roman"/>
                <w:snapToGrid w:val="0"/>
                <w:color w:val="000000"/>
                <w:sz w:val="24"/>
                <w:szCs w:val="24"/>
                <w:highlight w:val="none"/>
                <w:lang w:val="en-US" w:eastAsia="zh-CN" w:bidi="ar-SA"/>
              </w:rPr>
              <w:t>本项目生产车间</w:t>
            </w:r>
            <w:r>
              <w:rPr>
                <w:rFonts w:hint="eastAsia" w:cs="Times New Roman"/>
                <w:snapToGrid w:val="0"/>
                <w:color w:val="000000"/>
                <w:sz w:val="24"/>
                <w:szCs w:val="24"/>
                <w:highlight w:val="none"/>
                <w:lang w:val="en-US" w:eastAsia="zh-CN" w:bidi="ar-SA"/>
              </w:rPr>
              <w:t>拉丝、</w:t>
            </w:r>
            <w:r>
              <w:rPr>
                <w:rFonts w:hint="eastAsia" w:ascii="Times New Roman" w:hAnsi="Times New Roman" w:eastAsia="宋体" w:cs="Times New Roman"/>
                <w:snapToGrid w:val="0"/>
                <w:color w:val="auto"/>
                <w:sz w:val="24"/>
                <w:szCs w:val="24"/>
                <w:highlight w:val="none"/>
                <w:lang w:val="en-US" w:eastAsia="zh-CN" w:bidi="ar-SA"/>
              </w:rPr>
              <w:t>挤塑</w:t>
            </w:r>
            <w:r>
              <w:rPr>
                <w:rFonts w:hint="eastAsia" w:cs="Times New Roman"/>
                <w:snapToGrid w:val="0"/>
                <w:color w:val="auto"/>
                <w:sz w:val="24"/>
                <w:szCs w:val="24"/>
                <w:highlight w:val="none"/>
                <w:lang w:val="en-US" w:eastAsia="zh-CN" w:bidi="ar-SA"/>
              </w:rPr>
              <w:t>、</w:t>
            </w:r>
            <w:r>
              <w:rPr>
                <w:rFonts w:hint="eastAsia" w:cs="宋体"/>
                <w:lang w:val="en-US" w:eastAsia="zh-CN"/>
              </w:rPr>
              <w:t>紫外光交联</w:t>
            </w:r>
            <w:r>
              <w:rPr>
                <w:rFonts w:hint="eastAsia" w:cs="Times New Roman"/>
                <w:snapToGrid w:val="0"/>
                <w:color w:val="auto"/>
                <w:sz w:val="24"/>
                <w:szCs w:val="24"/>
                <w:highlight w:val="none"/>
                <w:lang w:val="en-US" w:eastAsia="zh-CN" w:bidi="ar-SA"/>
              </w:rPr>
              <w:t>、挤护外套</w:t>
            </w:r>
            <w:r>
              <w:rPr>
                <w:rFonts w:hint="eastAsia" w:ascii="Times New Roman" w:hAnsi="Times New Roman" w:eastAsia="宋体" w:cs="Times New Roman"/>
                <w:snapToGrid w:val="0"/>
                <w:color w:val="auto"/>
                <w:sz w:val="24"/>
                <w:szCs w:val="24"/>
                <w:highlight w:val="none"/>
                <w:lang w:val="en-US" w:eastAsia="zh-CN" w:bidi="ar-SA"/>
              </w:rPr>
              <w:t>、</w:t>
            </w:r>
            <w:r>
              <w:rPr>
                <w:rFonts w:hint="eastAsia" w:ascii="Times New Roman" w:hAnsi="Times New Roman" w:eastAsia="宋体" w:cs="Times New Roman"/>
                <w:color w:val="000000"/>
                <w:sz w:val="24"/>
                <w:szCs w:val="24"/>
                <w:lang w:val="en-US" w:eastAsia="zh-CN" w:bidi="ar-SA"/>
              </w:rPr>
              <w:t>喷码工段均位于</w:t>
            </w:r>
            <w:r>
              <w:rPr>
                <w:rFonts w:hint="eastAsia" w:ascii="Times New Roman" w:hAnsi="Times New Roman" w:eastAsia="宋体" w:cs="Times New Roman"/>
                <w:snapToGrid w:val="0"/>
                <w:color w:val="000000"/>
                <w:sz w:val="24"/>
                <w:szCs w:val="24"/>
                <w:highlight w:val="none"/>
                <w:lang w:val="en-US" w:eastAsia="zh-CN" w:bidi="ar-SA"/>
              </w:rPr>
              <w:t>封闭车间内，车间内的所有开口处，包括人员或物料进出口处呈正压，且无明显泄漏点，出料口上方1.5m处设置顶吸式集气罩</w:t>
            </w:r>
            <w:r>
              <w:rPr>
                <w:rFonts w:hint="eastAsia" w:ascii="Times New Roman" w:hAnsi="Times New Roman" w:eastAsia="宋体" w:cs="Times New Roman"/>
                <w:kern w:val="2"/>
                <w:szCs w:val="24"/>
                <w:lang w:val="en-US" w:eastAsia="zh-CN"/>
              </w:rPr>
              <w:t>收集有机废气后</w:t>
            </w:r>
            <w:r>
              <w:rPr>
                <w:rFonts w:hint="default" w:ascii="Times New Roman" w:hAnsi="Times New Roman" w:eastAsia="宋体" w:cs="Times New Roman"/>
                <w:kern w:val="2"/>
                <w:szCs w:val="24"/>
                <w:lang w:val="en-US" w:eastAsia="zh-CN"/>
              </w:rPr>
              <w:t>送入</w:t>
            </w:r>
            <w:r>
              <w:rPr>
                <w:rFonts w:hint="eastAsia" w:cs="Times New Roman"/>
                <w:kern w:val="2"/>
                <w:szCs w:val="24"/>
                <w:lang w:val="en-US" w:eastAsia="zh-CN"/>
              </w:rPr>
              <w:t>水洗填料塔+</w:t>
            </w:r>
            <w:r>
              <w:rPr>
                <w:rFonts w:hint="eastAsia" w:cs="Times New Roman"/>
                <w:color w:val="000000"/>
                <w:sz w:val="24"/>
                <w:szCs w:val="24"/>
                <w:lang w:val="en-US" w:eastAsia="zh-CN" w:bidi="ar-SA"/>
              </w:rPr>
              <w:t>活性炭吸附+脱附+催化燃烧</w:t>
            </w:r>
            <w:r>
              <w:rPr>
                <w:rFonts w:hint="eastAsia" w:ascii="Times New Roman" w:hAnsi="Times New Roman" w:eastAsia="宋体" w:cs="Times New Roman"/>
                <w:kern w:val="2"/>
                <w:szCs w:val="24"/>
                <w:lang w:val="en-US" w:eastAsia="zh-CN"/>
              </w:rPr>
              <w:t>装置</w:t>
            </w:r>
            <w:r>
              <w:rPr>
                <w:rFonts w:hint="default" w:ascii="Times New Roman" w:hAnsi="Times New Roman" w:eastAsia="宋体" w:cs="Times New Roman"/>
                <w:snapToGrid w:val="0"/>
                <w:color w:val="000000"/>
                <w:sz w:val="24"/>
                <w:szCs w:val="24"/>
                <w:highlight w:val="none"/>
                <w:lang w:val="en-US" w:eastAsia="zh-CN" w:bidi="ar-SA"/>
              </w:rPr>
              <w:t>，收集效率为</w:t>
            </w:r>
            <w:r>
              <w:rPr>
                <w:rFonts w:hint="eastAsia" w:ascii="Times New Roman" w:hAnsi="Times New Roman" w:eastAsia="宋体" w:cs="Times New Roman"/>
                <w:snapToGrid w:val="0"/>
                <w:color w:val="000000"/>
                <w:sz w:val="24"/>
                <w:szCs w:val="24"/>
                <w:highlight w:val="none"/>
                <w:lang w:val="en-US" w:eastAsia="zh-CN" w:bidi="ar-SA"/>
              </w:rPr>
              <w:t>80</w:t>
            </w:r>
            <w:r>
              <w:rPr>
                <w:rFonts w:hint="default" w:ascii="Times New Roman" w:hAnsi="Times New Roman" w:eastAsia="宋体" w:cs="Times New Roman"/>
                <w:snapToGrid w:val="0"/>
                <w:color w:val="000000"/>
                <w:sz w:val="24"/>
                <w:szCs w:val="24"/>
                <w:highlight w:val="none"/>
                <w:lang w:val="en-US" w:eastAsia="zh-CN" w:bidi="ar-SA"/>
              </w:rPr>
              <w:t>%，</w:t>
            </w:r>
            <w:r>
              <w:rPr>
                <w:rFonts w:hint="eastAsia" w:cs="Times New Roman"/>
                <w:snapToGrid w:val="0"/>
                <w:color w:val="000000"/>
                <w:sz w:val="24"/>
                <w:szCs w:val="24"/>
                <w:highlight w:val="none"/>
                <w:lang w:val="en-US" w:eastAsia="zh-CN" w:bidi="ar-SA"/>
              </w:rPr>
              <w:t>非甲烷总烃</w:t>
            </w:r>
            <w:r>
              <w:rPr>
                <w:rFonts w:hint="eastAsia" w:ascii="Times New Roman" w:hAnsi="Times New Roman" w:eastAsia="宋体" w:cs="Times New Roman"/>
                <w:snapToGrid w:val="0"/>
                <w:color w:val="000000"/>
                <w:sz w:val="24"/>
                <w:szCs w:val="24"/>
                <w:highlight w:val="none"/>
                <w:lang w:val="en-US" w:eastAsia="zh-CN" w:bidi="ar-SA"/>
              </w:rPr>
              <w:t>处理</w:t>
            </w:r>
            <w:r>
              <w:rPr>
                <w:rFonts w:hint="default" w:ascii="Times New Roman" w:hAnsi="Times New Roman" w:eastAsia="宋体" w:cs="Times New Roman"/>
                <w:snapToGrid w:val="0"/>
                <w:color w:val="000000"/>
                <w:sz w:val="24"/>
                <w:szCs w:val="24"/>
                <w:highlight w:val="none"/>
                <w:lang w:val="en-US" w:eastAsia="zh-CN" w:bidi="ar-SA"/>
              </w:rPr>
              <w:t>效率为</w:t>
            </w:r>
            <w:r>
              <w:rPr>
                <w:rFonts w:hint="eastAsia" w:cs="Times New Roman"/>
                <w:snapToGrid w:val="0"/>
                <w:color w:val="000000"/>
                <w:sz w:val="24"/>
                <w:szCs w:val="24"/>
                <w:highlight w:val="none"/>
                <w:lang w:val="en-US" w:eastAsia="zh-CN" w:bidi="ar-SA"/>
              </w:rPr>
              <w:t>60</w:t>
            </w:r>
            <w:r>
              <w:rPr>
                <w:rFonts w:hint="default" w:ascii="Times New Roman" w:hAnsi="Times New Roman" w:eastAsia="宋体" w:cs="Times New Roman"/>
                <w:snapToGrid w:val="0"/>
                <w:color w:val="000000"/>
                <w:sz w:val="24"/>
                <w:szCs w:val="24"/>
                <w:highlight w:val="none"/>
                <w:lang w:val="en-US" w:eastAsia="zh-CN" w:bidi="ar-SA"/>
              </w:rPr>
              <w:t>%</w:t>
            </w:r>
            <w:r>
              <w:rPr>
                <w:rFonts w:hint="eastAsia" w:ascii="Times New Roman" w:hAnsi="Times New Roman" w:eastAsia="宋体" w:cs="Times New Roman"/>
                <w:snapToGrid w:val="0"/>
                <w:color w:val="000000"/>
                <w:sz w:val="24"/>
                <w:szCs w:val="24"/>
                <w:highlight w:val="none"/>
                <w:lang w:val="en-US" w:eastAsia="zh-CN" w:bidi="ar-SA"/>
              </w:rPr>
              <w:t>（收集效率、处理效率均由生态环境部办公厅《关于印发&lt;主要污染物总量减排核算技术指南（2022年修订）&gt;的通知》（环办综合函[2022]350号）提供）</w:t>
            </w:r>
            <w:r>
              <w:rPr>
                <w:rFonts w:hint="eastAsia" w:cs="Times New Roman"/>
                <w:snapToGrid w:val="0"/>
                <w:color w:val="000000"/>
                <w:sz w:val="24"/>
                <w:szCs w:val="24"/>
                <w:highlight w:val="none"/>
                <w:lang w:val="en-US" w:eastAsia="zh-CN" w:bidi="ar-SA"/>
              </w:rPr>
              <w:t>，氯化氢处理效率93.1%（处理效率由《</w:t>
            </w:r>
            <w:r>
              <w:rPr>
                <w:rFonts w:ascii="宋体" w:hAnsi="宋体" w:eastAsia="宋体" w:cs="宋体"/>
                <w:sz w:val="24"/>
                <w:szCs w:val="24"/>
              </w:rPr>
              <w:t>两段法吸收氯化氢尾气的工业应用研究</w:t>
            </w:r>
            <w:r>
              <w:rPr>
                <w:rFonts w:hint="eastAsia" w:cs="Times New Roman"/>
                <w:snapToGrid w:val="0"/>
                <w:color w:val="000000"/>
                <w:sz w:val="24"/>
                <w:szCs w:val="24"/>
                <w:highlight w:val="none"/>
                <w:lang w:val="en-US" w:eastAsia="zh-CN" w:bidi="ar-SA"/>
              </w:rPr>
              <w:t>》氯碱工业提供）</w:t>
            </w:r>
            <w:r>
              <w:rPr>
                <w:rFonts w:hint="eastAsia" w:ascii="Times New Roman" w:hAnsi="Times New Roman" w:eastAsia="宋体" w:cs="Times New Roman"/>
                <w:snapToGrid w:val="0"/>
                <w:color w:val="000000"/>
                <w:sz w:val="24"/>
                <w:szCs w:val="24"/>
                <w:highlight w:val="none"/>
                <w:lang w:val="en-US" w:eastAsia="zh-CN" w:bidi="ar-SA"/>
              </w:rPr>
              <w:t>；风机</w:t>
            </w:r>
            <w:r>
              <w:rPr>
                <w:rFonts w:hint="default" w:ascii="Times New Roman" w:hAnsi="Times New Roman" w:eastAsia="宋体" w:cs="Times New Roman"/>
                <w:snapToGrid w:val="0"/>
                <w:color w:val="000000"/>
                <w:sz w:val="24"/>
                <w:szCs w:val="24"/>
                <w:highlight w:val="none"/>
                <w:lang w:val="en-US" w:eastAsia="zh-CN" w:bidi="ar-SA"/>
              </w:rPr>
              <w:t>风量为</w:t>
            </w:r>
            <w:r>
              <w:rPr>
                <w:rFonts w:hint="eastAsia" w:cs="Times New Roman"/>
                <w:snapToGrid w:val="0"/>
                <w:color w:val="000000"/>
                <w:sz w:val="24"/>
                <w:szCs w:val="24"/>
                <w:highlight w:val="none"/>
                <w:lang w:val="en-US" w:eastAsia="zh-CN" w:bidi="ar-SA"/>
              </w:rPr>
              <w:t>2</w:t>
            </w:r>
            <w:r>
              <w:rPr>
                <w:rFonts w:hint="eastAsia" w:ascii="Times New Roman" w:hAnsi="Times New Roman" w:eastAsia="宋体" w:cs="Times New Roman"/>
                <w:snapToGrid w:val="0"/>
                <w:color w:val="000000"/>
                <w:sz w:val="24"/>
                <w:szCs w:val="24"/>
                <w:highlight w:val="none"/>
                <w:lang w:val="en-US" w:eastAsia="zh-CN" w:bidi="ar-SA"/>
              </w:rPr>
              <w:t>000</w:t>
            </w:r>
            <w:r>
              <w:rPr>
                <w:rFonts w:hint="eastAsia" w:cs="Times New Roman"/>
                <w:snapToGrid w:val="0"/>
                <w:color w:val="000000"/>
                <w:sz w:val="24"/>
                <w:szCs w:val="24"/>
                <w:highlight w:val="none"/>
                <w:lang w:val="en-US" w:eastAsia="zh-CN" w:bidi="ar-SA"/>
              </w:rPr>
              <w:t>0</w:t>
            </w:r>
            <w:r>
              <w:rPr>
                <w:rFonts w:hint="default" w:ascii="Times New Roman" w:hAnsi="Times New Roman" w:eastAsia="宋体" w:cs="Times New Roman"/>
                <w:snapToGrid w:val="0"/>
                <w:color w:val="000000"/>
                <w:sz w:val="24"/>
                <w:szCs w:val="24"/>
                <w:highlight w:val="none"/>
                <w:lang w:val="en-US" w:eastAsia="zh-CN" w:bidi="ar-SA"/>
              </w:rPr>
              <w:t>m</w:t>
            </w:r>
            <w:r>
              <w:rPr>
                <w:rFonts w:hint="default" w:ascii="Times New Roman" w:hAnsi="Times New Roman" w:eastAsia="宋体" w:cs="Times New Roman"/>
                <w:snapToGrid w:val="0"/>
                <w:color w:val="000000"/>
                <w:sz w:val="24"/>
                <w:szCs w:val="24"/>
                <w:highlight w:val="none"/>
                <w:vertAlign w:val="superscript"/>
                <w:lang w:val="en-US" w:eastAsia="zh-CN" w:bidi="ar-SA"/>
              </w:rPr>
              <w:t>3</w:t>
            </w:r>
            <w:r>
              <w:rPr>
                <w:rFonts w:hint="default" w:ascii="Times New Roman" w:hAnsi="Times New Roman" w:eastAsia="宋体" w:cs="Times New Roman"/>
                <w:snapToGrid w:val="0"/>
                <w:color w:val="000000"/>
                <w:sz w:val="24"/>
                <w:szCs w:val="24"/>
                <w:highlight w:val="none"/>
                <w:lang w:val="en-US" w:eastAsia="zh-CN" w:bidi="ar-SA"/>
              </w:rPr>
              <w:t>/h，经处理后的</w:t>
            </w:r>
            <w:r>
              <w:rPr>
                <w:rFonts w:hint="eastAsia" w:ascii="Times New Roman" w:hAnsi="Times New Roman" w:eastAsia="宋体" w:cs="Times New Roman"/>
                <w:snapToGrid w:val="0"/>
                <w:color w:val="000000"/>
                <w:sz w:val="24"/>
                <w:szCs w:val="24"/>
                <w:highlight w:val="none"/>
                <w:lang w:val="en-US" w:eastAsia="zh-CN" w:bidi="ar-SA"/>
              </w:rPr>
              <w:t>有组织非甲烷总烃</w:t>
            </w:r>
            <w:r>
              <w:rPr>
                <w:rFonts w:hint="default" w:ascii="Times New Roman" w:hAnsi="Times New Roman" w:eastAsia="宋体" w:cs="Times New Roman"/>
                <w:snapToGrid w:val="0"/>
                <w:color w:val="000000"/>
                <w:sz w:val="24"/>
                <w:szCs w:val="24"/>
                <w:highlight w:val="none"/>
                <w:lang w:val="en-US" w:eastAsia="zh-CN" w:bidi="ar-SA"/>
              </w:rPr>
              <w:t>排放浓度为</w:t>
            </w:r>
            <w:r>
              <w:rPr>
                <w:rFonts w:hint="eastAsia" w:cs="Times New Roman"/>
                <w:snapToGrid w:val="0"/>
                <w:color w:val="000000"/>
                <w:sz w:val="24"/>
                <w:szCs w:val="24"/>
                <w:highlight w:val="none"/>
                <w:lang w:val="en-US" w:eastAsia="zh-CN" w:bidi="ar-SA"/>
              </w:rPr>
              <w:t>29.17</w:t>
            </w:r>
            <w:r>
              <w:rPr>
                <w:rFonts w:hint="default" w:ascii="Times New Roman" w:hAnsi="Times New Roman" w:eastAsia="宋体" w:cs="Times New Roman"/>
                <w:snapToGrid w:val="0"/>
                <w:color w:val="000000"/>
                <w:sz w:val="24"/>
                <w:szCs w:val="24"/>
                <w:highlight w:val="none"/>
                <w:lang w:val="en-US" w:eastAsia="zh-CN" w:bidi="ar-SA"/>
              </w:rPr>
              <w:t>mg/m</w:t>
            </w:r>
            <w:r>
              <w:rPr>
                <w:rFonts w:hint="default" w:ascii="Times New Roman" w:hAnsi="Times New Roman" w:eastAsia="宋体" w:cs="Times New Roman"/>
                <w:snapToGrid w:val="0"/>
                <w:color w:val="000000"/>
                <w:sz w:val="24"/>
                <w:szCs w:val="24"/>
                <w:highlight w:val="none"/>
                <w:vertAlign w:val="superscript"/>
                <w:lang w:val="en-US" w:eastAsia="zh-CN" w:bidi="ar-SA"/>
              </w:rPr>
              <w:t>3</w:t>
            </w:r>
            <w:r>
              <w:rPr>
                <w:rFonts w:hint="eastAsia" w:ascii="Times New Roman" w:hAnsi="Times New Roman" w:eastAsia="宋体" w:cs="Times New Roman"/>
                <w:snapToGrid w:val="0"/>
                <w:color w:val="000000"/>
                <w:sz w:val="24"/>
                <w:szCs w:val="24"/>
                <w:highlight w:val="none"/>
                <w:vertAlign w:val="baseline"/>
                <w:lang w:val="en-US" w:eastAsia="zh-CN" w:bidi="ar-SA"/>
              </w:rPr>
              <w:t>，</w:t>
            </w:r>
            <w:r>
              <w:rPr>
                <w:rFonts w:hint="default" w:ascii="Times New Roman" w:hAnsi="Times New Roman" w:eastAsia="宋体" w:cs="Times New Roman"/>
                <w:snapToGrid w:val="0"/>
                <w:color w:val="000000"/>
                <w:sz w:val="24"/>
                <w:szCs w:val="24"/>
                <w:highlight w:val="none"/>
                <w:lang w:val="en-US" w:eastAsia="zh-CN" w:bidi="ar-SA"/>
              </w:rPr>
              <w:t>可以满足《合成树脂工业污染物排放标准》（GB31572-2015）（</w:t>
            </w:r>
            <w:r>
              <w:rPr>
                <w:rFonts w:hint="eastAsia" w:ascii="Times New Roman" w:hAnsi="Times New Roman" w:eastAsia="宋体" w:cs="Times New Roman"/>
                <w:snapToGrid w:val="0"/>
                <w:color w:val="000000"/>
                <w:sz w:val="24"/>
                <w:szCs w:val="24"/>
                <w:highlight w:val="none"/>
                <w:lang w:val="en-US" w:eastAsia="zh-CN" w:bidi="ar-SA"/>
              </w:rPr>
              <w:t>含2024年修改单</w:t>
            </w:r>
            <w:r>
              <w:rPr>
                <w:rFonts w:hint="default" w:ascii="Times New Roman" w:hAnsi="Times New Roman" w:eastAsia="宋体" w:cs="Times New Roman"/>
                <w:snapToGrid w:val="0"/>
                <w:color w:val="000000"/>
                <w:sz w:val="24"/>
                <w:szCs w:val="24"/>
                <w:highlight w:val="none"/>
                <w:lang w:val="en-US" w:eastAsia="zh-CN" w:bidi="ar-SA"/>
              </w:rPr>
              <w:t>）表5 大气污染物特别排放限值</w:t>
            </w:r>
            <w:r>
              <w:rPr>
                <w:rFonts w:hint="eastAsia" w:ascii="Times New Roman" w:hAnsi="Times New Roman" w:eastAsia="宋体" w:cs="Times New Roman"/>
                <w:spacing w:val="-11"/>
                <w:kern w:val="2"/>
                <w:szCs w:val="24"/>
              </w:rPr>
              <w:t>（</w:t>
            </w:r>
            <w:r>
              <w:rPr>
                <w:rFonts w:hint="eastAsia" w:ascii="Times New Roman" w:hAnsi="Times New Roman" w:eastAsia="宋体" w:cs="Times New Roman"/>
                <w:spacing w:val="-11"/>
                <w:kern w:val="2"/>
                <w:szCs w:val="24"/>
                <w:lang w:val="en-US" w:eastAsia="zh-CN"/>
              </w:rPr>
              <w:t>60</w:t>
            </w:r>
            <w:r>
              <w:rPr>
                <w:rFonts w:hint="eastAsia" w:ascii="Times New Roman" w:hAnsi="Times New Roman" w:eastAsia="宋体" w:cs="Times New Roman"/>
                <w:spacing w:val="-11"/>
                <w:kern w:val="2"/>
                <w:szCs w:val="24"/>
              </w:rPr>
              <w:t>mg/</w:t>
            </w:r>
            <w:r>
              <w:rPr>
                <w:rFonts w:hint="eastAsia" w:ascii="Times New Roman" w:hAnsi="Times New Roman" w:eastAsia="宋体" w:cs="Times New Roman"/>
                <w:spacing w:val="-11"/>
                <w:kern w:val="2"/>
                <w:szCs w:val="24"/>
                <w:lang w:val="en-US" w:eastAsia="zh-CN"/>
              </w:rPr>
              <w:t>m</w:t>
            </w:r>
            <w:r>
              <w:rPr>
                <w:rFonts w:hint="eastAsia" w:ascii="Times New Roman" w:hAnsi="Times New Roman" w:eastAsia="宋体" w:cs="Times New Roman"/>
                <w:spacing w:val="-11"/>
                <w:kern w:val="2"/>
                <w:szCs w:val="24"/>
                <w:vertAlign w:val="superscript"/>
                <w:lang w:val="en-US" w:eastAsia="zh-CN"/>
              </w:rPr>
              <w:t>3</w:t>
            </w:r>
            <w:r>
              <w:rPr>
                <w:rFonts w:hint="eastAsia" w:ascii="Times New Roman" w:hAnsi="Times New Roman" w:eastAsia="宋体" w:cs="Times New Roman"/>
                <w:spacing w:val="-11"/>
                <w:kern w:val="2"/>
                <w:szCs w:val="24"/>
              </w:rPr>
              <w:t>）</w:t>
            </w:r>
            <w:r>
              <w:rPr>
                <w:rFonts w:hint="eastAsia" w:cs="Times New Roman"/>
                <w:spacing w:val="-11"/>
                <w:kern w:val="2"/>
                <w:szCs w:val="24"/>
                <w:lang w:eastAsia="zh-CN"/>
              </w:rPr>
              <w:t>；</w:t>
            </w:r>
            <w:r>
              <w:rPr>
                <w:rFonts w:hint="eastAsia" w:cs="Times New Roman"/>
                <w:spacing w:val="-11"/>
                <w:kern w:val="2"/>
                <w:szCs w:val="24"/>
                <w:lang w:val="en-US" w:eastAsia="zh-CN"/>
              </w:rPr>
              <w:t>有组织氯化氢排放浓</w:t>
            </w:r>
            <w:r>
              <w:rPr>
                <w:rFonts w:hint="default" w:ascii="Times New Roman" w:hAnsi="Times New Roman" w:cs="Times New Roman"/>
                <w:spacing w:val="-11"/>
                <w:kern w:val="2"/>
                <w:szCs w:val="24"/>
                <w:lang w:val="en-US" w:eastAsia="zh-CN"/>
              </w:rPr>
              <w:t>度</w:t>
            </w:r>
            <w:r>
              <w:rPr>
                <w:rFonts w:hint="eastAsia" w:cs="Times New Roman"/>
                <w:spacing w:val="-11"/>
                <w:kern w:val="2"/>
                <w:szCs w:val="24"/>
                <w:highlight w:val="none"/>
                <w:lang w:val="en-US" w:eastAsia="zh-CN"/>
              </w:rPr>
              <w:t>0.02</w:t>
            </w:r>
            <w:r>
              <w:rPr>
                <w:rFonts w:hint="default" w:ascii="Times New Roman" w:hAnsi="Times New Roman" w:cs="Times New Roman"/>
                <w:spacing w:val="-11"/>
                <w:kern w:val="2"/>
                <w:szCs w:val="24"/>
                <w:lang w:val="en-US" w:eastAsia="zh-CN"/>
              </w:rPr>
              <w:t>μg/m</w:t>
            </w:r>
            <w:r>
              <w:rPr>
                <w:rFonts w:hint="default" w:ascii="Times New Roman" w:hAnsi="Times New Roman" w:cs="Times New Roman"/>
                <w:spacing w:val="-11"/>
                <w:kern w:val="2"/>
                <w:szCs w:val="24"/>
                <w:vertAlign w:val="superscript"/>
                <w:lang w:val="en-US" w:eastAsia="zh-CN"/>
              </w:rPr>
              <w:t>3</w:t>
            </w:r>
            <w:r>
              <w:rPr>
                <w:rFonts w:hint="default" w:ascii="Times New Roman" w:hAnsi="Times New Roman" w:cs="Times New Roman"/>
                <w:spacing w:val="-11"/>
                <w:kern w:val="2"/>
                <w:szCs w:val="24"/>
                <w:lang w:val="en-US" w:eastAsia="zh-CN"/>
              </w:rPr>
              <w:t>，</w:t>
            </w:r>
            <w:r>
              <w:rPr>
                <w:rFonts w:hint="eastAsia" w:cs="Times New Roman"/>
                <w:spacing w:val="-11"/>
                <w:kern w:val="2"/>
                <w:szCs w:val="24"/>
                <w:lang w:val="en-US" w:eastAsia="zh-CN"/>
              </w:rPr>
              <w:t>排放速率为4.17×10</w:t>
            </w:r>
            <w:r>
              <w:rPr>
                <w:rFonts w:hint="eastAsia" w:cs="Times New Roman"/>
                <w:spacing w:val="-11"/>
                <w:kern w:val="2"/>
                <w:szCs w:val="24"/>
                <w:vertAlign w:val="superscript"/>
                <w:lang w:val="en-US" w:eastAsia="zh-CN"/>
              </w:rPr>
              <w:t>-7</w:t>
            </w:r>
            <w:r>
              <w:rPr>
                <w:rFonts w:hint="eastAsia" w:cs="Times New Roman"/>
                <w:snapToGrid w:val="0"/>
                <w:color w:val="000000"/>
                <w:sz w:val="24"/>
                <w:szCs w:val="24"/>
                <w:highlight w:val="none"/>
                <w:vertAlign w:val="baseline"/>
                <w:lang w:val="en-US" w:eastAsia="zh-CN" w:bidi="ar-SA"/>
              </w:rPr>
              <w:t>kg/h，</w:t>
            </w:r>
            <w:r>
              <w:rPr>
                <w:rFonts w:hint="eastAsia" w:cs="Times New Roman"/>
                <w:spacing w:val="-11"/>
                <w:kern w:val="2"/>
                <w:szCs w:val="24"/>
                <w:lang w:val="en-US" w:eastAsia="zh-CN"/>
              </w:rPr>
              <w:t>满足《大气污染物综合排放标准》（GB 16297-1996）表2 新污染源大气污染物排放限值（100</w:t>
            </w:r>
            <w:r>
              <w:rPr>
                <w:rFonts w:hint="default" w:ascii="Times New Roman" w:hAnsi="Times New Roman" w:eastAsia="宋体" w:cs="Times New Roman"/>
                <w:snapToGrid w:val="0"/>
                <w:color w:val="000000"/>
                <w:sz w:val="24"/>
                <w:szCs w:val="24"/>
                <w:highlight w:val="none"/>
                <w:lang w:val="en-US" w:eastAsia="zh-CN" w:bidi="ar-SA"/>
              </w:rPr>
              <w:t>mg/m</w:t>
            </w:r>
            <w:r>
              <w:rPr>
                <w:rFonts w:hint="default" w:ascii="Times New Roman" w:hAnsi="Times New Roman" w:eastAsia="宋体" w:cs="Times New Roman"/>
                <w:snapToGrid w:val="0"/>
                <w:color w:val="000000"/>
                <w:sz w:val="24"/>
                <w:szCs w:val="24"/>
                <w:highlight w:val="none"/>
                <w:vertAlign w:val="superscript"/>
                <w:lang w:val="en-US" w:eastAsia="zh-CN" w:bidi="ar-SA"/>
              </w:rPr>
              <w:t>3</w:t>
            </w:r>
            <w:r>
              <w:rPr>
                <w:rFonts w:hint="eastAsia" w:cs="Times New Roman"/>
                <w:snapToGrid w:val="0"/>
                <w:color w:val="000000"/>
                <w:sz w:val="24"/>
                <w:szCs w:val="24"/>
                <w:highlight w:val="none"/>
                <w:vertAlign w:val="baseline"/>
                <w:lang w:val="en-US" w:eastAsia="zh-CN" w:bidi="ar-SA"/>
              </w:rPr>
              <w:t>，0.43kg/h</w:t>
            </w:r>
            <w:r>
              <w:rPr>
                <w:rFonts w:hint="eastAsia" w:cs="Times New Roman"/>
                <w:spacing w:val="-11"/>
                <w:kern w:val="2"/>
                <w:szCs w:val="24"/>
                <w:lang w:val="en-US" w:eastAsia="zh-CN"/>
              </w:rPr>
              <w:t>）</w:t>
            </w:r>
            <w:r>
              <w:rPr>
                <w:rFonts w:hint="default" w:ascii="Times New Roman" w:hAnsi="Times New Roman" w:eastAsia="宋体" w:cs="Times New Roman"/>
                <w:snapToGrid w:val="0"/>
                <w:color w:val="auto"/>
                <w:sz w:val="24"/>
                <w:szCs w:val="24"/>
                <w:highlight w:val="none"/>
                <w:lang w:val="en-US" w:eastAsia="zh-CN" w:bidi="ar-SA"/>
              </w:rPr>
              <w:t>。</w:t>
            </w:r>
            <w:r>
              <w:rPr>
                <w:rFonts w:hint="eastAsia" w:ascii="Times New Roman" w:hAnsi="Times New Roman" w:eastAsia="宋体" w:cs="Times New Roman"/>
                <w:snapToGrid w:val="0"/>
                <w:color w:val="auto"/>
                <w:sz w:val="24"/>
                <w:szCs w:val="24"/>
                <w:highlight w:val="none"/>
                <w:lang w:val="en-US" w:eastAsia="zh-CN" w:bidi="ar-SA"/>
              </w:rPr>
              <w:t>部分无组织逸散非甲烷总烃</w:t>
            </w:r>
            <w:r>
              <w:rPr>
                <w:rFonts w:hint="eastAsia" w:cs="Times New Roman"/>
                <w:snapToGrid w:val="0"/>
                <w:color w:val="auto"/>
                <w:sz w:val="24"/>
                <w:szCs w:val="24"/>
                <w:highlight w:val="none"/>
                <w:lang w:val="en-US" w:eastAsia="zh-CN" w:bidi="ar-SA"/>
              </w:rPr>
              <w:t>、氯化氢</w:t>
            </w:r>
            <w:r>
              <w:rPr>
                <w:rFonts w:hint="default" w:ascii="Times New Roman" w:hAnsi="Times New Roman" w:eastAsia="宋体" w:cs="Times New Roman"/>
                <w:color w:val="000000"/>
                <w:sz w:val="24"/>
                <w:szCs w:val="24"/>
                <w:lang w:val="en-US" w:eastAsia="zh-CN" w:bidi="ar-SA"/>
              </w:rPr>
              <w:t>通过</w:t>
            </w:r>
            <w:r>
              <w:rPr>
                <w:rFonts w:hint="eastAsia" w:ascii="Times New Roman" w:hAnsi="Times New Roman" w:eastAsia="宋体" w:cs="Times New Roman"/>
                <w:color w:val="000000"/>
                <w:sz w:val="24"/>
                <w:szCs w:val="24"/>
                <w:lang w:val="en-US" w:eastAsia="zh-CN" w:bidi="ar-SA"/>
              </w:rPr>
              <w:t>加强</w:t>
            </w:r>
            <w:r>
              <w:rPr>
                <w:rFonts w:hint="eastAsia" w:cs="Times New Roman"/>
                <w:color w:val="000000"/>
                <w:sz w:val="24"/>
                <w:szCs w:val="24"/>
                <w:lang w:val="en-US" w:eastAsia="zh-CN" w:bidi="ar-SA"/>
              </w:rPr>
              <w:t>封闭式作业</w:t>
            </w:r>
            <w:r>
              <w:rPr>
                <w:rFonts w:hint="eastAsia" w:ascii="Times New Roman" w:hAnsi="Times New Roman" w:eastAsia="宋体" w:cs="Times New Roman"/>
                <w:color w:val="000000"/>
                <w:sz w:val="24"/>
                <w:szCs w:val="24"/>
                <w:lang w:val="en-US" w:eastAsia="zh-CN" w:bidi="ar-SA"/>
              </w:rPr>
              <w:t>等措施进行控制</w:t>
            </w:r>
            <w:r>
              <w:rPr>
                <w:rFonts w:hint="default" w:ascii="Times New Roman" w:hAnsi="Times New Roman" w:eastAsia="宋体" w:cs="Times New Roman"/>
                <w:color w:val="000000"/>
                <w:sz w:val="24"/>
                <w:szCs w:val="24"/>
                <w:lang w:val="en-US" w:eastAsia="zh-CN" w:bidi="ar-SA"/>
              </w:rPr>
              <w:t>，厂界</w:t>
            </w:r>
            <w:r>
              <w:rPr>
                <w:rFonts w:hint="eastAsia" w:ascii="Times New Roman" w:hAnsi="Times New Roman" w:eastAsia="宋体" w:cs="Times New Roman"/>
                <w:snapToGrid w:val="0"/>
                <w:color w:val="auto"/>
                <w:sz w:val="24"/>
                <w:szCs w:val="24"/>
                <w:highlight w:val="none"/>
                <w:lang w:val="en-US" w:eastAsia="zh-CN" w:bidi="ar-SA"/>
              </w:rPr>
              <w:t>非甲烷总烃</w:t>
            </w:r>
            <w:r>
              <w:rPr>
                <w:rFonts w:hint="default" w:ascii="Times New Roman" w:hAnsi="Times New Roman" w:eastAsia="宋体" w:cs="Times New Roman"/>
                <w:color w:val="000000"/>
                <w:sz w:val="24"/>
                <w:szCs w:val="24"/>
                <w:vertAlign w:val="baseline"/>
                <w:lang w:val="en-US" w:eastAsia="zh-CN" w:bidi="ar-SA"/>
              </w:rPr>
              <w:t>满足《合成树脂工业污染物排放标准》（GB31572-2015）（含2024年修改单）表9 企业边界大气污染物浓度限值</w:t>
            </w:r>
            <w:r>
              <w:rPr>
                <w:rFonts w:hint="default" w:ascii="Times New Roman" w:hAnsi="Times New Roman" w:eastAsia="宋体" w:cs="Times New Roman"/>
                <w:color w:val="000000"/>
                <w:sz w:val="24"/>
                <w:szCs w:val="24"/>
                <w:lang w:val="zh-CN" w:eastAsia="zh-CN" w:bidi="ar-SA"/>
              </w:rPr>
              <w:t>（</w:t>
            </w:r>
            <w:r>
              <w:rPr>
                <w:rFonts w:hint="eastAsia" w:ascii="Times New Roman" w:hAnsi="Times New Roman" w:eastAsia="宋体" w:cs="Times New Roman"/>
                <w:color w:val="000000"/>
                <w:sz w:val="24"/>
                <w:szCs w:val="24"/>
                <w:lang w:val="en-US" w:eastAsia="zh-CN" w:bidi="ar-SA"/>
              </w:rPr>
              <w:t>4</w:t>
            </w:r>
            <w:r>
              <w:rPr>
                <w:rFonts w:hint="default" w:ascii="Times New Roman" w:hAnsi="Times New Roman" w:eastAsia="宋体" w:cs="Times New Roman"/>
                <w:color w:val="000000"/>
                <w:sz w:val="24"/>
                <w:szCs w:val="24"/>
                <w:lang w:val="en-US" w:eastAsia="zh-CN" w:bidi="ar-SA"/>
              </w:rPr>
              <w:t>mg/m</w:t>
            </w:r>
            <w:r>
              <w:rPr>
                <w:rFonts w:hint="default" w:ascii="Times New Roman" w:hAnsi="Times New Roman" w:eastAsia="宋体" w:cs="Times New Roman"/>
                <w:color w:val="000000"/>
                <w:sz w:val="24"/>
                <w:szCs w:val="24"/>
                <w:vertAlign w:val="superscript"/>
                <w:lang w:val="en-US" w:eastAsia="zh-CN" w:bidi="ar-SA"/>
              </w:rPr>
              <w:t>3</w:t>
            </w:r>
            <w:r>
              <w:rPr>
                <w:rFonts w:hint="default" w:ascii="Times New Roman" w:hAnsi="Times New Roman" w:eastAsia="宋体" w:cs="Times New Roman"/>
                <w:color w:val="000000"/>
                <w:sz w:val="24"/>
                <w:szCs w:val="24"/>
                <w:lang w:val="zh-CN" w:eastAsia="zh-CN" w:bidi="ar-SA"/>
              </w:rPr>
              <w:t>）</w:t>
            </w:r>
            <w:r>
              <w:rPr>
                <w:rFonts w:hint="eastAsia" w:cs="Times New Roman"/>
                <w:color w:val="000000"/>
                <w:sz w:val="24"/>
                <w:szCs w:val="24"/>
                <w:lang w:val="zh-CN" w:eastAsia="zh-CN" w:bidi="ar-SA"/>
              </w:rPr>
              <w:t>，</w:t>
            </w:r>
            <w:r>
              <w:rPr>
                <w:rFonts w:hint="eastAsia" w:cs="Times New Roman"/>
                <w:color w:val="000000"/>
                <w:sz w:val="24"/>
                <w:szCs w:val="24"/>
                <w:lang w:val="en-US" w:eastAsia="zh-CN" w:bidi="ar-SA"/>
              </w:rPr>
              <w:t>厂界氯化氢满足</w:t>
            </w:r>
            <w:r>
              <w:rPr>
                <w:rFonts w:hint="eastAsia" w:cs="Times New Roman"/>
                <w:spacing w:val="-11"/>
                <w:kern w:val="2"/>
                <w:szCs w:val="24"/>
                <w:lang w:val="en-US" w:eastAsia="zh-CN"/>
              </w:rPr>
              <w:t>《大气污染物综合排放标准》（GB 16297-1996）表2 新污染源大气污染物排放限值（0.2</w:t>
            </w:r>
            <w:r>
              <w:rPr>
                <w:rFonts w:hint="default" w:ascii="Times New Roman" w:hAnsi="Times New Roman" w:eastAsia="宋体" w:cs="Times New Roman"/>
                <w:snapToGrid w:val="0"/>
                <w:color w:val="000000"/>
                <w:sz w:val="24"/>
                <w:szCs w:val="24"/>
                <w:highlight w:val="none"/>
                <w:lang w:val="en-US" w:eastAsia="zh-CN" w:bidi="ar-SA"/>
              </w:rPr>
              <w:t>mg/m</w:t>
            </w:r>
            <w:r>
              <w:rPr>
                <w:rFonts w:hint="default" w:ascii="Times New Roman" w:hAnsi="Times New Roman" w:eastAsia="宋体" w:cs="Times New Roman"/>
                <w:snapToGrid w:val="0"/>
                <w:color w:val="000000"/>
                <w:sz w:val="24"/>
                <w:szCs w:val="24"/>
                <w:highlight w:val="none"/>
                <w:vertAlign w:val="superscript"/>
                <w:lang w:val="en-US" w:eastAsia="zh-CN" w:bidi="ar-SA"/>
              </w:rPr>
              <w:t>3</w:t>
            </w:r>
            <w:r>
              <w:rPr>
                <w:rFonts w:hint="eastAsia" w:cs="Times New Roman"/>
                <w:spacing w:val="-11"/>
                <w:kern w:val="2"/>
                <w:szCs w:val="24"/>
                <w:lang w:val="en-US" w:eastAsia="zh-CN"/>
              </w:rPr>
              <w:t>）</w:t>
            </w:r>
            <w:r>
              <w:rPr>
                <w:rFonts w:hint="eastAsia" w:cs="Times New Roman"/>
                <w:color w:val="000000"/>
                <w:sz w:val="24"/>
                <w:szCs w:val="24"/>
                <w:lang w:val="zh-CN" w:eastAsia="zh-CN" w:bidi="ar-SA"/>
              </w:rPr>
              <w:t>，</w:t>
            </w:r>
            <w:r>
              <w:rPr>
                <w:rFonts w:hint="eastAsia" w:cs="Times New Roman"/>
                <w:color w:val="000000"/>
                <w:sz w:val="24"/>
                <w:szCs w:val="24"/>
                <w:lang w:val="en-US" w:eastAsia="zh-CN" w:bidi="ar-SA"/>
              </w:rPr>
              <w:t>厂区内</w:t>
            </w:r>
            <w:r>
              <w:rPr>
                <w:rFonts w:hint="eastAsia" w:ascii="Times New Roman" w:hAnsi="Times New Roman" w:eastAsia="宋体" w:cs="Times New Roman"/>
                <w:snapToGrid w:val="0"/>
                <w:color w:val="auto"/>
                <w:sz w:val="24"/>
                <w:szCs w:val="24"/>
                <w:highlight w:val="none"/>
                <w:lang w:val="en-US" w:eastAsia="zh-CN" w:bidi="ar-SA"/>
              </w:rPr>
              <w:t>非甲烷总烃</w:t>
            </w:r>
            <w:r>
              <w:rPr>
                <w:rFonts w:hint="eastAsia" w:cs="Times New Roman"/>
                <w:color w:val="000000"/>
                <w:sz w:val="24"/>
                <w:szCs w:val="24"/>
                <w:lang w:val="en-US" w:eastAsia="zh-CN" w:bidi="ar-SA"/>
              </w:rPr>
              <w:t>满足《挥发性有机物无组织排放控制标准》（GB37822-2019）表A.1厂区内VOCs无组织特别排放限值（6</w:t>
            </w:r>
            <w:r>
              <w:rPr>
                <w:rFonts w:hint="default" w:ascii="Times New Roman" w:hAnsi="Times New Roman" w:eastAsia="宋体" w:cs="Times New Roman"/>
                <w:color w:val="000000"/>
                <w:sz w:val="24"/>
                <w:szCs w:val="24"/>
                <w:lang w:val="en-US" w:eastAsia="zh-CN" w:bidi="ar-SA"/>
              </w:rPr>
              <w:t>mg/m</w:t>
            </w:r>
            <w:r>
              <w:rPr>
                <w:rFonts w:hint="default" w:ascii="Times New Roman" w:hAnsi="Times New Roman" w:eastAsia="宋体" w:cs="Times New Roman"/>
                <w:color w:val="000000"/>
                <w:sz w:val="24"/>
                <w:szCs w:val="24"/>
                <w:vertAlign w:val="superscript"/>
                <w:lang w:val="en-US" w:eastAsia="zh-CN" w:bidi="ar-SA"/>
              </w:rPr>
              <w:t>3</w:t>
            </w:r>
            <w:r>
              <w:rPr>
                <w:rFonts w:hint="eastAsia" w:cs="Times New Roman"/>
                <w:color w:val="000000"/>
                <w:sz w:val="24"/>
                <w:szCs w:val="24"/>
                <w:lang w:val="en-US" w:eastAsia="zh-CN" w:bidi="ar-SA"/>
              </w:rPr>
              <w:t>监控点处1 h平均浓度值；20</w:t>
            </w:r>
            <w:r>
              <w:rPr>
                <w:rFonts w:hint="default" w:ascii="Times New Roman" w:hAnsi="Times New Roman" w:eastAsia="宋体" w:cs="Times New Roman"/>
                <w:color w:val="000000"/>
                <w:sz w:val="24"/>
                <w:szCs w:val="24"/>
                <w:lang w:val="en-US" w:eastAsia="zh-CN" w:bidi="ar-SA"/>
              </w:rPr>
              <w:t>mg/m</w:t>
            </w:r>
            <w:r>
              <w:rPr>
                <w:rFonts w:hint="default" w:ascii="Times New Roman" w:hAnsi="Times New Roman" w:eastAsia="宋体" w:cs="Times New Roman"/>
                <w:color w:val="000000"/>
                <w:sz w:val="24"/>
                <w:szCs w:val="24"/>
                <w:vertAlign w:val="superscript"/>
                <w:lang w:val="en-US" w:eastAsia="zh-CN" w:bidi="ar-SA"/>
              </w:rPr>
              <w:t>3</w:t>
            </w:r>
            <w:r>
              <w:rPr>
                <w:rFonts w:hint="eastAsia" w:cs="Times New Roman"/>
                <w:color w:val="000000"/>
                <w:sz w:val="24"/>
                <w:szCs w:val="24"/>
                <w:lang w:val="en-US" w:eastAsia="zh-CN" w:bidi="ar-SA"/>
              </w:rPr>
              <w:t>监控点处任意一次浓度值）</w:t>
            </w:r>
            <w:r>
              <w:rPr>
                <w:rFonts w:hint="eastAsia" w:ascii="Times New Roman" w:hAnsi="Times New Roman" w:eastAsia="宋体" w:cs="Times New Roman"/>
                <w:color w:val="000000"/>
                <w:sz w:val="24"/>
                <w:szCs w:val="24"/>
                <w:lang w:val="zh-CN" w:eastAsia="zh-CN" w:bidi="ar-SA"/>
              </w:rPr>
              <w:t>。</w:t>
            </w:r>
          </w:p>
          <w:p>
            <w:pPr>
              <w:tabs>
                <w:tab w:val="left" w:pos="6295"/>
              </w:tabs>
              <w:overflowPunct/>
              <w:autoSpaceDE/>
              <w:autoSpaceDN/>
              <w:adjustRightInd/>
              <w:snapToGrid/>
              <w:spacing w:before="0" w:after="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废气产生和排放情况见表</w:t>
            </w:r>
            <w:r>
              <w:rPr>
                <w:rFonts w:hint="eastAsia" w:ascii="Times New Roman" w:hAnsi="Times New Roman" w:eastAsia="宋体" w:cs="Times New Roman"/>
                <w:color w:val="auto"/>
                <w:kern w:val="2"/>
                <w:sz w:val="24"/>
                <w:szCs w:val="24"/>
                <w:lang w:val="en-US" w:eastAsia="zh-CN"/>
              </w:rPr>
              <w:t>4.5-1</w:t>
            </w:r>
            <w:r>
              <w:rPr>
                <w:rFonts w:hint="default" w:ascii="Times New Roman" w:hAnsi="Times New Roman" w:eastAsia="宋体" w:cs="Times New Roman"/>
                <w:color w:val="auto"/>
                <w:kern w:val="2"/>
                <w:sz w:val="24"/>
                <w:szCs w:val="24"/>
              </w:rPr>
              <w:t>。</w:t>
            </w:r>
          </w:p>
          <w:p>
            <w:pPr>
              <w:widowControl w:val="0"/>
              <w:overflowPunct/>
              <w:autoSpaceDE/>
              <w:autoSpaceDN/>
              <w:adjustRightInd/>
              <w:snapToGrid/>
              <w:spacing w:before="0" w:after="0" w:line="360" w:lineRule="auto"/>
              <w:ind w:left="0" w:right="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color w:val="auto"/>
                <w:kern w:val="0"/>
                <w:sz w:val="24"/>
                <w:szCs w:val="24"/>
                <w:lang w:val="en-US" w:eastAsia="zh-CN" w:bidi="ar-SA"/>
              </w:rPr>
              <w:t>表</w:t>
            </w:r>
            <w:r>
              <w:rPr>
                <w:rFonts w:hint="eastAsia" w:ascii="Times New Roman" w:hAnsi="Times New Roman" w:eastAsia="宋体" w:cs="Times New Roman"/>
                <w:b/>
                <w:color w:val="auto"/>
                <w:kern w:val="0"/>
                <w:sz w:val="24"/>
                <w:szCs w:val="24"/>
                <w:lang w:val="en-US" w:eastAsia="zh-CN" w:bidi="ar-SA"/>
              </w:rPr>
              <w:t>4.5-1 生产车间有机废气</w:t>
            </w:r>
            <w:r>
              <w:rPr>
                <w:rFonts w:hint="default" w:ascii="Times New Roman" w:hAnsi="Times New Roman" w:eastAsia="宋体" w:cs="Times New Roman"/>
                <w:b/>
                <w:color w:val="auto"/>
                <w:kern w:val="0"/>
                <w:sz w:val="24"/>
                <w:szCs w:val="24"/>
                <w:lang w:val="en-US" w:eastAsia="zh-CN" w:bidi="ar-SA"/>
              </w:rPr>
              <w:t>产生及排放情况表</w:t>
            </w:r>
          </w:p>
          <w:tbl>
            <w:tblPr>
              <w:tblStyle w:val="1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26"/>
              <w:gridCol w:w="765"/>
              <w:gridCol w:w="480"/>
              <w:gridCol w:w="480"/>
              <w:gridCol w:w="645"/>
              <w:gridCol w:w="645"/>
              <w:gridCol w:w="1020"/>
              <w:gridCol w:w="1348"/>
              <w:gridCol w:w="1219"/>
              <w:gridCol w:w="10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2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Times New Roman" w:hAnsi="Times New Roman" w:eastAsia="宋体" w:cs="Times New Roman"/>
                      <w:b w:val="0"/>
                      <w:bCs w:val="0"/>
                      <w:color w:val="auto"/>
                      <w:kern w:val="2"/>
                      <w:sz w:val="21"/>
                      <w:szCs w:val="22"/>
                      <w:lang w:eastAsia="zh-CN"/>
                    </w:rPr>
                  </w:pPr>
                  <w:r>
                    <w:rPr>
                      <w:rFonts w:hint="eastAsia" w:ascii="Times New Roman" w:hAnsi="Times New Roman" w:eastAsia="宋体" w:cs="Times New Roman"/>
                      <w:b w:val="0"/>
                      <w:bCs w:val="0"/>
                      <w:color w:val="auto"/>
                      <w:kern w:val="2"/>
                      <w:sz w:val="21"/>
                      <w:szCs w:val="22"/>
                      <w:lang w:val="en-US" w:eastAsia="zh-CN"/>
                    </w:rPr>
                    <w:t>产污环节</w:t>
                  </w:r>
                </w:p>
              </w:tc>
              <w:tc>
                <w:tcPr>
                  <w:tcW w:w="7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2"/>
                      <w:lang w:val="en-US" w:eastAsia="zh-CN"/>
                    </w:rPr>
                  </w:pPr>
                  <w:r>
                    <w:rPr>
                      <w:rFonts w:hint="eastAsia" w:ascii="Times New Roman" w:hAnsi="Times New Roman" w:eastAsia="宋体" w:cs="Times New Roman"/>
                      <w:b w:val="0"/>
                      <w:bCs w:val="0"/>
                      <w:color w:val="auto"/>
                      <w:kern w:val="2"/>
                      <w:sz w:val="21"/>
                      <w:szCs w:val="22"/>
                      <w:lang w:val="en-US" w:eastAsia="zh-CN"/>
                    </w:rPr>
                    <w:t>污染物</w:t>
                  </w:r>
                </w:p>
              </w:tc>
              <w:tc>
                <w:tcPr>
                  <w:tcW w:w="960"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2"/>
                    </w:rPr>
                  </w:pPr>
                  <w:r>
                    <w:rPr>
                      <w:rFonts w:hint="default" w:ascii="Times New Roman" w:hAnsi="Times New Roman" w:eastAsia="宋体" w:cs="Times New Roman"/>
                      <w:b w:val="0"/>
                      <w:bCs w:val="0"/>
                      <w:color w:val="auto"/>
                      <w:kern w:val="2"/>
                      <w:sz w:val="21"/>
                      <w:szCs w:val="22"/>
                    </w:rPr>
                    <w:t>产生量</w:t>
                  </w:r>
                </w:p>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2"/>
                      <w:lang w:val="en-US" w:eastAsia="zh-CN"/>
                    </w:rPr>
                  </w:pPr>
                  <w:r>
                    <w:rPr>
                      <w:rFonts w:hint="default" w:ascii="Times New Roman" w:hAnsi="Times New Roman" w:eastAsia="宋体" w:cs="Times New Roman"/>
                      <w:b w:val="0"/>
                      <w:bCs w:val="0"/>
                      <w:color w:val="auto"/>
                      <w:kern w:val="2"/>
                      <w:sz w:val="21"/>
                      <w:szCs w:val="22"/>
                      <w:lang w:val="en-US" w:eastAsia="zh-CN"/>
                    </w:rPr>
                    <w:t>t</w:t>
                  </w:r>
                  <w:r>
                    <w:rPr>
                      <w:rFonts w:hint="default" w:ascii="Times New Roman" w:hAnsi="Times New Roman" w:eastAsia="宋体" w:cs="Times New Roman"/>
                      <w:b w:val="0"/>
                      <w:bCs w:val="0"/>
                      <w:color w:val="auto"/>
                      <w:kern w:val="2"/>
                      <w:sz w:val="21"/>
                      <w:szCs w:val="22"/>
                    </w:rPr>
                    <w:t>/a</w:t>
                  </w:r>
                </w:p>
              </w:tc>
              <w:tc>
                <w:tcPr>
                  <w:tcW w:w="64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Times New Roman" w:hAnsi="Times New Roman" w:eastAsia="宋体" w:cs="Times New Roman"/>
                      <w:b w:val="0"/>
                      <w:bCs w:val="0"/>
                      <w:color w:val="auto"/>
                      <w:kern w:val="2"/>
                      <w:sz w:val="21"/>
                      <w:szCs w:val="22"/>
                      <w:lang w:val="en-US" w:eastAsia="zh-CN"/>
                    </w:rPr>
                  </w:pPr>
                  <w:r>
                    <w:rPr>
                      <w:rFonts w:hint="eastAsia" w:ascii="Times New Roman" w:hAnsi="Times New Roman" w:eastAsia="宋体" w:cs="Times New Roman"/>
                      <w:b w:val="0"/>
                      <w:bCs w:val="0"/>
                      <w:color w:val="auto"/>
                      <w:kern w:val="2"/>
                      <w:sz w:val="21"/>
                      <w:szCs w:val="22"/>
                      <w:lang w:val="en-US" w:eastAsia="zh-CN"/>
                    </w:rPr>
                    <w:t>产生</w:t>
                  </w:r>
                  <w:r>
                    <w:rPr>
                      <w:rFonts w:hint="default" w:ascii="Times New Roman" w:hAnsi="Times New Roman" w:eastAsia="宋体" w:cs="Times New Roman"/>
                      <w:b w:val="0"/>
                      <w:bCs w:val="0"/>
                      <w:color w:val="auto"/>
                      <w:kern w:val="2"/>
                      <w:sz w:val="21"/>
                      <w:szCs w:val="22"/>
                    </w:rPr>
                    <w:t>速率（kg/h</w:t>
                  </w:r>
                  <w:r>
                    <w:rPr>
                      <w:rFonts w:hint="eastAsia" w:ascii="Times New Roman" w:hAnsi="Times New Roman" w:eastAsia="宋体" w:cs="Times New Roman"/>
                      <w:b w:val="0"/>
                      <w:bCs w:val="0"/>
                      <w:color w:val="auto"/>
                      <w:kern w:val="2"/>
                      <w:sz w:val="21"/>
                      <w:szCs w:val="22"/>
                      <w:lang w:eastAsia="zh-CN"/>
                    </w:rPr>
                    <w:t>）</w:t>
                  </w:r>
                </w:p>
              </w:tc>
              <w:tc>
                <w:tcPr>
                  <w:tcW w:w="64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Times New Roman" w:hAnsi="Times New Roman" w:eastAsia="宋体" w:cs="Times New Roman"/>
                      <w:b w:val="0"/>
                      <w:bCs w:val="0"/>
                      <w:color w:val="auto"/>
                      <w:kern w:val="2"/>
                      <w:sz w:val="21"/>
                      <w:szCs w:val="22"/>
                      <w:lang w:val="en-US" w:eastAsia="zh-CN"/>
                    </w:rPr>
                  </w:pPr>
                  <w:r>
                    <w:rPr>
                      <w:rFonts w:hint="eastAsia" w:ascii="Times New Roman" w:hAnsi="Times New Roman" w:eastAsia="宋体" w:cs="Times New Roman"/>
                      <w:b w:val="0"/>
                      <w:bCs w:val="0"/>
                      <w:color w:val="auto"/>
                      <w:kern w:val="2"/>
                      <w:sz w:val="21"/>
                      <w:szCs w:val="22"/>
                      <w:lang w:val="en-US" w:eastAsia="zh-CN"/>
                    </w:rPr>
                    <w:t>净化效率</w:t>
                  </w:r>
                </w:p>
              </w:tc>
              <w:tc>
                <w:tcPr>
                  <w:tcW w:w="4663"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2"/>
                    </w:rPr>
                  </w:pPr>
                  <w:r>
                    <w:rPr>
                      <w:rFonts w:hint="default" w:ascii="Times New Roman" w:hAnsi="Times New Roman" w:eastAsia="宋体" w:cs="Times New Roman"/>
                      <w:b w:val="0"/>
                      <w:bCs w:val="0"/>
                      <w:color w:val="auto"/>
                      <w:kern w:val="2"/>
                      <w:sz w:val="21"/>
                      <w:szCs w:val="22"/>
                    </w:rPr>
                    <w:t>污染物排放情况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2"/>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2"/>
                    </w:rPr>
                  </w:pPr>
                </w:p>
              </w:tc>
              <w:tc>
                <w:tcPr>
                  <w:tcW w:w="960"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2"/>
                    </w:rPr>
                  </w:pPr>
                </w:p>
              </w:tc>
              <w:tc>
                <w:tcPr>
                  <w:tcW w:w="6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2"/>
                    </w:rPr>
                  </w:pPr>
                </w:p>
              </w:tc>
              <w:tc>
                <w:tcPr>
                  <w:tcW w:w="6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2"/>
                    </w:rPr>
                  </w:pP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2"/>
                    </w:rPr>
                  </w:pPr>
                  <w:r>
                    <w:rPr>
                      <w:rFonts w:hint="default" w:ascii="Times New Roman" w:hAnsi="Times New Roman" w:eastAsia="宋体" w:cs="Times New Roman"/>
                      <w:b w:val="0"/>
                      <w:bCs w:val="0"/>
                      <w:color w:val="auto"/>
                      <w:kern w:val="2"/>
                      <w:sz w:val="21"/>
                      <w:szCs w:val="22"/>
                    </w:rPr>
                    <w:t>排放量（</w:t>
                  </w:r>
                  <w:r>
                    <w:rPr>
                      <w:rFonts w:hint="default" w:ascii="Times New Roman" w:hAnsi="Times New Roman" w:eastAsia="宋体" w:cs="Times New Roman"/>
                      <w:b w:val="0"/>
                      <w:bCs w:val="0"/>
                      <w:color w:val="auto"/>
                      <w:kern w:val="2"/>
                      <w:sz w:val="21"/>
                      <w:szCs w:val="22"/>
                      <w:lang w:val="en-US" w:eastAsia="zh-CN"/>
                    </w:rPr>
                    <w:t>t</w:t>
                  </w:r>
                  <w:r>
                    <w:rPr>
                      <w:rFonts w:hint="default" w:ascii="Times New Roman" w:hAnsi="Times New Roman" w:eastAsia="宋体" w:cs="Times New Roman"/>
                      <w:b w:val="0"/>
                      <w:bCs w:val="0"/>
                      <w:color w:val="auto"/>
                      <w:kern w:val="2"/>
                      <w:sz w:val="21"/>
                      <w:szCs w:val="22"/>
                    </w:rPr>
                    <w:t>/a）</w:t>
                  </w:r>
                </w:p>
              </w:tc>
              <w:tc>
                <w:tcPr>
                  <w:tcW w:w="1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2"/>
                    </w:rPr>
                  </w:pPr>
                  <w:r>
                    <w:rPr>
                      <w:rFonts w:hint="default" w:ascii="Times New Roman" w:hAnsi="Times New Roman" w:eastAsia="宋体" w:cs="Times New Roman"/>
                      <w:b w:val="0"/>
                      <w:bCs w:val="0"/>
                      <w:color w:val="auto"/>
                      <w:kern w:val="2"/>
                      <w:sz w:val="21"/>
                      <w:szCs w:val="22"/>
                    </w:rPr>
                    <w:t>排放浓度（mg/m</w:t>
                  </w:r>
                  <w:r>
                    <w:rPr>
                      <w:rFonts w:hint="default" w:ascii="Times New Roman" w:hAnsi="Times New Roman" w:eastAsia="宋体" w:cs="Times New Roman"/>
                      <w:b w:val="0"/>
                      <w:bCs w:val="0"/>
                      <w:color w:val="auto"/>
                      <w:kern w:val="2"/>
                      <w:sz w:val="21"/>
                      <w:szCs w:val="22"/>
                      <w:vertAlign w:val="superscript"/>
                      <w:lang w:val="en-US" w:eastAsia="zh-CN"/>
                    </w:rPr>
                    <w:t>3</w:t>
                  </w:r>
                  <w:r>
                    <w:rPr>
                      <w:rFonts w:hint="default" w:ascii="Times New Roman" w:hAnsi="Times New Roman" w:eastAsia="宋体" w:cs="Times New Roman"/>
                      <w:b w:val="0"/>
                      <w:bCs w:val="0"/>
                      <w:color w:val="auto"/>
                      <w:kern w:val="2"/>
                      <w:sz w:val="21"/>
                      <w:szCs w:val="22"/>
                    </w:rPr>
                    <w:t>）</w:t>
                  </w:r>
                </w:p>
              </w:tc>
              <w:tc>
                <w:tcPr>
                  <w:tcW w:w="12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2"/>
                    </w:rPr>
                  </w:pPr>
                  <w:r>
                    <w:rPr>
                      <w:rFonts w:hint="eastAsia" w:ascii="Times New Roman" w:hAnsi="Times New Roman" w:eastAsia="宋体" w:cs="Times New Roman"/>
                      <w:b w:val="0"/>
                      <w:bCs w:val="0"/>
                      <w:color w:val="auto"/>
                      <w:kern w:val="2"/>
                      <w:sz w:val="21"/>
                      <w:szCs w:val="22"/>
                      <w:lang w:val="en-US" w:eastAsia="zh-CN"/>
                    </w:rPr>
                    <w:t>排气筒高度</w:t>
                  </w:r>
                </w:p>
              </w:tc>
              <w:tc>
                <w:tcPr>
                  <w:tcW w:w="1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2"/>
                    </w:rPr>
                  </w:pPr>
                  <w:r>
                    <w:rPr>
                      <w:rFonts w:hint="default" w:ascii="Times New Roman" w:hAnsi="Times New Roman" w:eastAsia="宋体" w:cs="Times New Roman"/>
                      <w:b w:val="0"/>
                      <w:bCs w:val="0"/>
                      <w:color w:val="auto"/>
                      <w:kern w:val="2"/>
                      <w:sz w:val="21"/>
                      <w:szCs w:val="22"/>
                    </w:rPr>
                    <w:t>排放速率（kg/h）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82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生产车间（</w:t>
                  </w:r>
                  <w:r>
                    <w:rPr>
                      <w:rFonts w:hint="eastAsia" w:cs="Times New Roman"/>
                      <w:color w:val="auto"/>
                      <w:kern w:val="2"/>
                      <w:sz w:val="21"/>
                      <w:szCs w:val="22"/>
                      <w:lang w:val="en-US" w:eastAsia="zh-CN"/>
                    </w:rPr>
                    <w:t>拉丝、</w:t>
                  </w:r>
                  <w:r>
                    <w:rPr>
                      <w:rFonts w:hint="eastAsia" w:ascii="Times New Roman" w:hAnsi="Times New Roman" w:eastAsia="宋体" w:cs="Times New Roman"/>
                      <w:color w:val="auto"/>
                      <w:kern w:val="2"/>
                      <w:sz w:val="21"/>
                      <w:szCs w:val="22"/>
                      <w:lang w:val="en-US" w:eastAsia="zh-CN"/>
                    </w:rPr>
                    <w:t>挤塑</w:t>
                  </w:r>
                  <w:r>
                    <w:rPr>
                      <w:rFonts w:hint="eastAsia" w:cs="Times New Roman"/>
                      <w:color w:val="auto"/>
                      <w:kern w:val="2"/>
                      <w:sz w:val="21"/>
                      <w:szCs w:val="22"/>
                      <w:lang w:val="en-US" w:eastAsia="zh-CN"/>
                    </w:rPr>
                    <w:t>、紫外光交联、挤护外套</w:t>
                  </w:r>
                  <w:r>
                    <w:rPr>
                      <w:rFonts w:hint="eastAsia" w:ascii="Times New Roman" w:hAnsi="Times New Roman" w:eastAsia="宋体" w:cs="Times New Roman"/>
                      <w:color w:val="auto"/>
                      <w:kern w:val="2"/>
                      <w:sz w:val="21"/>
                      <w:szCs w:val="22"/>
                      <w:lang w:val="en-US" w:eastAsia="zh-CN"/>
                    </w:rPr>
                    <w:t>、喷码工段）</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非甲烷总烃</w:t>
                  </w:r>
                </w:p>
              </w:tc>
              <w:tc>
                <w:tcPr>
                  <w:tcW w:w="480"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4.37</w:t>
                  </w:r>
                </w:p>
              </w:tc>
              <w:tc>
                <w:tcPr>
                  <w:tcW w:w="4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3.50</w:t>
                  </w:r>
                </w:p>
              </w:tc>
              <w:tc>
                <w:tcPr>
                  <w:tcW w:w="645"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cs="Times New Roman"/>
                      <w:i w:val="0"/>
                      <w:iCs w:val="0"/>
                      <w:color w:val="000000"/>
                      <w:kern w:val="0"/>
                      <w:sz w:val="21"/>
                      <w:szCs w:val="21"/>
                      <w:u w:val="none"/>
                      <w:lang w:val="en-US" w:eastAsia="zh-CN" w:bidi="ar"/>
                    </w:rPr>
                    <w:t>4583</w:t>
                  </w:r>
                </w:p>
              </w:tc>
              <w:tc>
                <w:tcPr>
                  <w:tcW w:w="64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60</w:t>
                  </w:r>
                  <w:r>
                    <w:rPr>
                      <w:rFonts w:hint="eastAsia" w:ascii="Times New Roman" w:hAnsi="Times New Roman" w:eastAsia="宋体" w:cs="Times New Roman"/>
                      <w:i w:val="0"/>
                      <w:iCs w:val="0"/>
                      <w:color w:val="000000"/>
                      <w:kern w:val="0"/>
                      <w:sz w:val="21"/>
                      <w:szCs w:val="21"/>
                      <w:u w:val="none"/>
                      <w:lang w:val="en-US" w:eastAsia="zh-CN" w:bidi="ar"/>
                    </w:rPr>
                    <w:t>%</w:t>
                  </w:r>
                </w:p>
              </w:tc>
              <w:tc>
                <w:tcPr>
                  <w:tcW w:w="10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1.40</w:t>
                  </w:r>
                </w:p>
              </w:tc>
              <w:tc>
                <w:tcPr>
                  <w:tcW w:w="134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eastAsia" w:cs="Times New Roman"/>
                      <w:i w:val="0"/>
                      <w:iCs w:val="0"/>
                      <w:color w:val="000000"/>
                      <w:kern w:val="0"/>
                      <w:sz w:val="21"/>
                      <w:szCs w:val="21"/>
                      <w:u w:val="none"/>
                      <w:lang w:val="en-US" w:eastAsia="zh-CN" w:bidi="ar"/>
                    </w:rPr>
                    <w:t>29.17</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20</w:t>
                  </w:r>
                </w:p>
              </w:tc>
              <w:tc>
                <w:tcPr>
                  <w:tcW w:w="10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5833</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8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Times New Roman" w:hAnsi="Times New Roman" w:eastAsia="宋体" w:cs="Times New Roman"/>
                      <w:color w:val="auto"/>
                      <w:kern w:val="2"/>
                      <w:sz w:val="21"/>
                      <w:szCs w:val="22"/>
                      <w:lang w:val="en-US" w:eastAsia="zh-CN"/>
                    </w:rPr>
                  </w:pP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非甲烷总烃</w:t>
                  </w:r>
                </w:p>
              </w:tc>
              <w:tc>
                <w:tcPr>
                  <w:tcW w:w="48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0.87</w:t>
                  </w:r>
                </w:p>
              </w:tc>
              <w:tc>
                <w:tcPr>
                  <w:tcW w:w="645"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0.3625</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4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无组织</w:t>
                  </w:r>
                </w:p>
              </w:tc>
              <w:tc>
                <w:tcPr>
                  <w:tcW w:w="10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0.87</w:t>
                  </w:r>
                </w:p>
              </w:tc>
              <w:tc>
                <w:tcPr>
                  <w:tcW w:w="134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1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无组织排放</w:t>
                  </w:r>
                </w:p>
              </w:tc>
              <w:tc>
                <w:tcPr>
                  <w:tcW w:w="1076"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0.3625</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82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生产车间（挤塑、挤护外套）</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cs="Times New Roman"/>
                      <w:color w:val="000000"/>
                      <w:kern w:val="2"/>
                      <w:sz w:val="21"/>
                      <w:szCs w:val="24"/>
                      <w:lang w:val="en-US" w:eastAsia="zh-CN"/>
                    </w:rPr>
                    <w:t>氯化氢</w:t>
                  </w:r>
                </w:p>
              </w:tc>
              <w:tc>
                <w:tcPr>
                  <w:tcW w:w="480"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0.02kg/a</w:t>
                  </w:r>
                </w:p>
              </w:tc>
              <w:tc>
                <w:tcPr>
                  <w:tcW w:w="4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0.016</w:t>
                  </w:r>
                  <w:r>
                    <w:rPr>
                      <w:rFonts w:hint="eastAsia" w:cs="Times New Roman"/>
                      <w:i w:val="0"/>
                      <w:iCs w:val="0"/>
                      <w:color w:val="000000"/>
                      <w:kern w:val="0"/>
                      <w:sz w:val="21"/>
                      <w:szCs w:val="21"/>
                      <w:u w:val="none"/>
                      <w:lang w:val="en-US" w:eastAsia="zh-CN" w:bidi="ar"/>
                    </w:rPr>
                    <w:t>kg/a</w:t>
                  </w:r>
                </w:p>
              </w:tc>
              <w:tc>
                <w:tcPr>
                  <w:tcW w:w="64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6.67×10</w:t>
                  </w:r>
                  <w:r>
                    <w:rPr>
                      <w:rFonts w:hint="eastAsia" w:cs="Times New Roman"/>
                      <w:i w:val="0"/>
                      <w:iCs w:val="0"/>
                      <w:color w:val="000000"/>
                      <w:kern w:val="0"/>
                      <w:sz w:val="21"/>
                      <w:szCs w:val="21"/>
                      <w:u w:val="none"/>
                      <w:vertAlign w:val="superscript"/>
                      <w:lang w:val="en-US" w:eastAsia="zh-CN" w:bidi="ar"/>
                    </w:rPr>
                    <w:t>-6</w:t>
                  </w:r>
                </w:p>
              </w:tc>
              <w:tc>
                <w:tcPr>
                  <w:tcW w:w="64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93.1%</w:t>
                  </w:r>
                </w:p>
              </w:tc>
              <w:tc>
                <w:tcPr>
                  <w:tcW w:w="10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0.001kg/a</w:t>
                  </w:r>
                </w:p>
              </w:tc>
              <w:tc>
                <w:tcPr>
                  <w:tcW w:w="134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w:t>
                  </w:r>
                  <w:r>
                    <w:rPr>
                      <w:rFonts w:hint="default" w:ascii="Times New Roman" w:hAnsi="Times New Roman" w:cs="Times New Roman"/>
                      <w:i w:val="0"/>
                      <w:iCs w:val="0"/>
                      <w:color w:val="000000"/>
                      <w:kern w:val="0"/>
                      <w:sz w:val="21"/>
                      <w:szCs w:val="21"/>
                      <w:u w:val="none"/>
                      <w:lang w:val="en-US" w:eastAsia="zh-CN" w:bidi="ar"/>
                    </w:rPr>
                    <w:t>μg</w:t>
                  </w:r>
                  <w:r>
                    <w:rPr>
                      <w:rFonts w:hint="default" w:ascii="Times New Roman" w:hAnsi="Times New Roman" w:eastAsia="宋体" w:cs="Times New Roman"/>
                      <w:b w:val="0"/>
                      <w:bCs w:val="0"/>
                      <w:color w:val="auto"/>
                      <w:kern w:val="2"/>
                      <w:sz w:val="21"/>
                      <w:szCs w:val="22"/>
                    </w:rPr>
                    <w:t>/m</w:t>
                  </w:r>
                  <w:r>
                    <w:rPr>
                      <w:rFonts w:hint="default" w:ascii="Times New Roman" w:hAnsi="Times New Roman" w:eastAsia="宋体" w:cs="Times New Roman"/>
                      <w:b w:val="0"/>
                      <w:bCs w:val="0"/>
                      <w:color w:val="auto"/>
                      <w:kern w:val="2"/>
                      <w:sz w:val="21"/>
                      <w:szCs w:val="22"/>
                      <w:vertAlign w:val="superscript"/>
                      <w:lang w:val="en-US" w:eastAsia="zh-CN"/>
                    </w:rPr>
                    <w:t>3</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20</w:t>
                  </w:r>
                </w:p>
              </w:tc>
              <w:tc>
                <w:tcPr>
                  <w:tcW w:w="1076"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4.17×10</w:t>
                  </w:r>
                  <w:r>
                    <w:rPr>
                      <w:rFonts w:hint="eastAsia" w:cs="Times New Roman"/>
                      <w:i w:val="0"/>
                      <w:iCs w:val="0"/>
                      <w:color w:val="000000"/>
                      <w:kern w:val="0"/>
                      <w:sz w:val="21"/>
                      <w:szCs w:val="21"/>
                      <w:u w:val="none"/>
                      <w:vertAlign w:val="superscript"/>
                      <w:lang w:val="en-US" w:eastAsia="zh-CN" w:bidi="ar"/>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8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Times New Roman" w:hAnsi="Times New Roman" w:eastAsia="宋体" w:cs="Times New Roman"/>
                      <w:color w:val="auto"/>
                      <w:kern w:val="2"/>
                      <w:sz w:val="21"/>
                      <w:szCs w:val="22"/>
                      <w:lang w:val="en-US" w:eastAsia="zh-CN"/>
                    </w:rPr>
                  </w:pP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cs="Times New Roman"/>
                      <w:color w:val="000000"/>
                      <w:kern w:val="2"/>
                      <w:sz w:val="21"/>
                      <w:szCs w:val="24"/>
                      <w:lang w:val="en-US" w:eastAsia="zh-CN"/>
                    </w:rPr>
                    <w:t>氯化氢</w:t>
                  </w:r>
                </w:p>
              </w:tc>
              <w:tc>
                <w:tcPr>
                  <w:tcW w:w="48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0.004</w:t>
                  </w:r>
                  <w:r>
                    <w:rPr>
                      <w:rFonts w:hint="eastAsia" w:cs="Times New Roman"/>
                      <w:i w:val="0"/>
                      <w:iCs w:val="0"/>
                      <w:color w:val="000000"/>
                      <w:kern w:val="0"/>
                      <w:sz w:val="21"/>
                      <w:szCs w:val="21"/>
                      <w:u w:val="none"/>
                      <w:lang w:val="en-US" w:eastAsia="zh-CN" w:bidi="ar"/>
                    </w:rPr>
                    <w:t>kg/a</w:t>
                  </w:r>
                </w:p>
              </w:tc>
              <w:tc>
                <w:tcPr>
                  <w:tcW w:w="64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1.67×10</w:t>
                  </w:r>
                  <w:r>
                    <w:rPr>
                      <w:rFonts w:hint="eastAsia" w:cs="Times New Roman"/>
                      <w:i w:val="0"/>
                      <w:iCs w:val="0"/>
                      <w:color w:val="000000"/>
                      <w:kern w:val="0"/>
                      <w:sz w:val="21"/>
                      <w:szCs w:val="21"/>
                      <w:u w:val="none"/>
                      <w:vertAlign w:val="superscript"/>
                      <w:lang w:val="en-US" w:eastAsia="zh-CN" w:bidi="ar"/>
                    </w:rPr>
                    <w:t>-6</w:t>
                  </w:r>
                </w:p>
              </w:tc>
              <w:tc>
                <w:tcPr>
                  <w:tcW w:w="64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无组织</w:t>
                  </w:r>
                </w:p>
              </w:tc>
              <w:tc>
                <w:tcPr>
                  <w:tcW w:w="10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0.004kg/a</w:t>
                  </w:r>
                </w:p>
              </w:tc>
              <w:tc>
                <w:tcPr>
                  <w:tcW w:w="134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1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无组织排放</w:t>
                  </w:r>
                </w:p>
              </w:tc>
              <w:tc>
                <w:tcPr>
                  <w:tcW w:w="1076"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1.67×10</w:t>
                  </w:r>
                  <w:r>
                    <w:rPr>
                      <w:rFonts w:hint="eastAsia" w:cs="Times New Roman"/>
                      <w:i w:val="0"/>
                      <w:iCs w:val="0"/>
                      <w:color w:val="000000"/>
                      <w:kern w:val="0"/>
                      <w:sz w:val="21"/>
                      <w:szCs w:val="21"/>
                      <w:u w:val="none"/>
                      <w:vertAlign w:val="superscript"/>
                      <w:lang w:val="en-US" w:eastAsia="zh-CN" w:bidi="ar"/>
                    </w:rPr>
                    <w:t>-6</w:t>
                  </w:r>
                </w:p>
              </w:tc>
            </w:tr>
          </w:tbl>
          <w:p>
            <w:pPr>
              <w:tabs>
                <w:tab w:val="left" w:pos="6295"/>
              </w:tabs>
              <w:overflowPunct/>
              <w:autoSpaceDE/>
              <w:autoSpaceDN/>
              <w:adjustRightInd/>
              <w:snapToGrid/>
              <w:spacing w:before="0" w:after="0" w:line="360" w:lineRule="auto"/>
              <w:ind w:left="0" w:right="0" w:firstLine="480" w:firstLineChars="200"/>
              <w:jc w:val="both"/>
              <w:rPr>
                <w:rFonts w:hint="eastAsia" w:cs="Times New Roman"/>
                <w:color w:val="auto"/>
                <w:kern w:val="2"/>
                <w:sz w:val="24"/>
                <w:szCs w:val="24"/>
                <w:lang w:val="en-US" w:eastAsia="zh-CN"/>
              </w:rPr>
            </w:pPr>
            <w:r>
              <w:rPr>
                <w:rFonts w:hint="eastAsia" w:cs="Times New Roman"/>
                <w:color w:val="auto"/>
                <w:kern w:val="2"/>
                <w:sz w:val="24"/>
                <w:szCs w:val="24"/>
                <w:lang w:val="en-US" w:eastAsia="zh-CN"/>
              </w:rPr>
              <w:t>风机风量合理性分析：</w:t>
            </w:r>
          </w:p>
          <w:p>
            <w:pPr>
              <w:snapToGrid w:val="0"/>
              <w:spacing w:line="360" w:lineRule="auto"/>
              <w:ind w:firstLine="480" w:firstLineChars="200"/>
              <w:rPr>
                <w:rFonts w:hint="eastAsia" w:cs="宋体"/>
                <w:lang w:val="en-US" w:eastAsia="zh-CN"/>
              </w:rPr>
            </w:pPr>
            <w:r>
              <w:rPr>
                <w:rFonts w:hint="eastAsia" w:cs="宋体"/>
                <w:lang w:val="en-US" w:eastAsia="zh-CN"/>
              </w:rPr>
              <w:t>根据《废气处理工程技术手册》，排气罩排风量计算公式如下：</w:t>
            </w:r>
          </w:p>
          <w:p>
            <w:pPr>
              <w:snapToGrid w:val="0"/>
              <w:spacing w:line="360" w:lineRule="auto"/>
              <w:jc w:val="center"/>
              <w:rPr>
                <w:rFonts w:hint="default" w:cs="宋体"/>
                <w:lang w:val="en-US" w:eastAsia="zh-CN"/>
              </w:rPr>
            </w:pPr>
            <w:r>
              <w:rPr>
                <w:rFonts w:hint="eastAsia" w:cs="宋体"/>
                <w:lang w:val="en-US" w:eastAsia="zh-CN"/>
              </w:rPr>
              <w:t>Q=3600F</w:t>
            </w:r>
            <w:r>
              <w:rPr>
                <w:rFonts w:hint="default" w:cs="宋体"/>
                <w:lang w:val="en-US" w:eastAsia="zh-CN"/>
              </w:rPr>
              <w:t>υβ</w:t>
            </w:r>
          </w:p>
          <w:p>
            <w:pPr>
              <w:snapToGrid w:val="0"/>
              <w:spacing w:line="360" w:lineRule="auto"/>
              <w:ind w:firstLine="480" w:firstLineChars="200"/>
              <w:rPr>
                <w:rFonts w:hint="default" w:cs="宋体"/>
                <w:lang w:val="en-US" w:eastAsia="zh-CN"/>
              </w:rPr>
            </w:pPr>
            <w:r>
              <w:rPr>
                <w:rFonts w:hint="eastAsia" w:cs="宋体"/>
                <w:lang w:val="en-US" w:eastAsia="zh-CN"/>
              </w:rPr>
              <w:t>式中：Q排气量，m</w:t>
            </w:r>
            <w:r>
              <w:rPr>
                <w:rFonts w:hint="eastAsia" w:cs="宋体"/>
                <w:vertAlign w:val="superscript"/>
                <w:lang w:val="en-US" w:eastAsia="zh-CN"/>
              </w:rPr>
              <w:t>3</w:t>
            </w:r>
            <w:r>
              <w:rPr>
                <w:rFonts w:hint="eastAsia" w:cs="宋体"/>
                <w:lang w:val="en-US" w:eastAsia="zh-CN"/>
              </w:rPr>
              <w:t>/h；</w:t>
            </w:r>
          </w:p>
          <w:p>
            <w:pPr>
              <w:snapToGrid w:val="0"/>
              <w:spacing w:line="360" w:lineRule="auto"/>
              <w:ind w:firstLine="480" w:firstLineChars="200"/>
              <w:rPr>
                <w:rFonts w:hint="default" w:cs="宋体"/>
                <w:lang w:val="en-US" w:eastAsia="zh-CN"/>
              </w:rPr>
            </w:pPr>
            <w:r>
              <w:rPr>
                <w:rFonts w:hint="eastAsia" w:cs="宋体"/>
                <w:lang w:val="en-US" w:eastAsia="zh-CN"/>
              </w:rPr>
              <w:t>F为操作口实际开启面积，m</w:t>
            </w:r>
            <w:r>
              <w:rPr>
                <w:rFonts w:hint="eastAsia" w:cs="宋体"/>
                <w:vertAlign w:val="superscript"/>
                <w:lang w:val="en-US" w:eastAsia="zh-CN"/>
              </w:rPr>
              <w:t>2</w:t>
            </w:r>
            <w:r>
              <w:rPr>
                <w:rFonts w:hint="eastAsia" w:cs="宋体"/>
                <w:lang w:val="en-US" w:eastAsia="zh-CN"/>
              </w:rPr>
              <w:t>；本项目取最大操作口013型紫外光交联机5m</w:t>
            </w:r>
            <w:r>
              <w:rPr>
                <w:rFonts w:hint="eastAsia" w:cs="宋体"/>
                <w:vertAlign w:val="superscript"/>
                <w:lang w:val="en-US" w:eastAsia="zh-CN"/>
              </w:rPr>
              <w:t>2</w:t>
            </w:r>
            <w:r>
              <w:rPr>
                <w:rFonts w:hint="eastAsia" w:cs="宋体"/>
                <w:lang w:val="en-US" w:eastAsia="zh-CN"/>
              </w:rPr>
              <w:t>；</w:t>
            </w:r>
          </w:p>
          <w:p>
            <w:pPr>
              <w:snapToGrid w:val="0"/>
              <w:spacing w:line="360" w:lineRule="auto"/>
              <w:ind w:firstLine="480" w:firstLineChars="200"/>
              <w:rPr>
                <w:rFonts w:hint="eastAsia" w:cs="宋体"/>
                <w:lang w:val="en-US" w:eastAsia="zh-CN"/>
              </w:rPr>
            </w:pPr>
            <w:r>
              <w:rPr>
                <w:rFonts w:hint="default" w:cs="宋体"/>
                <w:lang w:val="en-US" w:eastAsia="zh-CN"/>
              </w:rPr>
              <w:t>υ</w:t>
            </w:r>
            <w:r>
              <w:rPr>
                <w:rFonts w:hint="eastAsia" w:cs="宋体"/>
                <w:lang w:val="en-US" w:eastAsia="zh-CN"/>
              </w:rPr>
              <w:t>为操作口处空气吸入速度，以较低的速度散发到较平静的空气中取0.5-1.0，本项目取1.0；</w:t>
            </w:r>
          </w:p>
          <w:p>
            <w:pPr>
              <w:snapToGrid w:val="0"/>
              <w:spacing w:line="360" w:lineRule="auto"/>
              <w:ind w:firstLine="480" w:firstLineChars="200"/>
              <w:rPr>
                <w:rFonts w:hint="default" w:cs="宋体"/>
                <w:lang w:val="en-US" w:eastAsia="zh-CN"/>
              </w:rPr>
            </w:pPr>
            <w:r>
              <w:rPr>
                <w:rFonts w:hint="default" w:cs="宋体"/>
                <w:lang w:val="en-US" w:eastAsia="zh-CN"/>
              </w:rPr>
              <w:t>β</w:t>
            </w:r>
            <w:r>
              <w:rPr>
                <w:rFonts w:hint="eastAsia" w:cs="宋体"/>
                <w:lang w:val="en-US" w:eastAsia="zh-CN"/>
              </w:rPr>
              <w:t>为安全系数，一般取1.05-1.1，本项目取1.1。</w:t>
            </w:r>
          </w:p>
          <w:p>
            <w:pPr>
              <w:tabs>
                <w:tab w:val="left" w:pos="6295"/>
              </w:tabs>
              <w:overflowPunct/>
              <w:autoSpaceDE/>
              <w:autoSpaceDN/>
              <w:adjustRightInd/>
              <w:snapToGrid/>
              <w:spacing w:before="0" w:after="0" w:line="360" w:lineRule="auto"/>
              <w:ind w:left="0" w:right="0" w:firstLine="480" w:firstLineChars="200"/>
              <w:jc w:val="both"/>
              <w:rPr>
                <w:rFonts w:hint="default" w:cs="Times New Roman"/>
                <w:color w:val="auto"/>
                <w:kern w:val="2"/>
                <w:sz w:val="24"/>
                <w:szCs w:val="24"/>
                <w:lang w:val="en-US" w:eastAsia="zh-CN"/>
              </w:rPr>
            </w:pPr>
            <w:r>
              <w:rPr>
                <w:rFonts w:hint="eastAsia" w:cs="Times New Roman"/>
                <w:color w:val="auto"/>
                <w:kern w:val="2"/>
                <w:sz w:val="24"/>
                <w:szCs w:val="24"/>
                <w:lang w:val="en-US" w:eastAsia="zh-CN"/>
              </w:rPr>
              <w:t>由上式计算Q为19800</w:t>
            </w:r>
            <w:r>
              <w:rPr>
                <w:rFonts w:hint="eastAsia" w:cs="宋体"/>
                <w:lang w:val="en-US" w:eastAsia="zh-CN"/>
              </w:rPr>
              <w:t>m</w:t>
            </w:r>
            <w:r>
              <w:rPr>
                <w:rFonts w:hint="eastAsia" w:cs="宋体"/>
                <w:vertAlign w:val="superscript"/>
                <w:lang w:val="en-US" w:eastAsia="zh-CN"/>
              </w:rPr>
              <w:t>3</w:t>
            </w:r>
            <w:r>
              <w:rPr>
                <w:rFonts w:hint="eastAsia" w:cs="宋体"/>
                <w:lang w:val="en-US" w:eastAsia="zh-CN"/>
              </w:rPr>
              <w:t>/h，考虑一定的设计余量，因此本项目风机风量设置20000m</w:t>
            </w:r>
            <w:r>
              <w:rPr>
                <w:rFonts w:hint="eastAsia" w:cs="宋体"/>
                <w:vertAlign w:val="superscript"/>
                <w:lang w:val="en-US" w:eastAsia="zh-CN"/>
              </w:rPr>
              <w:t>3</w:t>
            </w:r>
            <w:r>
              <w:rPr>
                <w:rFonts w:hint="eastAsia" w:cs="宋体"/>
                <w:lang w:val="en-US" w:eastAsia="zh-CN"/>
              </w:rPr>
              <w:t>/h，满足生产要求。</w:t>
            </w:r>
          </w:p>
          <w:p>
            <w:pPr>
              <w:tabs>
                <w:tab w:val="left" w:pos="6295"/>
              </w:tabs>
              <w:overflowPunct/>
              <w:autoSpaceDE/>
              <w:autoSpaceDN/>
              <w:adjustRightInd/>
              <w:snapToGrid/>
              <w:spacing w:before="0" w:after="0" w:line="360" w:lineRule="auto"/>
              <w:ind w:left="0" w:right="0" w:firstLine="480" w:firstLineChars="200"/>
              <w:jc w:val="both"/>
              <w:rPr>
                <w:rFonts w:hint="default" w:ascii="Times New Roman" w:hAnsi="Times New Roman" w:eastAsia="宋体" w:cs="Times New Roman"/>
                <w:color w:val="auto"/>
                <w:kern w:val="2"/>
                <w:sz w:val="24"/>
                <w:szCs w:val="24"/>
                <w:lang w:val="en-US" w:eastAsia="zh-CN"/>
              </w:rPr>
            </w:pPr>
            <w:r>
              <w:rPr>
                <w:rFonts w:hint="eastAsia" w:cs="Times New Roman"/>
                <w:color w:val="auto"/>
                <w:kern w:val="2"/>
                <w:sz w:val="24"/>
                <w:szCs w:val="24"/>
                <w:lang w:val="en-US" w:eastAsia="zh-CN"/>
              </w:rPr>
              <w:t>⑥焊接烟尘</w:t>
            </w:r>
          </w:p>
          <w:p>
            <w:pPr>
              <w:snapToGrid w:val="0"/>
              <w:spacing w:line="360" w:lineRule="auto"/>
              <w:ind w:firstLine="480" w:firstLineChars="200"/>
              <w:rPr>
                <w:rFonts w:hint="default" w:ascii="Times New Roman" w:hAnsi="Times New Roman" w:eastAsia="宋体" w:cs="Times New Roman"/>
                <w:snapToGrid w:val="0"/>
                <w:color w:val="auto"/>
                <w:sz w:val="24"/>
                <w:szCs w:val="24"/>
                <w:highlight w:val="none"/>
                <w:lang w:val="en-US" w:eastAsia="zh-CN" w:bidi="ar-SA"/>
              </w:rPr>
            </w:pPr>
            <w:r>
              <w:rPr>
                <w:rFonts w:hint="eastAsia" w:cs="宋体"/>
                <w:lang w:val="en-US" w:eastAsia="zh-CN"/>
              </w:rPr>
              <w:t>本项目仅防火电缆进行焊接，</w:t>
            </w:r>
            <w:r>
              <w:rPr>
                <w:rFonts w:ascii="Times New Roman" w:hAnsi="Times New Roman" w:eastAsia="宋体" w:cs="Times New Roman"/>
                <w:color w:val="auto"/>
                <w:kern w:val="2"/>
                <w:szCs w:val="24"/>
              </w:rPr>
              <w:t>项目在</w:t>
            </w:r>
            <w:r>
              <w:rPr>
                <w:rFonts w:hint="eastAsia" w:ascii="Times New Roman" w:hAnsi="Times New Roman" w:eastAsia="宋体" w:cs="Times New Roman"/>
                <w:color w:val="auto"/>
                <w:kern w:val="2"/>
                <w:szCs w:val="24"/>
                <w:lang w:val="en-US" w:eastAsia="zh-CN"/>
              </w:rPr>
              <w:t>纵包焊接</w:t>
            </w:r>
            <w:r>
              <w:rPr>
                <w:rFonts w:ascii="Times New Roman" w:hAnsi="Times New Roman" w:eastAsia="宋体" w:cs="Times New Roman"/>
                <w:color w:val="auto"/>
                <w:kern w:val="2"/>
                <w:szCs w:val="24"/>
              </w:rPr>
              <w:t>生产过程中会产生一定量焊接烟尘，焊接烟尘是由金属及非金属物质在过热条件下产生的蒸汽经氧化和冷凝而形成的。根据《排放源统计调查产排污核算方法和系数手册》</w:t>
            </w:r>
            <w:r>
              <w:rPr>
                <w:rFonts w:hint="eastAsia" w:ascii="Times New Roman" w:hAnsi="Times New Roman" w:eastAsia="宋体" w:cs="Times New Roman"/>
                <w:snapToGrid w:val="0"/>
                <w:color w:val="000000"/>
                <w:sz w:val="24"/>
                <w:szCs w:val="24"/>
                <w:highlight w:val="none"/>
                <w:lang w:val="en-US" w:eastAsia="zh-CN" w:bidi="ar-SA"/>
              </w:rPr>
              <w:t>电子电气行业系数手册</w:t>
            </w:r>
            <w:r>
              <w:rPr>
                <w:rFonts w:ascii="Times New Roman" w:hAnsi="Times New Roman" w:eastAsia="宋体" w:cs="Times New Roman"/>
                <w:color w:val="auto"/>
                <w:kern w:val="0"/>
                <w:szCs w:val="24"/>
              </w:rPr>
              <w:t>，</w:t>
            </w:r>
            <w:r>
              <w:rPr>
                <w:rFonts w:hint="eastAsia" w:ascii="Times New Roman" w:hAnsi="Times New Roman" w:eastAsia="宋体" w:cs="Times New Roman"/>
                <w:color w:val="auto"/>
                <w:kern w:val="0"/>
                <w:szCs w:val="24"/>
                <w:lang w:val="en-US" w:eastAsia="zh-CN"/>
              </w:rPr>
              <w:t>焊接</w:t>
            </w:r>
            <w:r>
              <w:rPr>
                <w:rFonts w:ascii="宋体" w:hAnsi="宋体" w:eastAsia="宋体" w:cs="宋体"/>
                <w:sz w:val="24"/>
                <w:szCs w:val="24"/>
              </w:rPr>
              <w:t>无铅焊料（锡条、锡块等，不含助焊剂）</w:t>
            </w:r>
            <w:r>
              <w:rPr>
                <w:rFonts w:ascii="Times New Roman" w:hAnsi="Times New Roman" w:eastAsia="宋体" w:cs="Times New Roman"/>
                <w:color w:val="auto"/>
                <w:kern w:val="0"/>
                <w:szCs w:val="24"/>
              </w:rPr>
              <w:t>，</w:t>
            </w:r>
            <w:r>
              <w:rPr>
                <w:rFonts w:hint="eastAsia" w:ascii="Times New Roman" w:hAnsi="Times New Roman" w:eastAsia="宋体" w:cs="Times New Roman"/>
                <w:color w:val="auto"/>
                <w:kern w:val="0"/>
                <w:szCs w:val="24"/>
                <w:lang w:val="en-US" w:eastAsia="zh-CN"/>
              </w:rPr>
              <w:t>焊接</w:t>
            </w:r>
            <w:r>
              <w:rPr>
                <w:rFonts w:ascii="Times New Roman" w:hAnsi="Times New Roman" w:eastAsia="宋体" w:cs="Times New Roman"/>
                <w:color w:val="auto"/>
                <w:kern w:val="0"/>
                <w:szCs w:val="24"/>
              </w:rPr>
              <w:t>颗粒物</w:t>
            </w:r>
            <w:r>
              <w:rPr>
                <w:rFonts w:hint="default" w:ascii="Times New Roman" w:hAnsi="Times New Roman" w:eastAsia="宋体" w:cs="Times New Roman"/>
                <w:color w:val="auto"/>
                <w:kern w:val="0"/>
                <w:szCs w:val="24"/>
                <w:lang w:val="en-US" w:eastAsia="zh-CN"/>
              </w:rPr>
              <w:t>产污系数</w:t>
            </w:r>
            <w:r>
              <w:rPr>
                <w:rFonts w:ascii="Times New Roman" w:hAnsi="Times New Roman" w:eastAsia="宋体" w:cs="Times New Roman"/>
                <w:color w:val="auto"/>
                <w:kern w:val="0"/>
                <w:szCs w:val="24"/>
              </w:rPr>
              <w:t>为</w:t>
            </w:r>
            <w:r>
              <w:rPr>
                <w:rFonts w:hint="eastAsia" w:ascii="Times New Roman" w:hAnsi="Times New Roman" w:eastAsia="宋体" w:cs="Times New Roman"/>
                <w:b w:val="0"/>
                <w:bCs w:val="0"/>
                <w:color w:val="auto"/>
                <w:kern w:val="0"/>
                <w:szCs w:val="24"/>
                <w:lang w:val="en-US" w:eastAsia="zh-CN"/>
              </w:rPr>
              <w:t>4.134×10</w:t>
            </w:r>
            <w:r>
              <w:rPr>
                <w:rFonts w:hint="eastAsia" w:ascii="Times New Roman" w:hAnsi="Times New Roman" w:eastAsia="宋体" w:cs="Times New Roman"/>
                <w:b w:val="0"/>
                <w:bCs w:val="0"/>
                <w:color w:val="auto"/>
                <w:kern w:val="0"/>
                <w:szCs w:val="24"/>
                <w:vertAlign w:val="superscript"/>
                <w:lang w:val="en-US" w:eastAsia="zh-CN"/>
              </w:rPr>
              <w:t>-1</w:t>
            </w:r>
            <w:r>
              <w:rPr>
                <w:rFonts w:ascii="Times New Roman" w:hAnsi="Times New Roman" w:eastAsia="宋体" w:cs="Times New Roman"/>
                <w:b w:val="0"/>
                <w:bCs w:val="0"/>
                <w:color w:val="auto"/>
                <w:kern w:val="0"/>
                <w:szCs w:val="24"/>
              </w:rPr>
              <w:t>kg/t-</w:t>
            </w:r>
            <w:r>
              <w:rPr>
                <w:rFonts w:hint="eastAsia" w:ascii="Times New Roman" w:hAnsi="Times New Roman" w:eastAsia="宋体" w:cs="Times New Roman"/>
                <w:color w:val="auto"/>
                <w:kern w:val="0"/>
                <w:szCs w:val="24"/>
                <w:lang w:val="en-US" w:eastAsia="zh-CN"/>
              </w:rPr>
              <w:t>焊料</w:t>
            </w:r>
            <w:r>
              <w:rPr>
                <w:rFonts w:hint="eastAsia" w:ascii="Times New Roman" w:hAnsi="Times New Roman" w:eastAsia="宋体" w:cs="Times New Roman"/>
                <w:color w:val="auto"/>
                <w:kern w:val="0"/>
                <w:szCs w:val="24"/>
              </w:rPr>
              <w:t>。</w:t>
            </w:r>
            <w:r>
              <w:rPr>
                <w:rFonts w:hint="eastAsia" w:ascii="Times New Roman" w:hAnsi="Times New Roman" w:eastAsia="宋体" w:cs="Times New Roman"/>
                <w:color w:val="auto"/>
                <w:kern w:val="0"/>
                <w:szCs w:val="24"/>
                <w:highlight w:val="none"/>
              </w:rPr>
              <w:t>本</w:t>
            </w:r>
            <w:r>
              <w:rPr>
                <w:rFonts w:ascii="Times New Roman" w:hAnsi="Times New Roman" w:eastAsia="宋体" w:cs="Times New Roman"/>
                <w:color w:val="auto"/>
                <w:kern w:val="0"/>
                <w:szCs w:val="24"/>
                <w:highlight w:val="none"/>
              </w:rPr>
              <w:t>项目</w:t>
            </w:r>
            <w:r>
              <w:rPr>
                <w:rFonts w:hint="eastAsia" w:ascii="Times New Roman" w:hAnsi="Times New Roman" w:eastAsia="宋体" w:cs="Times New Roman"/>
                <w:color w:val="auto"/>
                <w:kern w:val="0"/>
                <w:szCs w:val="24"/>
                <w:highlight w:val="none"/>
                <w:lang w:val="en-US" w:eastAsia="zh-CN"/>
              </w:rPr>
              <w:t>需要进行焊接的钢带共20吨</w:t>
            </w:r>
            <w:r>
              <w:rPr>
                <w:rFonts w:hint="eastAsia" w:ascii="Times New Roman" w:hAnsi="Times New Roman" w:eastAsia="宋体" w:cs="Times New Roman"/>
                <w:color w:val="auto"/>
                <w:kern w:val="0"/>
                <w:szCs w:val="24"/>
                <w:highlight w:val="none"/>
                <w:lang w:eastAsia="zh-CN"/>
              </w:rPr>
              <w:t>，</w:t>
            </w:r>
            <w:r>
              <w:rPr>
                <w:rFonts w:ascii="Times New Roman" w:hAnsi="Times New Roman" w:eastAsia="宋体" w:cs="Times New Roman"/>
                <w:color w:val="auto"/>
                <w:kern w:val="0"/>
                <w:szCs w:val="24"/>
              </w:rPr>
              <w:t>则</w:t>
            </w:r>
            <w:r>
              <w:rPr>
                <w:rFonts w:ascii="Times New Roman" w:hAnsi="Times New Roman" w:eastAsia="宋体" w:cs="Times New Roman"/>
                <w:color w:val="auto"/>
                <w:kern w:val="2"/>
                <w:szCs w:val="24"/>
              </w:rPr>
              <w:t>焊接烟尘产生量为</w:t>
            </w:r>
            <w:r>
              <w:rPr>
                <w:rFonts w:hint="eastAsia" w:ascii="Times New Roman" w:hAnsi="Times New Roman" w:eastAsia="宋体" w:cs="Times New Roman"/>
                <w:color w:val="auto"/>
                <w:kern w:val="2"/>
                <w:szCs w:val="24"/>
                <w:lang w:val="en-US" w:eastAsia="zh-CN"/>
              </w:rPr>
              <w:t>0.008</w:t>
            </w:r>
            <w:r>
              <w:rPr>
                <w:rFonts w:ascii="Times New Roman" w:hAnsi="Times New Roman" w:eastAsia="宋体" w:cs="Times New Roman"/>
                <w:color w:val="auto"/>
                <w:kern w:val="0"/>
                <w:szCs w:val="24"/>
              </w:rPr>
              <w:t>t/a。</w:t>
            </w:r>
            <w:r>
              <w:rPr>
                <w:rFonts w:hint="eastAsia" w:ascii="Times New Roman" w:hAnsi="Times New Roman" w:eastAsia="宋体" w:cs="Times New Roman"/>
                <w:color w:val="auto"/>
                <w:kern w:val="0"/>
                <w:szCs w:val="24"/>
                <w:lang w:val="en-US" w:eastAsia="zh-CN"/>
              </w:rPr>
              <w:t>焊接烟尘进入</w:t>
            </w:r>
            <w:r>
              <w:rPr>
                <w:rFonts w:hint="eastAsia" w:ascii="Times New Roman" w:hAnsi="Times New Roman" w:eastAsia="宋体" w:cs="Times New Roman"/>
                <w:color w:val="auto"/>
                <w:kern w:val="0"/>
                <w:szCs w:val="24"/>
              </w:rPr>
              <w:t>移动式焊烟净化器进行处理</w:t>
            </w:r>
            <w:r>
              <w:rPr>
                <w:rFonts w:hint="eastAsia" w:ascii="Times New Roman" w:hAnsi="Times New Roman" w:eastAsia="宋体" w:cs="Times New Roman"/>
                <w:color w:val="auto"/>
                <w:kern w:val="0"/>
                <w:szCs w:val="24"/>
                <w:lang w:eastAsia="zh-CN"/>
              </w:rPr>
              <w:t>，</w:t>
            </w:r>
            <w:r>
              <w:rPr>
                <w:rFonts w:hint="eastAsia" w:ascii="Times New Roman" w:hAnsi="Times New Roman" w:eastAsia="宋体" w:cs="Times New Roman"/>
                <w:color w:val="auto"/>
                <w:kern w:val="0"/>
                <w:szCs w:val="24"/>
                <w:lang w:val="en-US" w:eastAsia="zh-CN"/>
              </w:rPr>
              <w:t>处理</w:t>
            </w:r>
            <w:r>
              <w:rPr>
                <w:rFonts w:hint="default" w:ascii="Times New Roman" w:hAnsi="Times New Roman" w:eastAsia="宋体" w:cs="Times New Roman"/>
                <w:snapToGrid w:val="0"/>
                <w:color w:val="000000"/>
                <w:sz w:val="24"/>
                <w:szCs w:val="24"/>
                <w:highlight w:val="none"/>
                <w:lang w:val="en-US" w:eastAsia="zh-CN" w:bidi="ar-SA"/>
              </w:rPr>
              <w:t>效率为</w:t>
            </w:r>
            <w:r>
              <w:rPr>
                <w:rFonts w:hint="eastAsia" w:ascii="Times New Roman" w:hAnsi="Times New Roman" w:eastAsia="宋体" w:cs="Times New Roman"/>
                <w:snapToGrid w:val="0"/>
                <w:color w:val="000000"/>
                <w:sz w:val="24"/>
                <w:szCs w:val="24"/>
                <w:highlight w:val="none"/>
                <w:lang w:val="en-US" w:eastAsia="zh-CN" w:bidi="ar-SA"/>
              </w:rPr>
              <w:t>95</w:t>
            </w:r>
            <w:r>
              <w:rPr>
                <w:rFonts w:hint="default" w:ascii="Times New Roman" w:hAnsi="Times New Roman" w:eastAsia="宋体" w:cs="Times New Roman"/>
                <w:snapToGrid w:val="0"/>
                <w:color w:val="000000"/>
                <w:sz w:val="24"/>
                <w:szCs w:val="24"/>
                <w:highlight w:val="none"/>
                <w:lang w:val="en-US" w:eastAsia="zh-CN" w:bidi="ar-SA"/>
              </w:rPr>
              <w:t>%</w:t>
            </w:r>
            <w:r>
              <w:rPr>
                <w:rFonts w:hint="eastAsia" w:ascii="Times New Roman" w:hAnsi="Times New Roman" w:eastAsia="宋体" w:cs="Times New Roman"/>
                <w:snapToGrid w:val="0"/>
                <w:color w:val="000000"/>
                <w:sz w:val="24"/>
                <w:szCs w:val="24"/>
                <w:highlight w:val="none"/>
                <w:lang w:val="en-US" w:eastAsia="zh-CN" w:bidi="ar-SA"/>
              </w:rPr>
              <w:t>（除尘效率参照</w:t>
            </w:r>
            <w:r>
              <w:rPr>
                <w:rFonts w:hint="default" w:ascii="Times New Roman" w:hAnsi="Times New Roman" w:eastAsia="宋体" w:cs="Times New Roman"/>
                <w:snapToGrid w:val="0"/>
                <w:color w:val="000000"/>
                <w:sz w:val="24"/>
                <w:szCs w:val="24"/>
                <w:highlight w:val="none"/>
                <w:lang w:val="en-US" w:eastAsia="zh-CN" w:bidi="ar-SA"/>
              </w:rPr>
              <w:t>《排放源统计调查产排污核算方法和系数手册》</w:t>
            </w:r>
            <w:r>
              <w:rPr>
                <w:rFonts w:hint="eastAsia" w:ascii="Times New Roman" w:hAnsi="Times New Roman" w:eastAsia="宋体" w:cs="Times New Roman"/>
                <w:snapToGrid w:val="0"/>
                <w:color w:val="000000"/>
                <w:sz w:val="24"/>
                <w:szCs w:val="24"/>
                <w:highlight w:val="none"/>
                <w:lang w:val="en-US" w:eastAsia="zh-CN" w:bidi="ar-SA"/>
              </w:rPr>
              <w:t>机械行业系数手册提供）；</w:t>
            </w:r>
            <w:r>
              <w:rPr>
                <w:rFonts w:hint="eastAsia" w:ascii="Times New Roman" w:hAnsi="Times New Roman" w:eastAsia="宋体" w:cs="Times New Roman"/>
                <w:color w:val="auto"/>
                <w:highlight w:val="none"/>
                <w:lang w:val="en-US" w:eastAsia="zh-CN"/>
              </w:rPr>
              <w:t>则焊接烟尘排放量为0.0004t/a，排放速率为0.0002kg/h，处理后的焊接烟尘以无组织的形式逸散，经车间机械通风系统无组织排放</w:t>
            </w:r>
            <w:r>
              <w:rPr>
                <w:rFonts w:hint="default" w:ascii="Times New Roman" w:hAnsi="Times New Roman" w:eastAsia="宋体" w:cs="Times New Roman"/>
                <w:color w:val="000000"/>
                <w:sz w:val="24"/>
                <w:szCs w:val="24"/>
                <w:lang w:val="en-US" w:eastAsia="zh-CN" w:bidi="ar-SA"/>
              </w:rPr>
              <w:t>，厂界</w:t>
            </w:r>
            <w:r>
              <w:rPr>
                <w:rFonts w:hint="default" w:ascii="Times New Roman" w:hAnsi="Times New Roman" w:eastAsia="宋体" w:cs="Times New Roman"/>
                <w:color w:val="000000"/>
                <w:sz w:val="24"/>
                <w:szCs w:val="24"/>
                <w:vertAlign w:val="baseline"/>
                <w:lang w:val="en-US" w:eastAsia="zh-CN" w:bidi="ar-SA"/>
              </w:rPr>
              <w:t>满足</w:t>
            </w:r>
            <w:r>
              <w:rPr>
                <w:rFonts w:hint="eastAsia" w:ascii="Times New Roman" w:hAnsi="Times New Roman" w:eastAsia="宋体" w:cs="宋体"/>
                <w:lang w:val="en-US" w:eastAsia="zh-CN"/>
              </w:rPr>
              <w:t>《大气污染物综合排放标准》（GB16297-1996）</w:t>
            </w:r>
            <w:r>
              <w:rPr>
                <w:rFonts w:hint="default" w:ascii="Times New Roman" w:hAnsi="Times New Roman" w:eastAsia="宋体" w:cs="Times New Roman"/>
                <w:color w:val="000000"/>
                <w:sz w:val="24"/>
                <w:szCs w:val="24"/>
                <w:lang w:val="en-US" w:eastAsia="zh-CN" w:bidi="ar-SA"/>
              </w:rPr>
              <w:t>中</w:t>
            </w:r>
            <w:r>
              <w:rPr>
                <w:rFonts w:hint="eastAsia" w:ascii="Times New Roman" w:hAnsi="Times New Roman" w:eastAsia="宋体" w:cs="Times New Roman"/>
                <w:color w:val="000000"/>
                <w:sz w:val="24"/>
                <w:szCs w:val="24"/>
                <w:lang w:val="en-US" w:eastAsia="zh-CN" w:bidi="ar-SA"/>
              </w:rPr>
              <w:t>无组织</w:t>
            </w:r>
            <w:r>
              <w:rPr>
                <w:rFonts w:hint="default" w:ascii="Times New Roman" w:hAnsi="Times New Roman" w:eastAsia="宋体" w:cs="Times New Roman"/>
                <w:color w:val="000000"/>
                <w:sz w:val="24"/>
                <w:szCs w:val="24"/>
                <w:lang w:val="en-US" w:eastAsia="zh-CN" w:bidi="ar-SA"/>
              </w:rPr>
              <w:t>排放限值</w:t>
            </w:r>
            <w:r>
              <w:rPr>
                <w:rFonts w:hint="default" w:ascii="Times New Roman" w:hAnsi="Times New Roman" w:eastAsia="宋体" w:cs="Times New Roman"/>
                <w:color w:val="000000"/>
                <w:sz w:val="24"/>
                <w:szCs w:val="24"/>
                <w:lang w:val="zh-CN" w:eastAsia="zh-CN" w:bidi="ar-SA"/>
              </w:rPr>
              <w:t>（</w:t>
            </w:r>
            <w:r>
              <w:rPr>
                <w:rFonts w:hint="eastAsia" w:ascii="Times New Roman" w:hAnsi="Times New Roman" w:eastAsia="宋体" w:cs="Times New Roman"/>
                <w:color w:val="000000"/>
                <w:sz w:val="24"/>
                <w:szCs w:val="24"/>
                <w:lang w:val="en-US" w:eastAsia="zh-CN" w:bidi="ar-SA"/>
              </w:rPr>
              <w:t>1</w:t>
            </w:r>
            <w:r>
              <w:rPr>
                <w:rFonts w:hint="default" w:ascii="Times New Roman" w:hAnsi="Times New Roman" w:eastAsia="宋体" w:cs="Times New Roman"/>
                <w:color w:val="000000"/>
                <w:sz w:val="24"/>
                <w:szCs w:val="24"/>
                <w:lang w:val="en-US" w:eastAsia="zh-CN" w:bidi="ar-SA"/>
              </w:rPr>
              <w:t>mg/m</w:t>
            </w:r>
            <w:r>
              <w:rPr>
                <w:rFonts w:hint="default" w:ascii="Times New Roman" w:hAnsi="Times New Roman" w:eastAsia="宋体" w:cs="Times New Roman"/>
                <w:color w:val="000000"/>
                <w:sz w:val="24"/>
                <w:szCs w:val="24"/>
                <w:vertAlign w:val="superscript"/>
                <w:lang w:val="en-US" w:eastAsia="zh-CN" w:bidi="ar-SA"/>
              </w:rPr>
              <w:t>3</w:t>
            </w:r>
            <w:r>
              <w:rPr>
                <w:rFonts w:hint="default" w:ascii="Times New Roman" w:hAnsi="Times New Roman" w:eastAsia="宋体" w:cs="Times New Roman"/>
                <w:color w:val="000000"/>
                <w:sz w:val="24"/>
                <w:szCs w:val="24"/>
                <w:lang w:val="zh-CN" w:eastAsia="zh-CN" w:bidi="ar-SA"/>
              </w:rPr>
              <w:t>）</w:t>
            </w:r>
            <w:r>
              <w:rPr>
                <w:rFonts w:hint="default" w:ascii="Times New Roman" w:hAnsi="Times New Roman" w:eastAsia="宋体" w:cs="Times New Roman"/>
                <w:color w:val="000000"/>
                <w:sz w:val="24"/>
                <w:szCs w:val="24"/>
                <w:lang w:val="en-US" w:eastAsia="zh-CN" w:bidi="ar-SA"/>
              </w:rPr>
              <w:t>。</w:t>
            </w:r>
          </w:p>
          <w:p>
            <w:pPr>
              <w:tabs>
                <w:tab w:val="left" w:pos="6295"/>
              </w:tabs>
              <w:overflowPunct/>
              <w:autoSpaceDE/>
              <w:autoSpaceDN/>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eastAsia" w:cs="宋体"/>
                <w:lang w:val="en-US" w:eastAsia="zh-CN"/>
              </w:rPr>
              <w:t>⑦车间</w:t>
            </w:r>
            <w:r>
              <w:rPr>
                <w:rFonts w:hint="eastAsia" w:ascii="Times New Roman" w:hAnsi="Times New Roman" w:eastAsia="宋体" w:cs="宋体"/>
                <w:lang w:val="en-US" w:eastAsia="zh-CN"/>
              </w:rPr>
              <w:t>恶臭</w:t>
            </w:r>
          </w:p>
          <w:p>
            <w:pPr>
              <w:tabs>
                <w:tab w:val="left" w:pos="6295"/>
              </w:tabs>
              <w:overflowPunct/>
              <w:autoSpaceDE/>
              <w:autoSpaceDN/>
              <w:adjustRightInd/>
              <w:snapToGrid/>
              <w:spacing w:before="0" w:after="0" w:line="360" w:lineRule="auto"/>
              <w:ind w:left="0" w:right="0" w:firstLine="480" w:firstLineChars="200"/>
              <w:jc w:val="both"/>
              <w:rPr>
                <w:rFonts w:hint="default" w:ascii="Times New Roman" w:hAnsi="Times New Roman" w:eastAsia="宋体" w:cs="Times New Roman"/>
                <w:snapToGrid w:val="0"/>
                <w:color w:val="000000"/>
                <w:sz w:val="24"/>
                <w:szCs w:val="24"/>
                <w:highlight w:val="none"/>
                <w:lang w:val="en-US" w:eastAsia="zh-CN" w:bidi="ar-SA"/>
              </w:rPr>
            </w:pPr>
            <w:r>
              <w:rPr>
                <w:rFonts w:hint="eastAsia" w:ascii="Times New Roman" w:hAnsi="Times New Roman" w:eastAsia="宋体" w:cs="Times New Roman"/>
                <w:snapToGrid w:val="0"/>
                <w:color w:val="000000"/>
                <w:sz w:val="24"/>
                <w:szCs w:val="24"/>
                <w:highlight w:val="none"/>
                <w:lang w:val="en-US" w:eastAsia="zh-CN" w:bidi="ar-SA"/>
              </w:rPr>
              <w:t>参照安徽省生态环境厅回复“恶臭气体不仅包括氨、硫化氢等挥发性无机气体，还包括许多化学成分极为复杂的挥发性恶臭有机物（MVOC）。MVOC属于一类极为特殊的挥发性有机物。一方面，MVOC 可分为5类：第1类为含卤素化合物，如卤代烃；第2类为烃类，如烷烃、烯烃、芳香烃等；第3类为含氧化合物，如醛、酮、酯、有机酸等；第4类为含硫化合物，如硫醚、硫醇和噻吩类；第5类为含氮化合物，如酰胺等，这些都是有毒的空气污染物。另一方面，MVOC具有较无机恶臭物质更为复杂难辨的恶臭气味。”</w:t>
            </w:r>
          </w:p>
          <w:p>
            <w:pPr>
              <w:tabs>
                <w:tab w:val="left" w:pos="6295"/>
              </w:tabs>
              <w:overflowPunct/>
              <w:autoSpaceDE/>
              <w:autoSpaceDN/>
              <w:adjustRightInd/>
              <w:snapToGrid/>
              <w:spacing w:before="0" w:after="0" w:line="360" w:lineRule="auto"/>
              <w:ind w:left="0" w:right="0" w:firstLine="480" w:firstLineChars="200"/>
              <w:jc w:val="both"/>
              <w:rPr>
                <w:rFonts w:hint="default" w:ascii="Times New Roman" w:hAnsi="Times New Roman" w:eastAsia="宋体" w:cs="宋体"/>
                <w:lang w:val="en-US" w:eastAsia="zh-CN"/>
              </w:rPr>
            </w:pPr>
            <w:r>
              <w:rPr>
                <w:rFonts w:hint="eastAsia" w:cs="Times New Roman"/>
                <w:snapToGrid w:val="0"/>
                <w:color w:val="000000"/>
                <w:sz w:val="24"/>
                <w:szCs w:val="24"/>
                <w:highlight w:val="none"/>
                <w:lang w:val="en-US" w:eastAsia="zh-CN" w:bidi="ar-SA"/>
              </w:rPr>
              <w:t>拉丝工段拉丝油成分主要为白油，与</w:t>
            </w:r>
            <w:r>
              <w:rPr>
                <w:rFonts w:hint="eastAsia" w:ascii="Times New Roman" w:hAnsi="Times New Roman" w:eastAsia="宋体" w:cs="Times New Roman"/>
                <w:snapToGrid w:val="0"/>
                <w:color w:val="000000"/>
                <w:sz w:val="24"/>
                <w:szCs w:val="24"/>
                <w:highlight w:val="none"/>
                <w:lang w:val="en-US" w:eastAsia="zh-CN" w:bidi="ar-SA"/>
              </w:rPr>
              <w:t>挤塑</w:t>
            </w:r>
            <w:r>
              <w:rPr>
                <w:rFonts w:hint="eastAsia" w:cs="Times New Roman"/>
                <w:snapToGrid w:val="0"/>
                <w:color w:val="000000"/>
                <w:sz w:val="24"/>
                <w:szCs w:val="24"/>
                <w:highlight w:val="none"/>
                <w:lang w:val="en-US" w:eastAsia="zh-CN" w:bidi="ar-SA"/>
              </w:rPr>
              <w:t>、紫外光交联</w:t>
            </w:r>
            <w:r>
              <w:rPr>
                <w:rFonts w:hint="eastAsia" w:ascii="Times New Roman" w:hAnsi="Times New Roman" w:eastAsia="宋体" w:cs="Times New Roman"/>
                <w:snapToGrid w:val="0"/>
                <w:color w:val="000000"/>
                <w:sz w:val="24"/>
                <w:szCs w:val="24"/>
                <w:highlight w:val="none"/>
                <w:lang w:val="en-US" w:eastAsia="zh-CN" w:bidi="ar-SA"/>
              </w:rPr>
              <w:t>工段产生的乙烯等</w:t>
            </w:r>
            <w:r>
              <w:rPr>
                <w:rFonts w:hint="eastAsia" w:cs="Times New Roman"/>
                <w:snapToGrid w:val="0"/>
                <w:color w:val="000000"/>
                <w:sz w:val="24"/>
                <w:szCs w:val="24"/>
                <w:highlight w:val="none"/>
                <w:lang w:val="en-US" w:eastAsia="zh-CN" w:bidi="ar-SA"/>
              </w:rPr>
              <w:t>均</w:t>
            </w:r>
            <w:r>
              <w:rPr>
                <w:rFonts w:hint="eastAsia" w:ascii="Times New Roman" w:hAnsi="Times New Roman" w:eastAsia="宋体" w:cs="Times New Roman"/>
                <w:snapToGrid w:val="0"/>
                <w:color w:val="000000"/>
                <w:sz w:val="24"/>
                <w:szCs w:val="24"/>
                <w:highlight w:val="none"/>
                <w:lang w:val="en-US" w:eastAsia="zh-CN" w:bidi="ar-SA"/>
              </w:rPr>
              <w:t>属于MVOC第2类烃类</w:t>
            </w:r>
            <w:r>
              <w:rPr>
                <w:rFonts w:hint="eastAsia" w:cs="Times New Roman"/>
                <w:snapToGrid w:val="0"/>
                <w:color w:val="000000"/>
                <w:sz w:val="24"/>
                <w:szCs w:val="24"/>
                <w:highlight w:val="none"/>
                <w:lang w:val="en-US" w:eastAsia="zh-CN" w:bidi="ar-SA"/>
              </w:rPr>
              <w:t>，挤塑工段、挤护外套工段产生的氯乙烯、二氯乙烯属于MVOC第1类含卤素化合物，乙烯等烯烃等属于MVOC第2类烃类</w:t>
            </w:r>
            <w:r>
              <w:rPr>
                <w:rFonts w:hint="eastAsia" w:ascii="Times New Roman" w:hAnsi="Times New Roman" w:eastAsia="宋体" w:cs="Times New Roman"/>
                <w:snapToGrid w:val="0"/>
                <w:color w:val="000000"/>
                <w:sz w:val="24"/>
                <w:szCs w:val="24"/>
                <w:highlight w:val="none"/>
                <w:lang w:val="en-US" w:eastAsia="zh-CN" w:bidi="ar-SA"/>
              </w:rPr>
              <w:t>，喷码使用的油墨主要成分为丁酮，属于MVOC第3类含氧化合物。同时本项目挤塑</w:t>
            </w:r>
            <w:r>
              <w:rPr>
                <w:rFonts w:hint="eastAsia" w:cs="Times New Roman"/>
                <w:snapToGrid w:val="0"/>
                <w:color w:val="000000"/>
                <w:sz w:val="24"/>
                <w:szCs w:val="24"/>
                <w:highlight w:val="none"/>
                <w:lang w:val="en-US" w:eastAsia="zh-CN" w:bidi="ar-SA"/>
              </w:rPr>
              <w:t>、紫外光交联、挤护外套</w:t>
            </w:r>
            <w:r>
              <w:rPr>
                <w:rFonts w:hint="eastAsia" w:ascii="Times New Roman" w:hAnsi="Times New Roman" w:eastAsia="宋体" w:cs="Times New Roman"/>
                <w:snapToGrid w:val="0"/>
                <w:color w:val="000000"/>
                <w:sz w:val="24"/>
                <w:szCs w:val="24"/>
                <w:highlight w:val="none"/>
                <w:lang w:val="en-US" w:eastAsia="zh-CN" w:bidi="ar-SA"/>
              </w:rPr>
              <w:t>、喷码工段参考《排污许可证申请与核发技术规范 橡胶和塑料制品工业》（HJ1122-2020），污染物种类应考虑恶臭，均以臭气浓度计。参考《强氧催化化技术在塑料废气治理中的应用》（陈海棠等，环境工程2015年第33卷增刊），</w:t>
            </w:r>
            <w:r>
              <w:rPr>
                <w:rFonts w:ascii="宋体" w:hAnsi="宋体" w:eastAsia="宋体" w:cs="宋体"/>
                <w:sz w:val="24"/>
                <w:szCs w:val="24"/>
              </w:rPr>
              <w:t>塑料废气污染物主要来源于塑料基料及辅料的混合料因受热熔融而挥发或分解的化合物。</w:t>
            </w:r>
            <w:r>
              <w:rPr>
                <w:rFonts w:hint="eastAsia" w:ascii="Times New Roman" w:hAnsi="Times New Roman" w:eastAsia="宋体" w:cs="Times New Roman"/>
                <w:snapToGrid w:val="0"/>
                <w:color w:val="000000"/>
                <w:sz w:val="24"/>
                <w:szCs w:val="24"/>
                <w:highlight w:val="none"/>
                <w:lang w:val="en-US" w:eastAsia="zh-CN" w:bidi="ar-SA"/>
              </w:rPr>
              <w:t>塑料废气属于低浓度恶臭废气，臭气浓度在2000（无量纲）以下。臭气浓度经收集装置收集后，经废气处理装置净化处理，最终由</w:t>
            </w:r>
            <w:r>
              <w:rPr>
                <w:rFonts w:hint="eastAsia" w:cs="Times New Roman"/>
                <w:snapToGrid w:val="0"/>
                <w:color w:val="000000"/>
                <w:sz w:val="24"/>
                <w:szCs w:val="24"/>
                <w:highlight w:val="none"/>
                <w:lang w:val="en-US" w:eastAsia="zh-CN" w:bidi="ar-SA"/>
              </w:rPr>
              <w:t>20</w:t>
            </w:r>
            <w:r>
              <w:rPr>
                <w:rFonts w:hint="eastAsia" w:ascii="Times New Roman" w:hAnsi="Times New Roman" w:eastAsia="宋体" w:cs="Times New Roman"/>
                <w:snapToGrid w:val="0"/>
                <w:color w:val="000000"/>
                <w:sz w:val="24"/>
                <w:szCs w:val="24"/>
                <w:highlight w:val="none"/>
                <w:lang w:val="en-US" w:eastAsia="zh-CN" w:bidi="ar-SA"/>
              </w:rPr>
              <w:t>m排气筒高空排放。少量无组织臭气浓度通过加强封闭式作业控制，废气产生量较少，臭气浓度产生量以定性分析，不进行量化计算。</w:t>
            </w:r>
          </w:p>
          <w:p>
            <w:pPr>
              <w:widowControl w:val="0"/>
              <w:overflowPunct w:val="0"/>
              <w:autoSpaceDE w:val="0"/>
              <w:autoSpaceDN w:val="0"/>
              <w:adjustRightInd w:val="0"/>
              <w:snapToGrid w:val="0"/>
              <w:spacing w:before="0" w:after="0" w:line="360" w:lineRule="auto"/>
              <w:ind w:right="0" w:firstLine="380" w:firstLineChars="200"/>
              <w:jc w:val="both"/>
              <w:rPr>
                <w:rFonts w:hint="eastAsia" w:cs="宋体"/>
                <w:bCs/>
                <w:snapToGrid w:val="0"/>
                <w:color w:val="000000"/>
                <w:spacing w:val="-10"/>
                <w:kern w:val="2"/>
                <w:sz w:val="21"/>
                <w:szCs w:val="21"/>
                <w:highlight w:val="none"/>
                <w:lang w:val="en-US" w:eastAsia="zh-CN" w:bidi="ar-SA"/>
              </w:rPr>
            </w:pPr>
          </w:p>
          <w:p>
            <w:pPr>
              <w:widowControl w:val="0"/>
              <w:overflowPunct w:val="0"/>
              <w:autoSpaceDE w:val="0"/>
              <w:autoSpaceDN w:val="0"/>
              <w:adjustRightInd w:val="0"/>
              <w:snapToGrid w:val="0"/>
              <w:spacing w:before="0" w:after="0" w:line="360" w:lineRule="auto"/>
              <w:ind w:right="0" w:firstLine="380" w:firstLineChars="200"/>
              <w:jc w:val="both"/>
              <w:rPr>
                <w:rFonts w:hint="eastAsia" w:cs="宋体"/>
                <w:bCs/>
                <w:snapToGrid w:val="0"/>
                <w:color w:val="000000"/>
                <w:spacing w:val="-10"/>
                <w:kern w:val="2"/>
                <w:sz w:val="21"/>
                <w:szCs w:val="21"/>
                <w:highlight w:val="none"/>
                <w:lang w:val="en-US" w:eastAsia="zh-CN" w:bidi="ar-SA"/>
              </w:rPr>
            </w:pPr>
          </w:p>
          <w:p>
            <w:pPr>
              <w:widowControl w:val="0"/>
              <w:overflowPunct w:val="0"/>
              <w:autoSpaceDE w:val="0"/>
              <w:autoSpaceDN w:val="0"/>
              <w:adjustRightInd w:val="0"/>
              <w:snapToGrid w:val="0"/>
              <w:spacing w:before="0" w:after="0" w:line="360" w:lineRule="auto"/>
              <w:ind w:right="0"/>
              <w:jc w:val="both"/>
              <w:rPr>
                <w:rFonts w:hint="eastAsia" w:cs="宋体"/>
                <w:bCs/>
                <w:snapToGrid w:val="0"/>
                <w:color w:val="000000"/>
                <w:spacing w:val="-10"/>
                <w:kern w:val="2"/>
                <w:sz w:val="21"/>
                <w:szCs w:val="21"/>
                <w:highlight w:val="none"/>
                <w:lang w:val="en-US" w:eastAsia="zh-CN" w:bidi="ar-SA"/>
              </w:rPr>
            </w:pPr>
          </w:p>
          <w:p>
            <w:pPr>
              <w:widowControl w:val="0"/>
              <w:overflowPunct w:val="0"/>
              <w:autoSpaceDE w:val="0"/>
              <w:autoSpaceDN w:val="0"/>
              <w:adjustRightInd w:val="0"/>
              <w:snapToGrid w:val="0"/>
              <w:spacing w:before="0" w:after="0" w:line="360" w:lineRule="auto"/>
              <w:ind w:right="0" w:firstLine="380" w:firstLineChars="200"/>
              <w:jc w:val="both"/>
              <w:rPr>
                <w:rFonts w:hint="eastAsia" w:cs="宋体"/>
                <w:bCs/>
                <w:snapToGrid w:val="0"/>
                <w:color w:val="000000"/>
                <w:spacing w:val="-10"/>
                <w:kern w:val="2"/>
                <w:sz w:val="21"/>
                <w:szCs w:val="21"/>
                <w:highlight w:val="none"/>
                <w:lang w:val="en-US" w:eastAsia="zh-CN" w:bidi="ar-SA"/>
              </w:rPr>
            </w:pPr>
          </w:p>
          <w:p>
            <w:pPr>
              <w:widowControl w:val="0"/>
              <w:overflowPunct w:val="0"/>
              <w:autoSpaceDE w:val="0"/>
              <w:autoSpaceDN w:val="0"/>
              <w:adjustRightInd w:val="0"/>
              <w:snapToGrid w:val="0"/>
              <w:spacing w:before="0" w:after="0" w:line="360" w:lineRule="auto"/>
              <w:ind w:right="0" w:firstLine="380" w:firstLineChars="200"/>
              <w:jc w:val="both"/>
              <w:rPr>
                <w:rFonts w:hint="eastAsia" w:cs="宋体"/>
                <w:bCs/>
                <w:snapToGrid w:val="0"/>
                <w:color w:val="000000"/>
                <w:spacing w:val="-10"/>
                <w:kern w:val="2"/>
                <w:sz w:val="21"/>
                <w:szCs w:val="21"/>
                <w:highlight w:val="none"/>
                <w:lang w:val="en-US" w:eastAsia="zh-CN" w:bidi="ar-SA"/>
              </w:rPr>
            </w:pPr>
          </w:p>
          <w:p>
            <w:pPr>
              <w:widowControl w:val="0"/>
              <w:overflowPunct w:val="0"/>
              <w:autoSpaceDE w:val="0"/>
              <w:autoSpaceDN w:val="0"/>
              <w:adjustRightInd w:val="0"/>
              <w:snapToGrid w:val="0"/>
              <w:spacing w:before="0" w:after="0" w:line="360" w:lineRule="auto"/>
              <w:ind w:right="0" w:firstLine="380" w:firstLineChars="200"/>
              <w:jc w:val="both"/>
              <w:rPr>
                <w:rFonts w:ascii="Times New Roman" w:hAnsi="Times New Roman" w:eastAsia="宋体" w:cs="宋体"/>
                <w:bCs/>
                <w:snapToGrid w:val="0"/>
                <w:color w:val="000000"/>
                <w:spacing w:val="-10"/>
                <w:kern w:val="2"/>
                <w:sz w:val="21"/>
                <w:szCs w:val="21"/>
                <w:highlight w:val="none"/>
                <w:lang w:val="en-US" w:eastAsia="zh-CN" w:bidi="ar-SA"/>
              </w:rPr>
            </w:pPr>
          </w:p>
        </w:tc>
      </w:tr>
    </w:tbl>
    <w:p>
      <w:pPr>
        <w:widowControl w:val="0"/>
        <w:bidi w:val="0"/>
        <w:spacing w:line="400" w:lineRule="exact"/>
        <w:ind w:firstLine="0" w:firstLineChars="0"/>
        <w:jc w:val="center"/>
        <w:rPr>
          <w:rFonts w:hint="eastAsia" w:ascii="Times New Roman" w:hAnsi="Times New Roman" w:eastAsia="宋体" w:cs="宋体"/>
          <w:b/>
          <w:color w:val="000000"/>
          <w:sz w:val="24"/>
          <w:szCs w:val="24"/>
          <w:lang w:val="en-US" w:eastAsia="zh-CN" w:bidi="ar-SA"/>
        </w:rPr>
        <w:sectPr>
          <w:pgSz w:w="11906" w:h="16838"/>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val="0"/>
        <w:bidi w:val="0"/>
        <w:spacing w:line="400" w:lineRule="exact"/>
        <w:ind w:firstLine="0" w:firstLineChars="0"/>
        <w:jc w:val="center"/>
        <w:rPr>
          <w:rFonts w:hint="eastAsia" w:ascii="Times New Roman" w:hAnsi="Times New Roman" w:eastAsia="宋体" w:cs="宋体"/>
          <w:b/>
          <w:color w:val="000000" w:themeColor="text1"/>
          <w:sz w:val="24"/>
          <w:szCs w:val="24"/>
          <w:lang w:val="en-US" w:eastAsia="zh-CN" w:bidi="ar-SA"/>
          <w14:textFill>
            <w14:solidFill>
              <w14:schemeClr w14:val="tx1"/>
            </w14:solidFill>
          </w14:textFill>
        </w:rPr>
      </w:pPr>
      <w:r>
        <w:rPr>
          <w:rFonts w:hint="eastAsia" w:ascii="Times New Roman" w:hAnsi="Times New Roman" w:eastAsia="宋体" w:cs="宋体"/>
          <w:b/>
          <w:color w:val="000000"/>
          <w:sz w:val="24"/>
          <w:szCs w:val="24"/>
          <w:lang w:val="en-US" w:eastAsia="zh-CN" w:bidi="ar-SA"/>
        </w:rPr>
        <w:t>表4.5-</w:t>
      </w:r>
      <w:r>
        <w:rPr>
          <w:rFonts w:hint="eastAsia" w:cs="宋体"/>
          <w:b/>
          <w:color w:val="000000"/>
          <w:sz w:val="24"/>
          <w:szCs w:val="24"/>
          <w:lang w:val="en-US" w:eastAsia="zh-CN" w:bidi="ar-SA"/>
        </w:rPr>
        <w:t>2</w:t>
      </w:r>
      <w:r>
        <w:rPr>
          <w:rFonts w:hint="eastAsia" w:ascii="Times New Roman" w:hAnsi="Times New Roman" w:eastAsia="宋体" w:cs="宋体"/>
          <w:b/>
          <w:color w:val="000000"/>
          <w:sz w:val="24"/>
          <w:szCs w:val="24"/>
          <w:lang w:val="en-US" w:eastAsia="zh-CN" w:bidi="ar-SA"/>
        </w:rPr>
        <w:t>本项目废气产生、排放情况一览表</w:t>
      </w:r>
    </w:p>
    <w:tbl>
      <w:tblPr>
        <w:tblStyle w:val="13"/>
        <w:tblW w:w="526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320"/>
        <w:gridCol w:w="885"/>
        <w:gridCol w:w="1129"/>
        <w:gridCol w:w="1103"/>
        <w:gridCol w:w="915"/>
        <w:gridCol w:w="1914"/>
        <w:gridCol w:w="621"/>
        <w:gridCol w:w="1226"/>
        <w:gridCol w:w="1199"/>
        <w:gridCol w:w="1061"/>
        <w:gridCol w:w="930"/>
        <w:gridCol w:w="104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污染物</w:t>
            </w:r>
          </w:p>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种类</w:t>
            </w:r>
          </w:p>
        </w:tc>
        <w:tc>
          <w:tcPr>
            <w:tcW w:w="465"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产污</w:t>
            </w:r>
          </w:p>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环节</w:t>
            </w:r>
          </w:p>
        </w:tc>
        <w:tc>
          <w:tcPr>
            <w:tcW w:w="312"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排放</w:t>
            </w:r>
          </w:p>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形式</w:t>
            </w:r>
          </w:p>
        </w:tc>
        <w:tc>
          <w:tcPr>
            <w:tcW w:w="1110" w:type="pct"/>
            <w:gridSpan w:val="3"/>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污染物产生情况</w:t>
            </w:r>
          </w:p>
        </w:tc>
        <w:tc>
          <w:tcPr>
            <w:tcW w:w="1327" w:type="pct"/>
            <w:gridSpan w:val="3"/>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污染物治理设施</w:t>
            </w:r>
          </w:p>
        </w:tc>
        <w:tc>
          <w:tcPr>
            <w:tcW w:w="1125" w:type="pct"/>
            <w:gridSpan w:val="3"/>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污染物排放情况</w:t>
            </w:r>
          </w:p>
        </w:tc>
        <w:tc>
          <w:tcPr>
            <w:tcW w:w="368"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排放</w:t>
            </w:r>
          </w:p>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时间（h）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465"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12"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98"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产生浓度（mg/m</w:t>
            </w:r>
            <w:r>
              <w:rPr>
                <w:rFonts w:hint="eastAsia" w:ascii="Times New Roman" w:hAnsi="Times New Roman" w:eastAsia="宋体" w:cs="Times New Roman"/>
                <w:sz w:val="21"/>
                <w:vertAlign w:val="superscript"/>
                <w:lang w:val="en-US" w:eastAsia="zh-CN" w:bidi="ar-SA"/>
              </w:rPr>
              <w:t>3</w:t>
            </w:r>
            <w:r>
              <w:rPr>
                <w:rFonts w:hint="eastAsia" w:ascii="Times New Roman" w:hAnsi="Times New Roman" w:eastAsia="宋体" w:cs="Times New Roman"/>
                <w:sz w:val="21"/>
                <w:lang w:val="en-US" w:eastAsia="zh-CN" w:bidi="ar-SA"/>
              </w:rPr>
              <w:t>）</w:t>
            </w:r>
          </w:p>
        </w:tc>
        <w:tc>
          <w:tcPr>
            <w:tcW w:w="389"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产生速率（kg/h）</w:t>
            </w:r>
          </w:p>
        </w:tc>
        <w:tc>
          <w:tcPr>
            <w:tcW w:w="322"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产生量（t/a）</w:t>
            </w:r>
          </w:p>
        </w:tc>
        <w:tc>
          <w:tcPr>
            <w:tcW w:w="675"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工艺</w:t>
            </w:r>
          </w:p>
        </w:tc>
        <w:tc>
          <w:tcPr>
            <w:tcW w:w="219"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效率</w:t>
            </w:r>
          </w:p>
        </w:tc>
        <w:tc>
          <w:tcPr>
            <w:tcW w:w="432"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是否为可行技术</w:t>
            </w:r>
          </w:p>
        </w:tc>
        <w:tc>
          <w:tcPr>
            <w:tcW w:w="423"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排放浓度（mg/m</w:t>
            </w:r>
            <w:r>
              <w:rPr>
                <w:rFonts w:hint="eastAsia" w:ascii="Times New Roman" w:hAnsi="Times New Roman" w:eastAsia="宋体" w:cs="Times New Roman"/>
                <w:sz w:val="21"/>
                <w:vertAlign w:val="superscript"/>
                <w:lang w:val="en-US" w:eastAsia="zh-CN" w:bidi="ar-SA"/>
              </w:rPr>
              <w:t>3</w:t>
            </w:r>
            <w:r>
              <w:rPr>
                <w:rFonts w:hint="eastAsia" w:ascii="Times New Roman" w:hAnsi="Times New Roman" w:eastAsia="宋体" w:cs="Times New Roman"/>
                <w:sz w:val="21"/>
                <w:lang w:val="en-US" w:eastAsia="zh-CN" w:bidi="ar-SA"/>
              </w:rPr>
              <w:t>）</w:t>
            </w:r>
          </w:p>
        </w:tc>
        <w:tc>
          <w:tcPr>
            <w:tcW w:w="374"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排放速率（kg/h）</w:t>
            </w:r>
          </w:p>
        </w:tc>
        <w:tc>
          <w:tcPr>
            <w:tcW w:w="328"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排放量（t/a）</w:t>
            </w: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8" w:hRule="atLeast"/>
          <w:jc w:val="center"/>
        </w:trPr>
        <w:tc>
          <w:tcPr>
            <w:tcW w:w="290"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非甲烷总烃</w:t>
            </w:r>
          </w:p>
        </w:tc>
        <w:tc>
          <w:tcPr>
            <w:tcW w:w="4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2"/>
                <w:lang w:val="en-US" w:eastAsia="zh-CN"/>
              </w:rPr>
            </w:pPr>
            <w:r>
              <w:rPr>
                <w:rFonts w:hint="eastAsia" w:cs="Times New Roman"/>
                <w:color w:val="auto"/>
                <w:kern w:val="2"/>
                <w:sz w:val="21"/>
                <w:szCs w:val="22"/>
                <w:lang w:val="en-US" w:eastAsia="zh-CN"/>
              </w:rPr>
              <w:t>拉丝、</w:t>
            </w:r>
            <w:r>
              <w:rPr>
                <w:rFonts w:hint="eastAsia" w:ascii="Times New Roman" w:hAnsi="Times New Roman" w:eastAsia="宋体" w:cs="Times New Roman"/>
                <w:color w:val="auto"/>
                <w:kern w:val="2"/>
                <w:sz w:val="21"/>
                <w:szCs w:val="22"/>
                <w:lang w:val="en-US" w:eastAsia="zh-CN"/>
              </w:rPr>
              <w:t>挤塑</w:t>
            </w:r>
            <w:r>
              <w:rPr>
                <w:rFonts w:hint="eastAsia" w:cs="Times New Roman"/>
                <w:color w:val="auto"/>
                <w:kern w:val="2"/>
                <w:sz w:val="21"/>
                <w:szCs w:val="22"/>
                <w:lang w:val="en-US" w:eastAsia="zh-CN"/>
              </w:rPr>
              <w:t>、紫外光交联</w:t>
            </w:r>
            <w:r>
              <w:rPr>
                <w:rFonts w:hint="eastAsia" w:ascii="Times New Roman" w:hAnsi="Times New Roman" w:eastAsia="宋体" w:cs="Times New Roman"/>
                <w:color w:val="auto"/>
                <w:kern w:val="2"/>
                <w:sz w:val="21"/>
                <w:szCs w:val="22"/>
                <w:lang w:val="en-US" w:eastAsia="zh-CN"/>
              </w:rPr>
              <w:t>、挤护外套、喷码</w:t>
            </w:r>
          </w:p>
        </w:tc>
        <w:tc>
          <w:tcPr>
            <w:tcW w:w="312"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有组织</w:t>
            </w:r>
          </w:p>
        </w:tc>
        <w:tc>
          <w:tcPr>
            <w:tcW w:w="398" w:type="pct"/>
            <w:tcBorders>
              <w:tl2br w:val="nil"/>
              <w:tr2bl w:val="nil"/>
            </w:tcBorders>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72.92</w:t>
            </w:r>
          </w:p>
        </w:tc>
        <w:tc>
          <w:tcPr>
            <w:tcW w:w="389" w:type="pct"/>
            <w:tcBorders>
              <w:tl2br w:val="nil"/>
              <w:tr2bl w:val="nil"/>
            </w:tcBorders>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cs="Times New Roman"/>
                <w:i w:val="0"/>
                <w:iCs w:val="0"/>
                <w:color w:val="000000"/>
                <w:kern w:val="0"/>
                <w:sz w:val="21"/>
                <w:szCs w:val="21"/>
                <w:u w:val="none"/>
                <w:lang w:val="en-US" w:eastAsia="zh-CN" w:bidi="ar"/>
              </w:rPr>
              <w:t>4583</w:t>
            </w:r>
          </w:p>
        </w:tc>
        <w:tc>
          <w:tcPr>
            <w:tcW w:w="322"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3.50</w:t>
            </w:r>
          </w:p>
        </w:tc>
        <w:tc>
          <w:tcPr>
            <w:tcW w:w="675"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r>
              <w:rPr>
                <w:rFonts w:hint="eastAsia" w:cs="Times New Roman"/>
                <w:sz w:val="21"/>
                <w:lang w:val="en-US" w:eastAsia="zh-CN" w:bidi="ar-SA"/>
              </w:rPr>
              <w:t>水洗填料塔+活性炭吸附+脱附+催化燃烧装置+20m排气筒</w:t>
            </w:r>
          </w:p>
        </w:tc>
        <w:tc>
          <w:tcPr>
            <w:tcW w:w="219"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cs="Times New Roman"/>
                <w:sz w:val="21"/>
                <w:lang w:val="en-US" w:eastAsia="zh-CN" w:bidi="ar-SA"/>
              </w:rPr>
              <w:t>60</w:t>
            </w:r>
            <w:r>
              <w:rPr>
                <w:rFonts w:hint="eastAsia" w:ascii="Times New Roman" w:hAnsi="Times New Roman" w:eastAsia="宋体" w:cs="Times New Roman"/>
                <w:sz w:val="21"/>
                <w:lang w:val="en-US" w:eastAsia="zh-CN" w:bidi="ar-SA"/>
              </w:rPr>
              <w:t>%</w:t>
            </w:r>
          </w:p>
        </w:tc>
        <w:tc>
          <w:tcPr>
            <w:tcW w:w="432"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可行</w:t>
            </w:r>
          </w:p>
        </w:tc>
        <w:tc>
          <w:tcPr>
            <w:tcW w:w="42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cs="Times New Roman"/>
                <w:i w:val="0"/>
                <w:iCs w:val="0"/>
                <w:color w:val="000000"/>
                <w:kern w:val="0"/>
                <w:sz w:val="21"/>
                <w:szCs w:val="21"/>
                <w:u w:val="none"/>
                <w:lang w:val="en-US" w:eastAsia="zh-CN" w:bidi="ar"/>
              </w:rPr>
              <w:t>29.17</w:t>
            </w:r>
          </w:p>
        </w:tc>
        <w:tc>
          <w:tcPr>
            <w:tcW w:w="37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5833</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32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cs="Times New Roman"/>
                <w:i w:val="0"/>
                <w:iCs w:val="0"/>
                <w:color w:val="000000"/>
                <w:kern w:val="0"/>
                <w:sz w:val="21"/>
                <w:szCs w:val="21"/>
                <w:u w:val="none"/>
                <w:lang w:val="en-US" w:eastAsia="zh-CN" w:bidi="ar"/>
              </w:rPr>
              <w:t>1.40</w:t>
            </w:r>
          </w:p>
        </w:tc>
        <w:tc>
          <w:tcPr>
            <w:tcW w:w="368"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2400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0"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氯化氢</w:t>
            </w:r>
          </w:p>
        </w:tc>
        <w:tc>
          <w:tcPr>
            <w:tcW w:w="4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挤塑、挤护外套</w:t>
            </w:r>
          </w:p>
        </w:tc>
        <w:tc>
          <w:tcPr>
            <w:tcW w:w="312"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39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0.33</w:t>
            </w:r>
            <w:r>
              <w:rPr>
                <w:rFonts w:hint="default" w:ascii="Times New Roman" w:hAnsi="Times New Roman" w:eastAsia="宋体" w:cs="Times New Roman"/>
                <w:i w:val="0"/>
                <w:iCs w:val="0"/>
                <w:color w:val="000000"/>
                <w:kern w:val="0"/>
                <w:sz w:val="21"/>
                <w:szCs w:val="21"/>
                <w:u w:val="none"/>
                <w:lang w:val="en-US" w:eastAsia="zh-CN" w:bidi="ar"/>
              </w:rPr>
              <w:t>μg</w:t>
            </w:r>
            <w:r>
              <w:rPr>
                <w:rFonts w:hint="default" w:ascii="Times New Roman" w:hAnsi="Times New Roman" w:eastAsia="宋体" w:cs="Times New Roman"/>
                <w:b w:val="0"/>
                <w:bCs w:val="0"/>
                <w:color w:val="auto"/>
                <w:kern w:val="2"/>
                <w:sz w:val="21"/>
                <w:szCs w:val="22"/>
              </w:rPr>
              <w:t>/m</w:t>
            </w:r>
            <w:r>
              <w:rPr>
                <w:rFonts w:hint="default" w:ascii="Times New Roman" w:hAnsi="Times New Roman" w:eastAsia="宋体" w:cs="Times New Roman"/>
                <w:b w:val="0"/>
                <w:bCs w:val="0"/>
                <w:color w:val="auto"/>
                <w:kern w:val="2"/>
                <w:sz w:val="21"/>
                <w:szCs w:val="22"/>
                <w:vertAlign w:val="superscript"/>
                <w:lang w:val="en-US" w:eastAsia="zh-CN"/>
              </w:rPr>
              <w:t>3</w:t>
            </w:r>
          </w:p>
        </w:tc>
        <w:tc>
          <w:tcPr>
            <w:tcW w:w="389"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6.67×10</w:t>
            </w:r>
            <w:r>
              <w:rPr>
                <w:rFonts w:hint="eastAsia" w:cs="Times New Roman"/>
                <w:i w:val="0"/>
                <w:iCs w:val="0"/>
                <w:color w:val="000000"/>
                <w:kern w:val="0"/>
                <w:sz w:val="21"/>
                <w:szCs w:val="21"/>
                <w:u w:val="none"/>
                <w:vertAlign w:val="superscript"/>
                <w:lang w:val="en-US" w:eastAsia="zh-CN" w:bidi="ar"/>
              </w:rPr>
              <w:t>-6</w:t>
            </w:r>
          </w:p>
        </w:tc>
        <w:tc>
          <w:tcPr>
            <w:tcW w:w="322"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0.016</w:t>
            </w:r>
            <w:r>
              <w:rPr>
                <w:rFonts w:hint="eastAsia" w:cs="Times New Roman"/>
                <w:i w:val="0"/>
                <w:iCs w:val="0"/>
                <w:color w:val="000000"/>
                <w:kern w:val="0"/>
                <w:sz w:val="21"/>
                <w:szCs w:val="21"/>
                <w:u w:val="none"/>
                <w:lang w:val="en-US" w:eastAsia="zh-CN" w:bidi="ar"/>
              </w:rPr>
              <w:t>kg/a</w:t>
            </w:r>
          </w:p>
        </w:tc>
        <w:tc>
          <w:tcPr>
            <w:tcW w:w="675"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219"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cs="Times New Roman"/>
                <w:sz w:val="21"/>
                <w:lang w:val="en-US" w:eastAsia="zh-CN" w:bidi="ar-SA"/>
              </w:rPr>
              <w:t>93.1</w:t>
            </w:r>
            <w:r>
              <w:rPr>
                <w:rFonts w:hint="eastAsia" w:ascii="Times New Roman" w:hAnsi="Times New Roman" w:eastAsia="宋体" w:cs="Times New Roman"/>
                <w:sz w:val="21"/>
                <w:lang w:val="en-US" w:eastAsia="zh-CN" w:bidi="ar-SA"/>
              </w:rPr>
              <w:t>%</w:t>
            </w:r>
          </w:p>
        </w:tc>
        <w:tc>
          <w:tcPr>
            <w:tcW w:w="432"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423" w:type="pct"/>
            <w:tcBorders>
              <w:tl2br w:val="nil"/>
              <w:tr2bl w:val="nil"/>
            </w:tcBorders>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w:t>
            </w:r>
            <w:r>
              <w:rPr>
                <w:rFonts w:hint="default" w:ascii="Times New Roman" w:hAnsi="Times New Roman" w:cs="Times New Roman"/>
                <w:i w:val="0"/>
                <w:iCs w:val="0"/>
                <w:color w:val="000000"/>
                <w:kern w:val="0"/>
                <w:sz w:val="21"/>
                <w:szCs w:val="21"/>
                <w:u w:val="none"/>
                <w:lang w:val="en-US" w:eastAsia="zh-CN" w:bidi="ar"/>
              </w:rPr>
              <w:t>μg</w:t>
            </w:r>
            <w:r>
              <w:rPr>
                <w:rFonts w:hint="default" w:ascii="Times New Roman" w:hAnsi="Times New Roman" w:eastAsia="宋体" w:cs="Times New Roman"/>
                <w:b w:val="0"/>
                <w:bCs w:val="0"/>
                <w:color w:val="auto"/>
                <w:kern w:val="2"/>
                <w:sz w:val="21"/>
                <w:szCs w:val="22"/>
              </w:rPr>
              <w:t>/m</w:t>
            </w:r>
            <w:r>
              <w:rPr>
                <w:rFonts w:hint="default" w:ascii="Times New Roman" w:hAnsi="Times New Roman" w:eastAsia="宋体" w:cs="Times New Roman"/>
                <w:b w:val="0"/>
                <w:bCs w:val="0"/>
                <w:color w:val="auto"/>
                <w:kern w:val="2"/>
                <w:sz w:val="21"/>
                <w:szCs w:val="22"/>
                <w:vertAlign w:val="superscript"/>
                <w:lang w:val="en-US" w:eastAsia="zh-CN"/>
              </w:rPr>
              <w:t>3</w:t>
            </w:r>
          </w:p>
        </w:tc>
        <w:tc>
          <w:tcPr>
            <w:tcW w:w="37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4.17×10</w:t>
            </w:r>
            <w:r>
              <w:rPr>
                <w:rFonts w:hint="eastAsia" w:cs="Times New Roman"/>
                <w:i w:val="0"/>
                <w:iCs w:val="0"/>
                <w:color w:val="000000"/>
                <w:kern w:val="0"/>
                <w:sz w:val="21"/>
                <w:szCs w:val="21"/>
                <w:u w:val="none"/>
                <w:vertAlign w:val="superscript"/>
                <w:lang w:val="en-US" w:eastAsia="zh-CN" w:bidi="ar"/>
              </w:rPr>
              <w:t>-7</w:t>
            </w:r>
          </w:p>
        </w:tc>
        <w:tc>
          <w:tcPr>
            <w:tcW w:w="32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0.001kg/a</w:t>
            </w: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0"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臭气浓度</w:t>
            </w:r>
          </w:p>
        </w:tc>
        <w:tc>
          <w:tcPr>
            <w:tcW w:w="4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2"/>
                <w:lang w:val="en-US" w:eastAsia="zh-CN"/>
              </w:rPr>
            </w:pPr>
            <w:r>
              <w:rPr>
                <w:rFonts w:hint="eastAsia" w:cs="Times New Roman"/>
                <w:color w:val="auto"/>
                <w:kern w:val="2"/>
                <w:sz w:val="21"/>
                <w:szCs w:val="22"/>
                <w:lang w:val="en-US" w:eastAsia="zh-CN"/>
              </w:rPr>
              <w:t>拉丝、</w:t>
            </w:r>
            <w:r>
              <w:rPr>
                <w:rFonts w:hint="eastAsia" w:ascii="Times New Roman" w:hAnsi="Times New Roman" w:eastAsia="宋体" w:cs="Times New Roman"/>
                <w:color w:val="auto"/>
                <w:kern w:val="2"/>
                <w:sz w:val="21"/>
                <w:szCs w:val="22"/>
                <w:lang w:val="en-US" w:eastAsia="zh-CN"/>
              </w:rPr>
              <w:t>挤塑、挤护外套、喷码</w:t>
            </w:r>
          </w:p>
        </w:tc>
        <w:tc>
          <w:tcPr>
            <w:tcW w:w="312"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398" w:type="pct"/>
            <w:tcBorders>
              <w:tl2br w:val="nil"/>
              <w:tr2bl w:val="nil"/>
            </w:tcBorders>
            <w:vAlign w:val="center"/>
          </w:tcPr>
          <w:p>
            <w:pPr>
              <w:jc w:val="center"/>
              <w:rPr>
                <w:rFonts w:hint="eastAsia"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389" w:type="pct"/>
            <w:tcBorders>
              <w:tl2br w:val="nil"/>
              <w:tr2bl w:val="nil"/>
            </w:tcBorders>
            <w:vAlign w:val="center"/>
          </w:tcPr>
          <w:p>
            <w:pPr>
              <w:jc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sz w:val="21"/>
                <w:szCs w:val="21"/>
                <w:lang w:val="en-US" w:eastAsia="zh-CN"/>
              </w:rPr>
              <w:t>/</w:t>
            </w:r>
          </w:p>
        </w:tc>
        <w:tc>
          <w:tcPr>
            <w:tcW w:w="322"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少量</w:t>
            </w:r>
          </w:p>
        </w:tc>
        <w:tc>
          <w:tcPr>
            <w:tcW w:w="675"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219"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cs="Times New Roman"/>
                <w:sz w:val="21"/>
                <w:lang w:val="en-US" w:eastAsia="zh-CN" w:bidi="ar-SA"/>
              </w:rPr>
              <w:t>/</w:t>
            </w:r>
          </w:p>
        </w:tc>
        <w:tc>
          <w:tcPr>
            <w:tcW w:w="432"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423" w:type="pct"/>
            <w:tcBorders>
              <w:tl2br w:val="nil"/>
              <w:tr2bl w:val="nil"/>
            </w:tcBorders>
            <w:vAlign w:val="center"/>
          </w:tcPr>
          <w:p>
            <w:pPr>
              <w:jc w:val="center"/>
              <w:rPr>
                <w:rFonts w:hint="eastAsia"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374" w:type="pct"/>
            <w:tcBorders>
              <w:tl2br w:val="nil"/>
              <w:tr2bl w:val="nil"/>
            </w:tcBorders>
            <w:vAlign w:val="center"/>
          </w:tcPr>
          <w:p>
            <w:pPr>
              <w:jc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sz w:val="21"/>
                <w:szCs w:val="21"/>
                <w:lang w:val="en-US" w:eastAsia="zh-CN"/>
              </w:rPr>
              <w:t>/</w:t>
            </w:r>
          </w:p>
        </w:tc>
        <w:tc>
          <w:tcPr>
            <w:tcW w:w="328" w:type="pct"/>
            <w:tcBorders>
              <w:tl2br w:val="nil"/>
              <w:tr2bl w:val="nil"/>
            </w:tcBorders>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少量</w:t>
            </w: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0"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非甲烷总烃</w:t>
            </w:r>
          </w:p>
        </w:tc>
        <w:tc>
          <w:tcPr>
            <w:tcW w:w="46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ascii="Times New Roman" w:hAnsi="Times New Roman" w:eastAsia="宋体" w:cs="宋体"/>
              </w:rPr>
            </w:pPr>
            <w:r>
              <w:rPr>
                <w:rFonts w:hint="eastAsia" w:cs="Times New Roman"/>
                <w:color w:val="auto"/>
                <w:kern w:val="2"/>
                <w:sz w:val="21"/>
                <w:szCs w:val="22"/>
                <w:lang w:val="en-US" w:eastAsia="zh-CN"/>
              </w:rPr>
              <w:t>拉丝、</w:t>
            </w:r>
            <w:r>
              <w:rPr>
                <w:rFonts w:hint="eastAsia" w:ascii="Times New Roman" w:hAnsi="Times New Roman" w:eastAsia="宋体" w:cs="Times New Roman"/>
                <w:color w:val="auto"/>
                <w:kern w:val="2"/>
                <w:sz w:val="21"/>
                <w:szCs w:val="22"/>
                <w:lang w:val="en-US" w:eastAsia="zh-CN"/>
              </w:rPr>
              <w:t>挤塑</w:t>
            </w:r>
            <w:r>
              <w:rPr>
                <w:rFonts w:hint="eastAsia" w:cs="Times New Roman"/>
                <w:color w:val="auto"/>
                <w:kern w:val="2"/>
                <w:sz w:val="21"/>
                <w:szCs w:val="22"/>
                <w:lang w:val="en-US" w:eastAsia="zh-CN"/>
              </w:rPr>
              <w:t>、紫外光交联</w:t>
            </w:r>
            <w:r>
              <w:rPr>
                <w:rFonts w:hint="eastAsia" w:ascii="Times New Roman" w:hAnsi="Times New Roman" w:eastAsia="宋体" w:cs="Times New Roman"/>
                <w:color w:val="auto"/>
                <w:kern w:val="2"/>
                <w:sz w:val="21"/>
                <w:szCs w:val="22"/>
                <w:lang w:val="en-US" w:eastAsia="zh-CN"/>
              </w:rPr>
              <w:t>、挤护外套、喷码</w:t>
            </w:r>
          </w:p>
        </w:tc>
        <w:tc>
          <w:tcPr>
            <w:tcW w:w="312"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无组织</w:t>
            </w:r>
          </w:p>
        </w:tc>
        <w:tc>
          <w:tcPr>
            <w:tcW w:w="39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389"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lang w:val="en-US" w:eastAsia="zh-CN"/>
              </w:rPr>
            </w:pPr>
            <w:r>
              <w:rPr>
                <w:rFonts w:hint="eastAsia" w:cs="Times New Roman"/>
                <w:i w:val="0"/>
                <w:iCs w:val="0"/>
                <w:color w:val="000000"/>
                <w:kern w:val="0"/>
                <w:sz w:val="21"/>
                <w:szCs w:val="21"/>
                <w:u w:val="none"/>
                <w:lang w:val="en-US" w:eastAsia="zh-CN" w:bidi="ar"/>
              </w:rPr>
              <w:t>0.3625</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eastAsia="zh-CN"/>
              </w:rPr>
            </w:pPr>
            <w:r>
              <w:rPr>
                <w:rFonts w:hint="eastAsia" w:cs="Times New Roman"/>
                <w:i w:val="0"/>
                <w:iCs w:val="0"/>
                <w:color w:val="000000"/>
                <w:kern w:val="0"/>
                <w:sz w:val="21"/>
                <w:szCs w:val="21"/>
                <w:u w:val="none"/>
                <w:lang w:val="en-US" w:eastAsia="zh-CN" w:bidi="ar"/>
              </w:rPr>
              <w:t>0.87</w:t>
            </w:r>
          </w:p>
        </w:tc>
        <w:tc>
          <w:tcPr>
            <w:tcW w:w="675"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加强封闭式作业</w:t>
            </w:r>
          </w:p>
        </w:tc>
        <w:tc>
          <w:tcPr>
            <w:tcW w:w="219" w:type="pct"/>
            <w:tcBorders>
              <w:tl2br w:val="nil"/>
              <w:tr2bl w:val="nil"/>
            </w:tcBorders>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32" w:type="pct"/>
            <w:vMerge w:val="restart"/>
            <w:tcBorders>
              <w:tl2br w:val="nil"/>
              <w:tr2bl w:val="nil"/>
            </w:tcBorders>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可行</w:t>
            </w:r>
          </w:p>
        </w:tc>
        <w:tc>
          <w:tcPr>
            <w:tcW w:w="423" w:type="pct"/>
            <w:tcBorders>
              <w:tl2br w:val="nil"/>
              <w:tr2bl w:val="nil"/>
            </w:tcBorders>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rPr>
            </w:pPr>
            <w:r>
              <w:rPr>
                <w:rFonts w:hint="eastAsia" w:cs="Times New Roman"/>
                <w:i w:val="0"/>
                <w:iCs w:val="0"/>
                <w:color w:val="000000"/>
                <w:kern w:val="0"/>
                <w:sz w:val="21"/>
                <w:szCs w:val="21"/>
                <w:u w:val="none"/>
                <w:lang w:val="en-US" w:eastAsia="zh-CN" w:bidi="ar"/>
              </w:rPr>
              <w:t>0.3625</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eastAsia="zh-CN"/>
              </w:rPr>
            </w:pPr>
            <w:r>
              <w:rPr>
                <w:rFonts w:hint="eastAsia" w:cs="Times New Roman"/>
                <w:i w:val="0"/>
                <w:iCs w:val="0"/>
                <w:color w:val="000000"/>
                <w:kern w:val="0"/>
                <w:sz w:val="21"/>
                <w:szCs w:val="21"/>
                <w:u w:val="none"/>
                <w:lang w:val="en-US" w:eastAsia="zh-CN" w:bidi="ar"/>
              </w:rPr>
              <w:t>0.87</w:t>
            </w: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290"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臭气浓度</w:t>
            </w:r>
          </w:p>
        </w:tc>
        <w:tc>
          <w:tcPr>
            <w:tcW w:w="4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2"/>
                <w:lang w:val="en-US" w:eastAsia="zh-CN"/>
              </w:rPr>
            </w:pPr>
          </w:p>
        </w:tc>
        <w:tc>
          <w:tcPr>
            <w:tcW w:w="312"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398" w:type="pct"/>
            <w:tcBorders>
              <w:tl2br w:val="nil"/>
              <w:tr2bl w:val="nil"/>
            </w:tcBorders>
            <w:vAlign w:val="center"/>
          </w:tcPr>
          <w:p>
            <w:pPr>
              <w:jc w:val="center"/>
              <w:rPr>
                <w:rFonts w:hint="eastAsia"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389" w:type="pct"/>
            <w:tcBorders>
              <w:tl2br w:val="nil"/>
              <w:tr2bl w:val="nil"/>
            </w:tcBorders>
            <w:vAlign w:val="center"/>
          </w:tcPr>
          <w:p>
            <w:pPr>
              <w:jc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sz w:val="21"/>
                <w:szCs w:val="21"/>
                <w:lang w:val="en-US" w:eastAsia="zh-CN"/>
              </w:rPr>
              <w:t>/</w:t>
            </w:r>
          </w:p>
        </w:tc>
        <w:tc>
          <w:tcPr>
            <w:tcW w:w="322" w:type="pct"/>
            <w:tcBorders>
              <w:tl2br w:val="nil"/>
              <w:tr2bl w:val="nil"/>
            </w:tcBorders>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少量</w:t>
            </w:r>
          </w:p>
        </w:tc>
        <w:tc>
          <w:tcPr>
            <w:tcW w:w="675"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219" w:type="pct"/>
            <w:tcBorders>
              <w:tl2br w:val="nil"/>
              <w:tr2bl w:val="nil"/>
            </w:tcBorders>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sz w:val="21"/>
                <w:lang w:val="en-US" w:eastAsia="zh-CN" w:bidi="ar-SA"/>
              </w:rPr>
              <w:t>/</w:t>
            </w:r>
          </w:p>
        </w:tc>
        <w:tc>
          <w:tcPr>
            <w:tcW w:w="432" w:type="pct"/>
            <w:vMerge w:val="continue"/>
            <w:tcBorders>
              <w:tl2br w:val="nil"/>
              <w:tr2bl w:val="nil"/>
            </w:tcBorders>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p>
        </w:tc>
        <w:tc>
          <w:tcPr>
            <w:tcW w:w="423" w:type="pct"/>
            <w:tcBorders>
              <w:tl2br w:val="nil"/>
              <w:tr2bl w:val="nil"/>
            </w:tcBorders>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z w:val="21"/>
                <w:szCs w:val="21"/>
                <w:lang w:val="en-US" w:eastAsia="zh-CN"/>
              </w:rPr>
              <w:t>/</w:t>
            </w:r>
          </w:p>
        </w:tc>
        <w:tc>
          <w:tcPr>
            <w:tcW w:w="374" w:type="pct"/>
            <w:tcBorders>
              <w:tl2br w:val="nil"/>
              <w:tr2bl w:val="nil"/>
            </w:tcBorders>
            <w:vAlign w:val="center"/>
          </w:tcPr>
          <w:p>
            <w:pPr>
              <w:jc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sz w:val="21"/>
                <w:szCs w:val="21"/>
                <w:lang w:val="en-US" w:eastAsia="zh-CN"/>
              </w:rPr>
              <w:t>/</w:t>
            </w:r>
          </w:p>
        </w:tc>
        <w:tc>
          <w:tcPr>
            <w:tcW w:w="328" w:type="pct"/>
            <w:tcBorders>
              <w:tl2br w:val="nil"/>
              <w:tr2bl w:val="nil"/>
            </w:tcBorders>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少量</w:t>
            </w: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290"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氯化氢</w:t>
            </w:r>
          </w:p>
        </w:tc>
        <w:tc>
          <w:tcPr>
            <w:tcW w:w="4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宋体"/>
                <w:lang w:val="en-US" w:eastAsia="zh-CN"/>
              </w:rPr>
            </w:pPr>
            <w:r>
              <w:rPr>
                <w:rFonts w:hint="eastAsia" w:ascii="Times New Roman" w:hAnsi="Times New Roman" w:eastAsia="宋体" w:cs="Times New Roman"/>
                <w:color w:val="auto"/>
                <w:kern w:val="2"/>
                <w:sz w:val="21"/>
                <w:szCs w:val="22"/>
                <w:lang w:val="en-US" w:eastAsia="zh-CN"/>
              </w:rPr>
              <w:t>挤塑、挤护外套</w:t>
            </w:r>
          </w:p>
        </w:tc>
        <w:tc>
          <w:tcPr>
            <w:tcW w:w="312"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39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389"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1.67×10</w:t>
            </w:r>
            <w:r>
              <w:rPr>
                <w:rFonts w:hint="eastAsia" w:cs="Times New Roman"/>
                <w:i w:val="0"/>
                <w:iCs w:val="0"/>
                <w:color w:val="000000"/>
                <w:kern w:val="0"/>
                <w:sz w:val="21"/>
                <w:szCs w:val="21"/>
                <w:u w:val="none"/>
                <w:vertAlign w:val="superscript"/>
                <w:lang w:val="en-US" w:eastAsia="zh-CN" w:bidi="ar"/>
              </w:rPr>
              <w:t>-6</w:t>
            </w:r>
          </w:p>
        </w:tc>
        <w:tc>
          <w:tcPr>
            <w:tcW w:w="322"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0.004</w:t>
            </w:r>
            <w:r>
              <w:rPr>
                <w:rFonts w:hint="eastAsia" w:cs="Times New Roman"/>
                <w:i w:val="0"/>
                <w:iCs w:val="0"/>
                <w:color w:val="000000"/>
                <w:kern w:val="0"/>
                <w:sz w:val="21"/>
                <w:szCs w:val="21"/>
                <w:u w:val="none"/>
                <w:lang w:val="en-US" w:eastAsia="zh-CN" w:bidi="ar"/>
              </w:rPr>
              <w:t>kg/a</w:t>
            </w:r>
          </w:p>
        </w:tc>
        <w:tc>
          <w:tcPr>
            <w:tcW w:w="675"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219" w:type="pct"/>
            <w:tcBorders>
              <w:tl2br w:val="nil"/>
              <w:tr2bl w:val="nil"/>
            </w:tcBorders>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32" w:type="pct"/>
            <w:vMerge w:val="continue"/>
            <w:tcBorders>
              <w:tl2br w:val="nil"/>
              <w:tr2bl w:val="nil"/>
            </w:tcBorders>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p>
        </w:tc>
        <w:tc>
          <w:tcPr>
            <w:tcW w:w="423" w:type="pct"/>
            <w:tcBorders>
              <w:tl2br w:val="nil"/>
              <w:tr2bl w:val="nil"/>
            </w:tcBorders>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7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1.67×10</w:t>
            </w:r>
            <w:r>
              <w:rPr>
                <w:rFonts w:hint="eastAsia" w:cs="Times New Roman"/>
                <w:i w:val="0"/>
                <w:iCs w:val="0"/>
                <w:color w:val="000000"/>
                <w:kern w:val="0"/>
                <w:sz w:val="21"/>
                <w:szCs w:val="21"/>
                <w:u w:val="none"/>
                <w:vertAlign w:val="superscript"/>
                <w:lang w:val="en-US" w:eastAsia="zh-CN" w:bidi="ar"/>
              </w:rPr>
              <w:t>-6</w:t>
            </w:r>
          </w:p>
        </w:tc>
        <w:tc>
          <w:tcPr>
            <w:tcW w:w="32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0.004</w:t>
            </w:r>
            <w:r>
              <w:rPr>
                <w:rFonts w:hint="eastAsia" w:cs="Times New Roman"/>
                <w:i w:val="0"/>
                <w:iCs w:val="0"/>
                <w:color w:val="000000"/>
                <w:kern w:val="0"/>
                <w:sz w:val="21"/>
                <w:szCs w:val="21"/>
                <w:u w:val="none"/>
                <w:lang w:val="en-US" w:eastAsia="zh-CN" w:bidi="ar"/>
              </w:rPr>
              <w:t>kg/a</w:t>
            </w: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290"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颗粒物</w:t>
            </w:r>
          </w:p>
        </w:tc>
        <w:tc>
          <w:tcPr>
            <w:tcW w:w="4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2"/>
                <w:lang w:val="en-US" w:eastAsia="zh-CN"/>
              </w:rPr>
            </w:pPr>
            <w:r>
              <w:rPr>
                <w:rFonts w:hint="eastAsia" w:cs="宋体"/>
                <w:color w:val="000000" w:themeColor="text1"/>
                <w:sz w:val="21"/>
                <w:szCs w:val="22"/>
                <w:lang w:val="en-US" w:eastAsia="zh-CN" w:bidi="ar-SA"/>
                <w14:textFill>
                  <w14:solidFill>
                    <w14:schemeClr w14:val="tx1"/>
                  </w14:solidFill>
                </w14:textFill>
              </w:rPr>
              <w:t>纵包焊接</w:t>
            </w:r>
          </w:p>
        </w:tc>
        <w:tc>
          <w:tcPr>
            <w:tcW w:w="312"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398" w:type="pct"/>
            <w:tcBorders>
              <w:tl2br w:val="nil"/>
              <w:tr2bl w:val="nil"/>
            </w:tcBorders>
            <w:vAlign w:val="center"/>
          </w:tcPr>
          <w:p>
            <w:pPr>
              <w:jc w:val="center"/>
              <w:rPr>
                <w:rFonts w:hint="default" w:cs="Times New Roman"/>
                <w:sz w:val="21"/>
                <w:szCs w:val="21"/>
                <w:lang w:val="en-US" w:eastAsia="zh-CN"/>
              </w:rPr>
            </w:pPr>
            <w:r>
              <w:rPr>
                <w:rFonts w:hint="eastAsia" w:cs="Times New Roman"/>
                <w:sz w:val="21"/>
                <w:szCs w:val="21"/>
                <w:lang w:val="en-US" w:eastAsia="zh-CN"/>
              </w:rPr>
              <w:t>/</w:t>
            </w:r>
          </w:p>
        </w:tc>
        <w:tc>
          <w:tcPr>
            <w:tcW w:w="389" w:type="pct"/>
            <w:tcBorders>
              <w:tl2br w:val="nil"/>
              <w:tr2bl w:val="nil"/>
            </w:tcBorders>
            <w:vAlign w:val="center"/>
          </w:tcPr>
          <w:p>
            <w:pPr>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0.0033</w:t>
            </w:r>
          </w:p>
        </w:tc>
        <w:tc>
          <w:tcPr>
            <w:tcW w:w="322"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0.008</w:t>
            </w:r>
          </w:p>
        </w:tc>
        <w:tc>
          <w:tcPr>
            <w:tcW w:w="675" w:type="pct"/>
            <w:tcBorders>
              <w:tl2br w:val="nil"/>
              <w:tr2bl w:val="nil"/>
            </w:tcBorders>
            <w:vAlign w:val="center"/>
          </w:tcPr>
          <w:p>
            <w:pPr>
              <w:jc w:val="center"/>
              <w:rPr>
                <w:rFonts w:hint="default" w:ascii="Times New Roman" w:hAnsi="Times New Roman" w:eastAsia="宋体" w:cs="Times New Roman"/>
                <w:sz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移动式焊烟净化器</w:t>
            </w:r>
          </w:p>
        </w:tc>
        <w:tc>
          <w:tcPr>
            <w:tcW w:w="219" w:type="pct"/>
            <w:tcBorders>
              <w:tl2br w:val="nil"/>
              <w:tr2bl w:val="nil"/>
            </w:tcBorders>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95%</w:t>
            </w:r>
          </w:p>
        </w:tc>
        <w:tc>
          <w:tcPr>
            <w:tcW w:w="432" w:type="pct"/>
            <w:tcBorders>
              <w:tl2br w:val="nil"/>
              <w:tr2bl w:val="nil"/>
            </w:tcBorders>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可行</w:t>
            </w:r>
          </w:p>
        </w:tc>
        <w:tc>
          <w:tcPr>
            <w:tcW w:w="423" w:type="pct"/>
            <w:tcBorders>
              <w:tl2br w:val="nil"/>
              <w:tr2bl w:val="nil"/>
            </w:tcBorders>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374" w:type="pct"/>
            <w:tcBorders>
              <w:tl2br w:val="nil"/>
              <w:tr2bl w:val="nil"/>
            </w:tcBorders>
            <w:vAlign w:val="center"/>
          </w:tcPr>
          <w:p>
            <w:pPr>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0.0002</w:t>
            </w:r>
          </w:p>
        </w:tc>
        <w:tc>
          <w:tcPr>
            <w:tcW w:w="328"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0.0004</w:t>
            </w: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r>
    </w:tbl>
    <w:p>
      <w:pPr>
        <w:widowControl w:val="0"/>
        <w:bidi w:val="0"/>
        <w:spacing w:line="400" w:lineRule="exact"/>
        <w:ind w:firstLine="0" w:firstLineChars="0"/>
        <w:jc w:val="center"/>
        <w:rPr>
          <w:rFonts w:ascii="Times New Roman" w:hAnsi="Times New Roman" w:eastAsia="宋体" w:cs="宋体"/>
          <w:b/>
          <w:color w:val="000000"/>
          <w:sz w:val="24"/>
          <w:szCs w:val="24"/>
          <w:lang w:val="en-US" w:eastAsia="zh-CN" w:bidi="ar-SA"/>
        </w:rPr>
      </w:pPr>
      <w:r>
        <w:rPr>
          <w:rFonts w:ascii="Times New Roman" w:hAnsi="Times New Roman" w:eastAsia="宋体" w:cs="宋体"/>
          <w:b/>
          <w:color w:val="000000"/>
          <w:sz w:val="24"/>
          <w:szCs w:val="24"/>
          <w:lang w:val="zh-CN" w:eastAsia="zh-CN" w:bidi="ar-SA"/>
        </w:rPr>
        <w:t>表</w:t>
      </w:r>
      <w:r>
        <w:rPr>
          <w:rFonts w:hint="eastAsia" w:ascii="Times New Roman" w:hAnsi="Times New Roman" w:eastAsia="宋体" w:cs="宋体"/>
          <w:b/>
          <w:color w:val="000000"/>
          <w:sz w:val="24"/>
          <w:szCs w:val="24"/>
          <w:lang w:val="en-US" w:eastAsia="zh-CN" w:bidi="ar-SA"/>
        </w:rPr>
        <w:t>4.5-</w:t>
      </w:r>
      <w:r>
        <w:rPr>
          <w:rFonts w:hint="eastAsia" w:cs="宋体"/>
          <w:b/>
          <w:color w:val="000000"/>
          <w:sz w:val="24"/>
          <w:szCs w:val="24"/>
          <w:lang w:val="en-US" w:eastAsia="zh-CN" w:bidi="ar-SA"/>
        </w:rPr>
        <w:t>3</w:t>
      </w:r>
      <w:r>
        <w:rPr>
          <w:rFonts w:hint="eastAsia" w:ascii="Times New Roman" w:hAnsi="Times New Roman" w:eastAsia="宋体" w:cs="宋体"/>
          <w:b/>
          <w:color w:val="000000" w:themeColor="text1"/>
          <w:sz w:val="24"/>
          <w:szCs w:val="24"/>
          <w:lang w:val="en-US" w:eastAsia="zh-CN" w:bidi="ar-SA"/>
          <w14:textFill>
            <w14:solidFill>
              <w14:schemeClr w14:val="tx1"/>
            </w14:solidFill>
          </w14:textFill>
        </w:rPr>
        <w:t>点源大气排放口基本情况表</w:t>
      </w:r>
    </w:p>
    <w:tbl>
      <w:tblPr>
        <w:tblStyle w:val="13"/>
        <w:tblW w:w="1417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79"/>
        <w:gridCol w:w="942"/>
        <w:gridCol w:w="758"/>
        <w:gridCol w:w="1130"/>
        <w:gridCol w:w="650"/>
        <w:gridCol w:w="772"/>
        <w:gridCol w:w="891"/>
        <w:gridCol w:w="891"/>
        <w:gridCol w:w="815"/>
        <w:gridCol w:w="815"/>
        <w:gridCol w:w="815"/>
        <w:gridCol w:w="701"/>
        <w:gridCol w:w="769"/>
        <w:gridCol w:w="1255"/>
        <w:gridCol w:w="1391"/>
        <w:gridCol w:w="10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8" w:type="pct"/>
            <w:vMerge w:val="restart"/>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编号</w:t>
            </w:r>
          </w:p>
        </w:tc>
        <w:tc>
          <w:tcPr>
            <w:tcW w:w="332" w:type="pct"/>
            <w:vMerge w:val="restart"/>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污染源</w:t>
            </w:r>
          </w:p>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名称</w:t>
            </w:r>
          </w:p>
        </w:tc>
        <w:tc>
          <w:tcPr>
            <w:tcW w:w="666" w:type="pct"/>
            <w:gridSpan w:val="2"/>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排气筒底部中心坐标</w:t>
            </w:r>
          </w:p>
        </w:tc>
        <w:tc>
          <w:tcPr>
            <w:tcW w:w="229" w:type="pct"/>
            <w:vMerge w:val="restart"/>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排气筒高度/m</w:t>
            </w:r>
          </w:p>
        </w:tc>
        <w:tc>
          <w:tcPr>
            <w:tcW w:w="272" w:type="pct"/>
            <w:vMerge w:val="restart"/>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排气筒出口内径/m</w:t>
            </w:r>
          </w:p>
        </w:tc>
        <w:tc>
          <w:tcPr>
            <w:tcW w:w="314" w:type="pct"/>
            <w:vMerge w:val="restart"/>
            <w:tcBorders>
              <w:tl2br w:val="nil"/>
              <w:tr2bl w:val="nil"/>
            </w:tcBorders>
            <w:vAlign w:val="center"/>
          </w:tcPr>
          <w:p>
            <w:pPr>
              <w:widowControl w:val="0"/>
              <w:bidi w:val="0"/>
              <w:spacing w:line="360" w:lineRule="exact"/>
              <w:ind w:firstLine="0" w:firstLineChars="0"/>
              <w:jc w:val="center"/>
              <w:rPr>
                <w:rFonts w:hint="default" w:ascii="Times New Roman" w:hAnsi="Times New Roman" w:eastAsia="宋体" w:cs="Times New Roman"/>
                <w:color w:val="auto"/>
                <w:sz w:val="21"/>
                <w:szCs w:val="22"/>
                <w:lang w:val="en-US" w:eastAsia="zh-CN" w:bidi="ar-SA"/>
              </w:rPr>
            </w:pPr>
            <w:r>
              <w:rPr>
                <w:rFonts w:hint="eastAsia" w:ascii="Times New Roman" w:hAnsi="Times New Roman" w:eastAsia="宋体" w:cs="Times New Roman"/>
                <w:bCs w:val="0"/>
                <w:color w:val="000000"/>
                <w:spacing w:val="0"/>
                <w:kern w:val="2"/>
                <w:sz w:val="21"/>
                <w:szCs w:val="21"/>
                <w:lang w:val="en-US" w:eastAsia="zh-CN" w:bidi="ar-SA"/>
              </w:rPr>
              <w:t>排气筒底部海拔m</w:t>
            </w:r>
          </w:p>
        </w:tc>
        <w:tc>
          <w:tcPr>
            <w:tcW w:w="314" w:type="pct"/>
            <w:vMerge w:val="restart"/>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hint="default" w:ascii="Times New Roman" w:hAnsi="Times New Roman" w:eastAsia="宋体" w:cs="Times New Roman"/>
                <w:color w:val="auto"/>
                <w:sz w:val="21"/>
                <w:szCs w:val="22"/>
                <w:lang w:val="en-US" w:eastAsia="zh-CN" w:bidi="ar-SA"/>
              </w:rPr>
              <w:t>废气出口温度/℃</w:t>
            </w:r>
          </w:p>
        </w:tc>
        <w:tc>
          <w:tcPr>
            <w:tcW w:w="287" w:type="pct"/>
            <w:vMerge w:val="restart"/>
            <w:tcBorders>
              <w:tl2br w:val="nil"/>
              <w:tr2bl w:val="nil"/>
            </w:tcBorders>
            <w:vAlign w:val="center"/>
          </w:tcPr>
          <w:p>
            <w:pPr>
              <w:widowControl w:val="0"/>
              <w:bidi w:val="0"/>
              <w:spacing w:line="360" w:lineRule="exact"/>
              <w:ind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烟气流速m/s</w:t>
            </w:r>
          </w:p>
        </w:tc>
        <w:tc>
          <w:tcPr>
            <w:tcW w:w="287" w:type="pct"/>
            <w:vMerge w:val="restart"/>
            <w:tcBorders>
              <w:tl2br w:val="nil"/>
              <w:tr2bl w:val="nil"/>
            </w:tcBorders>
            <w:vAlign w:val="center"/>
          </w:tcPr>
          <w:p>
            <w:pPr>
              <w:widowControl w:val="0"/>
              <w:bidi w:val="0"/>
              <w:spacing w:line="360" w:lineRule="exact"/>
              <w:ind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风机风量</w:t>
            </w:r>
          </w:p>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m</w:t>
            </w:r>
            <w:r>
              <w:rPr>
                <w:rFonts w:hint="default" w:ascii="Times New Roman" w:hAnsi="Times New Roman" w:eastAsia="宋体" w:cs="宋体"/>
                <w:color w:val="auto"/>
                <w:sz w:val="21"/>
                <w:szCs w:val="22"/>
                <w:vertAlign w:val="superscript"/>
                <w:lang w:val="en-US" w:eastAsia="zh-CN" w:bidi="ar-SA"/>
              </w:rPr>
              <w:t>3</w:t>
            </w:r>
            <w:r>
              <w:rPr>
                <w:rFonts w:hint="default" w:ascii="Times New Roman" w:hAnsi="Times New Roman" w:eastAsia="宋体" w:cs="宋体"/>
                <w:color w:val="auto"/>
                <w:sz w:val="21"/>
                <w:szCs w:val="22"/>
                <w:lang w:val="en-US" w:eastAsia="zh-CN" w:bidi="ar-SA"/>
              </w:rPr>
              <w:t>/h</w:t>
            </w:r>
          </w:p>
        </w:tc>
        <w:tc>
          <w:tcPr>
            <w:tcW w:w="287" w:type="pct"/>
            <w:vMerge w:val="restart"/>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排放口</w:t>
            </w:r>
          </w:p>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类型</w:t>
            </w:r>
          </w:p>
        </w:tc>
        <w:tc>
          <w:tcPr>
            <w:tcW w:w="247" w:type="pct"/>
            <w:vMerge w:val="restart"/>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排放</w:t>
            </w:r>
          </w:p>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工况</w:t>
            </w:r>
          </w:p>
        </w:tc>
        <w:tc>
          <w:tcPr>
            <w:tcW w:w="1592" w:type="pct"/>
            <w:gridSpan w:val="4"/>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污染物排放情况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8" w:type="pct"/>
            <w:vMerge w:val="continue"/>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p>
        </w:tc>
        <w:tc>
          <w:tcPr>
            <w:tcW w:w="332" w:type="pct"/>
            <w:vMerge w:val="continue"/>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p>
        </w:tc>
        <w:tc>
          <w:tcPr>
            <w:tcW w:w="267" w:type="pct"/>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经度</w:t>
            </w:r>
          </w:p>
        </w:tc>
        <w:tc>
          <w:tcPr>
            <w:tcW w:w="398" w:type="pct"/>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纬度</w:t>
            </w:r>
          </w:p>
        </w:tc>
        <w:tc>
          <w:tcPr>
            <w:tcW w:w="229" w:type="pct"/>
            <w:vMerge w:val="continue"/>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p>
        </w:tc>
        <w:tc>
          <w:tcPr>
            <w:tcW w:w="272" w:type="pct"/>
            <w:vMerge w:val="continue"/>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p>
        </w:tc>
        <w:tc>
          <w:tcPr>
            <w:tcW w:w="314" w:type="pct"/>
            <w:vMerge w:val="continue"/>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p>
        </w:tc>
        <w:tc>
          <w:tcPr>
            <w:tcW w:w="314" w:type="pct"/>
            <w:vMerge w:val="continue"/>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p>
        </w:tc>
        <w:tc>
          <w:tcPr>
            <w:tcW w:w="287" w:type="pct"/>
            <w:vMerge w:val="continue"/>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p>
        </w:tc>
        <w:tc>
          <w:tcPr>
            <w:tcW w:w="287" w:type="pct"/>
            <w:vMerge w:val="continue"/>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p>
        </w:tc>
        <w:tc>
          <w:tcPr>
            <w:tcW w:w="287" w:type="pct"/>
            <w:vMerge w:val="continue"/>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p>
        </w:tc>
        <w:tc>
          <w:tcPr>
            <w:tcW w:w="247" w:type="pct"/>
            <w:vMerge w:val="continue"/>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p>
        </w:tc>
        <w:tc>
          <w:tcPr>
            <w:tcW w:w="271" w:type="pct"/>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名称</w:t>
            </w:r>
          </w:p>
        </w:tc>
        <w:tc>
          <w:tcPr>
            <w:tcW w:w="442" w:type="pct"/>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排放浓度（mg/m</w:t>
            </w:r>
            <w:r>
              <w:rPr>
                <w:rFonts w:hint="eastAsia" w:ascii="Times New Roman" w:hAnsi="Times New Roman" w:eastAsia="宋体" w:cs="宋体"/>
                <w:color w:val="auto"/>
                <w:sz w:val="21"/>
                <w:szCs w:val="22"/>
                <w:vertAlign w:val="superscript"/>
                <w:lang w:val="en-US" w:eastAsia="zh-CN" w:bidi="ar-SA"/>
              </w:rPr>
              <w:t>3</w:t>
            </w:r>
            <w:r>
              <w:rPr>
                <w:rFonts w:hint="eastAsia" w:ascii="Times New Roman" w:hAnsi="Times New Roman" w:eastAsia="宋体" w:cs="宋体"/>
                <w:color w:val="auto"/>
                <w:sz w:val="21"/>
                <w:szCs w:val="22"/>
                <w:lang w:val="en-US" w:eastAsia="zh-CN" w:bidi="ar-SA"/>
              </w:rPr>
              <w:t>）</w:t>
            </w:r>
          </w:p>
        </w:tc>
        <w:tc>
          <w:tcPr>
            <w:tcW w:w="490" w:type="pct"/>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排放速率（kg/h）</w:t>
            </w:r>
          </w:p>
        </w:tc>
        <w:tc>
          <w:tcPr>
            <w:tcW w:w="387" w:type="pct"/>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1" w:hRule="atLeast"/>
          <w:jc w:val="center"/>
        </w:trPr>
        <w:tc>
          <w:tcPr>
            <w:tcW w:w="168" w:type="pct"/>
            <w:vMerge w:val="restart"/>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D</w:t>
            </w:r>
            <w:r>
              <w:rPr>
                <w:rFonts w:ascii="Times New Roman" w:hAnsi="Times New Roman" w:eastAsia="宋体" w:cs="宋体"/>
                <w:color w:val="auto"/>
                <w:sz w:val="21"/>
                <w:szCs w:val="22"/>
                <w:lang w:val="en-US" w:eastAsia="zh-CN" w:bidi="ar-SA"/>
              </w:rPr>
              <w:t>A</w:t>
            </w:r>
          </w:p>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00</w:t>
            </w:r>
            <w:r>
              <w:rPr>
                <w:rFonts w:hint="eastAsia" w:cs="宋体"/>
                <w:color w:val="auto"/>
                <w:sz w:val="21"/>
                <w:szCs w:val="22"/>
                <w:lang w:val="en-US" w:eastAsia="zh-CN" w:bidi="ar-SA"/>
              </w:rPr>
              <w:t>1</w:t>
            </w:r>
          </w:p>
        </w:tc>
        <w:tc>
          <w:tcPr>
            <w:tcW w:w="332" w:type="pct"/>
            <w:vMerge w:val="restart"/>
            <w:tcBorders>
              <w:tl2br w:val="nil"/>
              <w:tr2bl w:val="nil"/>
            </w:tcBorders>
            <w:vAlign w:val="center"/>
          </w:tcPr>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生产车间排放口</w:t>
            </w:r>
          </w:p>
        </w:tc>
        <w:tc>
          <w:tcPr>
            <w:tcW w:w="267" w:type="pct"/>
            <w:vMerge w:val="restart"/>
            <w:tcBorders>
              <w:tl2br w:val="nil"/>
              <w:tr2bl w:val="nil"/>
            </w:tcBorders>
            <w:vAlign w:val="center"/>
          </w:tcPr>
          <w:p>
            <w:pPr>
              <w:widowControl w:val="0"/>
              <w:bidi w:val="0"/>
              <w:spacing w:line="360" w:lineRule="exact"/>
              <w:ind w:firstLine="0" w:firstLineChars="0"/>
              <w:jc w:val="center"/>
              <w:rPr>
                <w:rFonts w:hint="default" w:ascii="Times New Roman" w:hAnsi="Times New Roman" w:eastAsia="宋体" w:cs="Times New Roman"/>
                <w:color w:val="auto"/>
                <w:sz w:val="21"/>
                <w:szCs w:val="22"/>
                <w:highlight w:val="none"/>
                <w:lang w:val="en-US" w:eastAsia="zh-CN" w:bidi="ar-SA"/>
              </w:rPr>
            </w:pPr>
            <w:r>
              <w:rPr>
                <w:rFonts w:hint="default" w:ascii="Times New Roman" w:hAnsi="Times New Roman" w:eastAsia="宋体" w:cs="Times New Roman"/>
                <w:color w:val="auto"/>
                <w:sz w:val="21"/>
                <w:szCs w:val="22"/>
                <w:highlight w:val="none"/>
                <w:lang w:val="en-US" w:eastAsia="zh-CN" w:bidi="ar-SA"/>
              </w:rPr>
              <w:t>87°50′26.76</w:t>
            </w:r>
            <w:r>
              <w:rPr>
                <w:rFonts w:hint="eastAsia" w:cs="Times New Roman"/>
                <w:color w:val="auto"/>
                <w:sz w:val="21"/>
                <w:szCs w:val="22"/>
                <w:highlight w:val="none"/>
                <w:lang w:val="en-US" w:eastAsia="zh-CN" w:bidi="ar-SA"/>
              </w:rPr>
              <w:t>0</w:t>
            </w:r>
            <w:r>
              <w:rPr>
                <w:rFonts w:hint="default" w:ascii="Times New Roman" w:hAnsi="Times New Roman" w:eastAsia="宋体" w:cs="Times New Roman"/>
                <w:color w:val="auto"/>
                <w:sz w:val="21"/>
                <w:szCs w:val="22"/>
                <w:highlight w:val="none"/>
                <w:lang w:val="en-US" w:eastAsia="zh-CN" w:bidi="ar-SA"/>
              </w:rPr>
              <w:t>″</w:t>
            </w:r>
          </w:p>
        </w:tc>
        <w:tc>
          <w:tcPr>
            <w:tcW w:w="398" w:type="pct"/>
            <w:vMerge w:val="restart"/>
            <w:tcBorders>
              <w:tl2br w:val="nil"/>
              <w:tr2bl w:val="nil"/>
            </w:tcBorders>
            <w:vAlign w:val="center"/>
          </w:tcPr>
          <w:p>
            <w:pPr>
              <w:widowControl w:val="0"/>
              <w:bidi w:val="0"/>
              <w:spacing w:line="360" w:lineRule="exact"/>
              <w:ind w:firstLine="0" w:firstLineChars="0"/>
              <w:jc w:val="center"/>
              <w:rPr>
                <w:rFonts w:hint="default" w:ascii="Times New Roman" w:hAnsi="Times New Roman" w:eastAsia="宋体" w:cs="Times New Roman"/>
                <w:color w:val="auto"/>
                <w:sz w:val="21"/>
                <w:szCs w:val="22"/>
                <w:highlight w:val="none"/>
                <w:lang w:val="en-US" w:eastAsia="zh-CN" w:bidi="ar-SA"/>
              </w:rPr>
            </w:pPr>
            <w:r>
              <w:rPr>
                <w:rFonts w:hint="default" w:ascii="Times New Roman" w:hAnsi="Times New Roman" w:eastAsia="宋体" w:cs="Times New Roman"/>
                <w:color w:val="auto"/>
                <w:sz w:val="21"/>
                <w:szCs w:val="22"/>
                <w:highlight w:val="none"/>
                <w:lang w:val="en-US" w:eastAsia="zh-CN" w:bidi="ar-SA"/>
              </w:rPr>
              <w:t>44°9′36.91</w:t>
            </w:r>
            <w:r>
              <w:rPr>
                <w:rFonts w:hint="eastAsia" w:ascii="Times New Roman" w:hAnsi="Times New Roman" w:eastAsia="宋体" w:cs="Times New Roman"/>
                <w:color w:val="auto"/>
                <w:sz w:val="21"/>
                <w:szCs w:val="22"/>
                <w:highlight w:val="none"/>
                <w:lang w:val="en-US" w:eastAsia="zh-CN" w:bidi="ar-SA"/>
              </w:rPr>
              <w:t>6</w:t>
            </w:r>
            <w:r>
              <w:rPr>
                <w:rFonts w:hint="default" w:ascii="Times New Roman" w:hAnsi="Times New Roman" w:eastAsia="宋体" w:cs="Times New Roman"/>
                <w:color w:val="auto"/>
                <w:sz w:val="21"/>
                <w:szCs w:val="22"/>
                <w:highlight w:val="none"/>
                <w:lang w:val="en-US" w:eastAsia="zh-CN" w:bidi="ar-SA"/>
              </w:rPr>
              <w:t>″</w:t>
            </w:r>
          </w:p>
        </w:tc>
        <w:tc>
          <w:tcPr>
            <w:tcW w:w="229" w:type="pct"/>
            <w:vMerge w:val="restart"/>
            <w:tcBorders>
              <w:tl2br w:val="nil"/>
              <w:tr2bl w:val="nil"/>
            </w:tcBorders>
            <w:vAlign w:val="center"/>
          </w:tcPr>
          <w:p>
            <w:pPr>
              <w:widowControl w:val="0"/>
              <w:bidi w:val="0"/>
              <w:spacing w:line="360" w:lineRule="exact"/>
              <w:ind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20</w:t>
            </w:r>
          </w:p>
        </w:tc>
        <w:tc>
          <w:tcPr>
            <w:tcW w:w="272" w:type="pct"/>
            <w:vMerge w:val="restart"/>
            <w:tcBorders>
              <w:tl2br w:val="nil"/>
              <w:tr2bl w:val="nil"/>
            </w:tcBorders>
            <w:vAlign w:val="center"/>
          </w:tcPr>
          <w:p>
            <w:pPr>
              <w:widowControl w:val="0"/>
              <w:bidi w:val="0"/>
              <w:spacing w:line="360" w:lineRule="exact"/>
              <w:ind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0.7</w:t>
            </w:r>
          </w:p>
        </w:tc>
        <w:tc>
          <w:tcPr>
            <w:tcW w:w="314" w:type="pct"/>
            <w:vMerge w:val="restart"/>
            <w:tcBorders>
              <w:tl2br w:val="nil"/>
              <w:tr2bl w:val="nil"/>
            </w:tcBorders>
            <w:vAlign w:val="center"/>
          </w:tcPr>
          <w:p>
            <w:pPr>
              <w:widowControl w:val="0"/>
              <w:bidi w:val="0"/>
              <w:spacing w:line="360" w:lineRule="exact"/>
              <w:ind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512</w:t>
            </w:r>
          </w:p>
        </w:tc>
        <w:tc>
          <w:tcPr>
            <w:tcW w:w="314" w:type="pct"/>
            <w:vMerge w:val="restart"/>
            <w:tcBorders>
              <w:tl2br w:val="nil"/>
              <w:tr2bl w:val="nil"/>
            </w:tcBorders>
            <w:vAlign w:val="center"/>
          </w:tcPr>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20</w:t>
            </w:r>
          </w:p>
        </w:tc>
        <w:tc>
          <w:tcPr>
            <w:tcW w:w="287" w:type="pct"/>
            <w:vMerge w:val="restart"/>
            <w:tcBorders>
              <w:tl2br w:val="nil"/>
              <w:tr2bl w:val="nil"/>
            </w:tcBorders>
            <w:vAlign w:val="center"/>
          </w:tcPr>
          <w:p>
            <w:pPr>
              <w:widowControl w:val="0"/>
              <w:bidi w:val="0"/>
              <w:spacing w:line="360" w:lineRule="exact"/>
              <w:ind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14</w:t>
            </w:r>
          </w:p>
        </w:tc>
        <w:tc>
          <w:tcPr>
            <w:tcW w:w="287" w:type="pct"/>
            <w:vMerge w:val="restart"/>
            <w:tcBorders>
              <w:tl2br w:val="nil"/>
              <w:tr2bl w:val="nil"/>
            </w:tcBorders>
            <w:vAlign w:val="center"/>
          </w:tcPr>
          <w:p>
            <w:pPr>
              <w:widowControl w:val="0"/>
              <w:bidi w:val="0"/>
              <w:spacing w:line="360" w:lineRule="exact"/>
              <w:ind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20000</w:t>
            </w:r>
          </w:p>
        </w:tc>
        <w:tc>
          <w:tcPr>
            <w:tcW w:w="287" w:type="pct"/>
            <w:vMerge w:val="restart"/>
            <w:tcBorders>
              <w:tl2br w:val="nil"/>
              <w:tr2bl w:val="nil"/>
            </w:tcBorders>
            <w:vAlign w:val="center"/>
          </w:tcPr>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一般排放口</w:t>
            </w:r>
          </w:p>
        </w:tc>
        <w:tc>
          <w:tcPr>
            <w:tcW w:w="247" w:type="pct"/>
            <w:vMerge w:val="restart"/>
            <w:tcBorders>
              <w:tl2br w:val="nil"/>
              <w:tr2bl w:val="nil"/>
            </w:tcBorders>
            <w:vAlign w:val="center"/>
          </w:tcPr>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正常工况</w:t>
            </w:r>
          </w:p>
        </w:tc>
        <w:tc>
          <w:tcPr>
            <w:tcW w:w="271"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非甲烷总烃</w:t>
            </w:r>
          </w:p>
        </w:tc>
        <w:tc>
          <w:tcPr>
            <w:tcW w:w="12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29.17</w:t>
            </w:r>
          </w:p>
        </w:tc>
        <w:tc>
          <w:tcPr>
            <w:tcW w:w="139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5833</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09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1" w:hRule="atLeast"/>
          <w:jc w:val="center"/>
        </w:trPr>
        <w:tc>
          <w:tcPr>
            <w:tcW w:w="168" w:type="pct"/>
            <w:vMerge w:val="continue"/>
            <w:tcBorders>
              <w:tl2br w:val="nil"/>
              <w:tr2bl w:val="nil"/>
            </w:tcBorders>
            <w:vAlign w:val="center"/>
          </w:tcPr>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p>
        </w:tc>
        <w:tc>
          <w:tcPr>
            <w:tcW w:w="332" w:type="pct"/>
            <w:vMerge w:val="continue"/>
            <w:tcBorders>
              <w:tl2br w:val="nil"/>
              <w:tr2bl w:val="nil"/>
            </w:tcBorders>
            <w:vAlign w:val="center"/>
          </w:tcPr>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p>
        </w:tc>
        <w:tc>
          <w:tcPr>
            <w:tcW w:w="267" w:type="pct"/>
            <w:vMerge w:val="continue"/>
            <w:tcBorders>
              <w:tl2br w:val="nil"/>
              <w:tr2bl w:val="nil"/>
            </w:tcBorders>
            <w:vAlign w:val="center"/>
          </w:tcPr>
          <w:p>
            <w:pPr>
              <w:widowControl w:val="0"/>
              <w:bidi w:val="0"/>
              <w:spacing w:line="360" w:lineRule="exact"/>
              <w:ind w:firstLine="0" w:firstLineChars="0"/>
              <w:jc w:val="center"/>
              <w:rPr>
                <w:rFonts w:hint="default" w:ascii="Times New Roman" w:hAnsi="Times New Roman" w:eastAsia="宋体" w:cs="Times New Roman"/>
                <w:color w:val="auto"/>
                <w:sz w:val="21"/>
                <w:szCs w:val="22"/>
                <w:highlight w:val="none"/>
                <w:lang w:val="en-US" w:eastAsia="zh-CN" w:bidi="ar-SA"/>
              </w:rPr>
            </w:pPr>
          </w:p>
        </w:tc>
        <w:tc>
          <w:tcPr>
            <w:tcW w:w="398" w:type="pct"/>
            <w:vMerge w:val="continue"/>
            <w:tcBorders>
              <w:tl2br w:val="nil"/>
              <w:tr2bl w:val="nil"/>
            </w:tcBorders>
            <w:vAlign w:val="center"/>
          </w:tcPr>
          <w:p>
            <w:pPr>
              <w:widowControl w:val="0"/>
              <w:bidi w:val="0"/>
              <w:spacing w:line="360" w:lineRule="exact"/>
              <w:ind w:firstLine="0" w:firstLineChars="0"/>
              <w:jc w:val="center"/>
              <w:rPr>
                <w:rFonts w:hint="default" w:ascii="Times New Roman" w:hAnsi="Times New Roman" w:eastAsia="宋体" w:cs="Times New Roman"/>
                <w:color w:val="auto"/>
                <w:sz w:val="21"/>
                <w:szCs w:val="22"/>
                <w:highlight w:val="none"/>
                <w:lang w:val="en-US" w:eastAsia="zh-CN" w:bidi="ar-SA"/>
              </w:rPr>
            </w:pPr>
          </w:p>
        </w:tc>
        <w:tc>
          <w:tcPr>
            <w:tcW w:w="229" w:type="pct"/>
            <w:vMerge w:val="continue"/>
            <w:tcBorders>
              <w:tl2br w:val="nil"/>
              <w:tr2bl w:val="nil"/>
            </w:tcBorders>
            <w:vAlign w:val="center"/>
          </w:tcPr>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p>
        </w:tc>
        <w:tc>
          <w:tcPr>
            <w:tcW w:w="272" w:type="pct"/>
            <w:vMerge w:val="continue"/>
            <w:tcBorders>
              <w:tl2br w:val="nil"/>
              <w:tr2bl w:val="nil"/>
            </w:tcBorders>
            <w:vAlign w:val="center"/>
          </w:tcPr>
          <w:p>
            <w:pPr>
              <w:widowControl w:val="0"/>
              <w:bidi w:val="0"/>
              <w:spacing w:line="360" w:lineRule="exact"/>
              <w:ind w:firstLine="0" w:firstLineChars="0"/>
              <w:jc w:val="center"/>
              <w:rPr>
                <w:rFonts w:ascii="Times New Roman" w:hAnsi="Times New Roman" w:eastAsia="宋体" w:cs="宋体"/>
                <w:color w:val="auto"/>
                <w:sz w:val="21"/>
                <w:szCs w:val="22"/>
                <w:lang w:val="en-US" w:eastAsia="zh-CN" w:bidi="ar-SA"/>
              </w:rPr>
            </w:pPr>
          </w:p>
        </w:tc>
        <w:tc>
          <w:tcPr>
            <w:tcW w:w="314" w:type="pct"/>
            <w:vMerge w:val="continue"/>
            <w:tcBorders>
              <w:tl2br w:val="nil"/>
              <w:tr2bl w:val="nil"/>
            </w:tcBorders>
            <w:vAlign w:val="center"/>
          </w:tcPr>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p>
        </w:tc>
        <w:tc>
          <w:tcPr>
            <w:tcW w:w="314" w:type="pct"/>
            <w:vMerge w:val="continue"/>
            <w:tcBorders>
              <w:tl2br w:val="nil"/>
              <w:tr2bl w:val="nil"/>
            </w:tcBorders>
            <w:vAlign w:val="center"/>
          </w:tcPr>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p>
        </w:tc>
        <w:tc>
          <w:tcPr>
            <w:tcW w:w="287" w:type="pct"/>
            <w:vMerge w:val="continue"/>
            <w:tcBorders>
              <w:tl2br w:val="nil"/>
              <w:tr2bl w:val="nil"/>
            </w:tcBorders>
            <w:vAlign w:val="center"/>
          </w:tcPr>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p>
        </w:tc>
        <w:tc>
          <w:tcPr>
            <w:tcW w:w="287" w:type="pct"/>
            <w:vMerge w:val="continue"/>
            <w:tcBorders>
              <w:tl2br w:val="nil"/>
              <w:tr2bl w:val="nil"/>
            </w:tcBorders>
            <w:vAlign w:val="center"/>
          </w:tcPr>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p>
        </w:tc>
        <w:tc>
          <w:tcPr>
            <w:tcW w:w="287" w:type="pct"/>
            <w:vMerge w:val="continue"/>
            <w:tcBorders>
              <w:tl2br w:val="nil"/>
              <w:tr2bl w:val="nil"/>
            </w:tcBorders>
            <w:vAlign w:val="center"/>
          </w:tcPr>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p>
        </w:tc>
        <w:tc>
          <w:tcPr>
            <w:tcW w:w="247" w:type="pct"/>
            <w:vMerge w:val="continue"/>
            <w:tcBorders>
              <w:tl2br w:val="nil"/>
              <w:tr2bl w:val="nil"/>
            </w:tcBorders>
            <w:vAlign w:val="center"/>
          </w:tcPr>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p>
        </w:tc>
        <w:tc>
          <w:tcPr>
            <w:tcW w:w="271"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氯化氢</w:t>
            </w:r>
          </w:p>
        </w:tc>
        <w:tc>
          <w:tcPr>
            <w:tcW w:w="1255" w:type="dxa"/>
            <w:tcBorders>
              <w:tl2br w:val="nil"/>
              <w:tr2bl w:val="nil"/>
            </w:tcBorders>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w:t>
            </w:r>
            <w:r>
              <w:rPr>
                <w:rFonts w:hint="default" w:ascii="Times New Roman" w:hAnsi="Times New Roman" w:cs="Times New Roman"/>
                <w:i w:val="0"/>
                <w:iCs w:val="0"/>
                <w:color w:val="000000"/>
                <w:kern w:val="0"/>
                <w:sz w:val="21"/>
                <w:szCs w:val="21"/>
                <w:u w:val="none"/>
                <w:lang w:val="en-US" w:eastAsia="zh-CN" w:bidi="ar"/>
              </w:rPr>
              <w:t>μg</w:t>
            </w:r>
            <w:r>
              <w:rPr>
                <w:rFonts w:hint="default" w:ascii="Times New Roman" w:hAnsi="Times New Roman" w:eastAsia="宋体" w:cs="Times New Roman"/>
                <w:b w:val="0"/>
                <w:bCs w:val="0"/>
                <w:color w:val="auto"/>
                <w:kern w:val="2"/>
                <w:sz w:val="21"/>
                <w:szCs w:val="22"/>
              </w:rPr>
              <w:t>/m</w:t>
            </w:r>
            <w:r>
              <w:rPr>
                <w:rFonts w:hint="default" w:ascii="Times New Roman" w:hAnsi="Times New Roman" w:eastAsia="宋体" w:cs="Times New Roman"/>
                <w:b w:val="0"/>
                <w:bCs w:val="0"/>
                <w:color w:val="auto"/>
                <w:kern w:val="2"/>
                <w:sz w:val="21"/>
                <w:szCs w:val="22"/>
                <w:vertAlign w:val="superscript"/>
                <w:lang w:val="en-US" w:eastAsia="zh-CN"/>
              </w:rPr>
              <w:t>3</w:t>
            </w:r>
          </w:p>
        </w:tc>
        <w:tc>
          <w:tcPr>
            <w:tcW w:w="139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4.17×10</w:t>
            </w:r>
            <w:r>
              <w:rPr>
                <w:rFonts w:hint="eastAsia" w:cs="Times New Roman"/>
                <w:i w:val="0"/>
                <w:iCs w:val="0"/>
                <w:color w:val="000000"/>
                <w:kern w:val="0"/>
                <w:sz w:val="21"/>
                <w:szCs w:val="21"/>
                <w:u w:val="none"/>
                <w:vertAlign w:val="superscript"/>
                <w:lang w:val="en-US" w:eastAsia="zh-CN" w:bidi="ar"/>
              </w:rPr>
              <w:t>-7</w:t>
            </w:r>
          </w:p>
        </w:tc>
        <w:tc>
          <w:tcPr>
            <w:tcW w:w="109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0.001kg/a</w:t>
            </w:r>
          </w:p>
        </w:tc>
      </w:tr>
    </w:tbl>
    <w:p>
      <w:pPr>
        <w:widowControl w:val="0"/>
        <w:spacing w:line="400" w:lineRule="exact"/>
        <w:ind w:firstLine="0" w:firstLineChars="0"/>
        <w:jc w:val="center"/>
        <w:rPr>
          <w:rFonts w:ascii="Times New Roman" w:hAnsi="Times New Roman" w:eastAsia="宋体" w:cs="宋体"/>
          <w:b/>
          <w:color w:val="000000" w:themeColor="text1"/>
          <w:sz w:val="24"/>
          <w:szCs w:val="24"/>
          <w:lang w:val="en-US" w:eastAsia="zh-CN" w:bidi="ar-SA"/>
          <w14:textFill>
            <w14:solidFill>
              <w14:schemeClr w14:val="tx1"/>
            </w14:solidFill>
          </w14:textFill>
        </w:rPr>
      </w:pPr>
      <w:r>
        <w:rPr>
          <w:rFonts w:hint="eastAsia" w:ascii="Times New Roman" w:hAnsi="Times New Roman" w:eastAsia="宋体" w:cs="宋体"/>
          <w:b/>
          <w:color w:val="000000" w:themeColor="text1"/>
          <w:sz w:val="24"/>
          <w:szCs w:val="24"/>
          <w:lang w:val="en-US" w:eastAsia="zh-CN" w:bidi="ar-SA"/>
          <w14:textFill>
            <w14:solidFill>
              <w14:schemeClr w14:val="tx1"/>
            </w14:solidFill>
          </w14:textFill>
        </w:rPr>
        <w:t>表4.5-</w:t>
      </w:r>
      <w:r>
        <w:rPr>
          <w:rFonts w:hint="eastAsia" w:cs="宋体"/>
          <w:b/>
          <w:color w:val="000000" w:themeColor="text1"/>
          <w:sz w:val="24"/>
          <w:szCs w:val="24"/>
          <w:lang w:val="en-US" w:eastAsia="zh-CN" w:bidi="ar-SA"/>
          <w14:textFill>
            <w14:solidFill>
              <w14:schemeClr w14:val="tx1"/>
            </w14:solidFill>
          </w14:textFill>
        </w:rPr>
        <w:t>4</w:t>
      </w:r>
      <w:r>
        <w:rPr>
          <w:rFonts w:hint="eastAsia" w:ascii="Times New Roman" w:hAnsi="Times New Roman" w:eastAsia="宋体" w:cs="宋体"/>
          <w:b/>
          <w:color w:val="000000" w:themeColor="text1"/>
          <w:sz w:val="24"/>
          <w:szCs w:val="24"/>
          <w:lang w:val="en-US" w:eastAsia="zh-CN" w:bidi="ar-SA"/>
          <w14:textFill>
            <w14:solidFill>
              <w14:schemeClr w14:val="tx1"/>
            </w14:solidFill>
          </w14:textFill>
        </w:rPr>
        <w:t>面源污染物排放基本情况表</w:t>
      </w:r>
    </w:p>
    <w:tbl>
      <w:tblPr>
        <w:tblStyle w:val="13"/>
        <w:tblW w:w="1417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60"/>
        <w:gridCol w:w="1521"/>
        <w:gridCol w:w="3118"/>
        <w:gridCol w:w="860"/>
        <w:gridCol w:w="831"/>
        <w:gridCol w:w="2293"/>
        <w:gridCol w:w="1634"/>
        <w:gridCol w:w="814"/>
        <w:gridCol w:w="565"/>
        <w:gridCol w:w="217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27" w:type="pct"/>
            <w:vMerge w:val="restart"/>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编号</w:t>
            </w:r>
          </w:p>
        </w:tc>
        <w:tc>
          <w:tcPr>
            <w:tcW w:w="536" w:type="pct"/>
            <w:vMerge w:val="restart"/>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生产设施编号/无组织排放编号</w:t>
            </w:r>
          </w:p>
        </w:tc>
        <w:tc>
          <w:tcPr>
            <w:tcW w:w="1099" w:type="pct"/>
            <w:vMerge w:val="restart"/>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产污环节</w:t>
            </w:r>
          </w:p>
        </w:tc>
        <w:tc>
          <w:tcPr>
            <w:tcW w:w="303" w:type="pct"/>
            <w:vMerge w:val="restart"/>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污染物种类</w:t>
            </w:r>
          </w:p>
        </w:tc>
        <w:tc>
          <w:tcPr>
            <w:tcW w:w="1101" w:type="pct"/>
            <w:gridSpan w:val="2"/>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国家或地方污染物排放标准</w:t>
            </w:r>
          </w:p>
        </w:tc>
        <w:tc>
          <w:tcPr>
            <w:tcW w:w="576" w:type="pct"/>
            <w:vMerge w:val="restart"/>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其他信息</w:t>
            </w:r>
          </w:p>
        </w:tc>
        <w:tc>
          <w:tcPr>
            <w:tcW w:w="287" w:type="pct"/>
            <w:vMerge w:val="restart"/>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年排放小时数/h</w:t>
            </w:r>
          </w:p>
        </w:tc>
        <w:tc>
          <w:tcPr>
            <w:tcW w:w="199" w:type="pct"/>
            <w:vMerge w:val="restart"/>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排放工况</w:t>
            </w:r>
          </w:p>
        </w:tc>
        <w:tc>
          <w:tcPr>
            <w:tcW w:w="767" w:type="pct"/>
            <w:vMerge w:val="restart"/>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污染物排放速率/（kg/h）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9" w:hRule="atLeast"/>
          <w:jc w:val="center"/>
        </w:trPr>
        <w:tc>
          <w:tcPr>
            <w:tcW w:w="127" w:type="pct"/>
            <w:vMerge w:val="continue"/>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p>
        </w:tc>
        <w:tc>
          <w:tcPr>
            <w:tcW w:w="536" w:type="pct"/>
            <w:vMerge w:val="continue"/>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p>
        </w:tc>
        <w:tc>
          <w:tcPr>
            <w:tcW w:w="1099" w:type="pct"/>
            <w:vMerge w:val="continue"/>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p>
        </w:tc>
        <w:tc>
          <w:tcPr>
            <w:tcW w:w="303" w:type="pct"/>
            <w:vMerge w:val="continue"/>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p>
        </w:tc>
        <w:tc>
          <w:tcPr>
            <w:tcW w:w="293" w:type="pct"/>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名称</w:t>
            </w:r>
          </w:p>
        </w:tc>
        <w:tc>
          <w:tcPr>
            <w:tcW w:w="807" w:type="pct"/>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浓度限值（mg/m</w:t>
            </w:r>
            <w:r>
              <w:rPr>
                <w:rFonts w:hint="eastAsia" w:ascii="Times New Roman" w:hAnsi="Times New Roman" w:eastAsia="宋体" w:cs="宋体"/>
                <w:color w:val="auto"/>
                <w:sz w:val="21"/>
                <w:szCs w:val="22"/>
                <w:vertAlign w:val="superscript"/>
                <w:lang w:val="en-US" w:eastAsia="zh-CN" w:bidi="ar-SA"/>
              </w:rPr>
              <w:t>3</w:t>
            </w: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w:t>
            </w:r>
          </w:p>
        </w:tc>
        <w:tc>
          <w:tcPr>
            <w:tcW w:w="576" w:type="pct"/>
            <w:vMerge w:val="continue"/>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p>
        </w:tc>
        <w:tc>
          <w:tcPr>
            <w:tcW w:w="287" w:type="pct"/>
            <w:vMerge w:val="continue"/>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p>
        </w:tc>
        <w:tc>
          <w:tcPr>
            <w:tcW w:w="199" w:type="pct"/>
            <w:vMerge w:val="continue"/>
            <w:tcBorders>
              <w:tl2br w:val="nil"/>
              <w:tr2bl w:val="nil"/>
            </w:tcBorders>
            <w:noWrap/>
            <w:vAlign w:val="center"/>
          </w:tcPr>
          <w:p>
            <w:pPr>
              <w:widowControl w:val="0"/>
              <w:spacing w:line="360" w:lineRule="exact"/>
              <w:ind w:firstLine="0" w:firstLineChars="0"/>
              <w:jc w:val="center"/>
              <w:rPr>
                <w:rFonts w:ascii="Times New Roman" w:hAnsi="Times New Roman" w:eastAsia="宋体" w:cs="宋体"/>
                <w:color w:val="000000" w:themeColor="text1"/>
                <w:sz w:val="21"/>
                <w:szCs w:val="22"/>
                <w:lang w:val="en-US" w:eastAsia="zh-CN" w:bidi="ar-SA"/>
                <w14:textFill>
                  <w14:solidFill>
                    <w14:schemeClr w14:val="tx1"/>
                  </w14:solidFill>
                </w14:textFill>
              </w:rPr>
            </w:pPr>
          </w:p>
        </w:tc>
        <w:tc>
          <w:tcPr>
            <w:tcW w:w="767" w:type="pct"/>
            <w:vMerge w:val="continue"/>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27" w:type="pct"/>
            <w:vMerge w:val="restart"/>
            <w:tcBorders>
              <w:tl2br w:val="nil"/>
              <w:tr2bl w:val="nil"/>
            </w:tcBorders>
            <w:noWrap/>
            <w:vAlign w:val="center"/>
          </w:tcPr>
          <w:p>
            <w:pPr>
              <w:widowControl w:val="0"/>
              <w:spacing w:line="360" w:lineRule="exact"/>
              <w:ind w:firstLine="0" w:firstLineChars="0"/>
              <w:jc w:val="center"/>
              <w:rPr>
                <w:rFonts w:hint="default"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cs="宋体"/>
                <w:color w:val="000000" w:themeColor="text1"/>
                <w:sz w:val="21"/>
                <w:szCs w:val="22"/>
                <w:lang w:val="en-US" w:eastAsia="zh-CN" w:bidi="ar-SA"/>
                <w14:textFill>
                  <w14:solidFill>
                    <w14:schemeClr w14:val="tx1"/>
                  </w14:solidFill>
                </w14:textFill>
              </w:rPr>
              <w:t>1</w:t>
            </w:r>
          </w:p>
        </w:tc>
        <w:tc>
          <w:tcPr>
            <w:tcW w:w="536" w:type="pct"/>
            <w:vMerge w:val="restart"/>
            <w:tcBorders>
              <w:tl2br w:val="nil"/>
              <w:tr2bl w:val="nil"/>
            </w:tcBorders>
            <w:noWrap/>
            <w:vAlign w:val="center"/>
          </w:tcPr>
          <w:p>
            <w:pPr>
              <w:widowControl w:val="0"/>
              <w:bidi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auto"/>
                <w:sz w:val="21"/>
                <w:szCs w:val="22"/>
                <w:lang w:val="en-US" w:eastAsia="zh-CN" w:bidi="ar-SA"/>
              </w:rPr>
              <w:t>生产车间</w:t>
            </w:r>
          </w:p>
        </w:tc>
        <w:tc>
          <w:tcPr>
            <w:tcW w:w="1099" w:type="pct"/>
            <w:tcBorders>
              <w:tl2br w:val="nil"/>
              <w:tr2bl w:val="nil"/>
            </w:tcBorders>
            <w:noWrap/>
            <w:vAlign w:val="center"/>
          </w:tcPr>
          <w:p>
            <w:pPr>
              <w:widowControl w:val="0"/>
              <w:spacing w:line="360" w:lineRule="exact"/>
              <w:ind w:firstLine="0" w:firstLineChars="0"/>
              <w:jc w:val="center"/>
              <w:rPr>
                <w:rFonts w:hint="default"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cs="宋体"/>
                <w:color w:val="000000" w:themeColor="text1"/>
                <w:sz w:val="21"/>
                <w:szCs w:val="22"/>
                <w:lang w:val="en-US" w:eastAsia="zh-CN" w:bidi="ar-SA"/>
                <w14:textFill>
                  <w14:solidFill>
                    <w14:schemeClr w14:val="tx1"/>
                  </w14:solidFill>
                </w14:textFill>
              </w:rPr>
              <w:t>拉丝、</w:t>
            </w: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挤塑</w:t>
            </w:r>
            <w:r>
              <w:rPr>
                <w:rFonts w:hint="eastAsia" w:cs="宋体"/>
                <w:color w:val="000000" w:themeColor="text1"/>
                <w:sz w:val="21"/>
                <w:szCs w:val="22"/>
                <w:lang w:val="en-US" w:eastAsia="zh-CN" w:bidi="ar-SA"/>
                <w14:textFill>
                  <w14:solidFill>
                    <w14:schemeClr w14:val="tx1"/>
                  </w14:solidFill>
                </w14:textFill>
              </w:rPr>
              <w:t>、紫外光交联</w:t>
            </w: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、挤护外套、喷码</w:t>
            </w:r>
          </w:p>
        </w:tc>
        <w:tc>
          <w:tcPr>
            <w:tcW w:w="303" w:type="pct"/>
            <w:tcBorders>
              <w:tl2br w:val="nil"/>
              <w:tr2bl w:val="nil"/>
            </w:tcBorders>
            <w:noWrap/>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非甲烷总烃</w:t>
            </w:r>
          </w:p>
        </w:tc>
        <w:tc>
          <w:tcPr>
            <w:tcW w:w="293" w:type="pct"/>
            <w:tcBorders>
              <w:tl2br w:val="nil"/>
              <w:tr2bl w:val="nil"/>
            </w:tcBorders>
            <w:noWrap/>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非甲烷总烃</w:t>
            </w:r>
          </w:p>
        </w:tc>
        <w:tc>
          <w:tcPr>
            <w:tcW w:w="807" w:type="pct"/>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4.0</w:t>
            </w:r>
          </w:p>
        </w:tc>
        <w:tc>
          <w:tcPr>
            <w:tcW w:w="576" w:type="pct"/>
            <w:vMerge w:val="restart"/>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加强封闭式作业</w:t>
            </w:r>
          </w:p>
        </w:tc>
        <w:tc>
          <w:tcPr>
            <w:tcW w:w="287" w:type="pct"/>
            <w:vMerge w:val="restart"/>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2400</w:t>
            </w:r>
          </w:p>
        </w:tc>
        <w:tc>
          <w:tcPr>
            <w:tcW w:w="199" w:type="pct"/>
            <w:vMerge w:val="restart"/>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连续</w:t>
            </w:r>
          </w:p>
        </w:tc>
        <w:tc>
          <w:tcPr>
            <w:tcW w:w="767" w:type="pct"/>
            <w:tcBorders>
              <w:tl2br w:val="nil"/>
              <w:tr2bl w:val="nil"/>
            </w:tcBorders>
            <w:noWrap/>
            <w:vAlign w:val="center"/>
          </w:tcPr>
          <w:p>
            <w:pPr>
              <w:keepNext w:val="0"/>
              <w:keepLines w:val="0"/>
              <w:widowControl/>
              <w:suppressLineNumbers w:val="0"/>
              <w:jc w:val="center"/>
              <w:textAlignment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cs="Times New Roman"/>
                <w:i w:val="0"/>
                <w:iCs w:val="0"/>
                <w:color w:val="000000"/>
                <w:kern w:val="0"/>
                <w:sz w:val="21"/>
                <w:szCs w:val="21"/>
                <w:u w:val="none"/>
                <w:lang w:val="en-US" w:eastAsia="zh-CN" w:bidi="ar"/>
              </w:rPr>
              <w:t>0.3625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27" w:type="pct"/>
            <w:vMerge w:val="continue"/>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p>
        </w:tc>
        <w:tc>
          <w:tcPr>
            <w:tcW w:w="536" w:type="pct"/>
            <w:vMerge w:val="continue"/>
            <w:tcBorders>
              <w:tl2br w:val="nil"/>
              <w:tr2bl w:val="nil"/>
            </w:tcBorders>
            <w:noWrap/>
            <w:vAlign w:val="center"/>
          </w:tcPr>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p>
        </w:tc>
        <w:tc>
          <w:tcPr>
            <w:tcW w:w="1099" w:type="pct"/>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Times New Roman"/>
                <w:color w:val="auto"/>
                <w:kern w:val="2"/>
                <w:sz w:val="21"/>
                <w:szCs w:val="22"/>
                <w:lang w:val="en-US" w:eastAsia="zh-CN"/>
              </w:rPr>
              <w:t>挤塑、挤护外套</w:t>
            </w:r>
          </w:p>
        </w:tc>
        <w:tc>
          <w:tcPr>
            <w:tcW w:w="303" w:type="pct"/>
            <w:tcBorders>
              <w:tl2br w:val="nil"/>
              <w:tr2bl w:val="nil"/>
            </w:tcBorders>
            <w:noWrap/>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氯化氢</w:t>
            </w:r>
          </w:p>
        </w:tc>
        <w:tc>
          <w:tcPr>
            <w:tcW w:w="293" w:type="pct"/>
            <w:tcBorders>
              <w:tl2br w:val="nil"/>
              <w:tr2bl w:val="nil"/>
            </w:tcBorders>
            <w:noWrap/>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氯化氢</w:t>
            </w:r>
          </w:p>
        </w:tc>
        <w:tc>
          <w:tcPr>
            <w:tcW w:w="807" w:type="pct"/>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 xml:space="preserve">0.2 </w:t>
            </w:r>
          </w:p>
        </w:tc>
        <w:tc>
          <w:tcPr>
            <w:tcW w:w="576" w:type="pct"/>
            <w:vMerge w:val="continue"/>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p>
        </w:tc>
        <w:tc>
          <w:tcPr>
            <w:tcW w:w="287" w:type="pct"/>
            <w:vMerge w:val="continue"/>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p>
        </w:tc>
        <w:tc>
          <w:tcPr>
            <w:tcW w:w="199" w:type="pct"/>
            <w:vMerge w:val="continue"/>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p>
        </w:tc>
        <w:tc>
          <w:tcPr>
            <w:tcW w:w="767" w:type="pct"/>
            <w:tcBorders>
              <w:tl2br w:val="nil"/>
              <w:tr2bl w:val="nil"/>
            </w:tcBorders>
            <w:noWrap/>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rPr>
            </w:pPr>
            <w:r>
              <w:rPr>
                <w:rFonts w:hint="eastAsia" w:cs="Times New Roman"/>
                <w:i w:val="0"/>
                <w:iCs w:val="0"/>
                <w:color w:val="000000"/>
                <w:kern w:val="0"/>
                <w:sz w:val="21"/>
                <w:szCs w:val="21"/>
                <w:u w:val="none"/>
                <w:lang w:val="en-US" w:eastAsia="zh-CN" w:bidi="ar"/>
              </w:rPr>
              <w:t>1.67×10</w:t>
            </w:r>
            <w:r>
              <w:rPr>
                <w:rFonts w:hint="eastAsia" w:cs="Times New Roman"/>
                <w:i w:val="0"/>
                <w:iCs w:val="0"/>
                <w:color w:val="000000"/>
                <w:kern w:val="0"/>
                <w:sz w:val="21"/>
                <w:szCs w:val="21"/>
                <w:u w:val="none"/>
                <w:vertAlign w:val="superscript"/>
                <w:lang w:val="en-US" w:eastAsia="zh-CN" w:bidi="ar"/>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27" w:type="pct"/>
            <w:vMerge w:val="continue"/>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p>
        </w:tc>
        <w:tc>
          <w:tcPr>
            <w:tcW w:w="536" w:type="pct"/>
            <w:vMerge w:val="continue"/>
            <w:tcBorders>
              <w:tl2br w:val="nil"/>
              <w:tr2bl w:val="nil"/>
            </w:tcBorders>
            <w:noWrap/>
            <w:vAlign w:val="center"/>
          </w:tcPr>
          <w:p>
            <w:pPr>
              <w:widowControl w:val="0"/>
              <w:bidi w:val="0"/>
              <w:spacing w:line="360" w:lineRule="exact"/>
              <w:ind w:firstLine="0" w:firstLineChars="0"/>
              <w:jc w:val="center"/>
              <w:rPr>
                <w:rFonts w:hint="eastAsia" w:ascii="Times New Roman" w:hAnsi="Times New Roman" w:eastAsia="宋体" w:cs="宋体"/>
                <w:color w:val="auto"/>
                <w:sz w:val="21"/>
                <w:szCs w:val="22"/>
                <w:lang w:val="en-US" w:eastAsia="zh-CN" w:bidi="ar-SA"/>
              </w:rPr>
            </w:pPr>
          </w:p>
        </w:tc>
        <w:tc>
          <w:tcPr>
            <w:tcW w:w="1099" w:type="pct"/>
            <w:tcBorders>
              <w:tl2br w:val="nil"/>
              <w:tr2bl w:val="nil"/>
            </w:tcBorders>
            <w:noWrap/>
            <w:vAlign w:val="center"/>
          </w:tcPr>
          <w:p>
            <w:pPr>
              <w:widowControl w:val="0"/>
              <w:spacing w:line="360" w:lineRule="exact"/>
              <w:ind w:firstLine="0" w:firstLineChars="0"/>
              <w:jc w:val="center"/>
              <w:rPr>
                <w:rFonts w:hint="default"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cs="宋体"/>
                <w:color w:val="000000" w:themeColor="text1"/>
                <w:sz w:val="21"/>
                <w:szCs w:val="22"/>
                <w:lang w:val="en-US" w:eastAsia="zh-CN" w:bidi="ar-SA"/>
                <w14:textFill>
                  <w14:solidFill>
                    <w14:schemeClr w14:val="tx1"/>
                  </w14:solidFill>
                </w14:textFill>
              </w:rPr>
              <w:t>纵包焊接</w:t>
            </w:r>
          </w:p>
        </w:tc>
        <w:tc>
          <w:tcPr>
            <w:tcW w:w="303" w:type="pct"/>
            <w:tcBorders>
              <w:tl2br w:val="nil"/>
              <w:tr2bl w:val="nil"/>
            </w:tcBorders>
            <w:noWrap/>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颗粒物</w:t>
            </w:r>
          </w:p>
        </w:tc>
        <w:tc>
          <w:tcPr>
            <w:tcW w:w="293" w:type="pct"/>
            <w:tcBorders>
              <w:tl2br w:val="nil"/>
              <w:tr2bl w:val="nil"/>
            </w:tcBorders>
            <w:noWrap/>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颗粒物</w:t>
            </w:r>
          </w:p>
        </w:tc>
        <w:tc>
          <w:tcPr>
            <w:tcW w:w="807" w:type="pct"/>
            <w:tcBorders>
              <w:tl2br w:val="nil"/>
              <w:tr2bl w:val="nil"/>
            </w:tcBorders>
            <w:noWrap/>
            <w:vAlign w:val="center"/>
          </w:tcPr>
          <w:p>
            <w:pPr>
              <w:widowControl w:val="0"/>
              <w:spacing w:line="360" w:lineRule="exact"/>
              <w:ind w:firstLine="0" w:firstLineChars="0"/>
              <w:jc w:val="center"/>
              <w:rPr>
                <w:rFonts w:hint="default"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cs="宋体"/>
                <w:color w:val="000000" w:themeColor="text1"/>
                <w:sz w:val="21"/>
                <w:szCs w:val="22"/>
                <w:lang w:val="en-US" w:eastAsia="zh-CN" w:bidi="ar-SA"/>
                <w14:textFill>
                  <w14:solidFill>
                    <w14:schemeClr w14:val="tx1"/>
                  </w14:solidFill>
                </w14:textFill>
              </w:rPr>
              <w:t>1.0</w:t>
            </w:r>
          </w:p>
        </w:tc>
        <w:tc>
          <w:tcPr>
            <w:tcW w:w="576" w:type="pct"/>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移动式焊烟净化器</w:t>
            </w:r>
          </w:p>
        </w:tc>
        <w:tc>
          <w:tcPr>
            <w:tcW w:w="287" w:type="pct"/>
            <w:vMerge w:val="continue"/>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p>
        </w:tc>
        <w:tc>
          <w:tcPr>
            <w:tcW w:w="199" w:type="pct"/>
            <w:vMerge w:val="continue"/>
            <w:tcBorders>
              <w:tl2br w:val="nil"/>
              <w:tr2bl w:val="nil"/>
            </w:tcBorders>
            <w:noWrap/>
            <w:vAlign w:val="center"/>
          </w:tcPr>
          <w:p>
            <w:pPr>
              <w:widowControl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p>
        </w:tc>
        <w:tc>
          <w:tcPr>
            <w:tcW w:w="767" w:type="pct"/>
            <w:tcBorders>
              <w:tl2br w:val="nil"/>
              <w:tr2bl w:val="nil"/>
            </w:tcBorders>
            <w:noWrap/>
            <w:vAlign w:val="center"/>
          </w:tcPr>
          <w:p>
            <w:pPr>
              <w:jc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0.0002</w:t>
            </w:r>
          </w:p>
        </w:tc>
      </w:tr>
    </w:tbl>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2" w:firstLineChars="200"/>
        <w:jc w:val="center"/>
        <w:textAlignment w:val="auto"/>
        <w:rPr>
          <w:rFonts w:hint="default" w:ascii="Times New Roman" w:hAnsi="Times New Roman" w:eastAsia="宋体" w:cs="Times New Roman"/>
          <w:b/>
          <w:bCs/>
          <w:color w:val="000000"/>
          <w:kern w:val="0"/>
          <w:sz w:val="24"/>
          <w:szCs w:val="24"/>
          <w:lang w:val="en-US" w:eastAsia="zh-CN" w:bidi="ar-SA"/>
        </w:rPr>
      </w:pPr>
      <w:r>
        <w:rPr>
          <w:rFonts w:hint="default" w:ascii="Times New Roman" w:hAnsi="Times New Roman" w:eastAsia="宋体" w:cs="Times New Roman"/>
          <w:b/>
          <w:bCs/>
          <w:color w:val="000000"/>
          <w:kern w:val="0"/>
          <w:sz w:val="24"/>
          <w:szCs w:val="24"/>
          <w:lang w:val="en-US" w:eastAsia="zh-CN" w:bidi="ar-SA"/>
        </w:rPr>
        <w:t>表</w:t>
      </w:r>
      <w:r>
        <w:rPr>
          <w:rFonts w:hint="eastAsia" w:ascii="Times New Roman" w:hAnsi="Times New Roman" w:eastAsia="宋体" w:cs="Times New Roman"/>
          <w:b/>
          <w:bCs/>
          <w:color w:val="000000"/>
          <w:kern w:val="0"/>
          <w:sz w:val="24"/>
          <w:szCs w:val="24"/>
          <w:lang w:val="en-US" w:eastAsia="zh-CN" w:bidi="ar-SA"/>
        </w:rPr>
        <w:t>4.5-</w:t>
      </w:r>
      <w:r>
        <w:rPr>
          <w:rFonts w:hint="eastAsia" w:cs="Times New Roman"/>
          <w:b/>
          <w:bCs/>
          <w:color w:val="000000"/>
          <w:kern w:val="0"/>
          <w:sz w:val="24"/>
          <w:szCs w:val="24"/>
          <w:lang w:val="en-US" w:eastAsia="zh-CN" w:bidi="ar-SA"/>
        </w:rPr>
        <w:t>5</w:t>
      </w:r>
      <w:r>
        <w:rPr>
          <w:rFonts w:hint="eastAsia" w:ascii="Times New Roman" w:hAnsi="Times New Roman" w:eastAsia="宋体" w:cs="Times New Roman"/>
          <w:b/>
          <w:bCs/>
          <w:color w:val="000000"/>
          <w:kern w:val="0"/>
          <w:sz w:val="24"/>
          <w:szCs w:val="24"/>
          <w:lang w:val="en-US" w:eastAsia="zh-CN" w:bidi="ar-SA"/>
        </w:rPr>
        <w:t>本</w:t>
      </w:r>
      <w:r>
        <w:rPr>
          <w:rFonts w:hint="default" w:ascii="Times New Roman" w:hAnsi="Times New Roman" w:eastAsia="宋体" w:cs="Times New Roman"/>
          <w:b/>
          <w:bCs/>
          <w:color w:val="000000"/>
          <w:kern w:val="0"/>
          <w:sz w:val="24"/>
          <w:szCs w:val="24"/>
          <w:lang w:val="en-US" w:eastAsia="zh-CN" w:bidi="ar-SA"/>
        </w:rPr>
        <w:t>项目矩形面源参数表</w:t>
      </w:r>
      <w:r>
        <w:rPr>
          <w:rFonts w:hint="eastAsia" w:ascii="Times New Roman" w:hAnsi="Times New Roman" w:eastAsia="宋体" w:cs="Times New Roman"/>
          <w:b/>
          <w:bCs/>
          <w:color w:val="000000"/>
          <w:kern w:val="0"/>
          <w:sz w:val="24"/>
          <w:szCs w:val="24"/>
          <w:lang w:val="en-US" w:eastAsia="zh-CN" w:bidi="ar-SA"/>
        </w:rPr>
        <w:t>参数</w:t>
      </w:r>
      <w:r>
        <w:rPr>
          <w:rFonts w:hint="default" w:ascii="Times New Roman" w:hAnsi="Times New Roman" w:eastAsia="宋体" w:cs="Times New Roman"/>
          <w:b/>
          <w:bCs/>
          <w:color w:val="000000"/>
          <w:kern w:val="0"/>
          <w:sz w:val="24"/>
          <w:szCs w:val="24"/>
          <w:lang w:val="en-US" w:eastAsia="zh-CN" w:bidi="ar-SA"/>
        </w:rPr>
        <w:t>一览表</w:t>
      </w:r>
    </w:p>
    <w:tbl>
      <w:tblPr>
        <w:tblStyle w:val="14"/>
        <w:tblW w:w="1417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56"/>
        <w:gridCol w:w="1429"/>
        <w:gridCol w:w="806"/>
        <w:gridCol w:w="825"/>
        <w:gridCol w:w="1286"/>
        <w:gridCol w:w="990"/>
        <w:gridCol w:w="1084"/>
        <w:gridCol w:w="1286"/>
        <w:gridCol w:w="1378"/>
        <w:gridCol w:w="1137"/>
        <w:gridCol w:w="935"/>
        <w:gridCol w:w="866"/>
        <w:gridCol w:w="886"/>
        <w:gridCol w:w="90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356"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编号</w:t>
            </w:r>
          </w:p>
        </w:tc>
        <w:tc>
          <w:tcPr>
            <w:tcW w:w="1429"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名称</w:t>
            </w:r>
          </w:p>
        </w:tc>
        <w:tc>
          <w:tcPr>
            <w:tcW w:w="1631" w:type="dxa"/>
            <w:gridSpan w:val="2"/>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面源起点坐标/m</w:t>
            </w:r>
          </w:p>
        </w:tc>
        <w:tc>
          <w:tcPr>
            <w:tcW w:w="1286"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面源海拔高度/m</w:t>
            </w:r>
          </w:p>
        </w:tc>
        <w:tc>
          <w:tcPr>
            <w:tcW w:w="990"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面源宽度/m</w:t>
            </w:r>
          </w:p>
        </w:tc>
        <w:tc>
          <w:tcPr>
            <w:tcW w:w="1084"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面源长度/m</w:t>
            </w:r>
          </w:p>
        </w:tc>
        <w:tc>
          <w:tcPr>
            <w:tcW w:w="1286"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与正北向夹角/（°）</w:t>
            </w:r>
          </w:p>
        </w:tc>
        <w:tc>
          <w:tcPr>
            <w:tcW w:w="1378"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面源有效排放高度/m</w:t>
            </w:r>
          </w:p>
        </w:tc>
        <w:tc>
          <w:tcPr>
            <w:tcW w:w="1137"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年排放小时数/h</w:t>
            </w:r>
          </w:p>
        </w:tc>
        <w:tc>
          <w:tcPr>
            <w:tcW w:w="935"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排放工况</w:t>
            </w:r>
          </w:p>
        </w:tc>
        <w:tc>
          <w:tcPr>
            <w:tcW w:w="2661" w:type="dxa"/>
            <w:gridSpan w:val="3"/>
            <w:tcBorders>
              <w:tl2br w:val="nil"/>
              <w:tr2bl w:val="nil"/>
            </w:tcBorders>
            <w:vAlign w:val="center"/>
          </w:tcPr>
          <w:p>
            <w:pPr>
              <w:widowControl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污染物排放速率/（kg/h）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56"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eastAsia" w:ascii="Times New Roman" w:hAnsi="Times New Roman" w:eastAsia="宋体" w:cs="Times New Roman"/>
                <w:color w:val="000000"/>
                <w:kern w:val="2"/>
                <w:sz w:val="21"/>
                <w:szCs w:val="24"/>
                <w:lang w:val="en-US" w:eastAsia="zh-CN" w:bidi="ar-SA"/>
              </w:rPr>
            </w:pPr>
          </w:p>
        </w:tc>
        <w:tc>
          <w:tcPr>
            <w:tcW w:w="1429"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eastAsia" w:ascii="Times New Roman" w:hAnsi="Times New Roman" w:eastAsia="宋体" w:cs="Times New Roman"/>
                <w:color w:val="000000"/>
                <w:kern w:val="2"/>
                <w:sz w:val="21"/>
                <w:szCs w:val="24"/>
                <w:lang w:val="en-US" w:eastAsia="zh-CN" w:bidi="ar-SA"/>
              </w:rPr>
            </w:pPr>
          </w:p>
        </w:tc>
        <w:tc>
          <w:tcPr>
            <w:tcW w:w="80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X</w:t>
            </w:r>
          </w:p>
        </w:tc>
        <w:tc>
          <w:tcPr>
            <w:tcW w:w="825"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Y</w:t>
            </w:r>
          </w:p>
        </w:tc>
        <w:tc>
          <w:tcPr>
            <w:tcW w:w="1286"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eastAsia" w:ascii="Times New Roman" w:hAnsi="Times New Roman" w:eastAsia="宋体" w:cs="Times New Roman"/>
                <w:color w:val="000000"/>
                <w:kern w:val="2"/>
                <w:sz w:val="21"/>
                <w:szCs w:val="24"/>
                <w:lang w:val="en-US" w:eastAsia="zh-CN" w:bidi="ar-SA"/>
              </w:rPr>
            </w:pPr>
          </w:p>
        </w:tc>
        <w:tc>
          <w:tcPr>
            <w:tcW w:w="990"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eastAsia" w:ascii="Times New Roman" w:hAnsi="Times New Roman" w:eastAsia="宋体" w:cs="Times New Roman"/>
                <w:color w:val="000000"/>
                <w:kern w:val="2"/>
                <w:sz w:val="21"/>
                <w:szCs w:val="24"/>
                <w:lang w:val="en-US" w:eastAsia="zh-CN" w:bidi="ar-SA"/>
              </w:rPr>
            </w:pPr>
          </w:p>
        </w:tc>
        <w:tc>
          <w:tcPr>
            <w:tcW w:w="1084"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eastAsia" w:ascii="Times New Roman" w:hAnsi="Times New Roman" w:eastAsia="宋体" w:cs="Times New Roman"/>
                <w:color w:val="000000"/>
                <w:kern w:val="2"/>
                <w:sz w:val="21"/>
                <w:szCs w:val="24"/>
                <w:lang w:val="en-US" w:eastAsia="zh-CN" w:bidi="ar-SA"/>
              </w:rPr>
            </w:pPr>
          </w:p>
        </w:tc>
        <w:tc>
          <w:tcPr>
            <w:tcW w:w="1286"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eastAsia" w:ascii="Times New Roman" w:hAnsi="Times New Roman" w:eastAsia="宋体" w:cs="Times New Roman"/>
                <w:color w:val="000000"/>
                <w:kern w:val="2"/>
                <w:sz w:val="21"/>
                <w:szCs w:val="24"/>
                <w:lang w:val="en-US" w:eastAsia="zh-CN" w:bidi="ar-SA"/>
              </w:rPr>
            </w:pPr>
          </w:p>
        </w:tc>
        <w:tc>
          <w:tcPr>
            <w:tcW w:w="1378"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eastAsia" w:ascii="Times New Roman" w:hAnsi="Times New Roman" w:eastAsia="宋体" w:cs="Times New Roman"/>
                <w:color w:val="000000"/>
                <w:kern w:val="2"/>
                <w:sz w:val="21"/>
                <w:szCs w:val="24"/>
                <w:lang w:val="en-US" w:eastAsia="zh-CN" w:bidi="ar-SA"/>
              </w:rPr>
            </w:pPr>
          </w:p>
        </w:tc>
        <w:tc>
          <w:tcPr>
            <w:tcW w:w="1137"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eastAsia" w:ascii="Times New Roman" w:hAnsi="Times New Roman" w:eastAsia="宋体" w:cs="Times New Roman"/>
                <w:color w:val="000000"/>
                <w:kern w:val="2"/>
                <w:sz w:val="21"/>
                <w:szCs w:val="24"/>
                <w:lang w:val="en-US" w:eastAsia="zh-CN" w:bidi="ar-SA"/>
              </w:rPr>
            </w:pPr>
          </w:p>
        </w:tc>
        <w:tc>
          <w:tcPr>
            <w:tcW w:w="935"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eastAsia" w:ascii="Times New Roman" w:hAnsi="Times New Roman" w:eastAsia="宋体" w:cs="Times New Roman"/>
                <w:color w:val="000000"/>
                <w:kern w:val="2"/>
                <w:sz w:val="21"/>
                <w:szCs w:val="24"/>
                <w:lang w:val="en-US" w:eastAsia="zh-CN" w:bidi="ar-SA"/>
              </w:rPr>
            </w:pPr>
          </w:p>
        </w:tc>
        <w:tc>
          <w:tcPr>
            <w:tcW w:w="866" w:type="dxa"/>
            <w:tcBorders>
              <w:tl2br w:val="nil"/>
              <w:tr2bl w:val="nil"/>
            </w:tcBorders>
            <w:vAlign w:val="center"/>
          </w:tcPr>
          <w:p>
            <w:pPr>
              <w:widowControl w:val="0"/>
              <w:spacing w:line="360" w:lineRule="exact"/>
              <w:ind w:firstLine="0" w:firstLineChars="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 xml:space="preserve">非甲烷总烃 </w:t>
            </w:r>
          </w:p>
        </w:tc>
        <w:tc>
          <w:tcPr>
            <w:tcW w:w="88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Times New Roman"/>
                <w:color w:val="000000"/>
                <w:kern w:val="2"/>
                <w:sz w:val="21"/>
                <w:szCs w:val="24"/>
                <w:lang w:val="en-US" w:eastAsia="zh-CN" w:bidi="ar-SA"/>
              </w:rPr>
              <w:t>氯化氢</w:t>
            </w:r>
          </w:p>
        </w:tc>
        <w:tc>
          <w:tcPr>
            <w:tcW w:w="909"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firstLine="0" w:firstLineChars="0"/>
              <w:jc w:val="center"/>
              <w:textAlignment w:val="baseline"/>
              <w:rPr>
                <w:rFonts w:hint="eastAsia" w:ascii="Times New Roman" w:hAnsi="Times New Roman" w:eastAsia="宋体" w:cs="Times New Roman"/>
                <w:color w:val="000000"/>
                <w:kern w:val="2"/>
                <w:sz w:val="21"/>
                <w:szCs w:val="24"/>
                <w:lang w:val="en-US" w:eastAsia="zh-CN" w:bidi="ar-SA"/>
              </w:rPr>
            </w:pPr>
            <w:r>
              <w:rPr>
                <w:rFonts w:hint="eastAsia" w:cs="Times New Roman"/>
                <w:color w:val="000000" w:themeColor="text1"/>
                <w:sz w:val="21"/>
                <w:lang w:val="en-US" w:eastAsia="zh-CN" w:bidi="ar-SA"/>
                <w14:textFill>
                  <w14:solidFill>
                    <w14:schemeClr w14:val="tx1"/>
                  </w14:solidFill>
                </w14:textFill>
              </w:rPr>
              <w:t>颗粒物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5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000000"/>
                <w:kern w:val="2"/>
                <w:sz w:val="21"/>
                <w:szCs w:val="24"/>
                <w:lang w:val="en-US" w:eastAsia="zh-CN" w:bidi="ar-SA"/>
              </w:rPr>
            </w:pPr>
            <w:r>
              <w:rPr>
                <w:rFonts w:hint="eastAsia" w:cs="Times New Roman"/>
                <w:color w:val="000000"/>
                <w:kern w:val="2"/>
                <w:sz w:val="21"/>
                <w:szCs w:val="24"/>
                <w:lang w:val="en-US" w:eastAsia="zh-CN" w:bidi="ar-SA"/>
              </w:rPr>
              <w:t>1</w:t>
            </w:r>
          </w:p>
        </w:tc>
        <w:tc>
          <w:tcPr>
            <w:tcW w:w="1429" w:type="dxa"/>
            <w:tcBorders>
              <w:tl2br w:val="nil"/>
              <w:tr2bl w:val="nil"/>
            </w:tcBorders>
            <w:vAlign w:val="center"/>
          </w:tcPr>
          <w:p>
            <w:pPr>
              <w:widowControl w:val="0"/>
              <w:bidi w:val="0"/>
              <w:spacing w:line="360" w:lineRule="exact"/>
              <w:ind w:firstLine="0" w:firstLineChars="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宋体"/>
                <w:color w:val="auto"/>
                <w:sz w:val="21"/>
                <w:szCs w:val="22"/>
                <w:lang w:val="en-US" w:eastAsia="zh-CN" w:bidi="ar-SA"/>
              </w:rPr>
              <w:t>生产车间</w:t>
            </w:r>
          </w:p>
        </w:tc>
        <w:tc>
          <w:tcPr>
            <w:tcW w:w="80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highlight w:val="none"/>
                <w:lang w:val="en-US" w:eastAsia="zh-CN" w:bidi="ar-SA"/>
              </w:rPr>
              <w:t>-27</w:t>
            </w:r>
          </w:p>
        </w:tc>
        <w:tc>
          <w:tcPr>
            <w:tcW w:w="825"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highlight w:val="none"/>
                <w:lang w:val="en-US" w:eastAsia="zh-CN" w:bidi="ar-SA"/>
              </w:rPr>
              <w:t>109</w:t>
            </w:r>
          </w:p>
        </w:tc>
        <w:tc>
          <w:tcPr>
            <w:tcW w:w="128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jc w:val="center"/>
              <w:textAlignment w:val="baseline"/>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512</w:t>
            </w:r>
          </w:p>
        </w:tc>
        <w:tc>
          <w:tcPr>
            <w:tcW w:w="990"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62</w:t>
            </w:r>
          </w:p>
        </w:tc>
        <w:tc>
          <w:tcPr>
            <w:tcW w:w="1084"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213.13</w:t>
            </w:r>
          </w:p>
        </w:tc>
        <w:tc>
          <w:tcPr>
            <w:tcW w:w="128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69.55</w:t>
            </w:r>
          </w:p>
        </w:tc>
        <w:tc>
          <w:tcPr>
            <w:tcW w:w="1378"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jc w:val="center"/>
              <w:textAlignment w:val="baseline"/>
              <w:rPr>
                <w:rFonts w:hint="default" w:ascii="Times New Roman" w:hAnsi="Times New Roman" w:eastAsia="宋体" w:cs="Times New Roman"/>
                <w:bCs w:val="0"/>
                <w:color w:val="000000"/>
                <w:spacing w:val="0"/>
                <w:kern w:val="2"/>
                <w:sz w:val="21"/>
                <w:szCs w:val="21"/>
                <w:lang w:val="en-US" w:eastAsia="zh-CN" w:bidi="ar-SA"/>
              </w:rPr>
            </w:pPr>
            <w:r>
              <w:rPr>
                <w:rFonts w:hint="eastAsia" w:cs="Times New Roman"/>
                <w:bCs w:val="0"/>
                <w:color w:val="000000"/>
                <w:spacing w:val="0"/>
                <w:kern w:val="2"/>
                <w:sz w:val="21"/>
                <w:szCs w:val="21"/>
                <w:lang w:val="en-US" w:eastAsia="zh-CN" w:bidi="ar-SA"/>
              </w:rPr>
              <w:t>12</w:t>
            </w:r>
          </w:p>
        </w:tc>
        <w:tc>
          <w:tcPr>
            <w:tcW w:w="1137"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eastAsia" w:ascii="Times New Roman" w:hAnsi="Times New Roman" w:eastAsia="宋体" w:cs="Times New Roman"/>
                <w:bCs w:val="0"/>
                <w:color w:val="000000"/>
                <w:spacing w:val="0"/>
                <w:kern w:val="2"/>
                <w:sz w:val="21"/>
                <w:szCs w:val="21"/>
                <w:lang w:val="en-US" w:eastAsia="zh-CN"/>
              </w:rPr>
            </w:pPr>
            <w:r>
              <w:rPr>
                <w:rFonts w:hint="eastAsia" w:ascii="Times New Roman" w:hAnsi="Times New Roman" w:eastAsia="宋体" w:cs="Times New Roman"/>
                <w:bCs w:val="0"/>
                <w:color w:val="000000"/>
                <w:spacing w:val="0"/>
                <w:kern w:val="2"/>
                <w:sz w:val="21"/>
                <w:szCs w:val="21"/>
                <w:lang w:val="en-US" w:eastAsia="zh-CN"/>
              </w:rPr>
              <w:t>2400</w:t>
            </w:r>
          </w:p>
        </w:tc>
        <w:tc>
          <w:tcPr>
            <w:tcW w:w="935"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连续</w:t>
            </w:r>
          </w:p>
        </w:tc>
        <w:tc>
          <w:tcPr>
            <w:tcW w:w="866" w:type="dxa"/>
            <w:tcBorders>
              <w:tl2br w:val="nil"/>
              <w:tr2bl w:val="nil"/>
            </w:tcBorders>
            <w:vAlign w:val="center"/>
          </w:tcPr>
          <w:p>
            <w:pPr>
              <w:widowControl w:val="0"/>
              <w:spacing w:line="360" w:lineRule="exact"/>
              <w:ind w:firstLine="0" w:firstLineChars="0"/>
              <w:jc w:val="center"/>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cs="Times New Roman"/>
                <w:i w:val="0"/>
                <w:iCs w:val="0"/>
                <w:color w:val="000000"/>
                <w:kern w:val="0"/>
                <w:sz w:val="21"/>
                <w:szCs w:val="21"/>
                <w:u w:val="none"/>
                <w:lang w:val="en-US" w:eastAsia="zh-CN" w:bidi="ar"/>
              </w:rPr>
              <w:t>0.3625</w:t>
            </w:r>
          </w:p>
        </w:tc>
        <w:tc>
          <w:tcPr>
            <w:tcW w:w="886" w:type="dxa"/>
            <w:tcBorders>
              <w:tl2br w:val="nil"/>
              <w:tr2bl w:val="nil"/>
            </w:tcBorders>
            <w:vAlign w:val="center"/>
          </w:tcPr>
          <w:p>
            <w:pPr>
              <w:widowControl w:val="0"/>
              <w:spacing w:line="360" w:lineRule="exact"/>
              <w:ind w:firstLine="0" w:firstLine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1.67×10</w:t>
            </w:r>
            <w:r>
              <w:rPr>
                <w:rFonts w:hint="eastAsia" w:cs="Times New Roman"/>
                <w:i w:val="0"/>
                <w:iCs w:val="0"/>
                <w:color w:val="000000"/>
                <w:kern w:val="0"/>
                <w:sz w:val="21"/>
                <w:szCs w:val="21"/>
                <w:u w:val="none"/>
                <w:vertAlign w:val="superscript"/>
                <w:lang w:val="en-US" w:eastAsia="zh-CN" w:bidi="ar"/>
              </w:rPr>
              <w:t>-6</w:t>
            </w:r>
          </w:p>
        </w:tc>
        <w:tc>
          <w:tcPr>
            <w:tcW w:w="909" w:type="dxa"/>
            <w:tcBorders>
              <w:tl2br w:val="nil"/>
              <w:tr2bl w:val="nil"/>
            </w:tcBorders>
            <w:vAlign w:val="center"/>
          </w:tcPr>
          <w:p>
            <w:pPr>
              <w:widowControl w:val="0"/>
              <w:spacing w:line="360" w:lineRule="exact"/>
              <w:ind w:firstLine="0" w:firstLineChars="0"/>
              <w:jc w:val="center"/>
              <w:rPr>
                <w:rFonts w:hint="eastAsia" w:ascii="Times New Roman" w:hAnsi="Times New Roman" w:eastAsia="宋体" w:cs="Times New Roman"/>
                <w:sz w:val="21"/>
                <w:szCs w:val="21"/>
                <w:lang w:val="en-US" w:eastAsia="zh-CN"/>
              </w:rPr>
            </w:pPr>
            <w:r>
              <w:rPr>
                <w:rFonts w:hint="eastAsia" w:cs="Times New Roman"/>
                <w:i w:val="0"/>
                <w:iCs w:val="0"/>
                <w:color w:val="000000"/>
                <w:kern w:val="0"/>
                <w:sz w:val="21"/>
                <w:szCs w:val="21"/>
                <w:u w:val="none"/>
                <w:lang w:val="en-US" w:eastAsia="zh-CN" w:bidi="ar"/>
              </w:rPr>
              <w:t>0.0002</w:t>
            </w:r>
          </w:p>
        </w:tc>
      </w:tr>
    </w:tbl>
    <w:p>
      <w:pPr>
        <w:rPr>
          <w:rFonts w:hint="eastAsia" w:ascii="Times New Roman" w:hAnsi="Times New Roman" w:eastAsia="宋体" w:cs="宋体"/>
          <w:color w:val="auto"/>
          <w:sz w:val="24"/>
          <w:szCs w:val="22"/>
          <w:lang w:val="en-US" w:eastAsia="zh-CN" w:bidi="ar-SA"/>
        </w:rPr>
        <w:sectPr>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4"/>
        <w:gridCol w:w="86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72" w:hRule="atLeast"/>
          <w:jc w:val="center"/>
        </w:trPr>
        <w:tc>
          <w:tcPr>
            <w:tcW w:w="434" w:type="dxa"/>
            <w:noWrap w:val="0"/>
            <w:tcMar>
              <w:left w:w="28" w:type="dxa"/>
              <w:right w:w="28" w:type="dxa"/>
            </w:tcMar>
            <w:vAlign w:val="center"/>
          </w:tcPr>
          <w:p>
            <w:pPr>
              <w:widowControl/>
              <w:spacing w:before="0" w:beforeAutospacing="0" w:after="0" w:afterAutospacing="0" w:line="360" w:lineRule="auto"/>
              <w:ind w:right="-175" w:rightChars="-73" w:firstLine="482"/>
              <w:jc w:val="center"/>
              <w:rPr>
                <w:rFonts w:hint="eastAsia" w:ascii="Times New Roman" w:hAnsi="Times New Roman" w:eastAsia="宋体" w:cs="宋体"/>
                <w:color w:val="000000"/>
                <w:kern w:val="2"/>
                <w:sz w:val="24"/>
                <w:szCs w:val="24"/>
                <w:highlight w:val="none"/>
                <w:lang w:val="en-US" w:eastAsia="zh-CN" w:bidi="ar-SA"/>
              </w:rPr>
            </w:pPr>
            <w:r>
              <w:rPr>
                <w:rFonts w:hint="eastAsia" w:ascii="Times New Roman" w:hAnsi="Times New Roman" w:eastAsia="宋体" w:cs="宋体"/>
                <w:color w:val="000000"/>
                <w:kern w:val="2"/>
                <w:sz w:val="24"/>
                <w:szCs w:val="24"/>
                <w:highlight w:val="none"/>
                <w:lang w:val="en-US" w:eastAsia="zh-CN" w:bidi="ar-SA"/>
              </w:rPr>
              <w:t>运</w:t>
            </w:r>
          </w:p>
          <w:p>
            <w:pPr>
              <w:bidi w:val="0"/>
              <w:spacing w:line="360" w:lineRule="auto"/>
              <w:jc w:val="center"/>
              <w:rPr>
                <w:rFonts w:hint="default" w:ascii="Times New Roman" w:hAnsi="Times New Roman" w:eastAsia="宋体" w:cs="宋体"/>
                <w:lang w:val="en-US" w:eastAsia="zh-CN"/>
              </w:rPr>
            </w:pPr>
            <w:r>
              <w:rPr>
                <w:rFonts w:hint="eastAsia" w:ascii="Times New Roman" w:hAnsi="Times New Roman" w:eastAsia="宋体" w:cs="宋体"/>
                <w:color w:val="000000"/>
                <w:kern w:val="2"/>
                <w:sz w:val="24"/>
                <w:szCs w:val="24"/>
                <w:highlight w:val="none"/>
                <w:lang w:val="en-US" w:eastAsia="zh-CN" w:bidi="ar-SA"/>
              </w:rPr>
              <w:t>运营期环保措施</w:t>
            </w:r>
          </w:p>
        </w:tc>
        <w:tc>
          <w:tcPr>
            <w:tcW w:w="86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宋体"/>
                <w:color w:val="000000"/>
                <w:kern w:val="0"/>
                <w:sz w:val="24"/>
                <w:szCs w:val="24"/>
                <w:highlight w:val="none"/>
                <w:lang w:val="en-US" w:eastAsia="zh-CN" w:bidi="ar"/>
              </w:rPr>
            </w:pPr>
            <w:r>
              <w:rPr>
                <w:rFonts w:hint="eastAsia" w:ascii="Times New Roman" w:hAnsi="Times New Roman" w:eastAsia="宋体" w:cs="宋体"/>
                <w:color w:val="000000"/>
                <w:kern w:val="0"/>
                <w:sz w:val="24"/>
                <w:szCs w:val="24"/>
                <w:highlight w:val="none"/>
                <w:lang w:val="en-US" w:eastAsia="zh-CN" w:bidi="ar"/>
              </w:rPr>
              <w:t>（2）大气环境评价</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宋体" w:cs="Times New Roman"/>
                <w:color w:val="000000"/>
                <w:kern w:val="2"/>
                <w:sz w:val="24"/>
                <w:szCs w:val="24"/>
                <w:highlight w:val="none"/>
                <w:lang w:val="en-US" w:eastAsia="zh-CN" w:bidi="ar-SA"/>
              </w:rPr>
            </w:pPr>
            <w:r>
              <w:rPr>
                <w:rFonts w:ascii="Times New Roman" w:hAnsi="Times New Roman" w:eastAsia="宋体" w:cs="Times New Roman"/>
                <w:color w:val="000000"/>
                <w:kern w:val="2"/>
                <w:sz w:val="24"/>
                <w:szCs w:val="20"/>
                <w:lang w:val="en-US" w:eastAsia="zh-CN" w:bidi="ar-SA"/>
              </w:rPr>
              <w:t>估算数值计算参数见表</w:t>
            </w:r>
            <w:r>
              <w:rPr>
                <w:rFonts w:hint="eastAsia" w:ascii="Times New Roman" w:hAnsi="Times New Roman" w:eastAsia="宋体" w:cs="Times New Roman"/>
                <w:color w:val="000000"/>
                <w:kern w:val="2"/>
                <w:sz w:val="24"/>
                <w:szCs w:val="20"/>
                <w:lang w:val="en-US" w:eastAsia="zh-CN" w:bidi="ar-SA"/>
              </w:rPr>
              <w:t>4.5-</w:t>
            </w:r>
            <w:r>
              <w:rPr>
                <w:rFonts w:hint="eastAsia" w:cs="Times New Roman"/>
                <w:color w:val="000000"/>
                <w:kern w:val="2"/>
                <w:sz w:val="24"/>
                <w:szCs w:val="20"/>
                <w:lang w:val="en-US" w:eastAsia="zh-CN" w:bidi="ar-SA"/>
              </w:rPr>
              <w:t>6</w:t>
            </w:r>
            <w:r>
              <w:rPr>
                <w:rFonts w:ascii="Times New Roman" w:hAnsi="Times New Roman" w:eastAsia="宋体" w:cs="Times New Roman"/>
                <w:color w:val="000000"/>
                <w:kern w:val="2"/>
                <w:sz w:val="24"/>
                <w:szCs w:val="20"/>
                <w:lang w:val="en-US" w:eastAsia="zh-CN" w:bidi="ar-SA"/>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2" w:firstLineChars="200"/>
              <w:jc w:val="center"/>
              <w:textAlignment w:val="auto"/>
              <w:rPr>
                <w:rFonts w:hint="eastAsia" w:ascii="Times New Roman" w:hAnsi="Times New Roman" w:eastAsia="宋体" w:cs="Times New Roman"/>
                <w:b/>
                <w:bCs/>
                <w:color w:val="000000"/>
                <w:kern w:val="0"/>
                <w:sz w:val="24"/>
                <w:szCs w:val="24"/>
                <w:lang w:val="en-US" w:eastAsia="zh-CN" w:bidi="ar-SA"/>
              </w:rPr>
            </w:pPr>
            <w:r>
              <w:rPr>
                <w:rFonts w:hint="eastAsia" w:ascii="Times New Roman" w:hAnsi="Times New Roman" w:eastAsia="宋体" w:cs="Times New Roman"/>
                <w:b/>
                <w:bCs/>
                <w:color w:val="000000"/>
                <w:kern w:val="0"/>
                <w:sz w:val="24"/>
                <w:szCs w:val="24"/>
                <w:lang w:val="en-US" w:eastAsia="zh-CN" w:bidi="ar-SA"/>
              </w:rPr>
              <w:t>表4.5-</w:t>
            </w:r>
            <w:r>
              <w:rPr>
                <w:rFonts w:hint="eastAsia" w:cs="Times New Roman"/>
                <w:b/>
                <w:bCs/>
                <w:color w:val="000000"/>
                <w:kern w:val="0"/>
                <w:sz w:val="24"/>
                <w:szCs w:val="24"/>
                <w:lang w:val="en-US" w:eastAsia="zh-CN" w:bidi="ar-SA"/>
              </w:rPr>
              <w:t>6</w:t>
            </w:r>
            <w:r>
              <w:rPr>
                <w:rFonts w:hint="eastAsia" w:ascii="Times New Roman" w:hAnsi="Times New Roman" w:eastAsia="宋体" w:cs="Times New Roman"/>
                <w:b/>
                <w:bCs/>
                <w:color w:val="000000"/>
                <w:kern w:val="0"/>
                <w:sz w:val="24"/>
                <w:szCs w:val="24"/>
                <w:lang w:val="en-US" w:eastAsia="zh-CN" w:bidi="ar-SA"/>
              </w:rPr>
              <w:t>污染物计算参数选取表</w:t>
            </w:r>
          </w:p>
          <w:tbl>
            <w:tblPr>
              <w:tblStyle w:val="1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90"/>
              <w:gridCol w:w="506"/>
              <w:gridCol w:w="507"/>
              <w:gridCol w:w="109"/>
              <w:gridCol w:w="326"/>
              <w:gridCol w:w="447"/>
              <w:gridCol w:w="731"/>
              <w:gridCol w:w="778"/>
              <w:gridCol w:w="402"/>
              <w:gridCol w:w="371"/>
              <w:gridCol w:w="689"/>
              <w:gridCol w:w="765"/>
              <w:gridCol w:w="688"/>
              <w:gridCol w:w="454"/>
              <w:gridCol w:w="403"/>
              <w:gridCol w:w="320"/>
              <w:gridCol w:w="41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2" w:hRule="atLeast"/>
                <w:jc w:val="center"/>
              </w:trPr>
              <w:tc>
                <w:tcPr>
                  <w:tcW w:w="8504" w:type="dxa"/>
                  <w:gridSpan w:val="1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点源污染物计算参数选取表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2" w:hRule="atLeast"/>
                <w:jc w:val="center"/>
              </w:trPr>
              <w:tc>
                <w:tcPr>
                  <w:tcW w:w="5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rPr>
                    <w:t>名称</w:t>
                  </w:r>
                </w:p>
              </w:tc>
              <w:tc>
                <w:tcPr>
                  <w:tcW w:w="101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rPr>
                    <w:t>排气筒底部中心坐标/m</w:t>
                  </w:r>
                </w:p>
              </w:tc>
              <w:tc>
                <w:tcPr>
                  <w:tcW w:w="882" w:type="dxa"/>
                  <w:gridSpan w:val="3"/>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rPr>
                    <w:t>排气筒底部</w:t>
                  </w:r>
                  <w:r>
                    <w:rPr>
                      <w:rFonts w:hint="default" w:ascii="Times New Roman" w:hAnsi="Times New Roman" w:eastAsia="宋体" w:cs="Times New Roman"/>
                      <w:color w:val="000000"/>
                      <w:kern w:val="2"/>
                      <w:sz w:val="21"/>
                      <w:szCs w:val="24"/>
                      <w:lang w:val="en-US" w:eastAsia="zh-CN"/>
                    </w:rPr>
                    <w:t>海拔</w:t>
                  </w:r>
                  <w:r>
                    <w:rPr>
                      <w:rFonts w:hint="eastAsia" w:ascii="Times New Roman" w:hAnsi="Times New Roman" w:eastAsia="宋体" w:cs="Times New Roman"/>
                      <w:color w:val="000000"/>
                      <w:kern w:val="2"/>
                      <w:sz w:val="21"/>
                      <w:szCs w:val="24"/>
                      <w:lang w:val="en-US" w:eastAsia="zh-CN"/>
                    </w:rPr>
                    <w:t>高度/m</w:t>
                  </w:r>
                </w:p>
              </w:tc>
              <w:tc>
                <w:tcPr>
                  <w:tcW w:w="73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rPr>
                    <w:t>排气筒高度/m</w:t>
                  </w:r>
                </w:p>
              </w:tc>
              <w:tc>
                <w:tcPr>
                  <w:tcW w:w="77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rPr>
                    <w:t>排气筒出口内径/m</w:t>
                  </w:r>
                </w:p>
              </w:tc>
              <w:tc>
                <w:tcPr>
                  <w:tcW w:w="773"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rPr>
                    <w:t>烟气量/（m</w:t>
                  </w:r>
                  <w:r>
                    <w:rPr>
                      <w:rFonts w:hint="eastAsia" w:ascii="Times New Roman" w:hAnsi="Times New Roman" w:eastAsia="宋体" w:cs="Times New Roman"/>
                      <w:color w:val="000000"/>
                      <w:kern w:val="2"/>
                      <w:sz w:val="21"/>
                      <w:szCs w:val="24"/>
                      <w:vertAlign w:val="superscript"/>
                      <w:lang w:val="en-US" w:eastAsia="zh-CN"/>
                    </w:rPr>
                    <w:t>3</w:t>
                  </w:r>
                  <w:r>
                    <w:rPr>
                      <w:rFonts w:hint="eastAsia" w:ascii="Times New Roman" w:hAnsi="Times New Roman" w:eastAsia="宋体" w:cs="Times New Roman"/>
                      <w:color w:val="000000"/>
                      <w:kern w:val="2"/>
                      <w:sz w:val="21"/>
                      <w:szCs w:val="24"/>
                      <w:lang w:val="en-US" w:eastAsia="zh-CN"/>
                    </w:rPr>
                    <w:t>/h）</w:t>
                  </w:r>
                </w:p>
              </w:tc>
              <w:tc>
                <w:tcPr>
                  <w:tcW w:w="68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rPr>
                    <w:t>烟气温度/</w:t>
                  </w:r>
                  <w:r>
                    <w:rPr>
                      <w:rFonts w:hint="default" w:ascii="Times New Roman" w:hAnsi="Times New Roman" w:eastAsia="宋体" w:cs="Times New Roman"/>
                      <w:color w:val="000000"/>
                      <w:kern w:val="2"/>
                      <w:sz w:val="21"/>
                      <w:szCs w:val="24"/>
                      <w:lang w:val="en-US" w:eastAsia="zh-CN"/>
                    </w:rPr>
                    <w:t>℃</w:t>
                  </w:r>
                </w:p>
              </w:tc>
              <w:tc>
                <w:tcPr>
                  <w:tcW w:w="7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rPr>
                    <w:t>年排放小时数/h</w:t>
                  </w:r>
                </w:p>
              </w:tc>
              <w:tc>
                <w:tcPr>
                  <w:tcW w:w="6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rPr>
                    <w:t>排放工况</w:t>
                  </w:r>
                </w:p>
              </w:tc>
              <w:tc>
                <w:tcPr>
                  <w:tcW w:w="1595" w:type="dxa"/>
                  <w:gridSpan w:val="4"/>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rPr>
                    <w:t>污染物排放速率/（kg/h）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2" w:hRule="atLeast"/>
                <w:jc w:val="center"/>
              </w:trPr>
              <w:tc>
                <w:tcPr>
                  <w:tcW w:w="590"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rPr>
                    <w:t>X</w:t>
                  </w:r>
                </w:p>
              </w:tc>
              <w:tc>
                <w:tcPr>
                  <w:tcW w:w="5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rPr>
                    <w:t>Y</w:t>
                  </w:r>
                </w:p>
              </w:tc>
              <w:tc>
                <w:tcPr>
                  <w:tcW w:w="882" w:type="dxa"/>
                  <w:gridSpan w:val="3"/>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731"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778"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773" w:type="dxa"/>
                  <w:gridSpan w:val="2"/>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689"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765"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688"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1595" w:type="dxa"/>
                  <w:gridSpan w:val="4"/>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59" w:hRule="atLeast"/>
                <w:jc w:val="center"/>
              </w:trPr>
              <w:tc>
                <w:tcPr>
                  <w:tcW w:w="590" w:type="dxa"/>
                  <w:vMerge w:val="restart"/>
                  <w:tcBorders>
                    <w:tl2br w:val="nil"/>
                    <w:tr2bl w:val="nil"/>
                  </w:tcBorders>
                  <w:noWrap w:val="0"/>
                  <w:vAlign w:val="center"/>
                </w:tcPr>
                <w:p>
                  <w:pPr>
                    <w:widowControl w:val="0"/>
                    <w:autoSpaceDE w:val="0"/>
                    <w:autoSpaceDN w:val="0"/>
                    <w:spacing w:line="240" w:lineRule="auto"/>
                    <w:ind w:left="0" w:lef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DA00</w:t>
                  </w:r>
                  <w:r>
                    <w:rPr>
                      <w:rFonts w:hint="eastAsia" w:cs="Times New Roman"/>
                      <w:color w:val="000000"/>
                      <w:kern w:val="2"/>
                      <w:sz w:val="21"/>
                      <w:szCs w:val="21"/>
                      <w:lang w:val="en-US" w:eastAsia="zh-CN" w:bidi="ar-SA"/>
                    </w:rPr>
                    <w:t>1</w:t>
                  </w:r>
                </w:p>
                <w:p>
                  <w:pPr>
                    <w:widowControl w:val="0"/>
                    <w:autoSpaceDE w:val="0"/>
                    <w:autoSpaceDN w:val="0"/>
                    <w:spacing w:line="240" w:lineRule="auto"/>
                    <w:ind w:left="0" w:lef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一般排放口（</w:t>
                  </w:r>
                  <w:r>
                    <w:rPr>
                      <w:rFonts w:hint="eastAsia" w:ascii="Times New Roman" w:hAnsi="Times New Roman" w:eastAsia="宋体" w:cs="宋体"/>
                      <w:color w:val="auto"/>
                      <w:sz w:val="21"/>
                      <w:szCs w:val="22"/>
                      <w:lang w:val="en-US" w:eastAsia="zh-CN" w:bidi="ar-SA"/>
                    </w:rPr>
                    <w:t>生产车间排放口</w:t>
                  </w:r>
                  <w:r>
                    <w:rPr>
                      <w:rFonts w:hint="eastAsia" w:ascii="Times New Roman" w:hAnsi="Times New Roman" w:eastAsia="宋体" w:cs="Times New Roman"/>
                      <w:color w:val="000000"/>
                      <w:kern w:val="2"/>
                      <w:sz w:val="21"/>
                      <w:szCs w:val="21"/>
                      <w:lang w:val="en-US" w:eastAsia="zh-CN" w:bidi="ar-SA"/>
                    </w:rPr>
                    <w:t>）</w:t>
                  </w:r>
                </w:p>
              </w:tc>
              <w:tc>
                <w:tcPr>
                  <w:tcW w:w="506" w:type="dxa"/>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lang w:val="en-US" w:eastAsia="zh-CN" w:bidi="ar-SA"/>
                    </w:rPr>
                    <w:t>-17</w:t>
                  </w:r>
                </w:p>
              </w:tc>
              <w:tc>
                <w:tcPr>
                  <w:tcW w:w="507" w:type="dxa"/>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11</w:t>
                  </w:r>
                </w:p>
              </w:tc>
              <w:tc>
                <w:tcPr>
                  <w:tcW w:w="882" w:type="dxa"/>
                  <w:gridSpan w:val="3"/>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after="0" w:line="300" w:lineRule="exact"/>
                    <w:ind w:left="0" w:leftChars="0" w:right="0" w:rightChars="0" w:firstLine="0" w:firstLineChars="0"/>
                    <w:jc w:val="center"/>
                    <w:textAlignment w:val="auto"/>
                    <w:rPr>
                      <w:rFonts w:hint="default" w:ascii="Times New Roman" w:hAnsi="Times New Roman" w:eastAsia="宋体" w:cs="Times New Roman"/>
                      <w:bCs w:val="0"/>
                      <w:color w:val="000000"/>
                      <w:spacing w:val="0"/>
                      <w:kern w:val="2"/>
                      <w:sz w:val="21"/>
                      <w:szCs w:val="21"/>
                      <w:lang w:val="en-US" w:eastAsia="zh-CN" w:bidi="ar-SA"/>
                    </w:rPr>
                  </w:pPr>
                  <w:r>
                    <w:rPr>
                      <w:rFonts w:hint="eastAsia" w:cs="Times New Roman"/>
                      <w:bCs w:val="0"/>
                      <w:color w:val="000000"/>
                      <w:spacing w:val="0"/>
                      <w:kern w:val="2"/>
                      <w:sz w:val="21"/>
                      <w:szCs w:val="21"/>
                      <w:lang w:val="en-US" w:eastAsia="zh-CN" w:bidi="ar-SA"/>
                    </w:rPr>
                    <w:t>512</w:t>
                  </w:r>
                </w:p>
              </w:tc>
              <w:tc>
                <w:tcPr>
                  <w:tcW w:w="731" w:type="dxa"/>
                  <w:vMerge w:val="restart"/>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Cs w:val="0"/>
                      <w:color w:val="000000"/>
                      <w:spacing w:val="0"/>
                      <w:kern w:val="2"/>
                      <w:sz w:val="21"/>
                      <w:szCs w:val="21"/>
                      <w:lang w:val="en-US" w:eastAsia="zh-CN"/>
                    </w:rPr>
                  </w:pPr>
                  <w:r>
                    <w:rPr>
                      <w:rFonts w:hint="eastAsia" w:cs="Times New Roman"/>
                      <w:bCs w:val="0"/>
                      <w:color w:val="000000"/>
                      <w:spacing w:val="0"/>
                      <w:kern w:val="2"/>
                      <w:sz w:val="21"/>
                      <w:szCs w:val="21"/>
                      <w:lang w:val="en-US" w:eastAsia="zh-CN"/>
                    </w:rPr>
                    <w:t>20</w:t>
                  </w:r>
                </w:p>
              </w:tc>
              <w:tc>
                <w:tcPr>
                  <w:tcW w:w="77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after="0" w:line="300" w:lineRule="exact"/>
                    <w:ind w:left="0" w:leftChars="0" w:right="0" w:rightChars="0" w:firstLine="0" w:firstLineChars="0"/>
                    <w:jc w:val="center"/>
                    <w:textAlignment w:val="auto"/>
                    <w:rPr>
                      <w:rFonts w:hint="default" w:ascii="Times New Roman" w:hAnsi="Times New Roman" w:eastAsia="宋体" w:cs="Times New Roman"/>
                      <w:bCs w:val="0"/>
                      <w:color w:val="000000"/>
                      <w:spacing w:val="0"/>
                      <w:kern w:val="2"/>
                      <w:sz w:val="21"/>
                      <w:szCs w:val="21"/>
                      <w:lang w:val="en-US" w:eastAsia="zh-CN"/>
                    </w:rPr>
                  </w:pPr>
                  <w:r>
                    <w:rPr>
                      <w:rFonts w:hint="eastAsia" w:cs="Times New Roman"/>
                      <w:bCs w:val="0"/>
                      <w:color w:val="000000"/>
                      <w:spacing w:val="0"/>
                      <w:kern w:val="2"/>
                      <w:sz w:val="21"/>
                      <w:szCs w:val="21"/>
                      <w:lang w:val="en-US" w:eastAsia="zh-CN"/>
                    </w:rPr>
                    <w:t>0.7</w:t>
                  </w:r>
                </w:p>
              </w:tc>
              <w:tc>
                <w:tcPr>
                  <w:tcW w:w="773"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highlight w:val="none"/>
                      <w:lang w:val="en-US" w:eastAsia="zh-CN"/>
                    </w:rPr>
                  </w:pPr>
                  <w:r>
                    <w:rPr>
                      <w:rFonts w:hint="eastAsia" w:cs="Times New Roman"/>
                      <w:color w:val="000000"/>
                      <w:kern w:val="2"/>
                      <w:sz w:val="21"/>
                      <w:szCs w:val="24"/>
                      <w:highlight w:val="none"/>
                      <w:lang w:val="en-US" w:eastAsia="zh-CN"/>
                    </w:rPr>
                    <w:t>20</w:t>
                  </w:r>
                  <w:r>
                    <w:rPr>
                      <w:rFonts w:hint="eastAsia" w:ascii="Times New Roman" w:hAnsi="Times New Roman" w:eastAsia="宋体" w:cs="Times New Roman"/>
                      <w:color w:val="000000"/>
                      <w:kern w:val="2"/>
                      <w:sz w:val="21"/>
                      <w:szCs w:val="24"/>
                      <w:highlight w:val="none"/>
                      <w:lang w:val="en-US" w:eastAsia="zh-CN"/>
                    </w:rPr>
                    <w:t>000</w:t>
                  </w:r>
                </w:p>
              </w:tc>
              <w:tc>
                <w:tcPr>
                  <w:tcW w:w="68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20</w:t>
                  </w:r>
                </w:p>
              </w:tc>
              <w:tc>
                <w:tcPr>
                  <w:tcW w:w="7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Times New Roman" w:hAnsi="Times New Roman" w:eastAsia="宋体" w:cs="Times New Roman"/>
                      <w:bCs w:val="0"/>
                      <w:color w:val="000000"/>
                      <w:spacing w:val="0"/>
                      <w:kern w:val="2"/>
                      <w:sz w:val="21"/>
                      <w:szCs w:val="21"/>
                      <w:lang w:val="en-US" w:eastAsia="zh-CN"/>
                    </w:rPr>
                  </w:pPr>
                  <w:r>
                    <w:rPr>
                      <w:rFonts w:hint="eastAsia" w:ascii="Times New Roman" w:hAnsi="Times New Roman" w:eastAsia="宋体" w:cs="Times New Roman"/>
                      <w:bCs w:val="0"/>
                      <w:color w:val="000000"/>
                      <w:spacing w:val="0"/>
                      <w:kern w:val="2"/>
                      <w:sz w:val="21"/>
                      <w:szCs w:val="21"/>
                      <w:lang w:val="en-US" w:eastAsia="zh-CN"/>
                    </w:rPr>
                    <w:t>2400</w:t>
                  </w:r>
                </w:p>
              </w:tc>
              <w:tc>
                <w:tcPr>
                  <w:tcW w:w="6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bCs w:val="0"/>
                      <w:color w:val="000000"/>
                      <w:spacing w:val="0"/>
                      <w:kern w:val="2"/>
                      <w:sz w:val="21"/>
                      <w:szCs w:val="21"/>
                      <w:lang w:val="en-US" w:eastAsia="zh-CN" w:bidi="ar-SA"/>
                    </w:rPr>
                  </w:pPr>
                  <w:r>
                    <w:rPr>
                      <w:rFonts w:hint="eastAsia" w:ascii="Times New Roman" w:hAnsi="Times New Roman" w:eastAsia="宋体" w:cs="Times New Roman"/>
                      <w:bCs w:val="0"/>
                      <w:color w:val="000000"/>
                      <w:spacing w:val="0"/>
                      <w:kern w:val="2"/>
                      <w:sz w:val="21"/>
                      <w:szCs w:val="21"/>
                      <w:lang w:val="en-US" w:eastAsia="zh-CN" w:bidi="ar-SA"/>
                    </w:rPr>
                    <w:t>正常</w:t>
                  </w:r>
                </w:p>
              </w:tc>
              <w:tc>
                <w:tcPr>
                  <w:tcW w:w="1177" w:type="dxa"/>
                  <w:gridSpan w:val="3"/>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非甲烷总烃</w:t>
                  </w:r>
                </w:p>
              </w:tc>
              <w:tc>
                <w:tcPr>
                  <w:tcW w:w="4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5833</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8" w:hRule="atLeast"/>
                <w:jc w:val="center"/>
              </w:trPr>
              <w:tc>
                <w:tcPr>
                  <w:tcW w:w="590" w:type="dxa"/>
                  <w:vMerge w:val="continue"/>
                  <w:tcBorders>
                    <w:tl2br w:val="nil"/>
                    <w:tr2bl w:val="nil"/>
                  </w:tcBorders>
                  <w:noWrap w:val="0"/>
                  <w:vAlign w:val="center"/>
                </w:tcPr>
                <w:p>
                  <w:pPr>
                    <w:jc w:val="center"/>
                    <w:rPr>
                      <w:rFonts w:ascii="Times New Roman" w:hAnsi="Times New Roman" w:eastAsia="宋体" w:cs="宋体"/>
                    </w:rPr>
                  </w:pPr>
                </w:p>
              </w:tc>
              <w:tc>
                <w:tcPr>
                  <w:tcW w:w="506" w:type="dxa"/>
                  <w:vMerge w:val="continue"/>
                  <w:tcBorders>
                    <w:tl2br w:val="nil"/>
                    <w:tr2bl w:val="nil"/>
                  </w:tcBorders>
                  <w:noWrap w:val="0"/>
                  <w:vAlign w:val="center"/>
                </w:tcPr>
                <w:p>
                  <w:pPr>
                    <w:jc w:val="center"/>
                    <w:rPr>
                      <w:rFonts w:ascii="Times New Roman" w:hAnsi="Times New Roman" w:eastAsia="宋体" w:cs="宋体"/>
                    </w:rPr>
                  </w:pPr>
                </w:p>
              </w:tc>
              <w:tc>
                <w:tcPr>
                  <w:tcW w:w="507" w:type="dxa"/>
                  <w:vMerge w:val="continue"/>
                  <w:tcBorders>
                    <w:tl2br w:val="nil"/>
                    <w:tr2bl w:val="nil"/>
                  </w:tcBorders>
                  <w:noWrap w:val="0"/>
                  <w:vAlign w:val="center"/>
                </w:tcPr>
                <w:p>
                  <w:pPr>
                    <w:jc w:val="center"/>
                    <w:rPr>
                      <w:rFonts w:ascii="Times New Roman" w:hAnsi="Times New Roman" w:eastAsia="宋体" w:cs="宋体"/>
                    </w:rPr>
                  </w:pPr>
                </w:p>
              </w:tc>
              <w:tc>
                <w:tcPr>
                  <w:tcW w:w="882" w:type="dxa"/>
                  <w:gridSpan w:val="3"/>
                  <w:vMerge w:val="continue"/>
                  <w:tcBorders>
                    <w:tl2br w:val="nil"/>
                    <w:tr2bl w:val="nil"/>
                  </w:tcBorders>
                  <w:noWrap w:val="0"/>
                  <w:vAlign w:val="center"/>
                </w:tcPr>
                <w:p>
                  <w:pPr>
                    <w:jc w:val="center"/>
                    <w:rPr>
                      <w:rFonts w:ascii="Times New Roman" w:hAnsi="Times New Roman" w:eastAsia="宋体" w:cs="宋体"/>
                    </w:rPr>
                  </w:pPr>
                </w:p>
              </w:tc>
              <w:tc>
                <w:tcPr>
                  <w:tcW w:w="731" w:type="dxa"/>
                  <w:vMerge w:val="continue"/>
                  <w:tcBorders>
                    <w:tl2br w:val="nil"/>
                    <w:tr2bl w:val="nil"/>
                  </w:tcBorders>
                  <w:noWrap w:val="0"/>
                  <w:vAlign w:val="center"/>
                </w:tcPr>
                <w:p>
                  <w:pPr>
                    <w:jc w:val="center"/>
                    <w:rPr>
                      <w:rFonts w:ascii="Times New Roman" w:hAnsi="Times New Roman" w:eastAsia="宋体" w:cs="宋体"/>
                    </w:rPr>
                  </w:pPr>
                </w:p>
              </w:tc>
              <w:tc>
                <w:tcPr>
                  <w:tcW w:w="778" w:type="dxa"/>
                  <w:vMerge w:val="continue"/>
                  <w:tcBorders>
                    <w:tl2br w:val="nil"/>
                    <w:tr2bl w:val="nil"/>
                  </w:tcBorders>
                  <w:noWrap w:val="0"/>
                  <w:vAlign w:val="center"/>
                </w:tcPr>
                <w:p>
                  <w:pPr>
                    <w:jc w:val="center"/>
                    <w:rPr>
                      <w:rFonts w:ascii="Times New Roman" w:hAnsi="Times New Roman" w:eastAsia="宋体" w:cs="宋体"/>
                    </w:rPr>
                  </w:pPr>
                </w:p>
              </w:tc>
              <w:tc>
                <w:tcPr>
                  <w:tcW w:w="773" w:type="dxa"/>
                  <w:gridSpan w:val="2"/>
                  <w:vMerge w:val="continue"/>
                  <w:tcBorders>
                    <w:tl2br w:val="nil"/>
                    <w:tr2bl w:val="nil"/>
                  </w:tcBorders>
                  <w:noWrap w:val="0"/>
                  <w:vAlign w:val="center"/>
                </w:tcPr>
                <w:p>
                  <w:pPr>
                    <w:jc w:val="center"/>
                    <w:rPr>
                      <w:rFonts w:ascii="Times New Roman" w:hAnsi="Times New Roman" w:eastAsia="宋体" w:cs="宋体"/>
                    </w:rPr>
                  </w:pPr>
                </w:p>
              </w:tc>
              <w:tc>
                <w:tcPr>
                  <w:tcW w:w="689" w:type="dxa"/>
                  <w:vMerge w:val="continue"/>
                  <w:tcBorders>
                    <w:tl2br w:val="nil"/>
                    <w:tr2bl w:val="nil"/>
                  </w:tcBorders>
                  <w:noWrap w:val="0"/>
                  <w:vAlign w:val="center"/>
                </w:tcPr>
                <w:p>
                  <w:pPr>
                    <w:jc w:val="center"/>
                    <w:rPr>
                      <w:rFonts w:ascii="Times New Roman" w:hAnsi="Times New Roman" w:eastAsia="宋体" w:cs="宋体"/>
                    </w:rPr>
                  </w:pPr>
                </w:p>
              </w:tc>
              <w:tc>
                <w:tcPr>
                  <w:tcW w:w="765" w:type="dxa"/>
                  <w:vMerge w:val="continue"/>
                  <w:tcBorders>
                    <w:tl2br w:val="nil"/>
                    <w:tr2bl w:val="nil"/>
                  </w:tcBorders>
                  <w:noWrap w:val="0"/>
                  <w:vAlign w:val="center"/>
                </w:tcPr>
                <w:p>
                  <w:pPr>
                    <w:jc w:val="center"/>
                    <w:rPr>
                      <w:rFonts w:ascii="Times New Roman" w:hAnsi="Times New Roman" w:eastAsia="宋体" w:cs="宋体"/>
                    </w:rPr>
                  </w:pPr>
                </w:p>
              </w:tc>
              <w:tc>
                <w:tcPr>
                  <w:tcW w:w="688" w:type="dxa"/>
                  <w:vMerge w:val="continue"/>
                  <w:tcBorders>
                    <w:tl2br w:val="nil"/>
                    <w:tr2bl w:val="nil"/>
                  </w:tcBorders>
                  <w:noWrap w:val="0"/>
                  <w:vAlign w:val="center"/>
                </w:tcPr>
                <w:p>
                  <w:pPr>
                    <w:jc w:val="center"/>
                    <w:rPr>
                      <w:rFonts w:ascii="Times New Roman" w:hAnsi="Times New Roman" w:eastAsia="宋体" w:cs="宋体"/>
                    </w:rPr>
                  </w:pPr>
                </w:p>
              </w:tc>
              <w:tc>
                <w:tcPr>
                  <w:tcW w:w="1177" w:type="dxa"/>
                  <w:gridSpan w:val="3"/>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氯化氢</w:t>
                  </w:r>
                </w:p>
              </w:tc>
              <w:tc>
                <w:tcPr>
                  <w:tcW w:w="4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4"/>
                      <w:highlight w:val="none"/>
                      <w:lang w:val="en-US" w:eastAsia="zh-CN"/>
                    </w:rPr>
                  </w:pPr>
                  <w:r>
                    <w:rPr>
                      <w:rFonts w:hint="eastAsia" w:cs="Times New Roman"/>
                      <w:i w:val="0"/>
                      <w:iCs w:val="0"/>
                      <w:color w:val="000000"/>
                      <w:kern w:val="0"/>
                      <w:sz w:val="21"/>
                      <w:szCs w:val="21"/>
                      <w:u w:val="none"/>
                      <w:lang w:val="en-US" w:eastAsia="zh-CN" w:bidi="ar"/>
                    </w:rPr>
                    <w:t>4.17×10</w:t>
                  </w:r>
                  <w:r>
                    <w:rPr>
                      <w:rFonts w:hint="eastAsia" w:cs="Times New Roman"/>
                      <w:i w:val="0"/>
                      <w:iCs w:val="0"/>
                      <w:color w:val="000000"/>
                      <w:kern w:val="0"/>
                      <w:sz w:val="21"/>
                      <w:szCs w:val="21"/>
                      <w:u w:val="none"/>
                      <w:vertAlign w:val="superscript"/>
                      <w:lang w:val="en-US" w:eastAsia="zh-CN" w:bidi="ar"/>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4" w:type="dxa"/>
                  <w:gridSpan w:val="17"/>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面源污染物计算参数选取表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90" w:type="dxa"/>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编号</w:t>
                  </w:r>
                </w:p>
              </w:tc>
              <w:tc>
                <w:tcPr>
                  <w:tcW w:w="1013" w:type="dxa"/>
                  <w:gridSpan w:val="2"/>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名称</w:t>
                  </w:r>
                </w:p>
              </w:tc>
              <w:tc>
                <w:tcPr>
                  <w:tcW w:w="882" w:type="dxa"/>
                  <w:gridSpan w:val="3"/>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面源起点坐标/m</w:t>
                  </w:r>
                </w:p>
              </w:tc>
              <w:tc>
                <w:tcPr>
                  <w:tcW w:w="731" w:type="dxa"/>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面源海拔高度/m</w:t>
                  </w:r>
                </w:p>
              </w:tc>
              <w:tc>
                <w:tcPr>
                  <w:tcW w:w="778" w:type="dxa"/>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面源宽度/m</w:t>
                  </w:r>
                </w:p>
              </w:tc>
              <w:tc>
                <w:tcPr>
                  <w:tcW w:w="773" w:type="dxa"/>
                  <w:gridSpan w:val="2"/>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面源长度/m</w:t>
                  </w:r>
                </w:p>
              </w:tc>
              <w:tc>
                <w:tcPr>
                  <w:tcW w:w="689" w:type="dxa"/>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与正北向夹角/（°）</w:t>
                  </w:r>
                </w:p>
              </w:tc>
              <w:tc>
                <w:tcPr>
                  <w:tcW w:w="765" w:type="dxa"/>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面源有效排放高度/m</w:t>
                  </w:r>
                </w:p>
              </w:tc>
              <w:tc>
                <w:tcPr>
                  <w:tcW w:w="688" w:type="dxa"/>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年排放小时数/h</w:t>
                  </w:r>
                </w:p>
              </w:tc>
              <w:tc>
                <w:tcPr>
                  <w:tcW w:w="454" w:type="dxa"/>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排放工况</w:t>
                  </w:r>
                </w:p>
              </w:tc>
              <w:tc>
                <w:tcPr>
                  <w:tcW w:w="1141" w:type="dxa"/>
                  <w:gridSpan w:val="3"/>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污染排放速率（kg/h）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90"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1013" w:type="dxa"/>
                  <w:gridSpan w:val="2"/>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435" w:type="dxa"/>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X</w:t>
                  </w:r>
                </w:p>
              </w:tc>
              <w:tc>
                <w:tcPr>
                  <w:tcW w:w="447"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Y</w:t>
                  </w:r>
                </w:p>
              </w:tc>
              <w:tc>
                <w:tcPr>
                  <w:tcW w:w="731"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778"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773" w:type="dxa"/>
                  <w:gridSpan w:val="2"/>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689"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765"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688"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p>
              </w:tc>
              <w:tc>
                <w:tcPr>
                  <w:tcW w:w="454"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p>
              </w:tc>
              <w:tc>
                <w:tcPr>
                  <w:tcW w:w="403" w:type="dxa"/>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 xml:space="preserve">非甲烷总烃 </w:t>
                  </w:r>
                </w:p>
              </w:tc>
              <w:tc>
                <w:tcPr>
                  <w:tcW w:w="320"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宋体"/>
                      <w:color w:val="000000" w:themeColor="text1"/>
                      <w:sz w:val="21"/>
                      <w:szCs w:val="22"/>
                      <w:lang w:val="en-US" w:eastAsia="zh-CN" w:bidi="ar-SA"/>
                      <w14:textFill>
                        <w14:solidFill>
                          <w14:schemeClr w14:val="tx1"/>
                        </w14:solidFill>
                      </w14:textFill>
                    </w:rPr>
                  </w:pPr>
                  <w:r>
                    <w:rPr>
                      <w:rFonts w:hint="eastAsia" w:ascii="Times New Roman" w:hAnsi="Times New Roman" w:eastAsia="宋体" w:cs="Times New Roman"/>
                      <w:color w:val="000000"/>
                      <w:kern w:val="2"/>
                      <w:sz w:val="21"/>
                      <w:szCs w:val="24"/>
                      <w:lang w:val="en-US" w:eastAsia="zh-CN" w:bidi="ar-SA"/>
                    </w:rPr>
                    <w:t>氯化氢</w:t>
                  </w:r>
                </w:p>
              </w:tc>
              <w:tc>
                <w:tcPr>
                  <w:tcW w:w="418"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颗粒物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90"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1013" w:type="dxa"/>
                  <w:gridSpan w:val="2"/>
                  <w:tcBorders>
                    <w:tl2br w:val="nil"/>
                    <w:tr2bl w:val="nil"/>
                  </w:tcBorders>
                  <w:noWrap w:val="0"/>
                  <w:vAlign w:val="center"/>
                </w:tcPr>
                <w:p>
                  <w:pPr>
                    <w:widowControl w:val="0"/>
                    <w:bidi w:val="0"/>
                    <w:spacing w:line="36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厂界</w:t>
                  </w:r>
                </w:p>
              </w:tc>
              <w:tc>
                <w:tcPr>
                  <w:tcW w:w="435" w:type="dxa"/>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-27</w:t>
                  </w:r>
                </w:p>
              </w:tc>
              <w:tc>
                <w:tcPr>
                  <w:tcW w:w="447"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109</w:t>
                  </w:r>
                </w:p>
              </w:tc>
              <w:tc>
                <w:tcPr>
                  <w:tcW w:w="731"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jc w:val="center"/>
                    <w:textAlignment w:val="baseline"/>
                    <w:rPr>
                      <w:rFonts w:hint="default" w:ascii="Times New Roman" w:hAnsi="Times New Roman" w:eastAsia="宋体" w:cs="宋体"/>
                      <w:color w:val="auto"/>
                      <w:sz w:val="21"/>
                      <w:szCs w:val="21"/>
                      <w:lang w:val="en-US" w:eastAsia="zh-CN"/>
                    </w:rPr>
                  </w:pPr>
                  <w:r>
                    <w:rPr>
                      <w:rFonts w:hint="eastAsia" w:cs="宋体"/>
                      <w:color w:val="auto"/>
                      <w:sz w:val="21"/>
                      <w:szCs w:val="22"/>
                      <w:lang w:val="en-US" w:eastAsia="zh-CN" w:bidi="ar-SA"/>
                    </w:rPr>
                    <w:t>512</w:t>
                  </w:r>
                </w:p>
              </w:tc>
              <w:tc>
                <w:tcPr>
                  <w:tcW w:w="778"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62</w:t>
                  </w:r>
                </w:p>
              </w:tc>
              <w:tc>
                <w:tcPr>
                  <w:tcW w:w="773" w:type="dxa"/>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213.13</w:t>
                  </w:r>
                </w:p>
              </w:tc>
              <w:tc>
                <w:tcPr>
                  <w:tcW w:w="689"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4"/>
                      <w:lang w:val="en-US" w:eastAsia="zh-CN" w:bidi="ar-SA"/>
                    </w:rPr>
                    <w:t>69.55</w:t>
                  </w:r>
                </w:p>
              </w:tc>
              <w:tc>
                <w:tcPr>
                  <w:tcW w:w="765"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jc w:val="center"/>
                    <w:textAlignment w:val="baseline"/>
                    <w:rPr>
                      <w:rFonts w:hint="default" w:ascii="Times New Roman" w:hAnsi="Times New Roman" w:eastAsia="宋体" w:cs="宋体"/>
                      <w:color w:val="auto"/>
                      <w:lang w:val="en-US" w:eastAsia="zh-CN"/>
                    </w:rPr>
                  </w:pPr>
                  <w:r>
                    <w:rPr>
                      <w:rFonts w:hint="eastAsia" w:cs="Times New Roman"/>
                      <w:bCs w:val="0"/>
                      <w:color w:val="000000"/>
                      <w:spacing w:val="0"/>
                      <w:kern w:val="2"/>
                      <w:sz w:val="21"/>
                      <w:szCs w:val="21"/>
                      <w:lang w:val="en-US" w:eastAsia="zh-CN" w:bidi="ar-SA"/>
                    </w:rPr>
                    <w:t>12</w:t>
                  </w:r>
                </w:p>
              </w:tc>
              <w:tc>
                <w:tcPr>
                  <w:tcW w:w="688"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default" w:ascii="Times New Roman" w:hAnsi="Times New Roman" w:eastAsia="宋体" w:cs="Times New Roman"/>
                      <w:bCs w:val="0"/>
                      <w:color w:val="000000"/>
                      <w:spacing w:val="0"/>
                      <w:kern w:val="2"/>
                      <w:sz w:val="21"/>
                      <w:szCs w:val="21"/>
                      <w:lang w:val="en-US" w:eastAsia="zh-CN"/>
                    </w:rPr>
                  </w:pPr>
                  <w:r>
                    <w:rPr>
                      <w:rFonts w:hint="eastAsia" w:ascii="Times New Roman" w:hAnsi="Times New Roman" w:eastAsia="宋体" w:cs="Times New Roman"/>
                      <w:bCs w:val="0"/>
                      <w:color w:val="000000"/>
                      <w:spacing w:val="0"/>
                      <w:kern w:val="2"/>
                      <w:sz w:val="21"/>
                      <w:szCs w:val="21"/>
                      <w:lang w:val="en-US" w:eastAsia="zh-CN"/>
                    </w:rPr>
                    <w:t>2400</w:t>
                  </w:r>
                </w:p>
              </w:tc>
              <w:tc>
                <w:tcPr>
                  <w:tcW w:w="454"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宋体"/>
                      <w:color w:val="000000"/>
                      <w:lang w:val="en-US" w:eastAsia="zh-CN"/>
                    </w:rPr>
                  </w:pPr>
                  <w:r>
                    <w:rPr>
                      <w:rFonts w:hint="eastAsia" w:ascii="Times New Roman" w:hAnsi="Times New Roman" w:eastAsia="宋体" w:cs="Times New Roman"/>
                      <w:color w:val="000000"/>
                      <w:kern w:val="2"/>
                      <w:sz w:val="21"/>
                      <w:szCs w:val="24"/>
                      <w:lang w:val="en-US" w:eastAsia="zh-CN" w:bidi="ar-SA"/>
                    </w:rPr>
                    <w:t>连续</w:t>
                  </w:r>
                </w:p>
              </w:tc>
              <w:tc>
                <w:tcPr>
                  <w:tcW w:w="403"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color w:val="000000"/>
                      <w:kern w:val="2"/>
                      <w:sz w:val="21"/>
                      <w:szCs w:val="24"/>
                      <w:lang w:val="en-US" w:eastAsia="zh-CN" w:bidi="ar-SA"/>
                    </w:rPr>
                  </w:pPr>
                  <w:r>
                    <w:rPr>
                      <w:rFonts w:hint="eastAsia" w:cs="Times New Roman"/>
                      <w:i w:val="0"/>
                      <w:iCs w:val="0"/>
                      <w:color w:val="000000"/>
                      <w:kern w:val="0"/>
                      <w:sz w:val="21"/>
                      <w:szCs w:val="21"/>
                      <w:u w:val="none"/>
                      <w:lang w:val="en-US" w:eastAsia="zh-CN" w:bidi="ar"/>
                    </w:rPr>
                    <w:t>0.3625</w:t>
                  </w:r>
                </w:p>
              </w:tc>
              <w:tc>
                <w:tcPr>
                  <w:tcW w:w="320" w:type="dxa"/>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1.67×10</w:t>
                  </w:r>
                  <w:r>
                    <w:rPr>
                      <w:rFonts w:hint="eastAsia" w:cs="Times New Roman"/>
                      <w:i w:val="0"/>
                      <w:iCs w:val="0"/>
                      <w:color w:val="000000"/>
                      <w:kern w:val="0"/>
                      <w:sz w:val="21"/>
                      <w:szCs w:val="21"/>
                      <w:u w:val="none"/>
                      <w:vertAlign w:val="superscript"/>
                      <w:lang w:val="en-US" w:eastAsia="zh-CN" w:bidi="ar"/>
                    </w:rPr>
                    <w:t>-6</w:t>
                  </w:r>
                </w:p>
              </w:tc>
              <w:tc>
                <w:tcPr>
                  <w:tcW w:w="418" w:type="dxa"/>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sz w:val="21"/>
                      <w:szCs w:val="21"/>
                      <w:lang w:val="en-US" w:eastAsia="zh-CN"/>
                    </w:rPr>
                  </w:pPr>
                  <w:r>
                    <w:rPr>
                      <w:rFonts w:hint="eastAsia" w:cs="Times New Roman"/>
                      <w:i w:val="0"/>
                      <w:iCs w:val="0"/>
                      <w:color w:val="000000"/>
                      <w:kern w:val="0"/>
                      <w:sz w:val="21"/>
                      <w:szCs w:val="21"/>
                      <w:u w:val="none"/>
                      <w:lang w:val="en-US" w:eastAsia="zh-CN" w:bidi="ar"/>
                    </w:rPr>
                    <w:t>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396" w:type="dxa"/>
                  <w:gridSpan w:val="9"/>
                  <w:tcBorders>
                    <w:tl2br w:val="nil"/>
                    <w:tr2bl w:val="nil"/>
                  </w:tcBorders>
                  <w:noWrap w:val="0"/>
                  <w:vAlign w:val="center"/>
                </w:tcPr>
                <w:p>
                  <w:pPr>
                    <w:widowControl w:val="0"/>
                    <w:overflowPunct w:val="0"/>
                    <w:autoSpaceDE w:val="0"/>
                    <w:autoSpaceDN w:val="0"/>
                    <w:adjustRightInd w:val="0"/>
                    <w:snapToGrid w:val="0"/>
                    <w:spacing w:before="0" w:after="0" w:line="320" w:lineRule="exact"/>
                    <w:ind w:left="0" w:right="0" w:firstLine="420" w:firstLineChars="20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参数</w:t>
                  </w:r>
                </w:p>
              </w:tc>
              <w:tc>
                <w:tcPr>
                  <w:tcW w:w="4108" w:type="dxa"/>
                  <w:gridSpan w:val="8"/>
                  <w:tcBorders>
                    <w:tl2br w:val="nil"/>
                    <w:tr2bl w:val="nil"/>
                  </w:tcBorders>
                  <w:noWrap w:val="0"/>
                  <w:vAlign w:val="center"/>
                </w:tcPr>
                <w:p>
                  <w:pPr>
                    <w:overflowPunct w:val="0"/>
                    <w:autoSpaceDE w:val="0"/>
                    <w:autoSpaceDN w:val="0"/>
                    <w:adjustRightInd w:val="0"/>
                    <w:snapToGrid w:val="0"/>
                    <w:jc w:val="center"/>
                    <w:rPr>
                      <w:rFonts w:hint="default" w:ascii="Times New Roman" w:hAnsi="Times New Roman" w:eastAsia="宋体" w:cs="Times New Roman"/>
                      <w:color w:val="000000"/>
                      <w:kern w:val="0"/>
                      <w:sz w:val="21"/>
                      <w:szCs w:val="21"/>
                      <w:lang w:val="en-US" w:eastAsia="zh-CN" w:bidi="ar-SA"/>
                    </w:rPr>
                  </w:pPr>
                  <w:r>
                    <w:rPr>
                      <w:rFonts w:ascii="Times New Roman" w:hAnsi="Times New Roman" w:eastAsia="宋体" w:cs="Times New Roman"/>
                      <w:color w:val="000000"/>
                      <w:sz w:val="21"/>
                      <w:szCs w:val="21"/>
                    </w:rPr>
                    <w:t>取值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12" w:type="dxa"/>
                  <w:gridSpan w:val="4"/>
                  <w:vMerge w:val="restart"/>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bCs/>
                      <w:color w:val="000000"/>
                      <w:kern w:val="2"/>
                      <w:sz w:val="21"/>
                      <w:szCs w:val="21"/>
                    </w:rPr>
                    <w:t>城市/农村选项</w:t>
                  </w:r>
                </w:p>
              </w:tc>
              <w:tc>
                <w:tcPr>
                  <w:tcW w:w="2684" w:type="dxa"/>
                  <w:gridSpan w:val="5"/>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bCs/>
                      <w:color w:val="000000"/>
                      <w:kern w:val="2"/>
                      <w:sz w:val="21"/>
                      <w:szCs w:val="21"/>
                    </w:rPr>
                    <w:t>城市/农村</w:t>
                  </w:r>
                </w:p>
              </w:tc>
              <w:tc>
                <w:tcPr>
                  <w:tcW w:w="4108" w:type="dxa"/>
                  <w:gridSpan w:val="8"/>
                  <w:tcBorders>
                    <w:tl2br w:val="nil"/>
                    <w:tr2bl w:val="nil"/>
                  </w:tcBorders>
                  <w:noWrap w:val="0"/>
                  <w:vAlign w:val="center"/>
                </w:tcPr>
                <w:p>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color w:val="000000"/>
                      <w:kern w:val="2"/>
                      <w:sz w:val="21"/>
                      <w:szCs w:val="21"/>
                    </w:rPr>
                  </w:pPr>
                  <w:r>
                    <w:rPr>
                      <w:rFonts w:hint="eastAsia" w:cs="Times New Roman"/>
                      <w:bCs/>
                      <w:color w:val="000000"/>
                      <w:kern w:val="2"/>
                      <w:sz w:val="21"/>
                      <w:szCs w:val="21"/>
                      <w:lang w:val="en-US" w:eastAsia="zh-CN"/>
                    </w:rPr>
                    <w:t>城市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12" w:type="dxa"/>
                  <w:gridSpan w:val="4"/>
                  <w:vMerge w:val="continue"/>
                  <w:tcBorders>
                    <w:tl2br w:val="nil"/>
                    <w:tr2bl w:val="nil"/>
                  </w:tcBorders>
                  <w:noWrap w:val="0"/>
                  <w:vAlign w:val="center"/>
                </w:tcPr>
                <w:p>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p>
              </w:tc>
              <w:tc>
                <w:tcPr>
                  <w:tcW w:w="2684" w:type="dxa"/>
                  <w:gridSpan w:val="5"/>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bCs/>
                      <w:color w:val="000000"/>
                      <w:kern w:val="2"/>
                      <w:sz w:val="21"/>
                      <w:szCs w:val="21"/>
                    </w:rPr>
                    <w:t>人口数（城市时选项）</w:t>
                  </w:r>
                </w:p>
              </w:tc>
              <w:tc>
                <w:tcPr>
                  <w:tcW w:w="4108" w:type="dxa"/>
                  <w:gridSpan w:val="8"/>
                  <w:tcBorders>
                    <w:tl2br w:val="nil"/>
                    <w:tr2bl w:val="nil"/>
                  </w:tcBorders>
                  <w:noWrap w:val="0"/>
                  <w:vAlign w:val="center"/>
                </w:tcPr>
                <w:p>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color w:val="000000"/>
                      <w:kern w:val="2"/>
                      <w:sz w:val="21"/>
                      <w:szCs w:val="21"/>
                    </w:rPr>
                  </w:pPr>
                  <w:r>
                    <w:rPr>
                      <w:rFonts w:hint="eastAsia" w:cs="Times New Roman"/>
                      <w:bCs/>
                      <w:color w:val="000000"/>
                      <w:kern w:val="2"/>
                      <w:sz w:val="21"/>
                      <w:szCs w:val="21"/>
                      <w:lang w:val="en-US" w:eastAsia="zh-CN"/>
                    </w:rPr>
                    <w:t>16.4万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396" w:type="dxa"/>
                  <w:gridSpan w:val="9"/>
                  <w:tcBorders>
                    <w:tl2br w:val="nil"/>
                    <w:tr2bl w:val="nil"/>
                  </w:tcBorders>
                  <w:noWrap w:val="0"/>
                  <w:vAlign w:val="top"/>
                </w:tcPr>
                <w:p>
                  <w:pPr>
                    <w:widowControl w:val="0"/>
                    <w:overflowPunct w:val="0"/>
                    <w:autoSpaceDE w:val="0"/>
                    <w:autoSpaceDN w:val="0"/>
                    <w:adjustRightInd w:val="0"/>
                    <w:snapToGrid w:val="0"/>
                    <w:spacing w:before="0" w:after="0" w:line="320" w:lineRule="exact"/>
                    <w:ind w:left="0" w:right="0" w:firstLine="420" w:firstLineChars="20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最高环境温度/℃</w:t>
                  </w:r>
                </w:p>
              </w:tc>
              <w:tc>
                <w:tcPr>
                  <w:tcW w:w="4108"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kern w:val="2"/>
                      <w:sz w:val="21"/>
                      <w:szCs w:val="21"/>
                      <w:lang w:val="en-US" w:eastAsia="zh-CN"/>
                    </w:rPr>
                    <w:t>41.5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396" w:type="dxa"/>
                  <w:gridSpan w:val="9"/>
                  <w:tcBorders>
                    <w:tl2br w:val="nil"/>
                    <w:tr2bl w:val="nil"/>
                  </w:tcBorders>
                  <w:noWrap w:val="0"/>
                  <w:vAlign w:val="top"/>
                </w:tcPr>
                <w:p>
                  <w:pPr>
                    <w:widowControl w:val="0"/>
                    <w:overflowPunct w:val="0"/>
                    <w:autoSpaceDE w:val="0"/>
                    <w:autoSpaceDN w:val="0"/>
                    <w:adjustRightInd w:val="0"/>
                    <w:snapToGrid w:val="0"/>
                    <w:spacing w:before="0" w:after="0" w:line="320" w:lineRule="exact"/>
                    <w:ind w:left="0" w:right="0" w:firstLine="420" w:firstLineChars="20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最低环境温度/℃</w:t>
                  </w:r>
                </w:p>
              </w:tc>
              <w:tc>
                <w:tcPr>
                  <w:tcW w:w="4108"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kern w:val="2"/>
                      <w:sz w:val="21"/>
                      <w:szCs w:val="21"/>
                    </w:rPr>
                    <w:t>-</w:t>
                  </w:r>
                  <w:r>
                    <w:rPr>
                      <w:rFonts w:hint="default" w:ascii="Times New Roman" w:hAnsi="Times New Roman" w:eastAsia="宋体" w:cs="Times New Roman"/>
                      <w:kern w:val="2"/>
                      <w:sz w:val="21"/>
                      <w:szCs w:val="21"/>
                      <w:lang w:val="en-US" w:eastAsia="zh-CN"/>
                    </w:rPr>
                    <w:t>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396" w:type="dxa"/>
                  <w:gridSpan w:val="9"/>
                  <w:tcBorders>
                    <w:tl2br w:val="nil"/>
                    <w:tr2bl w:val="nil"/>
                  </w:tcBorders>
                  <w:noWrap w:val="0"/>
                  <w:vAlign w:val="top"/>
                </w:tcPr>
                <w:p>
                  <w:pPr>
                    <w:widowControl w:val="0"/>
                    <w:overflowPunct w:val="0"/>
                    <w:autoSpaceDE w:val="0"/>
                    <w:autoSpaceDN w:val="0"/>
                    <w:adjustRightInd w:val="0"/>
                    <w:snapToGrid w:val="0"/>
                    <w:spacing w:before="0" w:after="0" w:line="320" w:lineRule="exact"/>
                    <w:ind w:left="0" w:right="0" w:firstLine="420" w:firstLineChars="20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土地利用类型</w:t>
                  </w:r>
                </w:p>
              </w:tc>
              <w:tc>
                <w:tcPr>
                  <w:tcW w:w="4108" w:type="dxa"/>
                  <w:gridSpan w:val="8"/>
                  <w:tcBorders>
                    <w:tl2br w:val="nil"/>
                    <w:tr2bl w:val="nil"/>
                  </w:tcBorders>
                  <w:noWrap w:val="0"/>
                  <w:vAlign w:val="top"/>
                </w:tcPr>
                <w:p>
                  <w:pPr>
                    <w:overflowPunct w:val="0"/>
                    <w:autoSpaceDE w:val="0"/>
                    <w:autoSpaceDN w:val="0"/>
                    <w:adjustRightInd w:val="0"/>
                    <w:snapToGrid w:val="0"/>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建设</w:t>
                  </w:r>
                  <w:r>
                    <w:rPr>
                      <w:rFonts w:hint="eastAsia" w:ascii="Times New Roman" w:hAnsi="Times New Roman" w:eastAsia="宋体" w:cs="Times New Roman"/>
                      <w:color w:val="000000"/>
                      <w:sz w:val="21"/>
                      <w:szCs w:val="21"/>
                    </w:rPr>
                    <w:t>用地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396" w:type="dxa"/>
                  <w:gridSpan w:val="9"/>
                  <w:tcBorders>
                    <w:tl2br w:val="nil"/>
                    <w:tr2bl w:val="nil"/>
                  </w:tcBorders>
                  <w:noWrap w:val="0"/>
                  <w:vAlign w:val="top"/>
                </w:tcPr>
                <w:p>
                  <w:pPr>
                    <w:widowControl w:val="0"/>
                    <w:overflowPunct w:val="0"/>
                    <w:autoSpaceDE w:val="0"/>
                    <w:autoSpaceDN w:val="0"/>
                    <w:adjustRightInd w:val="0"/>
                    <w:snapToGrid w:val="0"/>
                    <w:spacing w:before="0" w:after="0" w:line="320" w:lineRule="exact"/>
                    <w:ind w:left="0" w:right="0" w:firstLine="420" w:firstLineChars="20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区域湿度条件</w:t>
                  </w:r>
                </w:p>
              </w:tc>
              <w:tc>
                <w:tcPr>
                  <w:tcW w:w="4108" w:type="dxa"/>
                  <w:gridSpan w:val="8"/>
                  <w:tcBorders>
                    <w:tl2br w:val="nil"/>
                    <w:tr2bl w:val="nil"/>
                  </w:tcBorders>
                  <w:noWrap w:val="0"/>
                  <w:vAlign w:val="top"/>
                </w:tcPr>
                <w:p>
                  <w:pPr>
                    <w:overflowPunct w:val="0"/>
                    <w:autoSpaceDE w:val="0"/>
                    <w:autoSpaceDN w:val="0"/>
                    <w:adjustRightInd w:val="0"/>
                    <w:snapToGrid w:val="0"/>
                    <w:jc w:val="center"/>
                    <w:rPr>
                      <w:rFonts w:hint="default" w:ascii="Times New Roman" w:hAnsi="Times New Roman" w:eastAsia="宋体" w:cs="Times New Roman"/>
                      <w:color w:val="000000"/>
                      <w:kern w:val="0"/>
                      <w:sz w:val="21"/>
                      <w:szCs w:val="21"/>
                      <w:lang w:val="en-US" w:eastAsia="zh-CN" w:bidi="ar-SA"/>
                    </w:rPr>
                  </w:pPr>
                  <w:r>
                    <w:rPr>
                      <w:rFonts w:ascii="Times New Roman" w:hAnsi="Times New Roman" w:eastAsia="宋体" w:cs="Times New Roman"/>
                      <w:color w:val="000000"/>
                      <w:sz w:val="21"/>
                      <w:szCs w:val="21"/>
                    </w:rPr>
                    <w:t>干燥气候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12" w:type="dxa"/>
                  <w:gridSpan w:val="4"/>
                  <w:vMerge w:val="restart"/>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bCs/>
                      <w:color w:val="000000"/>
                      <w:kern w:val="2"/>
                      <w:sz w:val="21"/>
                      <w:szCs w:val="21"/>
                    </w:rPr>
                    <w:t>是否考虑地形</w:t>
                  </w:r>
                </w:p>
              </w:tc>
              <w:tc>
                <w:tcPr>
                  <w:tcW w:w="2684" w:type="dxa"/>
                  <w:gridSpan w:val="5"/>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bCs/>
                      <w:color w:val="000000"/>
                      <w:kern w:val="2"/>
                      <w:sz w:val="21"/>
                      <w:szCs w:val="21"/>
                    </w:rPr>
                    <w:t>考虑地形</w:t>
                  </w:r>
                </w:p>
              </w:tc>
              <w:tc>
                <w:tcPr>
                  <w:tcW w:w="4108" w:type="dxa"/>
                  <w:gridSpan w:val="8"/>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rPr>
                  </w:pPr>
                  <w:r>
                    <w:rPr>
                      <w:rFonts w:ascii="Times New Roman" w:hAnsi="Times New Roman" w:eastAsia="宋体" w:cs="Times New Roman"/>
                      <w:bCs/>
                      <w:color w:val="000000"/>
                      <w:kern w:val="2"/>
                      <w:sz w:val="21"/>
                      <w:szCs w:val="21"/>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12" w:type="dxa"/>
                  <w:gridSpan w:val="4"/>
                  <w:vMerge w:val="continue"/>
                  <w:tcBorders>
                    <w:tl2br w:val="nil"/>
                    <w:tr2bl w:val="nil"/>
                  </w:tcBorders>
                  <w:noWrap w:val="0"/>
                  <w:vAlign w:val="center"/>
                </w:tcPr>
                <w:p>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p>
              </w:tc>
              <w:tc>
                <w:tcPr>
                  <w:tcW w:w="2684" w:type="dxa"/>
                  <w:gridSpan w:val="5"/>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bCs/>
                      <w:color w:val="000000"/>
                      <w:kern w:val="2"/>
                      <w:sz w:val="21"/>
                      <w:szCs w:val="21"/>
                    </w:rPr>
                    <w:t>地形数据分辨率/m</w:t>
                  </w:r>
                </w:p>
              </w:tc>
              <w:tc>
                <w:tcPr>
                  <w:tcW w:w="4108" w:type="dxa"/>
                  <w:gridSpan w:val="8"/>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bCs/>
                      <w:color w:val="000000"/>
                      <w:kern w:val="2"/>
                      <w:sz w:val="21"/>
                      <w:szCs w:val="21"/>
                    </w:rPr>
                    <w:t>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12" w:type="dxa"/>
                  <w:gridSpan w:val="4"/>
                  <w:vMerge w:val="restart"/>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bCs/>
                      <w:color w:val="000000"/>
                      <w:kern w:val="2"/>
                      <w:sz w:val="21"/>
                      <w:szCs w:val="21"/>
                    </w:rPr>
                    <w:t>是否考虑岸线烟熏</w:t>
                  </w:r>
                </w:p>
              </w:tc>
              <w:tc>
                <w:tcPr>
                  <w:tcW w:w="2684" w:type="dxa"/>
                  <w:gridSpan w:val="5"/>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bCs/>
                      <w:color w:val="000000"/>
                      <w:kern w:val="2"/>
                      <w:sz w:val="21"/>
                      <w:szCs w:val="21"/>
                    </w:rPr>
                    <w:t>考虑岸线烟熏</w:t>
                  </w:r>
                </w:p>
              </w:tc>
              <w:tc>
                <w:tcPr>
                  <w:tcW w:w="4108" w:type="dxa"/>
                  <w:gridSpan w:val="8"/>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rPr>
                  </w:pPr>
                  <w:r>
                    <w:rPr>
                      <w:rFonts w:ascii="Times New Roman" w:hAnsi="Times New Roman" w:eastAsia="宋体" w:cs="Times New Roman"/>
                      <w:bCs/>
                      <w:color w:val="000000"/>
                      <w:kern w:val="2"/>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12" w:type="dxa"/>
                  <w:gridSpan w:val="4"/>
                  <w:vMerge w:val="continue"/>
                  <w:tcBorders>
                    <w:tl2br w:val="nil"/>
                    <w:tr2bl w:val="nil"/>
                  </w:tcBorders>
                  <w:noWrap w:val="0"/>
                  <w:vAlign w:val="center"/>
                </w:tcPr>
                <w:p>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p>
              </w:tc>
              <w:tc>
                <w:tcPr>
                  <w:tcW w:w="2684" w:type="dxa"/>
                  <w:gridSpan w:val="5"/>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bCs/>
                      <w:color w:val="000000"/>
                      <w:kern w:val="2"/>
                      <w:sz w:val="21"/>
                      <w:szCs w:val="21"/>
                    </w:rPr>
                    <w:t>岸线距离</w:t>
                  </w:r>
                </w:p>
              </w:tc>
              <w:tc>
                <w:tcPr>
                  <w:tcW w:w="4108" w:type="dxa"/>
                  <w:gridSpan w:val="8"/>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rPr>
                  </w:pPr>
                  <w:r>
                    <w:rPr>
                      <w:rFonts w:ascii="Times New Roman" w:hAnsi="Times New Roman" w:eastAsia="宋体" w:cs="Times New Roman"/>
                      <w:bCs/>
                      <w:color w:val="000000"/>
                      <w:kern w:val="2"/>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12" w:type="dxa"/>
                  <w:gridSpan w:val="4"/>
                  <w:vMerge w:val="continue"/>
                  <w:tcBorders>
                    <w:tl2br w:val="nil"/>
                    <w:tr2bl w:val="nil"/>
                  </w:tcBorders>
                  <w:noWrap w:val="0"/>
                  <w:vAlign w:val="center"/>
                </w:tcPr>
                <w:p>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bCs/>
                      <w:color w:val="000000"/>
                      <w:kern w:val="2"/>
                      <w:sz w:val="21"/>
                      <w:szCs w:val="21"/>
                    </w:rPr>
                  </w:pPr>
                </w:p>
              </w:tc>
              <w:tc>
                <w:tcPr>
                  <w:tcW w:w="2684" w:type="dxa"/>
                  <w:gridSpan w:val="5"/>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rPr>
                    <w:t>岸线方向</w:t>
                  </w:r>
                </w:p>
              </w:tc>
              <w:tc>
                <w:tcPr>
                  <w:tcW w:w="4108" w:type="dxa"/>
                  <w:gridSpan w:val="8"/>
                  <w:tcBorders>
                    <w:tl2br w:val="nil"/>
                    <w:tr2bl w:val="nil"/>
                  </w:tcBorders>
                  <w:noWrap w:val="0"/>
                  <w:vAlign w:val="center"/>
                </w:tcPr>
                <w:p>
                  <w:pPr>
                    <w:spacing w:line="240" w:lineRule="auto"/>
                    <w:jc w:val="center"/>
                    <w:rPr>
                      <w:rFonts w:hint="default"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否</w:t>
                  </w:r>
                </w:p>
              </w:tc>
            </w:tr>
          </w:tbl>
          <w:p>
            <w:pPr>
              <w:keepNext w:val="0"/>
              <w:keepLines w:val="0"/>
              <w:pageBreakBefore w:val="0"/>
              <w:widowControl/>
              <w:kinsoku/>
              <w:wordWrap/>
              <w:overflowPunct/>
              <w:topLinePunct w:val="0"/>
              <w:autoSpaceDE/>
              <w:autoSpaceDN/>
              <w:bidi w:val="0"/>
              <w:adjustRightInd/>
              <w:snapToGrid/>
              <w:spacing w:before="0" w:after="0" w:line="360" w:lineRule="auto"/>
              <w:ind w:left="0" w:right="0" w:firstLine="480" w:firstLineChars="200"/>
              <w:jc w:val="left"/>
              <w:textAlignment w:val="auto"/>
              <w:rPr>
                <w:rFonts w:ascii="Times New Roman" w:hAnsi="Times New Roman" w:eastAsia="宋体" w:cs="Times New Roman"/>
                <w:color w:val="000000"/>
                <w:kern w:val="0"/>
                <w:sz w:val="24"/>
                <w:szCs w:val="24"/>
                <w:highlight w:val="none"/>
                <w:lang w:val="en-US" w:eastAsia="zh-CN" w:bidi="ar-SA"/>
              </w:rPr>
            </w:pPr>
            <w:r>
              <w:rPr>
                <w:rFonts w:ascii="Times New Roman" w:hAnsi="Times New Roman" w:eastAsia="宋体" w:cs="Times New Roman"/>
                <w:color w:val="000000"/>
                <w:kern w:val="0"/>
                <w:sz w:val="24"/>
                <w:szCs w:val="24"/>
                <w:highlight w:val="none"/>
                <w:lang w:val="en-US" w:eastAsia="zh-CN" w:bidi="ar-SA"/>
              </w:rPr>
              <w:t>污染物最大落地浓度的估算结果见表</w:t>
            </w:r>
            <w:r>
              <w:rPr>
                <w:rFonts w:hint="eastAsia" w:ascii="Times New Roman" w:hAnsi="Times New Roman" w:eastAsia="宋体" w:cs="Times New Roman"/>
                <w:color w:val="000000"/>
                <w:kern w:val="0"/>
                <w:sz w:val="24"/>
                <w:szCs w:val="24"/>
                <w:highlight w:val="none"/>
                <w:lang w:val="en-US" w:eastAsia="zh-CN" w:bidi="ar-SA"/>
              </w:rPr>
              <w:t>4.5-</w:t>
            </w:r>
            <w:r>
              <w:rPr>
                <w:rFonts w:hint="eastAsia" w:cs="Times New Roman"/>
                <w:color w:val="000000"/>
                <w:kern w:val="0"/>
                <w:sz w:val="24"/>
                <w:szCs w:val="24"/>
                <w:highlight w:val="none"/>
                <w:lang w:val="en-US" w:eastAsia="zh-CN" w:bidi="ar-SA"/>
              </w:rPr>
              <w:t>7</w:t>
            </w:r>
            <w:r>
              <w:rPr>
                <w:rFonts w:ascii="Times New Roman" w:hAnsi="Times New Roman" w:eastAsia="宋体" w:cs="Times New Roman"/>
                <w:color w:val="000000"/>
                <w:kern w:val="0"/>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2" w:firstLineChars="200"/>
              <w:jc w:val="center"/>
              <w:textAlignment w:val="auto"/>
              <w:rPr>
                <w:rFonts w:hint="eastAsia" w:ascii="Times New Roman" w:hAnsi="Times New Roman" w:eastAsia="宋体" w:cs="Times New Roman"/>
                <w:b/>
                <w:bCs/>
                <w:color w:val="000000"/>
                <w:kern w:val="0"/>
                <w:sz w:val="24"/>
                <w:szCs w:val="24"/>
                <w:lang w:val="en-US" w:eastAsia="zh-CN" w:bidi="ar-SA"/>
              </w:rPr>
            </w:pPr>
            <w:r>
              <w:rPr>
                <w:rFonts w:hint="eastAsia" w:ascii="Times New Roman" w:hAnsi="Times New Roman" w:eastAsia="宋体" w:cs="Times New Roman"/>
                <w:b/>
                <w:bCs/>
                <w:color w:val="000000"/>
                <w:kern w:val="0"/>
                <w:sz w:val="24"/>
                <w:szCs w:val="24"/>
                <w:lang w:val="en-US" w:eastAsia="zh-CN" w:bidi="ar-SA"/>
              </w:rPr>
              <w:t>表4.5-</w:t>
            </w:r>
            <w:r>
              <w:rPr>
                <w:rFonts w:hint="eastAsia" w:cs="Times New Roman"/>
                <w:b/>
                <w:bCs/>
                <w:color w:val="000000"/>
                <w:kern w:val="0"/>
                <w:sz w:val="24"/>
                <w:szCs w:val="24"/>
                <w:lang w:val="en-US" w:eastAsia="zh-CN" w:bidi="ar-SA"/>
              </w:rPr>
              <w:t>7</w:t>
            </w:r>
            <w:r>
              <w:rPr>
                <w:rFonts w:hint="eastAsia" w:ascii="Times New Roman" w:hAnsi="Times New Roman" w:eastAsia="宋体" w:cs="Times New Roman"/>
                <w:b/>
                <w:bCs/>
                <w:color w:val="000000"/>
                <w:kern w:val="0"/>
                <w:sz w:val="24"/>
                <w:szCs w:val="24"/>
                <w:lang w:val="en-US" w:eastAsia="zh-CN" w:bidi="ar-SA"/>
              </w:rPr>
              <w:t>估算结果表</w:t>
            </w:r>
          </w:p>
          <w:tbl>
            <w:tblPr>
              <w:tblStyle w:val="14"/>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14"/>
              <w:gridCol w:w="1214"/>
              <w:gridCol w:w="1214"/>
              <w:gridCol w:w="1214"/>
              <w:gridCol w:w="1214"/>
              <w:gridCol w:w="1214"/>
              <w:gridCol w:w="12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83" w:hRule="atLeast"/>
                <w:jc w:val="center"/>
              </w:trPr>
              <w:tc>
                <w:tcPr>
                  <w:tcW w:w="713"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下风向距离/m</w:t>
                  </w:r>
                </w:p>
              </w:tc>
              <w:tc>
                <w:tcPr>
                  <w:tcW w:w="1427" w:type="pct"/>
                  <w:gridSpan w:val="2"/>
                  <w:tcBorders>
                    <w:tl2br w:val="nil"/>
                    <w:tr2bl w:val="nil"/>
                  </w:tcBorders>
                  <w:noWrap w:val="0"/>
                  <w:vAlign w:val="center"/>
                </w:tcPr>
                <w:p>
                  <w:pPr>
                    <w:widowControl w:val="0"/>
                    <w:autoSpaceDE w:val="0"/>
                    <w:autoSpaceDN w:val="0"/>
                    <w:spacing w:line="240" w:lineRule="auto"/>
                    <w:ind w:left="0" w:lef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DA001</w:t>
                  </w: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kern w:val="2"/>
                      <w:sz w:val="21"/>
                      <w:szCs w:val="21"/>
                      <w:lang w:val="en-US" w:eastAsia="zh-CN" w:bidi="ar-SA"/>
                    </w:rPr>
                    <w:t>一般排放口（</w:t>
                  </w:r>
                  <w:r>
                    <w:rPr>
                      <w:rFonts w:hint="eastAsia" w:ascii="Times New Roman" w:hAnsi="Times New Roman" w:eastAsia="宋体" w:cs="宋体"/>
                      <w:color w:val="auto"/>
                      <w:sz w:val="21"/>
                      <w:szCs w:val="22"/>
                      <w:lang w:val="en-US" w:eastAsia="zh-CN" w:bidi="ar-SA"/>
                    </w:rPr>
                    <w:t>生产车间排放口</w:t>
                  </w:r>
                  <w:r>
                    <w:rPr>
                      <w:rFonts w:hint="eastAsia" w:ascii="Times New Roman" w:hAnsi="Times New Roman" w:eastAsia="宋体" w:cs="Times New Roman"/>
                      <w:color w:val="000000"/>
                      <w:kern w:val="2"/>
                      <w:sz w:val="21"/>
                      <w:szCs w:val="21"/>
                      <w:lang w:val="en-US" w:eastAsia="zh-CN" w:bidi="ar-SA"/>
                    </w:rPr>
                    <w:t>）</w:t>
                  </w:r>
                  <w:r>
                    <w:rPr>
                      <w:rFonts w:hint="eastAsia" w:cs="Times New Roman"/>
                      <w:color w:val="000000"/>
                      <w:kern w:val="2"/>
                      <w:sz w:val="21"/>
                      <w:szCs w:val="21"/>
                      <w:lang w:val="en-US" w:eastAsia="zh-CN" w:bidi="ar-SA"/>
                    </w:rPr>
                    <w:t>（有组织）</w:t>
                  </w:r>
                </w:p>
              </w:tc>
              <w:tc>
                <w:tcPr>
                  <w:tcW w:w="713" w:type="pct"/>
                  <w:vMerge w:val="restar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下风向距离/m</w:t>
                  </w:r>
                </w:p>
              </w:tc>
              <w:tc>
                <w:tcPr>
                  <w:tcW w:w="2144" w:type="pct"/>
                  <w:gridSpan w:val="3"/>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cs="宋体"/>
                      <w:color w:val="auto"/>
                      <w:sz w:val="21"/>
                      <w:szCs w:val="22"/>
                      <w:lang w:val="en-US" w:eastAsia="zh-CN" w:bidi="ar-SA"/>
                    </w:rPr>
                  </w:pPr>
                  <w:r>
                    <w:rPr>
                      <w:rFonts w:hint="eastAsia" w:cs="宋体"/>
                      <w:color w:val="auto"/>
                      <w:sz w:val="21"/>
                      <w:szCs w:val="22"/>
                      <w:lang w:val="en-US" w:eastAsia="zh-CN" w:bidi="ar-SA"/>
                    </w:rPr>
                    <w:t>厂界</w:t>
                  </w:r>
                  <w:r>
                    <w:rPr>
                      <w:rFonts w:hint="eastAsia" w:cs="Times New Roman"/>
                      <w:color w:val="000000"/>
                      <w:kern w:val="2"/>
                      <w:sz w:val="21"/>
                      <w:szCs w:val="21"/>
                      <w:lang w:val="en-US" w:eastAsia="zh-CN" w:bidi="ar-SA"/>
                    </w:rPr>
                    <w:t>（无组织）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83" w:hRule="atLeast"/>
                <w:jc w:val="center"/>
              </w:trPr>
              <w:tc>
                <w:tcPr>
                  <w:tcW w:w="713" w:type="pct"/>
                  <w:vMerge w:val="continue"/>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ascii="Times New Roman" w:hAnsi="Times New Roman" w:eastAsia="宋体" w:cs="宋体"/>
                    </w:rPr>
                  </w:pPr>
                </w:p>
              </w:tc>
              <w:tc>
                <w:tcPr>
                  <w:tcW w:w="713" w:type="pct"/>
                  <w:tcBorders>
                    <w:tl2br w:val="nil"/>
                    <w:tr2bl w:val="nil"/>
                  </w:tcBorders>
                  <w:noWrap w:val="0"/>
                  <w:vAlign w:val="center"/>
                </w:tcPr>
                <w:p>
                  <w:pPr>
                    <w:widowControl w:val="0"/>
                    <w:spacing w:line="360" w:lineRule="exact"/>
                    <w:ind w:firstLine="0" w:firstLineChars="0"/>
                    <w:jc w:val="center"/>
                    <w:rPr>
                      <w:rFonts w:ascii="Times New Roman" w:hAnsi="Times New Roman" w:eastAsia="宋体" w:cs="宋体"/>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 xml:space="preserve"> 非甲烷总烃</w:t>
                  </w:r>
                </w:p>
              </w:tc>
              <w:tc>
                <w:tcPr>
                  <w:tcW w:w="71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ascii="Times New Roman" w:hAnsi="Times New Roman" w:eastAsia="宋体" w:cs="宋体"/>
                    </w:rPr>
                  </w:pPr>
                  <w:r>
                    <w:rPr>
                      <w:rFonts w:hint="eastAsia" w:ascii="Times New Roman" w:hAnsi="Times New Roman" w:eastAsia="宋体" w:cs="Times New Roman"/>
                      <w:color w:val="000000"/>
                      <w:kern w:val="2"/>
                      <w:sz w:val="21"/>
                      <w:szCs w:val="24"/>
                      <w:lang w:val="en-US" w:eastAsia="zh-CN" w:bidi="ar-SA"/>
                    </w:rPr>
                    <w:t>氯化氢</w:t>
                  </w:r>
                </w:p>
              </w:tc>
              <w:tc>
                <w:tcPr>
                  <w:tcW w:w="713" w:type="pct"/>
                  <w:vMerge w:val="continue"/>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ascii="Times New Roman" w:hAnsi="Times New Roman" w:eastAsia="宋体" w:cs="宋体"/>
                    </w:rPr>
                  </w:pPr>
                </w:p>
              </w:tc>
              <w:tc>
                <w:tcPr>
                  <w:tcW w:w="713"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 xml:space="preserve"> </w:t>
                  </w:r>
                  <w:r>
                    <w:rPr>
                      <w:rFonts w:hint="eastAsia" w:cs="Times New Roman"/>
                      <w:color w:val="000000"/>
                      <w:kern w:val="2"/>
                      <w:sz w:val="21"/>
                      <w:szCs w:val="24"/>
                      <w:lang w:val="en-US" w:eastAsia="zh-CN" w:bidi="ar-SA"/>
                    </w:rPr>
                    <w:t>颗粒物</w:t>
                  </w:r>
                </w:p>
              </w:tc>
              <w:tc>
                <w:tcPr>
                  <w:tcW w:w="71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宋体"/>
                      <w:color w:val="000000" w:themeColor="text1"/>
                      <w:sz w:val="21"/>
                      <w:szCs w:val="22"/>
                      <w:lang w:val="en-US" w:eastAsia="zh-CN" w:bidi="ar-SA"/>
                      <w14:textFill>
                        <w14:solidFill>
                          <w14:schemeClr w14:val="tx1"/>
                        </w14:solidFill>
                      </w14:textFill>
                    </w:rPr>
                    <w:t>非甲烷总烃</w:t>
                  </w:r>
                </w:p>
              </w:tc>
              <w:tc>
                <w:tcPr>
                  <w:tcW w:w="71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atLeast"/>
                    <w:ind w:left="0" w:leftChars="0" w:firstLine="0" w:firstLineChars="0"/>
                    <w:jc w:val="center"/>
                    <w:textAlignment w:val="baseline"/>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氯化氢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3"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SA"/>
                    </w:rPr>
                    <w:t>预测质量浓度（μg/m</w:t>
                  </w:r>
                  <w:r>
                    <w:rPr>
                      <w:rFonts w:hint="eastAsia" w:ascii="Times New Roman" w:hAnsi="Times New Roman" w:eastAsia="宋体" w:cs="Times New Roman"/>
                      <w:color w:val="000000"/>
                      <w:kern w:val="0"/>
                      <w:sz w:val="21"/>
                      <w:szCs w:val="21"/>
                      <w:vertAlign w:val="superscript"/>
                      <w:lang w:val="en-US" w:eastAsia="zh-CN" w:bidi="ar-SA"/>
                    </w:rPr>
                    <w:t>3</w:t>
                  </w:r>
                  <w:r>
                    <w:rPr>
                      <w:rFonts w:hint="default" w:ascii="Times New Roman" w:hAnsi="Times New Roman" w:eastAsia="宋体" w:cs="Times New Roman"/>
                      <w:color w:val="000000"/>
                      <w:kern w:val="0"/>
                      <w:sz w:val="21"/>
                      <w:szCs w:val="21"/>
                      <w:lang w:val="en-US" w:eastAsia="zh-CN" w:bidi="ar-SA"/>
                    </w:rPr>
                    <w:t>）</w:t>
                  </w:r>
                </w:p>
              </w:tc>
              <w:tc>
                <w:tcPr>
                  <w:tcW w:w="7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SA"/>
                    </w:rPr>
                    <w:t>预测质量浓度（μg/m</w:t>
                  </w:r>
                  <w:r>
                    <w:rPr>
                      <w:rFonts w:hint="eastAsia" w:ascii="Times New Roman" w:hAnsi="Times New Roman" w:eastAsia="宋体" w:cs="Times New Roman"/>
                      <w:color w:val="000000"/>
                      <w:kern w:val="0"/>
                      <w:sz w:val="21"/>
                      <w:szCs w:val="21"/>
                      <w:vertAlign w:val="superscript"/>
                      <w:lang w:val="en-US" w:eastAsia="zh-CN" w:bidi="ar-SA"/>
                    </w:rPr>
                    <w:t>3</w:t>
                  </w:r>
                  <w:r>
                    <w:rPr>
                      <w:rFonts w:hint="default" w:ascii="Times New Roman" w:hAnsi="Times New Roman" w:eastAsia="宋体" w:cs="Times New Roman"/>
                      <w:color w:val="000000"/>
                      <w:kern w:val="0"/>
                      <w:sz w:val="21"/>
                      <w:szCs w:val="21"/>
                      <w:lang w:val="en-US" w:eastAsia="zh-CN" w:bidi="ar-SA"/>
                    </w:rPr>
                    <w:t>）</w:t>
                  </w:r>
                </w:p>
              </w:tc>
              <w:tc>
                <w:tcPr>
                  <w:tcW w:w="713"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144" w:type="pct"/>
                  <w:gridSpan w:val="3"/>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预测质量浓度（μg/m</w:t>
                  </w:r>
                  <w:r>
                    <w:rPr>
                      <w:rFonts w:hint="eastAsia" w:ascii="Times New Roman" w:hAnsi="Times New Roman" w:eastAsia="宋体" w:cs="Times New Roman"/>
                      <w:color w:val="000000"/>
                      <w:kern w:val="0"/>
                      <w:sz w:val="21"/>
                      <w:szCs w:val="21"/>
                      <w:vertAlign w:val="superscript"/>
                      <w:lang w:val="en-US" w:eastAsia="zh-CN" w:bidi="ar-SA"/>
                    </w:rPr>
                    <w:t>3</w:t>
                  </w:r>
                  <w:r>
                    <w:rPr>
                      <w:rFonts w:hint="default" w:ascii="Times New Roman" w:hAnsi="Times New Roman" w:eastAsia="宋体" w:cs="Times New Roman"/>
                      <w:color w:val="000000"/>
                      <w:kern w:val="0"/>
                      <w:sz w:val="21"/>
                      <w:szCs w:val="21"/>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0.5475</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0.027105</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49.12782</w:t>
                  </w:r>
                </w:p>
              </w:tc>
              <w:tc>
                <w:tcPr>
                  <w:tcW w:w="1220"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0.000226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12.352</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0.000009</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0.029755</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53.93094</w:t>
                  </w:r>
                </w:p>
              </w:tc>
              <w:tc>
                <w:tcPr>
                  <w:tcW w:w="1220"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0.000248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10.579</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0.000008</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0.033598</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60.89637</w:t>
                  </w:r>
                </w:p>
              </w:tc>
              <w:tc>
                <w:tcPr>
                  <w:tcW w:w="1220"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0.000281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75</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29.339</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0.000021</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75</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0.036878</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66.84138</w:t>
                  </w:r>
                </w:p>
              </w:tc>
              <w:tc>
                <w:tcPr>
                  <w:tcW w:w="1220"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0.000308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40.42801</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0.000029</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0.039708</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71.97076</w:t>
                  </w:r>
                </w:p>
              </w:tc>
              <w:tc>
                <w:tcPr>
                  <w:tcW w:w="1220"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0.000332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122</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41.731</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0.00003</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108</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0.040469</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73.35007</w:t>
                  </w:r>
                </w:p>
              </w:tc>
              <w:tc>
                <w:tcPr>
                  <w:tcW w:w="1220"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0.000338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31.188</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0.000022</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0.025376</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45.994</w:t>
                  </w:r>
                </w:p>
              </w:tc>
              <w:tc>
                <w:tcPr>
                  <w:tcW w:w="1220"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0.000212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19.588</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0.000014</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0.015115</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27.39594</w:t>
                  </w:r>
                </w:p>
              </w:tc>
              <w:tc>
                <w:tcPr>
                  <w:tcW w:w="1220"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0.000126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11.267</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0.000008</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0.007697</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13.95009</w:t>
                  </w:r>
                </w:p>
              </w:tc>
              <w:tc>
                <w:tcPr>
                  <w:tcW w:w="1220"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6.0855</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0.000004</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0.003042</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5.513444</w:t>
                  </w:r>
                </w:p>
              </w:tc>
              <w:tc>
                <w:tcPr>
                  <w:tcW w:w="1220"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1500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4.1456</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0.000003</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1500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0.001763</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3.196162</w:t>
                  </w:r>
                </w:p>
              </w:tc>
              <w:tc>
                <w:tcPr>
                  <w:tcW w:w="1220"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3.2486</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0.000002</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0.001204</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2.181706</w:t>
                  </w:r>
                </w:p>
              </w:tc>
              <w:tc>
                <w:tcPr>
                  <w:tcW w:w="1220"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2.5503</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0.000002</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2500</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0.00091</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1.649429</w:t>
                  </w:r>
                </w:p>
              </w:tc>
              <w:tc>
                <w:tcPr>
                  <w:tcW w:w="1220"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3" w:type="pct"/>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下风向最大质量浓度</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41.731</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0.00003</w:t>
                  </w:r>
                </w:p>
              </w:tc>
              <w:tc>
                <w:tcPr>
                  <w:tcW w:w="713" w:type="pct"/>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下风向最大质量浓度</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0.040469</w:t>
                  </w:r>
                </w:p>
              </w:tc>
              <w:tc>
                <w:tcPr>
                  <w:tcW w:w="1214"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73.35007</w:t>
                  </w:r>
                </w:p>
              </w:tc>
              <w:tc>
                <w:tcPr>
                  <w:tcW w:w="1220" w:type="dxa"/>
                  <w:tcBorders>
                    <w:tl2br w:val="nil"/>
                    <w:tr2bl w:val="nil"/>
                  </w:tcBorders>
                  <w:noWrap w:val="0"/>
                  <w:vAlign w:val="center"/>
                </w:tcPr>
                <w:p>
                  <w:pPr>
                    <w:widowControl w:val="0"/>
                    <w:overflowPunct w:val="0"/>
                    <w:autoSpaceDE w:val="0"/>
                    <w:autoSpaceDN w:val="0"/>
                    <w:bidi w:val="0"/>
                    <w:adjustRightInd w:val="0"/>
                    <w:snapToGrid w:val="0"/>
                    <w:spacing w:before="0" w:after="0" w:line="320" w:lineRule="exact"/>
                    <w:ind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0.000338</w:t>
                  </w:r>
                </w:p>
              </w:tc>
            </w:tr>
          </w:tbl>
          <w:p>
            <w:pPr>
              <w:keepNext w:val="0"/>
              <w:keepLines w:val="0"/>
              <w:pageBreakBefore w:val="0"/>
              <w:widowControl/>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highlight w:val="none"/>
                <w:lang w:val="en-US" w:eastAsia="zh-CN" w:bidi="ar-SA"/>
              </w:rPr>
              <w:t>②</w:t>
            </w:r>
            <w:r>
              <w:rPr>
                <w:rFonts w:ascii="Times New Roman" w:hAnsi="Times New Roman" w:eastAsia="宋体" w:cs="Times New Roman"/>
                <w:color w:val="000000"/>
                <w:kern w:val="0"/>
                <w:sz w:val="24"/>
                <w:szCs w:val="24"/>
                <w:highlight w:val="none"/>
                <w:lang w:val="en-US" w:eastAsia="zh-CN" w:bidi="ar-SA"/>
              </w:rPr>
              <w:t>确定评价</w:t>
            </w:r>
            <w:r>
              <w:rPr>
                <w:rFonts w:hint="eastAsia" w:ascii="Times New Roman" w:hAnsi="Times New Roman" w:eastAsia="宋体" w:cs="Times New Roman"/>
                <w:color w:val="000000"/>
                <w:kern w:val="0"/>
                <w:sz w:val="24"/>
                <w:szCs w:val="24"/>
                <w:highlight w:val="none"/>
                <w:lang w:val="en-US" w:eastAsia="zh-CN" w:bidi="ar-SA"/>
              </w:rPr>
              <w:t>结果</w:t>
            </w:r>
          </w:p>
          <w:p>
            <w:pPr>
              <w:widowControl w:val="0"/>
              <w:overflowPunct w:val="0"/>
              <w:autoSpaceDE w:val="0"/>
              <w:autoSpaceDN w:val="0"/>
              <w:adjustRightInd w:val="0"/>
              <w:snapToGrid w:val="0"/>
              <w:spacing w:before="0" w:after="0" w:line="520" w:lineRule="exact"/>
              <w:ind w:left="0" w:right="0" w:firstLine="480" w:firstLineChars="200"/>
              <w:jc w:val="both"/>
              <w:rPr>
                <w:rFonts w:ascii="Times New Roman" w:hAnsi="Times New Roman" w:eastAsia="宋体" w:cs="Times New Roman"/>
                <w:color w:val="000000"/>
                <w:kern w:val="2"/>
                <w:sz w:val="24"/>
                <w:szCs w:val="24"/>
                <w:highlight w:val="none"/>
                <w:lang w:val="en-US" w:eastAsia="zh-CN" w:bidi="ar-SA"/>
              </w:rPr>
            </w:pPr>
            <w:r>
              <w:rPr>
                <w:rFonts w:ascii="Times New Roman" w:hAnsi="Times New Roman" w:eastAsia="宋体" w:cs="Times New Roman"/>
                <w:color w:val="000000"/>
                <w:kern w:val="2"/>
                <w:sz w:val="24"/>
                <w:szCs w:val="24"/>
                <w:highlight w:val="none"/>
                <w:lang w:val="en-US" w:eastAsia="zh-CN" w:bidi="ar-SA"/>
              </w:rPr>
              <w:t>项目有组织排放核算见表</w:t>
            </w:r>
            <w:r>
              <w:rPr>
                <w:rFonts w:hint="eastAsia" w:ascii="Times New Roman" w:hAnsi="Times New Roman" w:eastAsia="宋体" w:cs="Times New Roman"/>
                <w:color w:val="000000"/>
                <w:kern w:val="2"/>
                <w:sz w:val="24"/>
                <w:szCs w:val="24"/>
                <w:highlight w:val="none"/>
                <w:lang w:val="en-US" w:eastAsia="zh-CN" w:bidi="ar-SA"/>
              </w:rPr>
              <w:t>4.5-</w:t>
            </w:r>
            <w:r>
              <w:rPr>
                <w:rFonts w:hint="eastAsia" w:cs="Times New Roman"/>
                <w:color w:val="000000"/>
                <w:kern w:val="2"/>
                <w:sz w:val="24"/>
                <w:szCs w:val="24"/>
                <w:highlight w:val="none"/>
                <w:lang w:val="en-US" w:eastAsia="zh-CN" w:bidi="ar-SA"/>
              </w:rPr>
              <w:t>8</w:t>
            </w:r>
            <w:r>
              <w:rPr>
                <w:rFonts w:hint="eastAsia" w:ascii="Times New Roman" w:hAnsi="Times New Roman" w:eastAsia="宋体" w:cs="Times New Roman"/>
                <w:color w:val="000000"/>
                <w:kern w:val="2"/>
                <w:sz w:val="24"/>
                <w:szCs w:val="24"/>
                <w:highlight w:val="none"/>
                <w:lang w:val="en-US" w:eastAsia="zh-CN" w:bidi="ar-SA"/>
              </w:rPr>
              <w:t>和4.5-</w:t>
            </w:r>
            <w:r>
              <w:rPr>
                <w:rFonts w:hint="eastAsia" w:cs="Times New Roman"/>
                <w:color w:val="000000"/>
                <w:kern w:val="2"/>
                <w:sz w:val="24"/>
                <w:szCs w:val="24"/>
                <w:highlight w:val="none"/>
                <w:lang w:val="en-US" w:eastAsia="zh-CN" w:bidi="ar-SA"/>
              </w:rPr>
              <w:t>9</w:t>
            </w:r>
            <w:r>
              <w:rPr>
                <w:rFonts w:ascii="Times New Roman" w:hAnsi="Times New Roman" w:eastAsia="宋体" w:cs="Times New Roman"/>
                <w:color w:val="000000"/>
                <w:kern w:val="2"/>
                <w:sz w:val="24"/>
                <w:szCs w:val="24"/>
                <w:highlight w:val="none"/>
                <w:lang w:val="en-US" w:eastAsia="zh-CN" w:bidi="ar-SA"/>
              </w:rPr>
              <w:t>。</w:t>
            </w:r>
          </w:p>
          <w:p>
            <w:pPr>
              <w:widowControl w:val="0"/>
              <w:overflowPunct w:val="0"/>
              <w:autoSpaceDE w:val="0"/>
              <w:autoSpaceDN w:val="0"/>
              <w:adjustRightInd w:val="0"/>
              <w:snapToGrid w:val="0"/>
              <w:spacing w:before="0" w:after="0" w:line="500" w:lineRule="exact"/>
              <w:ind w:left="0" w:right="0" w:firstLine="482" w:firstLineChars="200"/>
              <w:jc w:val="center"/>
              <w:rPr>
                <w:rFonts w:ascii="Times New Roman" w:hAnsi="Times New Roman" w:eastAsia="宋体" w:cs="Times New Roman"/>
                <w:b/>
                <w:color w:val="000000"/>
                <w:kern w:val="2"/>
                <w:sz w:val="24"/>
                <w:szCs w:val="24"/>
                <w:highlight w:val="none"/>
                <w:lang w:val="en-US" w:eastAsia="zh-CN" w:bidi="ar-SA"/>
              </w:rPr>
            </w:pPr>
            <w:r>
              <w:rPr>
                <w:rFonts w:ascii="Times New Roman" w:hAnsi="Times New Roman" w:eastAsia="宋体" w:cs="Times New Roman"/>
                <w:b/>
                <w:color w:val="000000"/>
                <w:kern w:val="2"/>
                <w:sz w:val="24"/>
                <w:szCs w:val="24"/>
                <w:highlight w:val="none"/>
                <w:lang w:val="en-US" w:eastAsia="zh-CN" w:bidi="ar-SA"/>
              </w:rPr>
              <w:t>表</w:t>
            </w:r>
            <w:r>
              <w:rPr>
                <w:rFonts w:hint="eastAsia" w:ascii="Times New Roman" w:hAnsi="Times New Roman" w:eastAsia="宋体" w:cs="Times New Roman"/>
                <w:b/>
                <w:color w:val="000000"/>
                <w:kern w:val="2"/>
                <w:sz w:val="24"/>
                <w:szCs w:val="24"/>
                <w:highlight w:val="none"/>
                <w:lang w:val="en-US" w:eastAsia="zh-CN" w:bidi="ar-SA"/>
              </w:rPr>
              <w:t>4.5-</w:t>
            </w:r>
            <w:r>
              <w:rPr>
                <w:rFonts w:hint="eastAsia" w:cs="Times New Roman"/>
                <w:b/>
                <w:color w:val="000000"/>
                <w:kern w:val="2"/>
                <w:sz w:val="24"/>
                <w:szCs w:val="24"/>
                <w:highlight w:val="none"/>
                <w:lang w:val="en-US" w:eastAsia="zh-CN" w:bidi="ar-SA"/>
              </w:rPr>
              <w:t>8</w:t>
            </w:r>
            <w:r>
              <w:rPr>
                <w:rFonts w:ascii="Times New Roman" w:hAnsi="Times New Roman" w:eastAsia="宋体" w:cs="Times New Roman"/>
                <w:b/>
                <w:color w:val="000000"/>
                <w:kern w:val="2"/>
                <w:sz w:val="24"/>
                <w:szCs w:val="24"/>
                <w:highlight w:val="none"/>
                <w:lang w:val="en-US" w:eastAsia="zh-CN" w:bidi="ar-SA"/>
              </w:rPr>
              <w:t>本项目</w:t>
            </w:r>
            <w:r>
              <w:rPr>
                <w:rFonts w:hint="eastAsia" w:ascii="Times New Roman" w:hAnsi="Times New Roman" w:eastAsia="宋体" w:cs="Times New Roman"/>
                <w:b/>
                <w:color w:val="000000"/>
                <w:kern w:val="2"/>
                <w:sz w:val="24"/>
                <w:szCs w:val="24"/>
                <w:highlight w:val="none"/>
                <w:lang w:val="en-US" w:eastAsia="zh-CN" w:bidi="ar-SA"/>
              </w:rPr>
              <w:t>有组织</w:t>
            </w:r>
            <w:r>
              <w:rPr>
                <w:rFonts w:ascii="Times New Roman" w:hAnsi="Times New Roman" w:eastAsia="宋体" w:cs="Times New Roman"/>
                <w:b/>
                <w:color w:val="000000"/>
                <w:kern w:val="2"/>
                <w:sz w:val="24"/>
                <w:szCs w:val="24"/>
                <w:highlight w:val="none"/>
                <w:lang w:val="en-US" w:eastAsia="zh-CN" w:bidi="ar-SA"/>
              </w:rPr>
              <w:t>废气排放核算表</w:t>
            </w:r>
          </w:p>
          <w:tbl>
            <w:tblPr>
              <w:tblStyle w:val="1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40"/>
              <w:gridCol w:w="1561"/>
              <w:gridCol w:w="1464"/>
              <w:gridCol w:w="1843"/>
              <w:gridCol w:w="1571"/>
              <w:gridCol w:w="16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序号</w:t>
                  </w:r>
                </w:p>
              </w:tc>
              <w:tc>
                <w:tcPr>
                  <w:tcW w:w="1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排放口编号</w:t>
                  </w:r>
                </w:p>
              </w:tc>
              <w:tc>
                <w:tcPr>
                  <w:tcW w:w="1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污染物</w:t>
                  </w:r>
                </w:p>
              </w:tc>
              <w:tc>
                <w:tcPr>
                  <w:tcW w:w="18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核算排放浓度/(mg/Nm</w:t>
                  </w:r>
                  <w:r>
                    <w:rPr>
                      <w:rFonts w:hint="eastAsia" w:ascii="Times New Roman" w:hAnsi="Times New Roman" w:eastAsia="宋体" w:cs="Times New Roman"/>
                      <w:color w:val="000000"/>
                      <w:kern w:val="2"/>
                      <w:sz w:val="21"/>
                      <w:szCs w:val="24"/>
                      <w:vertAlign w:val="superscript"/>
                      <w:lang w:val="en-US" w:eastAsia="zh-CN"/>
                    </w:rPr>
                    <w:t>3</w:t>
                  </w:r>
                  <w:r>
                    <w:rPr>
                      <w:rFonts w:hint="eastAsia" w:ascii="Times New Roman" w:hAnsi="Times New Roman" w:eastAsia="宋体" w:cs="Times New Roman"/>
                      <w:color w:val="000000"/>
                      <w:kern w:val="2"/>
                      <w:sz w:val="21"/>
                      <w:szCs w:val="24"/>
                      <w:lang w:val="en-US" w:eastAsia="zh-CN"/>
                    </w:rPr>
                    <w:t>)</w:t>
                  </w:r>
                </w:p>
              </w:tc>
              <w:tc>
                <w:tcPr>
                  <w:tcW w:w="15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核算排放速率/(kg/h)</w:t>
                  </w:r>
                </w:p>
              </w:tc>
              <w:tc>
                <w:tcPr>
                  <w:tcW w:w="16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核算年排放量/(t/a)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504"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主要排放口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w:t>
                  </w:r>
                </w:p>
              </w:tc>
              <w:tc>
                <w:tcPr>
                  <w:tcW w:w="1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w:t>
                  </w:r>
                </w:p>
              </w:tc>
              <w:tc>
                <w:tcPr>
                  <w:tcW w:w="1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w:t>
                  </w:r>
                </w:p>
              </w:tc>
              <w:tc>
                <w:tcPr>
                  <w:tcW w:w="18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w:t>
                  </w:r>
                </w:p>
              </w:tc>
              <w:tc>
                <w:tcPr>
                  <w:tcW w:w="15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w:t>
                  </w:r>
                </w:p>
              </w:tc>
              <w:tc>
                <w:tcPr>
                  <w:tcW w:w="16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00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主要排放口合计</w:t>
                  </w:r>
                </w:p>
              </w:tc>
              <w:tc>
                <w:tcPr>
                  <w:tcW w:w="487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w:t>
                  </w:r>
                </w:p>
              </w:tc>
              <w:tc>
                <w:tcPr>
                  <w:tcW w:w="16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504"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一般排放口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cs="Times New Roman"/>
                      <w:color w:val="000000"/>
                      <w:kern w:val="2"/>
                      <w:sz w:val="21"/>
                      <w:szCs w:val="24"/>
                      <w:lang w:val="en-US" w:eastAsia="zh-CN"/>
                    </w:rPr>
                    <w:t>1</w:t>
                  </w:r>
                </w:p>
              </w:tc>
              <w:tc>
                <w:tcPr>
                  <w:tcW w:w="1561" w:type="dxa"/>
                  <w:vMerge w:val="restart"/>
                  <w:tcBorders>
                    <w:tl2br w:val="nil"/>
                    <w:tr2bl w:val="nil"/>
                  </w:tcBorders>
                  <w:noWrap w:val="0"/>
                  <w:vAlign w:val="center"/>
                </w:tcPr>
                <w:p>
                  <w:pPr>
                    <w:widowControl w:val="0"/>
                    <w:autoSpaceDE w:val="0"/>
                    <w:autoSpaceDN w:val="0"/>
                    <w:spacing w:line="240" w:lineRule="auto"/>
                    <w:ind w:left="0" w:lef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DA00</w:t>
                  </w:r>
                  <w:r>
                    <w:rPr>
                      <w:rFonts w:hint="eastAsia" w:cs="Times New Roman"/>
                      <w:color w:val="000000"/>
                      <w:kern w:val="2"/>
                      <w:sz w:val="21"/>
                      <w:szCs w:val="21"/>
                      <w:lang w:val="en-US" w:eastAsia="zh-CN" w:bidi="ar-SA"/>
                    </w:rPr>
                    <w:t>1</w:t>
                  </w:r>
                </w:p>
                <w:p>
                  <w:pPr>
                    <w:widowControl w:val="0"/>
                    <w:autoSpaceDE w:val="0"/>
                    <w:autoSpaceDN w:val="0"/>
                    <w:spacing w:line="240" w:lineRule="auto"/>
                    <w:ind w:left="0" w:lef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一般排放口（</w:t>
                  </w:r>
                  <w:r>
                    <w:rPr>
                      <w:rFonts w:hint="eastAsia" w:ascii="Times New Roman" w:hAnsi="Times New Roman" w:eastAsia="宋体" w:cs="宋体"/>
                      <w:color w:val="auto"/>
                      <w:sz w:val="21"/>
                      <w:szCs w:val="22"/>
                      <w:lang w:val="en-US" w:eastAsia="zh-CN" w:bidi="ar-SA"/>
                    </w:rPr>
                    <w:t>生产车间排放口</w:t>
                  </w:r>
                  <w:r>
                    <w:rPr>
                      <w:rFonts w:hint="eastAsia" w:ascii="Times New Roman" w:hAnsi="Times New Roman" w:eastAsia="宋体" w:cs="Times New Roman"/>
                      <w:color w:val="000000"/>
                      <w:kern w:val="2"/>
                      <w:sz w:val="21"/>
                      <w:szCs w:val="21"/>
                      <w:lang w:val="en-US" w:eastAsia="zh-CN" w:bidi="ar-SA"/>
                    </w:rPr>
                    <w:t>）</w:t>
                  </w:r>
                </w:p>
              </w:tc>
              <w:tc>
                <w:tcPr>
                  <w:tcW w:w="1464" w:type="dxa"/>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非甲烷总烃</w:t>
                  </w:r>
                </w:p>
              </w:tc>
              <w:tc>
                <w:tcPr>
                  <w:tcW w:w="184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29.17</w:t>
                  </w:r>
                </w:p>
              </w:tc>
              <w:tc>
                <w:tcPr>
                  <w:tcW w:w="157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5833</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6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rPr>
                  </w:pPr>
                </w:p>
              </w:tc>
              <w:tc>
                <w:tcPr>
                  <w:tcW w:w="1561" w:type="dxa"/>
                  <w:vMerge w:val="continue"/>
                  <w:tcBorders>
                    <w:tl2br w:val="nil"/>
                    <w:tr2bl w:val="nil"/>
                  </w:tcBorders>
                  <w:noWrap w:val="0"/>
                  <w:vAlign w:val="center"/>
                </w:tcPr>
                <w:p>
                  <w:pPr>
                    <w:widowControl w:val="0"/>
                    <w:autoSpaceDE w:val="0"/>
                    <w:autoSpaceDN w:val="0"/>
                    <w:spacing w:line="240" w:lineRule="auto"/>
                    <w:ind w:left="0" w:leftChars="0" w:firstLine="0" w:firstLineChars="0"/>
                    <w:jc w:val="center"/>
                    <w:rPr>
                      <w:rFonts w:hint="eastAsia" w:ascii="Times New Roman" w:hAnsi="Times New Roman" w:eastAsia="宋体" w:cs="Times New Roman"/>
                      <w:color w:val="000000"/>
                      <w:kern w:val="2"/>
                      <w:sz w:val="21"/>
                      <w:szCs w:val="21"/>
                      <w:lang w:val="en-US" w:eastAsia="zh-CN" w:bidi="ar-SA"/>
                    </w:rPr>
                  </w:pPr>
                </w:p>
              </w:tc>
              <w:tc>
                <w:tcPr>
                  <w:tcW w:w="1464" w:type="dxa"/>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氯化氢</w:t>
                  </w:r>
                </w:p>
              </w:tc>
              <w:tc>
                <w:tcPr>
                  <w:tcW w:w="1843" w:type="dxa"/>
                  <w:tcBorders>
                    <w:tl2br w:val="nil"/>
                    <w:tr2bl w:val="nil"/>
                  </w:tcBorders>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w:t>
                  </w:r>
                  <w:r>
                    <w:rPr>
                      <w:rFonts w:hint="default" w:ascii="Times New Roman" w:hAnsi="Times New Roman" w:cs="Times New Roman"/>
                      <w:i w:val="0"/>
                      <w:iCs w:val="0"/>
                      <w:color w:val="000000"/>
                      <w:kern w:val="0"/>
                      <w:sz w:val="21"/>
                      <w:szCs w:val="21"/>
                      <w:u w:val="none"/>
                      <w:lang w:val="en-US" w:eastAsia="zh-CN" w:bidi="ar"/>
                    </w:rPr>
                    <w:t>μg</w:t>
                  </w:r>
                  <w:r>
                    <w:rPr>
                      <w:rFonts w:hint="default" w:ascii="Times New Roman" w:hAnsi="Times New Roman" w:eastAsia="宋体" w:cs="Times New Roman"/>
                      <w:b w:val="0"/>
                      <w:bCs w:val="0"/>
                      <w:color w:val="auto"/>
                      <w:kern w:val="2"/>
                      <w:sz w:val="21"/>
                      <w:szCs w:val="22"/>
                    </w:rPr>
                    <w:t>/m</w:t>
                  </w:r>
                  <w:r>
                    <w:rPr>
                      <w:rFonts w:hint="default" w:ascii="Times New Roman" w:hAnsi="Times New Roman" w:eastAsia="宋体" w:cs="Times New Roman"/>
                      <w:b w:val="0"/>
                      <w:bCs w:val="0"/>
                      <w:color w:val="auto"/>
                      <w:kern w:val="2"/>
                      <w:sz w:val="21"/>
                      <w:szCs w:val="22"/>
                      <w:vertAlign w:val="superscript"/>
                      <w:lang w:val="en-US" w:eastAsia="zh-CN"/>
                    </w:rPr>
                    <w:t>3</w:t>
                  </w:r>
                </w:p>
              </w:tc>
              <w:tc>
                <w:tcPr>
                  <w:tcW w:w="157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rPr>
                  </w:pPr>
                  <w:r>
                    <w:rPr>
                      <w:rFonts w:hint="eastAsia" w:cs="Times New Roman"/>
                      <w:i w:val="0"/>
                      <w:iCs w:val="0"/>
                      <w:color w:val="000000"/>
                      <w:kern w:val="0"/>
                      <w:sz w:val="21"/>
                      <w:szCs w:val="21"/>
                      <w:u w:val="none"/>
                      <w:lang w:val="en-US" w:eastAsia="zh-CN" w:bidi="ar"/>
                    </w:rPr>
                    <w:t>4.17×10</w:t>
                  </w:r>
                  <w:r>
                    <w:rPr>
                      <w:rFonts w:hint="eastAsia" w:cs="Times New Roman"/>
                      <w:i w:val="0"/>
                      <w:iCs w:val="0"/>
                      <w:color w:val="000000"/>
                      <w:kern w:val="0"/>
                      <w:sz w:val="21"/>
                      <w:szCs w:val="21"/>
                      <w:u w:val="none"/>
                      <w:vertAlign w:val="superscript"/>
                      <w:lang w:val="en-US" w:eastAsia="zh-CN" w:bidi="ar"/>
                    </w:rPr>
                    <w:t>-7</w:t>
                  </w:r>
                </w:p>
              </w:tc>
              <w:tc>
                <w:tcPr>
                  <w:tcW w:w="162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0.001kg/a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001"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一般排放口合计</w:t>
                  </w:r>
                </w:p>
              </w:tc>
              <w:tc>
                <w:tcPr>
                  <w:tcW w:w="4878" w:type="dxa"/>
                  <w:gridSpan w:val="3"/>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非甲烷总烃</w:t>
                  </w:r>
                </w:p>
              </w:tc>
              <w:tc>
                <w:tcPr>
                  <w:tcW w:w="16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001"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p>
              </w:tc>
              <w:tc>
                <w:tcPr>
                  <w:tcW w:w="4878" w:type="dxa"/>
                  <w:gridSpan w:val="3"/>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氯化氢</w:t>
                  </w:r>
                </w:p>
              </w:tc>
              <w:tc>
                <w:tcPr>
                  <w:tcW w:w="162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0.001kg/a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504" w:type="dxa"/>
                  <w:gridSpan w:val="6"/>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有组织排放总计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001"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有组织排放总计</w:t>
                  </w:r>
                </w:p>
              </w:tc>
              <w:tc>
                <w:tcPr>
                  <w:tcW w:w="4878" w:type="dxa"/>
                  <w:gridSpan w:val="3"/>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非甲烷总烃</w:t>
                  </w:r>
                </w:p>
              </w:tc>
              <w:tc>
                <w:tcPr>
                  <w:tcW w:w="16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001"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000000"/>
                      <w:kern w:val="2"/>
                      <w:sz w:val="21"/>
                      <w:szCs w:val="24"/>
                      <w:lang w:val="en-US" w:eastAsia="zh-CN"/>
                    </w:rPr>
                  </w:pPr>
                </w:p>
              </w:tc>
              <w:tc>
                <w:tcPr>
                  <w:tcW w:w="4878" w:type="dxa"/>
                  <w:gridSpan w:val="3"/>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氯化氢</w:t>
                  </w:r>
                </w:p>
              </w:tc>
              <w:tc>
                <w:tcPr>
                  <w:tcW w:w="162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0.001kg/a</w:t>
                  </w:r>
                </w:p>
              </w:tc>
            </w:tr>
          </w:tbl>
          <w:p>
            <w:pPr>
              <w:widowControl w:val="0"/>
              <w:overflowPunct w:val="0"/>
              <w:autoSpaceDE w:val="0"/>
              <w:autoSpaceDN w:val="0"/>
              <w:adjustRightInd w:val="0"/>
              <w:snapToGrid w:val="0"/>
              <w:spacing w:before="0" w:after="0" w:line="500" w:lineRule="exact"/>
              <w:ind w:left="0" w:right="0" w:firstLine="482" w:firstLineChars="200"/>
              <w:jc w:val="center"/>
              <w:rPr>
                <w:rFonts w:hint="default" w:ascii="Times New Roman" w:hAnsi="Times New Roman" w:eastAsia="宋体" w:cs="Times New Roman"/>
                <w:b/>
                <w:color w:val="000000"/>
                <w:kern w:val="2"/>
                <w:sz w:val="24"/>
                <w:szCs w:val="24"/>
                <w:highlight w:val="none"/>
                <w:lang w:val="en-US" w:eastAsia="zh-CN" w:bidi="ar-SA"/>
              </w:rPr>
            </w:pPr>
            <w:r>
              <w:rPr>
                <w:rFonts w:hint="default" w:ascii="Times New Roman" w:hAnsi="Times New Roman" w:eastAsia="宋体" w:cs="Times New Roman"/>
                <w:b/>
                <w:color w:val="000000"/>
                <w:kern w:val="2"/>
                <w:sz w:val="24"/>
                <w:szCs w:val="24"/>
                <w:highlight w:val="none"/>
                <w:lang w:val="en-US" w:eastAsia="zh-CN" w:bidi="ar-SA"/>
              </w:rPr>
              <w:t>表</w:t>
            </w:r>
            <w:r>
              <w:rPr>
                <w:rFonts w:hint="eastAsia" w:ascii="Times New Roman" w:hAnsi="Times New Roman" w:eastAsia="宋体" w:cs="Times New Roman"/>
                <w:b/>
                <w:color w:val="000000"/>
                <w:kern w:val="2"/>
                <w:sz w:val="24"/>
                <w:szCs w:val="24"/>
                <w:highlight w:val="none"/>
                <w:lang w:val="en-US" w:eastAsia="zh-CN" w:bidi="ar-SA"/>
              </w:rPr>
              <w:t>4.5-</w:t>
            </w:r>
            <w:r>
              <w:rPr>
                <w:rFonts w:hint="eastAsia" w:cs="Times New Roman"/>
                <w:b/>
                <w:color w:val="000000"/>
                <w:kern w:val="2"/>
                <w:sz w:val="24"/>
                <w:szCs w:val="24"/>
                <w:highlight w:val="none"/>
                <w:lang w:val="en-US" w:eastAsia="zh-CN" w:bidi="ar-SA"/>
              </w:rPr>
              <w:t>9</w:t>
            </w:r>
            <w:r>
              <w:rPr>
                <w:rFonts w:hint="default" w:ascii="Times New Roman" w:hAnsi="Times New Roman" w:eastAsia="宋体" w:cs="Times New Roman"/>
                <w:b/>
                <w:color w:val="000000"/>
                <w:kern w:val="2"/>
                <w:sz w:val="24"/>
                <w:szCs w:val="24"/>
                <w:highlight w:val="none"/>
                <w:lang w:val="en-US" w:eastAsia="zh-CN" w:bidi="ar-SA"/>
              </w:rPr>
              <w:t>本项目</w:t>
            </w:r>
            <w:r>
              <w:rPr>
                <w:rFonts w:hint="eastAsia" w:ascii="Times New Roman" w:hAnsi="Times New Roman" w:eastAsia="宋体" w:cs="Times New Roman"/>
                <w:b/>
                <w:color w:val="000000"/>
                <w:kern w:val="2"/>
                <w:sz w:val="24"/>
                <w:szCs w:val="24"/>
                <w:highlight w:val="none"/>
                <w:lang w:val="en-US" w:eastAsia="zh-CN" w:bidi="ar-SA"/>
              </w:rPr>
              <w:t>有组织</w:t>
            </w:r>
            <w:r>
              <w:rPr>
                <w:rFonts w:hint="default" w:ascii="Times New Roman" w:hAnsi="Times New Roman" w:eastAsia="宋体" w:cs="Times New Roman"/>
                <w:b/>
                <w:color w:val="000000"/>
                <w:kern w:val="2"/>
                <w:sz w:val="24"/>
                <w:szCs w:val="24"/>
                <w:highlight w:val="none"/>
                <w:lang w:val="en-US" w:eastAsia="zh-CN" w:bidi="ar-SA"/>
              </w:rPr>
              <w:t>大气污染物年排放核算表</w:t>
            </w:r>
          </w:p>
          <w:tbl>
            <w:tblPr>
              <w:tblStyle w:val="1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344"/>
              <w:gridCol w:w="3246"/>
              <w:gridCol w:w="291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44" w:type="dxa"/>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序号</w:t>
                  </w:r>
                </w:p>
              </w:tc>
              <w:tc>
                <w:tcPr>
                  <w:tcW w:w="3246" w:type="dxa"/>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污染物</w:t>
                  </w:r>
                </w:p>
              </w:tc>
              <w:tc>
                <w:tcPr>
                  <w:tcW w:w="2914" w:type="dxa"/>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44" w:type="dxa"/>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1</w:t>
                  </w:r>
                </w:p>
              </w:tc>
              <w:tc>
                <w:tcPr>
                  <w:tcW w:w="3246" w:type="dxa"/>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default" w:ascii="宋体" w:hAnsi="宋体" w:eastAsia="宋体" w:cs="Times New Roman"/>
                      <w:bCs/>
                      <w:color w:val="000000"/>
                      <w:kern w:val="2"/>
                      <w:sz w:val="21"/>
                      <w:szCs w:val="21"/>
                      <w:highlight w:val="none"/>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非甲烷总烃</w:t>
                  </w:r>
                </w:p>
              </w:tc>
              <w:tc>
                <w:tcPr>
                  <w:tcW w:w="29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cs="Times New Roman"/>
                      <w:i w:val="0"/>
                      <w:iCs w:val="0"/>
                      <w:color w:val="000000"/>
                      <w:kern w:val="0"/>
                      <w:sz w:val="21"/>
                      <w:szCs w:val="21"/>
                      <w:u w:val="none"/>
                      <w:lang w:val="en-US" w:eastAsia="zh-CN" w:bidi="ar"/>
                    </w:rPr>
                    <w:t>1.40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44" w:type="dxa"/>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2</w:t>
                  </w:r>
                </w:p>
              </w:tc>
              <w:tc>
                <w:tcPr>
                  <w:tcW w:w="3246" w:type="dxa"/>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氯化氢</w:t>
                  </w:r>
                </w:p>
              </w:tc>
              <w:tc>
                <w:tcPr>
                  <w:tcW w:w="291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0.001kg/a</w:t>
                  </w:r>
                </w:p>
              </w:tc>
            </w:tr>
          </w:tbl>
          <w:p>
            <w:pPr>
              <w:widowControl w:val="0"/>
              <w:overflowPunct w:val="0"/>
              <w:autoSpaceDE w:val="0"/>
              <w:autoSpaceDN w:val="0"/>
              <w:adjustRightInd w:val="0"/>
              <w:snapToGrid w:val="0"/>
              <w:spacing w:before="0" w:after="0" w:line="520" w:lineRule="exact"/>
              <w:ind w:left="0" w:right="0"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在所有工艺设备及环保设备工作正常的情况下，本项目排放的各废气污染物量较低，</w:t>
            </w:r>
            <w:r>
              <w:rPr>
                <w:rFonts w:hint="eastAsia" w:ascii="Times New Roman" w:hAnsi="Times New Roman" w:eastAsia="宋体" w:cs="Times New Roman"/>
                <w:color w:val="000000"/>
                <w:kern w:val="2"/>
                <w:sz w:val="24"/>
                <w:szCs w:val="24"/>
                <w:highlight w:val="none"/>
                <w:lang w:val="en-US" w:eastAsia="zh-CN" w:bidi="ar-SA"/>
              </w:rPr>
              <w:t>在</w:t>
            </w:r>
            <w:r>
              <w:rPr>
                <w:rFonts w:hint="default" w:ascii="Times New Roman" w:hAnsi="Times New Roman" w:eastAsia="宋体" w:cs="Times New Roman"/>
                <w:color w:val="000000"/>
                <w:kern w:val="2"/>
                <w:sz w:val="24"/>
                <w:szCs w:val="24"/>
                <w:highlight w:val="none"/>
                <w:lang w:val="en-US" w:eastAsia="zh-CN" w:bidi="ar-SA"/>
              </w:rPr>
              <w:t>开、停、检修和治理措施故障均会造成污染物排放瞬时增大甚至超标情况，因此环评中需要对此类非正常工况排放进行分析和预测。本项目非正常工况主要考虑装置失效时的情况。非正常工况下，</w:t>
            </w:r>
            <w:r>
              <w:rPr>
                <w:rFonts w:hint="eastAsia" w:ascii="Times New Roman" w:hAnsi="Times New Roman" w:eastAsia="宋体" w:cs="Times New Roman"/>
                <w:color w:val="000000"/>
                <w:kern w:val="2"/>
                <w:sz w:val="24"/>
                <w:szCs w:val="24"/>
                <w:highlight w:val="none"/>
                <w:lang w:val="en-US" w:eastAsia="zh-CN" w:bidi="ar-SA"/>
              </w:rPr>
              <w:t>按照处理效率的30%计，</w:t>
            </w:r>
            <w:r>
              <w:rPr>
                <w:rFonts w:hint="default" w:ascii="Times New Roman" w:hAnsi="Times New Roman" w:eastAsia="宋体" w:cs="Times New Roman"/>
                <w:color w:val="000000"/>
                <w:kern w:val="2"/>
                <w:sz w:val="24"/>
                <w:szCs w:val="24"/>
                <w:highlight w:val="none"/>
                <w:lang w:val="en-US" w:eastAsia="zh-CN" w:bidi="ar-SA"/>
              </w:rPr>
              <w:t>项目排气筒排放的废气源强见表</w:t>
            </w:r>
            <w:r>
              <w:rPr>
                <w:rFonts w:hint="eastAsia" w:ascii="Times New Roman" w:hAnsi="Times New Roman" w:eastAsia="宋体" w:cs="Times New Roman"/>
                <w:color w:val="000000"/>
                <w:kern w:val="2"/>
                <w:sz w:val="24"/>
                <w:szCs w:val="24"/>
                <w:highlight w:val="none"/>
                <w:lang w:val="en-US" w:eastAsia="zh-CN" w:bidi="ar-SA"/>
              </w:rPr>
              <w:t>4.5-1</w:t>
            </w:r>
            <w:r>
              <w:rPr>
                <w:rFonts w:hint="eastAsia" w:cs="Times New Roman"/>
                <w:color w:val="000000"/>
                <w:kern w:val="2"/>
                <w:sz w:val="24"/>
                <w:szCs w:val="24"/>
                <w:highlight w:val="none"/>
                <w:lang w:val="en-US" w:eastAsia="zh-CN" w:bidi="ar-SA"/>
              </w:rPr>
              <w:t>0</w:t>
            </w:r>
            <w:r>
              <w:rPr>
                <w:rFonts w:hint="eastAsia" w:ascii="Times New Roman" w:hAnsi="Times New Roman" w:eastAsia="宋体" w:cs="Times New Roman"/>
                <w:color w:val="000000"/>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before="0" w:after="0" w:line="500" w:lineRule="exact"/>
              <w:ind w:left="0" w:right="0" w:firstLine="0" w:firstLineChars="0"/>
              <w:jc w:val="center"/>
              <w:textAlignment w:val="auto"/>
              <w:rPr>
                <w:rFonts w:hint="default" w:ascii="Times New Roman" w:hAnsi="Times New Roman" w:eastAsia="宋体" w:cs="Times New Roman"/>
                <w:b/>
                <w:color w:val="000000"/>
                <w:kern w:val="2"/>
                <w:sz w:val="24"/>
                <w:szCs w:val="24"/>
                <w:highlight w:val="none"/>
                <w:lang w:val="en-US" w:eastAsia="zh-CN" w:bidi="ar-SA"/>
              </w:rPr>
            </w:pPr>
            <w:r>
              <w:rPr>
                <w:rFonts w:hint="default" w:ascii="Times New Roman" w:hAnsi="Times New Roman" w:eastAsia="宋体" w:cs="Times New Roman"/>
                <w:b/>
                <w:color w:val="000000"/>
                <w:kern w:val="2"/>
                <w:sz w:val="24"/>
                <w:szCs w:val="24"/>
                <w:highlight w:val="none"/>
                <w:lang w:val="en-US" w:eastAsia="zh-CN" w:bidi="ar-SA"/>
              </w:rPr>
              <w:t>表</w:t>
            </w:r>
            <w:r>
              <w:rPr>
                <w:rFonts w:hint="eastAsia" w:ascii="Times New Roman" w:hAnsi="Times New Roman" w:eastAsia="宋体" w:cs="Times New Roman"/>
                <w:b/>
                <w:color w:val="000000"/>
                <w:kern w:val="2"/>
                <w:sz w:val="24"/>
                <w:szCs w:val="24"/>
                <w:highlight w:val="none"/>
                <w:lang w:val="en-US" w:eastAsia="zh-CN" w:bidi="ar-SA"/>
              </w:rPr>
              <w:t>4.5-1</w:t>
            </w:r>
            <w:r>
              <w:rPr>
                <w:rFonts w:hint="eastAsia" w:cs="Times New Roman"/>
                <w:b/>
                <w:color w:val="000000"/>
                <w:kern w:val="2"/>
                <w:sz w:val="24"/>
                <w:szCs w:val="24"/>
                <w:highlight w:val="none"/>
                <w:lang w:val="en-US" w:eastAsia="zh-CN" w:bidi="ar-SA"/>
              </w:rPr>
              <w:t>0</w:t>
            </w:r>
            <w:r>
              <w:rPr>
                <w:rFonts w:hint="default" w:ascii="Times New Roman" w:hAnsi="Times New Roman" w:eastAsia="宋体" w:cs="Times New Roman"/>
                <w:b/>
                <w:color w:val="000000"/>
                <w:kern w:val="2"/>
                <w:sz w:val="24"/>
                <w:szCs w:val="24"/>
                <w:highlight w:val="none"/>
                <w:lang w:val="en-US" w:eastAsia="zh-CN" w:bidi="ar-SA"/>
              </w:rPr>
              <w:t>本项目</w:t>
            </w:r>
            <w:r>
              <w:rPr>
                <w:rFonts w:hint="eastAsia" w:ascii="Times New Roman" w:hAnsi="Times New Roman" w:eastAsia="宋体" w:cs="Times New Roman"/>
                <w:b/>
                <w:color w:val="000000"/>
                <w:kern w:val="2"/>
                <w:sz w:val="24"/>
                <w:szCs w:val="24"/>
                <w:highlight w:val="none"/>
                <w:lang w:val="en-US" w:eastAsia="zh-CN" w:bidi="ar-SA"/>
              </w:rPr>
              <w:t>有组织</w:t>
            </w:r>
            <w:r>
              <w:rPr>
                <w:rFonts w:hint="default" w:ascii="Times New Roman" w:hAnsi="Times New Roman" w:eastAsia="宋体" w:cs="Times New Roman"/>
                <w:b/>
                <w:color w:val="000000"/>
                <w:kern w:val="2"/>
                <w:sz w:val="24"/>
                <w:szCs w:val="24"/>
                <w:highlight w:val="none"/>
                <w:lang w:val="en-US" w:eastAsia="zh-CN" w:bidi="ar-SA"/>
              </w:rPr>
              <w:t>大气污染物</w:t>
            </w:r>
            <w:r>
              <w:rPr>
                <w:rFonts w:hint="eastAsia" w:ascii="Times New Roman" w:hAnsi="Times New Roman" w:eastAsia="宋体" w:cs="Times New Roman"/>
                <w:b/>
                <w:color w:val="000000"/>
                <w:kern w:val="2"/>
                <w:sz w:val="24"/>
                <w:szCs w:val="24"/>
                <w:highlight w:val="none"/>
                <w:lang w:val="en-US" w:eastAsia="zh-CN" w:bidi="ar-SA"/>
              </w:rPr>
              <w:t>非正常工况</w:t>
            </w:r>
            <w:r>
              <w:rPr>
                <w:rFonts w:hint="default" w:ascii="Times New Roman" w:hAnsi="Times New Roman" w:eastAsia="宋体" w:cs="Times New Roman"/>
                <w:b/>
                <w:color w:val="000000"/>
                <w:kern w:val="2"/>
                <w:sz w:val="24"/>
                <w:szCs w:val="24"/>
                <w:highlight w:val="none"/>
                <w:lang w:val="en-US" w:eastAsia="zh-CN" w:bidi="ar-SA"/>
              </w:rPr>
              <w:t>年排放核算表</w:t>
            </w:r>
          </w:p>
          <w:tbl>
            <w:tblPr>
              <w:tblStyle w:val="13"/>
              <w:tblW w:w="506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48"/>
              <w:gridCol w:w="1338"/>
              <w:gridCol w:w="521"/>
              <w:gridCol w:w="960"/>
              <w:gridCol w:w="845"/>
              <w:gridCol w:w="750"/>
              <w:gridCol w:w="642"/>
              <w:gridCol w:w="1344"/>
              <w:gridCol w:w="134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40"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lang w:val="en-US"/>
                    </w:rPr>
                  </w:pPr>
                  <w:r>
                    <w:rPr>
                      <w:rFonts w:hint="default" w:ascii="Times New Roman" w:hAnsi="Times New Roman" w:eastAsia="宋体" w:cs="Times New Roman"/>
                      <w:color w:val="000000"/>
                      <w:kern w:val="2"/>
                      <w:sz w:val="21"/>
                      <w:szCs w:val="21"/>
                      <w:lang w:val="en-US" w:eastAsia="zh-CN"/>
                    </w:rPr>
                    <w:t>污染源</w:t>
                  </w:r>
                </w:p>
              </w:tc>
              <w:tc>
                <w:tcPr>
                  <w:tcW w:w="787"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非正常排放原因</w:t>
                  </w:r>
                </w:p>
              </w:tc>
              <w:tc>
                <w:tcPr>
                  <w:tcW w:w="306"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污染物</w:t>
                  </w:r>
                </w:p>
              </w:tc>
              <w:tc>
                <w:tcPr>
                  <w:tcW w:w="565"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非正常排放浓度（</w:t>
                  </w:r>
                  <w:r>
                    <w:rPr>
                      <w:rFonts w:hint="eastAsia" w:ascii="Times New Roman" w:hAnsi="Times New Roman" w:eastAsia="宋体" w:cs="Times New Roman"/>
                      <w:color w:val="000000"/>
                      <w:kern w:val="2"/>
                      <w:sz w:val="21"/>
                      <w:szCs w:val="21"/>
                      <w:lang w:val="en-US" w:eastAsia="zh-CN"/>
                    </w:rPr>
                    <w:t>m</w:t>
                  </w:r>
                  <w:r>
                    <w:rPr>
                      <w:rFonts w:hint="default" w:ascii="Times New Roman" w:hAnsi="Times New Roman" w:eastAsia="宋体" w:cs="Times New Roman"/>
                      <w:color w:val="000000"/>
                      <w:kern w:val="2"/>
                      <w:sz w:val="21"/>
                      <w:szCs w:val="24"/>
                    </w:rPr>
                    <w:t>g/m</w:t>
                  </w:r>
                  <w:r>
                    <w:rPr>
                      <w:rFonts w:hint="default" w:ascii="Times New Roman" w:hAnsi="Times New Roman" w:eastAsia="宋体" w:cs="Times New Roman"/>
                      <w:color w:val="000000"/>
                      <w:kern w:val="2"/>
                      <w:sz w:val="21"/>
                      <w:szCs w:val="24"/>
                      <w:vertAlign w:val="superscript"/>
                    </w:rPr>
                    <w:t>3</w:t>
                  </w:r>
                  <w:r>
                    <w:rPr>
                      <w:rFonts w:hint="default" w:ascii="Times New Roman" w:hAnsi="Times New Roman" w:eastAsia="宋体" w:cs="Times New Roman"/>
                      <w:color w:val="000000"/>
                      <w:kern w:val="2"/>
                      <w:sz w:val="21"/>
                      <w:szCs w:val="21"/>
                      <w:lang w:val="en-US" w:eastAsia="zh-CN"/>
                    </w:rPr>
                    <w:t>）</w:t>
                  </w:r>
                </w:p>
              </w:tc>
              <w:tc>
                <w:tcPr>
                  <w:tcW w:w="497" w:type="pct"/>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rPr>
                    <w:t>非正常排放</w:t>
                  </w:r>
                  <w:r>
                    <w:rPr>
                      <w:rFonts w:hint="eastAsia" w:ascii="Times New Roman" w:hAnsi="Times New Roman" w:eastAsia="宋体" w:cs="Times New Roman"/>
                      <w:color w:val="000000"/>
                      <w:kern w:val="2"/>
                      <w:sz w:val="21"/>
                      <w:szCs w:val="21"/>
                      <w:lang w:val="en-US" w:eastAsia="zh-CN"/>
                    </w:rPr>
                    <w:t>速率</w:t>
                  </w:r>
                  <w:r>
                    <w:rPr>
                      <w:rFonts w:hint="default" w:ascii="Times New Roman" w:hAnsi="Times New Roman" w:eastAsia="宋体" w:cs="Times New Roman"/>
                      <w:color w:val="000000"/>
                      <w:kern w:val="2"/>
                      <w:sz w:val="21"/>
                      <w:szCs w:val="21"/>
                      <w:lang w:val="en-US" w:eastAsia="zh-CN"/>
                    </w:rPr>
                    <w:t>/</w:t>
                  </w:r>
                  <w:r>
                    <w:rPr>
                      <w:rFonts w:hint="default" w:ascii="Times New Roman" w:hAnsi="Times New Roman" w:eastAsia="宋体" w:cs="Times New Roman"/>
                      <w:color w:val="000000"/>
                      <w:kern w:val="2"/>
                      <w:sz w:val="21"/>
                      <w:szCs w:val="21"/>
                    </w:rPr>
                    <w:t>(</w:t>
                  </w:r>
                  <w:r>
                    <w:rPr>
                      <w:rFonts w:hint="eastAsia" w:ascii="Times New Roman" w:hAnsi="Times New Roman" w:eastAsia="宋体" w:cs="Times New Roman"/>
                      <w:color w:val="000000"/>
                      <w:kern w:val="2"/>
                      <w:sz w:val="21"/>
                      <w:szCs w:val="21"/>
                      <w:lang w:val="en-US" w:eastAsia="zh-CN"/>
                    </w:rPr>
                    <w:t>kg/h</w:t>
                  </w:r>
                  <w:r>
                    <w:rPr>
                      <w:rFonts w:hint="default" w:ascii="Times New Roman" w:hAnsi="Times New Roman" w:eastAsia="宋体" w:cs="Times New Roman"/>
                      <w:color w:val="000000"/>
                      <w:kern w:val="2"/>
                      <w:sz w:val="21"/>
                      <w:szCs w:val="21"/>
                    </w:rPr>
                    <w:t>)</w:t>
                  </w:r>
                </w:p>
              </w:tc>
              <w:tc>
                <w:tcPr>
                  <w:tcW w:w="441"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rPr>
                    <w:t>单次持续时间/h</w:t>
                  </w:r>
                </w:p>
              </w:tc>
              <w:tc>
                <w:tcPr>
                  <w:tcW w:w="378"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rPr>
                    <w:t>年发生频次/次</w:t>
                  </w:r>
                </w:p>
              </w:tc>
              <w:tc>
                <w:tcPr>
                  <w:tcW w:w="791"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非正常排放</w:t>
                  </w:r>
                  <w:r>
                    <w:rPr>
                      <w:rFonts w:hint="eastAsia" w:ascii="Times New Roman" w:hAnsi="Times New Roman" w:eastAsia="宋体" w:cs="Times New Roman"/>
                      <w:color w:val="000000"/>
                      <w:kern w:val="2"/>
                      <w:sz w:val="21"/>
                      <w:szCs w:val="21"/>
                      <w:lang w:val="en-US" w:eastAsia="zh-CN"/>
                    </w:rPr>
                    <w:t>量</w:t>
                  </w:r>
                  <w:r>
                    <w:rPr>
                      <w:rFonts w:hint="default" w:ascii="Times New Roman" w:hAnsi="Times New Roman" w:eastAsia="宋体" w:cs="Times New Roman"/>
                      <w:color w:val="000000"/>
                      <w:kern w:val="2"/>
                      <w:sz w:val="21"/>
                      <w:szCs w:val="21"/>
                      <w:lang w:val="en-US" w:eastAsia="zh-CN"/>
                    </w:rPr>
                    <w:t>/</w:t>
                  </w:r>
                  <w:r>
                    <w:rPr>
                      <w:rFonts w:hint="default" w:ascii="Times New Roman" w:hAnsi="Times New Roman" w:eastAsia="宋体" w:cs="Times New Roman"/>
                      <w:color w:val="000000"/>
                      <w:kern w:val="2"/>
                      <w:sz w:val="21"/>
                      <w:szCs w:val="21"/>
                    </w:rPr>
                    <w:t>(</w:t>
                  </w:r>
                  <w:r>
                    <w:rPr>
                      <w:rFonts w:hint="eastAsia" w:ascii="Times New Roman" w:hAnsi="Times New Roman" w:eastAsia="宋体" w:cs="Times New Roman"/>
                      <w:color w:val="000000"/>
                      <w:kern w:val="2"/>
                      <w:sz w:val="21"/>
                      <w:szCs w:val="21"/>
                      <w:lang w:val="en-US" w:eastAsia="zh-CN"/>
                    </w:rPr>
                    <w:t>kg/a</w:t>
                  </w:r>
                  <w:r>
                    <w:rPr>
                      <w:rFonts w:hint="default" w:ascii="Times New Roman" w:hAnsi="Times New Roman" w:eastAsia="宋体" w:cs="Times New Roman"/>
                      <w:color w:val="000000"/>
                      <w:kern w:val="2"/>
                      <w:sz w:val="21"/>
                      <w:szCs w:val="21"/>
                    </w:rPr>
                    <w:t>)</w:t>
                  </w:r>
                </w:p>
              </w:tc>
              <w:tc>
                <w:tcPr>
                  <w:tcW w:w="791"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应对措施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40" w:type="pct"/>
                  <w:vMerge w:val="restart"/>
                  <w:tcBorders>
                    <w:tl2br w:val="nil"/>
                    <w:tr2bl w:val="nil"/>
                  </w:tcBorders>
                  <w:noWrap w:val="0"/>
                  <w:tcMar>
                    <w:left w:w="0" w:type="dxa"/>
                    <w:right w:w="0" w:type="dxa"/>
                  </w:tcMar>
                  <w:vAlign w:val="center"/>
                </w:tcPr>
                <w:p>
                  <w:pPr>
                    <w:widowControl w:val="0"/>
                    <w:autoSpaceDE w:val="0"/>
                    <w:autoSpaceDN w:val="0"/>
                    <w:spacing w:line="240" w:lineRule="auto"/>
                    <w:ind w:left="0" w:lef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DA00</w:t>
                  </w:r>
                  <w:r>
                    <w:rPr>
                      <w:rFonts w:hint="eastAsia" w:cs="Times New Roman"/>
                      <w:color w:val="000000"/>
                      <w:kern w:val="2"/>
                      <w:sz w:val="21"/>
                      <w:szCs w:val="21"/>
                      <w:lang w:val="en-US" w:eastAsia="zh-CN" w:bidi="ar-SA"/>
                    </w:rPr>
                    <w:t>1</w:t>
                  </w:r>
                </w:p>
                <w:p>
                  <w:pPr>
                    <w:widowControl w:val="0"/>
                    <w:autoSpaceDE w:val="0"/>
                    <w:autoSpaceDN w:val="0"/>
                    <w:spacing w:line="240" w:lineRule="auto"/>
                    <w:ind w:left="0" w:lef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一般排放口（</w:t>
                  </w:r>
                  <w:r>
                    <w:rPr>
                      <w:rFonts w:hint="eastAsia" w:ascii="Times New Roman" w:hAnsi="Times New Roman" w:eastAsia="宋体" w:cs="宋体"/>
                      <w:color w:val="auto"/>
                      <w:sz w:val="21"/>
                      <w:szCs w:val="22"/>
                      <w:lang w:val="en-US" w:eastAsia="zh-CN" w:bidi="ar-SA"/>
                    </w:rPr>
                    <w:t>生产车间排放口</w:t>
                  </w:r>
                  <w:r>
                    <w:rPr>
                      <w:rFonts w:hint="eastAsia" w:ascii="Times New Roman" w:hAnsi="Times New Roman" w:eastAsia="宋体" w:cs="Times New Roman"/>
                      <w:color w:val="000000"/>
                      <w:kern w:val="2"/>
                      <w:sz w:val="21"/>
                      <w:szCs w:val="21"/>
                      <w:lang w:val="en-US" w:eastAsia="zh-CN" w:bidi="ar-SA"/>
                    </w:rPr>
                    <w:t>）</w:t>
                  </w:r>
                </w:p>
              </w:tc>
              <w:tc>
                <w:tcPr>
                  <w:tcW w:w="787" w:type="pct"/>
                  <w:vMerge w:val="restar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运转异常等非正常工况下</w:t>
                  </w:r>
                  <w:r>
                    <w:rPr>
                      <w:rFonts w:hint="default" w:ascii="Times New Roman" w:hAnsi="Times New Roman" w:eastAsia="宋体" w:cs="Times New Roman"/>
                      <w:color w:val="000000"/>
                      <w:kern w:val="2"/>
                      <w:sz w:val="21"/>
                      <w:szCs w:val="24"/>
                      <w:lang w:val="en-US" w:eastAsia="zh-CN"/>
                    </w:rPr>
                    <w:t>和</w:t>
                  </w:r>
                  <w:r>
                    <w:rPr>
                      <w:rFonts w:hint="default" w:ascii="Times New Roman" w:hAnsi="Times New Roman" w:eastAsia="宋体" w:cs="Times New Roman"/>
                      <w:color w:val="000000"/>
                      <w:kern w:val="2"/>
                      <w:sz w:val="21"/>
                      <w:szCs w:val="24"/>
                    </w:rPr>
                    <w:t>废气处理系统</w:t>
                  </w:r>
                  <w:r>
                    <w:rPr>
                      <w:rFonts w:hint="default" w:ascii="Times New Roman" w:hAnsi="Times New Roman" w:eastAsia="宋体" w:cs="Times New Roman"/>
                      <w:color w:val="000000"/>
                      <w:kern w:val="2"/>
                      <w:sz w:val="21"/>
                      <w:szCs w:val="24"/>
                      <w:lang w:val="en-US" w:eastAsia="zh-CN"/>
                    </w:rPr>
                    <w:t>达不到应有效率</w:t>
                  </w:r>
                </w:p>
              </w:tc>
              <w:tc>
                <w:tcPr>
                  <w:tcW w:w="306" w:type="pct"/>
                  <w:tcBorders>
                    <w:tl2br w:val="nil"/>
                    <w:tr2bl w:val="nil"/>
                  </w:tcBorders>
                  <w:noWrap w:val="0"/>
                  <w:tcMar>
                    <w:left w:w="0" w:type="dxa"/>
                    <w:right w:w="0" w:type="dxa"/>
                  </w:tcMar>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非甲烷总烃</w:t>
                  </w:r>
                </w:p>
              </w:tc>
              <w:tc>
                <w:tcPr>
                  <w:tcW w:w="565"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59.8</w:t>
                  </w:r>
                </w:p>
              </w:tc>
              <w:tc>
                <w:tcPr>
                  <w:tcW w:w="497"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 xml:space="preserve">1.1958 </w:t>
                  </w:r>
                </w:p>
              </w:tc>
              <w:tc>
                <w:tcPr>
                  <w:tcW w:w="441"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1</w:t>
                  </w:r>
                </w:p>
              </w:tc>
              <w:tc>
                <w:tcPr>
                  <w:tcW w:w="378"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w:t>
                  </w:r>
                </w:p>
              </w:tc>
              <w:tc>
                <w:tcPr>
                  <w:tcW w:w="791"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2.3916</w:t>
                  </w:r>
                </w:p>
              </w:tc>
              <w:tc>
                <w:tcPr>
                  <w:tcW w:w="791" w:type="pct"/>
                  <w:vMerge w:val="restar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加强设备维护和管理，发现非正常工况及时</w:t>
                  </w:r>
                  <w:r>
                    <w:rPr>
                      <w:rFonts w:hint="eastAsia" w:ascii="Times New Roman" w:hAnsi="Times New Roman" w:eastAsia="宋体" w:cs="Times New Roman"/>
                      <w:color w:val="000000"/>
                      <w:kern w:val="2"/>
                      <w:sz w:val="21"/>
                      <w:szCs w:val="21"/>
                      <w:highlight w:val="none"/>
                      <w:lang w:val="en-US" w:eastAsia="zh-CN"/>
                    </w:rPr>
                    <w:t>停产，并</w:t>
                  </w:r>
                  <w:r>
                    <w:rPr>
                      <w:rFonts w:hint="default" w:ascii="Times New Roman" w:hAnsi="Times New Roman" w:eastAsia="宋体" w:cs="Times New Roman"/>
                      <w:color w:val="000000"/>
                      <w:kern w:val="2"/>
                      <w:sz w:val="21"/>
                      <w:szCs w:val="21"/>
                      <w:highlight w:val="none"/>
                      <w:lang w:val="en-US" w:eastAsia="zh-CN"/>
                    </w:rPr>
                    <w:t>进行检修和维护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40" w:type="pct"/>
                  <w:vMerge w:val="continue"/>
                  <w:tcBorders>
                    <w:tl2br w:val="nil"/>
                    <w:tr2bl w:val="nil"/>
                  </w:tcBorders>
                  <w:noWrap w:val="0"/>
                  <w:tcMar>
                    <w:left w:w="0" w:type="dxa"/>
                    <w:right w:w="0" w:type="dxa"/>
                  </w:tcMar>
                  <w:vAlign w:val="center"/>
                </w:tcPr>
                <w:p>
                  <w:pPr>
                    <w:widowControl w:val="0"/>
                    <w:autoSpaceDE w:val="0"/>
                    <w:autoSpaceDN w:val="0"/>
                    <w:spacing w:line="240" w:lineRule="auto"/>
                    <w:ind w:left="0" w:leftChars="0" w:firstLine="0" w:firstLineChars="0"/>
                    <w:jc w:val="center"/>
                    <w:rPr>
                      <w:rFonts w:hint="eastAsia" w:ascii="Times New Roman" w:hAnsi="Times New Roman" w:eastAsia="宋体" w:cs="Times New Roman"/>
                      <w:color w:val="000000"/>
                      <w:kern w:val="2"/>
                      <w:sz w:val="21"/>
                      <w:szCs w:val="21"/>
                      <w:lang w:val="en-US" w:eastAsia="zh-CN" w:bidi="ar-SA"/>
                    </w:rPr>
                  </w:pPr>
                </w:p>
              </w:tc>
              <w:tc>
                <w:tcPr>
                  <w:tcW w:w="787" w:type="pct"/>
                  <w:vMerge w:val="continue"/>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color w:val="000000"/>
                      <w:kern w:val="2"/>
                      <w:sz w:val="21"/>
                      <w:szCs w:val="24"/>
                    </w:rPr>
                  </w:pPr>
                </w:p>
              </w:tc>
              <w:tc>
                <w:tcPr>
                  <w:tcW w:w="306" w:type="pct"/>
                  <w:tcBorders>
                    <w:tl2br w:val="nil"/>
                    <w:tr2bl w:val="nil"/>
                  </w:tcBorders>
                  <w:noWrap w:val="0"/>
                  <w:tcMar>
                    <w:left w:w="0" w:type="dxa"/>
                    <w:right w:w="0" w:type="dxa"/>
                  </w:tcMar>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氯化氢</w:t>
                  </w:r>
                </w:p>
              </w:tc>
              <w:tc>
                <w:tcPr>
                  <w:tcW w:w="565"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yellow"/>
                      <w:lang w:val="en-US" w:eastAsia="zh-CN"/>
                    </w:rPr>
                  </w:pPr>
                  <w:r>
                    <w:rPr>
                      <w:rFonts w:hint="eastAsia" w:cs="Times New Roman"/>
                      <w:color w:val="000000"/>
                      <w:kern w:val="2"/>
                      <w:sz w:val="21"/>
                      <w:szCs w:val="21"/>
                      <w:highlight w:val="none"/>
                      <w:lang w:val="en-US" w:eastAsia="zh-CN"/>
                    </w:rPr>
                    <w:t>0.3</w:t>
                  </w:r>
                </w:p>
              </w:tc>
              <w:tc>
                <w:tcPr>
                  <w:tcW w:w="497"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color w:val="000000"/>
                      <w:kern w:val="2"/>
                      <w:sz w:val="21"/>
                      <w:szCs w:val="21"/>
                      <w:highlight w:val="none"/>
                      <w:lang w:val="en-US" w:eastAsia="zh-CN"/>
                    </w:rPr>
                  </w:pPr>
                  <w:r>
                    <w:rPr>
                      <w:rFonts w:hint="eastAsia" w:cs="Times New Roman"/>
                      <w:i w:val="0"/>
                      <w:iCs w:val="0"/>
                      <w:color w:val="000000"/>
                      <w:kern w:val="0"/>
                      <w:sz w:val="21"/>
                      <w:szCs w:val="21"/>
                      <w:highlight w:val="none"/>
                      <w:u w:val="none"/>
                      <w:lang w:val="en-US" w:eastAsia="zh-CN" w:bidi="ar"/>
                    </w:rPr>
                    <w:t>5×10</w:t>
                  </w:r>
                  <w:r>
                    <w:rPr>
                      <w:rFonts w:hint="eastAsia" w:cs="Times New Roman"/>
                      <w:i w:val="0"/>
                      <w:iCs w:val="0"/>
                      <w:color w:val="000000"/>
                      <w:kern w:val="0"/>
                      <w:sz w:val="21"/>
                      <w:szCs w:val="21"/>
                      <w:highlight w:val="none"/>
                      <w:u w:val="none"/>
                      <w:vertAlign w:val="superscript"/>
                      <w:lang w:val="en-US" w:eastAsia="zh-CN" w:bidi="ar"/>
                    </w:rPr>
                    <w:t>-6</w:t>
                  </w:r>
                </w:p>
              </w:tc>
              <w:tc>
                <w:tcPr>
                  <w:tcW w:w="441"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1</w:t>
                  </w:r>
                </w:p>
              </w:tc>
              <w:tc>
                <w:tcPr>
                  <w:tcW w:w="378"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w:t>
                  </w:r>
                </w:p>
              </w:tc>
              <w:tc>
                <w:tcPr>
                  <w:tcW w:w="791" w:type="pct"/>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color w:val="000000"/>
                      <w:kern w:val="2"/>
                      <w:sz w:val="21"/>
                      <w:szCs w:val="21"/>
                      <w:highlight w:val="none"/>
                      <w:lang w:val="en-US" w:eastAsia="zh-CN"/>
                    </w:rPr>
                  </w:pPr>
                  <w:r>
                    <w:rPr>
                      <w:rFonts w:hint="eastAsia" w:cs="Times New Roman"/>
                      <w:i w:val="0"/>
                      <w:iCs w:val="0"/>
                      <w:color w:val="000000"/>
                      <w:kern w:val="0"/>
                      <w:sz w:val="21"/>
                      <w:szCs w:val="21"/>
                      <w:highlight w:val="none"/>
                      <w:u w:val="none"/>
                      <w:lang w:val="en-US" w:eastAsia="zh-CN" w:bidi="ar"/>
                    </w:rPr>
                    <w:t>1×10</w:t>
                  </w:r>
                  <w:r>
                    <w:rPr>
                      <w:rFonts w:hint="eastAsia" w:cs="Times New Roman"/>
                      <w:i w:val="0"/>
                      <w:iCs w:val="0"/>
                      <w:color w:val="000000"/>
                      <w:kern w:val="0"/>
                      <w:sz w:val="21"/>
                      <w:szCs w:val="21"/>
                      <w:highlight w:val="none"/>
                      <w:u w:val="none"/>
                      <w:vertAlign w:val="superscript"/>
                      <w:lang w:val="en-US" w:eastAsia="zh-CN" w:bidi="ar"/>
                    </w:rPr>
                    <w:t>-5</w:t>
                  </w:r>
                </w:p>
              </w:tc>
              <w:tc>
                <w:tcPr>
                  <w:tcW w:w="791" w:type="pct"/>
                  <w:vMerge w:val="continue"/>
                  <w:tcBorders>
                    <w:tl2br w:val="nil"/>
                    <w:tr2bl w:val="nil"/>
                  </w:tcBorders>
                  <w:noWrap w:val="0"/>
                  <w:tcMar>
                    <w:left w:w="0" w:type="dxa"/>
                    <w:right w:w="0" w:type="dxa"/>
                  </w:tcMar>
                  <w:vAlign w:val="center"/>
                </w:tcPr>
                <w:p>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rPr>
                  </w:pPr>
                </w:p>
              </w:tc>
            </w:tr>
          </w:tbl>
          <w:p>
            <w:pPr>
              <w:widowControl w:val="0"/>
              <w:overflowPunct w:val="0"/>
              <w:autoSpaceDE w:val="0"/>
              <w:autoSpaceDN w:val="0"/>
              <w:adjustRightInd w:val="0"/>
              <w:snapToGrid w:val="0"/>
              <w:spacing w:before="0" w:after="0" w:line="360" w:lineRule="auto"/>
              <w:ind w:left="0" w:right="0" w:firstLine="480" w:firstLineChars="200"/>
              <w:jc w:val="both"/>
              <w:rPr>
                <w:rFonts w:ascii="Times New Roman" w:hAnsi="Times New Roman" w:eastAsia="宋体" w:cs="Times New Roman"/>
                <w:color w:val="000000"/>
                <w:kern w:val="2"/>
                <w:sz w:val="24"/>
                <w:szCs w:val="24"/>
                <w:highlight w:val="none"/>
                <w:lang w:val="en-US" w:eastAsia="zh-CN" w:bidi="ar-SA"/>
              </w:rPr>
            </w:pPr>
            <w:r>
              <w:rPr>
                <w:rFonts w:ascii="Times New Roman" w:hAnsi="Times New Roman" w:eastAsia="宋体" w:cs="Times New Roman"/>
                <w:color w:val="000000"/>
                <w:kern w:val="2"/>
                <w:sz w:val="24"/>
                <w:szCs w:val="24"/>
                <w:highlight w:val="none"/>
                <w:lang w:val="en-US" w:eastAsia="zh-CN" w:bidi="ar-SA"/>
              </w:rPr>
              <w:t>项目</w:t>
            </w:r>
            <w:r>
              <w:rPr>
                <w:rFonts w:hint="eastAsia" w:ascii="Times New Roman" w:hAnsi="Times New Roman" w:eastAsia="宋体" w:cs="Times New Roman"/>
                <w:color w:val="000000"/>
                <w:kern w:val="2"/>
                <w:sz w:val="24"/>
                <w:szCs w:val="24"/>
                <w:highlight w:val="none"/>
                <w:lang w:val="en-US" w:eastAsia="zh-CN" w:bidi="ar-SA"/>
              </w:rPr>
              <w:t>无</w:t>
            </w:r>
            <w:r>
              <w:rPr>
                <w:rFonts w:ascii="Times New Roman" w:hAnsi="Times New Roman" w:eastAsia="宋体" w:cs="Times New Roman"/>
                <w:color w:val="000000"/>
                <w:kern w:val="2"/>
                <w:sz w:val="24"/>
                <w:szCs w:val="24"/>
                <w:highlight w:val="none"/>
                <w:lang w:val="en-US" w:eastAsia="zh-CN" w:bidi="ar-SA"/>
              </w:rPr>
              <w:t>组织排放核算见表</w:t>
            </w:r>
            <w:r>
              <w:rPr>
                <w:rFonts w:hint="eastAsia" w:ascii="Times New Roman" w:hAnsi="Times New Roman" w:eastAsia="宋体" w:cs="Times New Roman"/>
                <w:color w:val="000000"/>
                <w:kern w:val="2"/>
                <w:sz w:val="24"/>
                <w:szCs w:val="24"/>
                <w:highlight w:val="none"/>
                <w:lang w:val="en-US" w:eastAsia="zh-CN" w:bidi="ar-SA"/>
              </w:rPr>
              <w:t>4.5-13和4.5-14</w:t>
            </w:r>
            <w:r>
              <w:rPr>
                <w:rFonts w:ascii="Times New Roman" w:hAnsi="Times New Roman" w:eastAsia="宋体" w:cs="Times New Roman"/>
                <w:color w:val="000000"/>
                <w:kern w:val="2"/>
                <w:sz w:val="24"/>
                <w:szCs w:val="24"/>
                <w:highlight w:val="none"/>
                <w:lang w:val="en-US" w:eastAsia="zh-CN" w:bidi="ar-SA"/>
              </w:rPr>
              <w:t>。</w:t>
            </w:r>
          </w:p>
          <w:p>
            <w:pPr>
              <w:widowControl w:val="0"/>
              <w:overflowPunct w:val="0"/>
              <w:autoSpaceDE w:val="0"/>
              <w:autoSpaceDN w:val="0"/>
              <w:adjustRightInd w:val="0"/>
              <w:snapToGrid w:val="0"/>
              <w:spacing w:before="0" w:after="0" w:line="360" w:lineRule="auto"/>
              <w:ind w:left="0" w:right="0" w:firstLine="482" w:firstLineChars="200"/>
              <w:jc w:val="center"/>
              <w:rPr>
                <w:rFonts w:ascii="Times New Roman" w:hAnsi="Times New Roman" w:eastAsia="宋体" w:cs="Times New Roman"/>
                <w:b/>
                <w:color w:val="000000"/>
                <w:kern w:val="2"/>
                <w:sz w:val="24"/>
                <w:szCs w:val="24"/>
                <w:highlight w:val="none"/>
                <w:lang w:val="en-US" w:eastAsia="zh-CN" w:bidi="ar-SA"/>
              </w:rPr>
            </w:pPr>
            <w:r>
              <w:rPr>
                <w:rFonts w:ascii="Times New Roman" w:hAnsi="Times New Roman" w:eastAsia="宋体" w:cs="Times New Roman"/>
                <w:b/>
                <w:color w:val="000000"/>
                <w:kern w:val="2"/>
                <w:sz w:val="24"/>
                <w:szCs w:val="24"/>
                <w:highlight w:val="none"/>
                <w:lang w:val="en-US" w:eastAsia="zh-CN" w:bidi="ar-SA"/>
              </w:rPr>
              <w:t>表</w:t>
            </w:r>
            <w:r>
              <w:rPr>
                <w:rFonts w:hint="eastAsia" w:ascii="Times New Roman" w:hAnsi="Times New Roman" w:eastAsia="宋体" w:cs="Times New Roman"/>
                <w:b/>
                <w:color w:val="000000"/>
                <w:kern w:val="2"/>
                <w:sz w:val="24"/>
                <w:szCs w:val="24"/>
                <w:highlight w:val="none"/>
                <w:lang w:val="en-US" w:eastAsia="zh-CN" w:bidi="ar-SA"/>
              </w:rPr>
              <w:t>4.5-13</w:t>
            </w:r>
            <w:r>
              <w:rPr>
                <w:rFonts w:ascii="Times New Roman" w:hAnsi="Times New Roman" w:eastAsia="宋体" w:cs="Times New Roman"/>
                <w:b/>
                <w:color w:val="000000"/>
                <w:kern w:val="2"/>
                <w:sz w:val="24"/>
                <w:szCs w:val="24"/>
                <w:highlight w:val="none"/>
                <w:lang w:val="en-US" w:eastAsia="zh-CN" w:bidi="ar-SA"/>
              </w:rPr>
              <w:t>本项目</w:t>
            </w:r>
            <w:r>
              <w:rPr>
                <w:rFonts w:hint="eastAsia" w:ascii="Times New Roman" w:hAnsi="Times New Roman" w:eastAsia="宋体" w:cs="Times New Roman"/>
                <w:b/>
                <w:color w:val="000000"/>
                <w:kern w:val="2"/>
                <w:sz w:val="24"/>
                <w:szCs w:val="24"/>
                <w:highlight w:val="none"/>
                <w:lang w:val="en-US" w:eastAsia="zh-CN" w:bidi="ar-SA"/>
              </w:rPr>
              <w:t>无组织</w:t>
            </w:r>
            <w:r>
              <w:rPr>
                <w:rFonts w:ascii="Times New Roman" w:hAnsi="Times New Roman" w:eastAsia="宋体" w:cs="Times New Roman"/>
                <w:b/>
                <w:color w:val="000000"/>
                <w:kern w:val="2"/>
                <w:sz w:val="24"/>
                <w:szCs w:val="24"/>
                <w:highlight w:val="none"/>
                <w:lang w:val="en-US" w:eastAsia="zh-CN" w:bidi="ar-SA"/>
              </w:rPr>
              <w:t>废气排放核算表</w:t>
            </w:r>
          </w:p>
          <w:tbl>
            <w:tblPr>
              <w:tblStyle w:val="1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46"/>
              <w:gridCol w:w="1530"/>
              <w:gridCol w:w="967"/>
              <w:gridCol w:w="943"/>
              <w:gridCol w:w="2354"/>
              <w:gridCol w:w="1170"/>
              <w:gridCol w:w="109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4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rPr>
                    <w:t>序号</w:t>
                  </w:r>
                </w:p>
              </w:tc>
              <w:tc>
                <w:tcPr>
                  <w:tcW w:w="15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rPr>
                    <w:t>排放口编号</w:t>
                  </w:r>
                </w:p>
              </w:tc>
              <w:tc>
                <w:tcPr>
                  <w:tcW w:w="96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rPr>
                    <w:t>污染物</w:t>
                  </w:r>
                </w:p>
              </w:tc>
              <w:tc>
                <w:tcPr>
                  <w:tcW w:w="9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rPr>
                    <w:t>主要污染防治措施</w:t>
                  </w:r>
                </w:p>
              </w:tc>
              <w:tc>
                <w:tcPr>
                  <w:tcW w:w="352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rPr>
                    <w:t>国家或地方污染物排放标准</w:t>
                  </w:r>
                </w:p>
              </w:tc>
              <w:tc>
                <w:tcPr>
                  <w:tcW w:w="109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b w:val="0"/>
                      <w:bCs w:val="0"/>
                      <w:kern w:val="2"/>
                      <w:sz w:val="21"/>
                      <w:szCs w:val="21"/>
                    </w:rPr>
                    <w:t>年排放量/</w:t>
                  </w:r>
                  <w:r>
                    <w:rPr>
                      <w:rFonts w:hint="default" w:ascii="Times New Roman" w:hAnsi="Times New Roman" w:eastAsia="宋体" w:cs="Times New Roman"/>
                      <w:b w:val="0"/>
                      <w:bCs w:val="0"/>
                      <w:kern w:val="2"/>
                      <w:sz w:val="21"/>
                      <w:szCs w:val="21"/>
                      <w:lang w:eastAsia="zh-CN"/>
                    </w:rPr>
                    <w:t>（</w:t>
                  </w:r>
                  <w:r>
                    <w:rPr>
                      <w:rFonts w:hint="default" w:ascii="Times New Roman" w:hAnsi="Times New Roman" w:eastAsia="宋体" w:cs="Times New Roman"/>
                      <w:b w:val="0"/>
                      <w:bCs w:val="0"/>
                      <w:kern w:val="2"/>
                      <w:sz w:val="21"/>
                      <w:szCs w:val="21"/>
                    </w:rPr>
                    <w:t>t/a</w:t>
                  </w:r>
                  <w:r>
                    <w:rPr>
                      <w:rFonts w:hint="default" w:ascii="Times New Roman" w:hAnsi="Times New Roman" w:eastAsia="宋体" w:cs="Times New Roman"/>
                      <w:b w:val="0"/>
                      <w:bCs w:val="0"/>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val="0"/>
                      <w:kern w:val="2"/>
                      <w:sz w:val="21"/>
                      <w:szCs w:val="21"/>
                    </w:rPr>
                  </w:pPr>
                </w:p>
              </w:tc>
              <w:tc>
                <w:tcPr>
                  <w:tcW w:w="15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val="0"/>
                      <w:kern w:val="2"/>
                      <w:sz w:val="21"/>
                      <w:szCs w:val="21"/>
                    </w:rPr>
                  </w:pPr>
                </w:p>
              </w:tc>
              <w:tc>
                <w:tcPr>
                  <w:tcW w:w="9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val="0"/>
                      <w:kern w:val="2"/>
                      <w:sz w:val="21"/>
                      <w:szCs w:val="21"/>
                    </w:rPr>
                  </w:pPr>
                </w:p>
              </w:tc>
              <w:tc>
                <w:tcPr>
                  <w:tcW w:w="9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val="0"/>
                      <w:kern w:val="2"/>
                      <w:sz w:val="21"/>
                      <w:szCs w:val="21"/>
                    </w:rPr>
                  </w:pPr>
                </w:p>
              </w:tc>
              <w:tc>
                <w:tcPr>
                  <w:tcW w:w="23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rPr>
                    <w:t>标准名称</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val="0"/>
                      <w:kern w:val="2"/>
                      <w:sz w:val="21"/>
                      <w:szCs w:val="21"/>
                      <w:lang w:eastAsia="zh-CN"/>
                    </w:rPr>
                  </w:pPr>
                  <w:r>
                    <w:rPr>
                      <w:rFonts w:hint="default" w:ascii="Times New Roman" w:hAnsi="Times New Roman" w:eastAsia="宋体" w:cs="Times New Roman"/>
                      <w:b w:val="0"/>
                      <w:bCs w:val="0"/>
                      <w:kern w:val="2"/>
                      <w:sz w:val="21"/>
                      <w:szCs w:val="21"/>
                    </w:rPr>
                    <w:t>浓度限值/</w:t>
                  </w:r>
                  <w:r>
                    <w:rPr>
                      <w:rFonts w:hint="default" w:ascii="Times New Roman" w:hAnsi="Times New Roman" w:eastAsia="宋体" w:cs="Times New Roman"/>
                      <w:b w:val="0"/>
                      <w:bCs w:val="0"/>
                      <w:kern w:val="2"/>
                      <w:sz w:val="21"/>
                      <w:szCs w:val="21"/>
                      <w:lang w:eastAsia="zh-CN"/>
                    </w:rPr>
                    <w:t>（</w:t>
                  </w:r>
                  <w:r>
                    <w:rPr>
                      <w:rFonts w:hint="default" w:ascii="Times New Roman" w:hAnsi="Times New Roman" w:eastAsia="宋体" w:cs="Times New Roman"/>
                      <w:b w:val="0"/>
                      <w:bCs w:val="0"/>
                      <w:kern w:val="2"/>
                      <w:sz w:val="21"/>
                      <w:szCs w:val="21"/>
                    </w:rPr>
                    <w:t>mg/m</w:t>
                  </w:r>
                  <w:r>
                    <w:rPr>
                      <w:rFonts w:hint="default" w:ascii="Times New Roman" w:hAnsi="Times New Roman" w:eastAsia="宋体" w:cs="Times New Roman"/>
                      <w:b w:val="0"/>
                      <w:bCs w:val="0"/>
                      <w:kern w:val="2"/>
                      <w:sz w:val="21"/>
                      <w:szCs w:val="21"/>
                      <w:vertAlign w:val="superscript"/>
                    </w:rPr>
                    <w:t>3</w:t>
                  </w:r>
                  <w:r>
                    <w:rPr>
                      <w:rFonts w:hint="default" w:ascii="Times New Roman" w:hAnsi="Times New Roman" w:eastAsia="宋体" w:cs="Times New Roman"/>
                      <w:b w:val="0"/>
                      <w:bCs w:val="0"/>
                      <w:kern w:val="2"/>
                      <w:sz w:val="21"/>
                      <w:szCs w:val="21"/>
                      <w:lang w:eastAsia="zh-CN"/>
                    </w:rPr>
                    <w:t>）</w:t>
                  </w:r>
                </w:p>
              </w:tc>
              <w:tc>
                <w:tcPr>
                  <w:tcW w:w="109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kern w:val="2"/>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92" w:hRule="atLeast"/>
                <w:jc w:val="center"/>
              </w:trPr>
              <w:tc>
                <w:tcPr>
                  <w:tcW w:w="44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rPr>
                    <w:t>01</w:t>
                  </w:r>
                </w:p>
              </w:tc>
              <w:tc>
                <w:tcPr>
                  <w:tcW w:w="15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rPr>
                  </w:pPr>
                  <w:r>
                    <w:rPr>
                      <w:rFonts w:hint="eastAsia" w:cs="宋体"/>
                      <w:color w:val="auto"/>
                      <w:sz w:val="21"/>
                      <w:szCs w:val="22"/>
                      <w:lang w:val="en-US" w:eastAsia="zh-CN" w:bidi="ar-SA"/>
                    </w:rPr>
                    <w:t>厂界</w:t>
                  </w:r>
                </w:p>
              </w:tc>
              <w:tc>
                <w:tcPr>
                  <w:tcW w:w="967" w:type="dxa"/>
                  <w:vMerge w:val="restart"/>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非甲烷总烃</w:t>
                  </w:r>
                </w:p>
              </w:tc>
              <w:tc>
                <w:tcPr>
                  <w:tcW w:w="94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封闭式作业</w:t>
                  </w:r>
                </w:p>
              </w:tc>
              <w:tc>
                <w:tcPr>
                  <w:tcW w:w="23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《合成树脂工业污染物排放标准》（GB31572-2015）（含2024年修改单）</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4.0</w:t>
                  </w:r>
                </w:p>
              </w:tc>
              <w:tc>
                <w:tcPr>
                  <w:tcW w:w="1094"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rPr>
                  </w:pPr>
                  <w:r>
                    <w:rPr>
                      <w:rFonts w:hint="eastAsia" w:cs="Times New Roman"/>
                      <w:i w:val="0"/>
                      <w:iCs w:val="0"/>
                      <w:color w:val="000000"/>
                      <w:kern w:val="0"/>
                      <w:sz w:val="21"/>
                      <w:szCs w:val="21"/>
                      <w:u w:val="none"/>
                      <w:lang w:val="en-US" w:eastAsia="zh-CN" w:bidi="ar"/>
                    </w:rPr>
                    <w:t>0.87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92" w:hRule="atLeast"/>
                <w:jc w:val="center"/>
              </w:trPr>
              <w:tc>
                <w:tcPr>
                  <w:tcW w:w="4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rPr>
                  </w:pPr>
                </w:p>
              </w:tc>
              <w:tc>
                <w:tcPr>
                  <w:tcW w:w="15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rPr>
                  </w:pPr>
                </w:p>
              </w:tc>
              <w:tc>
                <w:tcPr>
                  <w:tcW w:w="9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rPr>
                  </w:pPr>
                </w:p>
              </w:tc>
              <w:tc>
                <w:tcPr>
                  <w:tcW w:w="9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rPr>
                  </w:pPr>
                </w:p>
              </w:tc>
              <w:tc>
                <w:tcPr>
                  <w:tcW w:w="23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《挥发性有机物无组织排放控制标准》（GB37822-2019）</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w:t>
                  </w:r>
                </w:p>
              </w:tc>
              <w:tc>
                <w:tcPr>
                  <w:tcW w:w="109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kern w:val="2"/>
                      <w:sz w:val="21"/>
                      <w:szCs w:val="21"/>
                      <w:lang w:val="zh-CN"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92" w:hRule="atLeast"/>
                <w:jc w:val="center"/>
              </w:trPr>
              <w:tc>
                <w:tcPr>
                  <w:tcW w:w="4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rPr>
                  </w:pPr>
                </w:p>
              </w:tc>
              <w:tc>
                <w:tcPr>
                  <w:tcW w:w="15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rPr>
                  </w:pPr>
                </w:p>
              </w:tc>
              <w:tc>
                <w:tcPr>
                  <w:tcW w:w="967" w:type="dxa"/>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氯化氢</w:t>
                  </w:r>
                </w:p>
              </w:tc>
              <w:tc>
                <w:tcPr>
                  <w:tcW w:w="9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rPr>
                  </w:pPr>
                </w:p>
              </w:tc>
              <w:tc>
                <w:tcPr>
                  <w:tcW w:w="235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SA"/>
                    </w:rPr>
                    <w:t>《大气污染物综合排放标准》（GB 16297-1996）表2 新污染源大气污染物排放限值</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0.2</w:t>
                  </w:r>
                </w:p>
              </w:tc>
              <w:tc>
                <w:tcPr>
                  <w:tcW w:w="10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i w:val="0"/>
                      <w:iCs w:val="0"/>
                      <w:color w:val="000000"/>
                      <w:kern w:val="0"/>
                      <w:sz w:val="21"/>
                      <w:szCs w:val="21"/>
                      <w:u w:val="none"/>
                      <w:lang w:val="en-US" w:eastAsia="zh-CN" w:bidi="ar"/>
                    </w:rPr>
                    <w:t>0.004</w:t>
                  </w:r>
                  <w:r>
                    <w:rPr>
                      <w:rFonts w:hint="eastAsia" w:cs="Times New Roman"/>
                      <w:i w:val="0"/>
                      <w:iCs w:val="0"/>
                      <w:color w:val="000000"/>
                      <w:kern w:val="0"/>
                      <w:sz w:val="21"/>
                      <w:szCs w:val="21"/>
                      <w:u w:val="none"/>
                      <w:lang w:val="en-US" w:eastAsia="zh-CN" w:bidi="ar"/>
                    </w:rPr>
                    <w:t>kg/a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92" w:hRule="atLeast"/>
                <w:jc w:val="center"/>
              </w:trPr>
              <w:tc>
                <w:tcPr>
                  <w:tcW w:w="4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rPr>
                  </w:pPr>
                </w:p>
              </w:tc>
              <w:tc>
                <w:tcPr>
                  <w:tcW w:w="15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rPr>
                  </w:pPr>
                </w:p>
              </w:tc>
              <w:tc>
                <w:tcPr>
                  <w:tcW w:w="967" w:type="dxa"/>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颗粒物</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rPr>
                    <w:t>移动式焊烟净化器</w:t>
                  </w:r>
                </w:p>
              </w:tc>
              <w:tc>
                <w:tcPr>
                  <w:tcW w:w="23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kern w:val="2"/>
                      <w:sz w:val="21"/>
                      <w:szCs w:val="21"/>
                      <w:lang w:val="en-US" w:eastAsia="zh-CN" w:bidi="ar-SA"/>
                    </w:rPr>
                  </w:pP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rPr>
                    <w:t>1.0</w:t>
                  </w:r>
                </w:p>
              </w:tc>
              <w:tc>
                <w:tcPr>
                  <w:tcW w:w="1094"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504"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无组织排放总计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976"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无组织排放总计</w:t>
                  </w:r>
                </w:p>
              </w:tc>
              <w:tc>
                <w:tcPr>
                  <w:tcW w:w="5434"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p>
              </w:tc>
              <w:tc>
                <w:tcPr>
                  <w:tcW w:w="10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rPr>
                  </w:pPr>
                  <w:r>
                    <w:rPr>
                      <w:rFonts w:hint="eastAsia" w:cs="Times New Roman"/>
                      <w:i w:val="0"/>
                      <w:iCs w:val="0"/>
                      <w:color w:val="000000"/>
                      <w:kern w:val="0"/>
                      <w:sz w:val="21"/>
                      <w:szCs w:val="21"/>
                      <w:u w:val="none"/>
                      <w:lang w:val="en-US" w:eastAsia="zh-CN" w:bidi="ar"/>
                    </w:rPr>
                    <w:t>0.87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97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kern w:val="2"/>
                      <w:sz w:val="21"/>
                      <w:szCs w:val="21"/>
                    </w:rPr>
                  </w:pPr>
                </w:p>
              </w:tc>
              <w:tc>
                <w:tcPr>
                  <w:tcW w:w="5434" w:type="dxa"/>
                  <w:gridSpan w:val="4"/>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氯化氢</w:t>
                  </w:r>
                </w:p>
              </w:tc>
              <w:tc>
                <w:tcPr>
                  <w:tcW w:w="10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r>
                    <w:rPr>
                      <w:rFonts w:hint="eastAsia" w:cs="Times New Roman"/>
                      <w:i w:val="0"/>
                      <w:iCs w:val="0"/>
                      <w:color w:val="000000"/>
                      <w:kern w:val="0"/>
                      <w:sz w:val="21"/>
                      <w:szCs w:val="21"/>
                      <w:u w:val="none"/>
                      <w:lang w:val="en-US" w:eastAsia="zh-CN" w:bidi="ar"/>
                    </w:rPr>
                    <w:t>kg/a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97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kern w:val="2"/>
                      <w:sz w:val="21"/>
                      <w:szCs w:val="21"/>
                    </w:rPr>
                  </w:pPr>
                </w:p>
              </w:tc>
              <w:tc>
                <w:tcPr>
                  <w:tcW w:w="5434" w:type="dxa"/>
                  <w:gridSpan w:val="4"/>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颗粒物</w:t>
                  </w:r>
                </w:p>
              </w:tc>
              <w:tc>
                <w:tcPr>
                  <w:tcW w:w="1094"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0.0004</w:t>
                  </w:r>
                </w:p>
              </w:tc>
            </w:tr>
          </w:tbl>
          <w:p>
            <w:pPr>
              <w:widowControl w:val="0"/>
              <w:overflowPunct w:val="0"/>
              <w:autoSpaceDE w:val="0"/>
              <w:autoSpaceDN w:val="0"/>
              <w:adjustRightInd w:val="0"/>
              <w:snapToGrid w:val="0"/>
              <w:spacing w:before="0" w:after="0" w:line="360" w:lineRule="auto"/>
              <w:ind w:left="0" w:right="0" w:firstLine="482" w:firstLineChars="200"/>
              <w:jc w:val="center"/>
              <w:rPr>
                <w:rFonts w:hint="default" w:ascii="Times New Roman" w:hAnsi="Times New Roman" w:eastAsia="宋体" w:cs="Times New Roman"/>
                <w:b/>
                <w:color w:val="000000"/>
                <w:kern w:val="2"/>
                <w:sz w:val="24"/>
                <w:szCs w:val="24"/>
                <w:highlight w:val="none"/>
                <w:lang w:val="en-US" w:eastAsia="zh-CN" w:bidi="ar-SA"/>
              </w:rPr>
            </w:pPr>
            <w:r>
              <w:rPr>
                <w:rFonts w:hint="default" w:ascii="Times New Roman" w:hAnsi="Times New Roman" w:eastAsia="宋体" w:cs="Times New Roman"/>
                <w:b/>
                <w:color w:val="000000"/>
                <w:kern w:val="2"/>
                <w:sz w:val="24"/>
                <w:szCs w:val="24"/>
                <w:highlight w:val="none"/>
                <w:lang w:val="en-US" w:eastAsia="zh-CN" w:bidi="ar-SA"/>
              </w:rPr>
              <w:t>表</w:t>
            </w:r>
            <w:r>
              <w:rPr>
                <w:rFonts w:hint="eastAsia" w:ascii="Times New Roman" w:hAnsi="Times New Roman" w:eastAsia="宋体" w:cs="Times New Roman"/>
                <w:b/>
                <w:color w:val="000000"/>
                <w:kern w:val="2"/>
                <w:sz w:val="24"/>
                <w:szCs w:val="24"/>
                <w:highlight w:val="none"/>
                <w:lang w:val="en-US" w:eastAsia="zh-CN" w:bidi="ar-SA"/>
              </w:rPr>
              <w:t>4.5-14</w:t>
            </w:r>
            <w:r>
              <w:rPr>
                <w:rFonts w:hint="default" w:ascii="Times New Roman" w:hAnsi="Times New Roman" w:eastAsia="宋体" w:cs="Times New Roman"/>
                <w:b/>
                <w:color w:val="000000"/>
                <w:kern w:val="2"/>
                <w:sz w:val="24"/>
                <w:szCs w:val="24"/>
                <w:highlight w:val="none"/>
                <w:lang w:val="en-US" w:eastAsia="zh-CN" w:bidi="ar-SA"/>
              </w:rPr>
              <w:t>本项目</w:t>
            </w:r>
            <w:r>
              <w:rPr>
                <w:rFonts w:hint="eastAsia" w:ascii="Times New Roman" w:hAnsi="Times New Roman" w:eastAsia="宋体" w:cs="Times New Roman"/>
                <w:b/>
                <w:color w:val="000000"/>
                <w:kern w:val="2"/>
                <w:sz w:val="24"/>
                <w:szCs w:val="24"/>
                <w:highlight w:val="none"/>
                <w:lang w:val="en-US" w:eastAsia="zh-CN" w:bidi="ar-SA"/>
              </w:rPr>
              <w:t>无组织</w:t>
            </w:r>
            <w:r>
              <w:rPr>
                <w:rFonts w:hint="default" w:ascii="Times New Roman" w:hAnsi="Times New Roman" w:eastAsia="宋体" w:cs="Times New Roman"/>
                <w:b/>
                <w:color w:val="000000"/>
                <w:kern w:val="2"/>
                <w:sz w:val="24"/>
                <w:szCs w:val="24"/>
                <w:highlight w:val="none"/>
                <w:lang w:val="en-US" w:eastAsia="zh-CN" w:bidi="ar-SA"/>
              </w:rPr>
              <w:t>大气污染物年排放核算表</w:t>
            </w:r>
          </w:p>
          <w:tbl>
            <w:tblPr>
              <w:tblStyle w:val="1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344"/>
              <w:gridCol w:w="3246"/>
              <w:gridCol w:w="291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44" w:type="dxa"/>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序号</w:t>
                  </w:r>
                </w:p>
              </w:tc>
              <w:tc>
                <w:tcPr>
                  <w:tcW w:w="3246" w:type="dxa"/>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污染物</w:t>
                  </w:r>
                </w:p>
              </w:tc>
              <w:tc>
                <w:tcPr>
                  <w:tcW w:w="2914" w:type="dxa"/>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44" w:type="dxa"/>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1</w:t>
                  </w:r>
                </w:p>
              </w:tc>
              <w:tc>
                <w:tcPr>
                  <w:tcW w:w="32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kern w:val="2"/>
                      <w:sz w:val="21"/>
                      <w:szCs w:val="21"/>
                      <w:lang w:val="en-US" w:eastAsia="zh-CN"/>
                    </w:rPr>
                    <w:t>非甲烷总烃</w:t>
                  </w:r>
                </w:p>
              </w:tc>
              <w:tc>
                <w:tcPr>
                  <w:tcW w:w="29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cs="Times New Roman"/>
                      <w:i w:val="0"/>
                      <w:iCs w:val="0"/>
                      <w:color w:val="000000"/>
                      <w:kern w:val="0"/>
                      <w:sz w:val="21"/>
                      <w:szCs w:val="21"/>
                      <w:u w:val="none"/>
                      <w:lang w:val="en-US" w:eastAsia="zh-CN" w:bidi="ar"/>
                    </w:rPr>
                    <w:t>0.87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44" w:type="dxa"/>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2</w:t>
                  </w:r>
                </w:p>
              </w:tc>
              <w:tc>
                <w:tcPr>
                  <w:tcW w:w="3246" w:type="dxa"/>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000000" w:themeColor="text1"/>
                      <w:sz w:val="21"/>
                      <w:lang w:val="en-US" w:eastAsia="zh-CN" w:bidi="ar-SA"/>
                      <w14:textFill>
                        <w14:solidFill>
                          <w14:schemeClr w14:val="tx1"/>
                        </w14:solidFill>
                      </w14:textFill>
                    </w:rPr>
                    <w:t>氯化氢</w:t>
                  </w:r>
                </w:p>
              </w:tc>
              <w:tc>
                <w:tcPr>
                  <w:tcW w:w="291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r>
                    <w:rPr>
                      <w:rFonts w:hint="eastAsia" w:cs="Times New Roman"/>
                      <w:i w:val="0"/>
                      <w:iCs w:val="0"/>
                      <w:color w:val="000000"/>
                      <w:kern w:val="0"/>
                      <w:sz w:val="21"/>
                      <w:szCs w:val="21"/>
                      <w:u w:val="none"/>
                      <w:lang w:val="en-US" w:eastAsia="zh-CN" w:bidi="ar"/>
                    </w:rPr>
                    <w:t>kg/a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44" w:type="dxa"/>
                  <w:tcBorders>
                    <w:tl2br w:val="nil"/>
                    <w:tr2bl w:val="nil"/>
                  </w:tcBorders>
                  <w:noWrap w:val="0"/>
                  <w:vAlign w:val="center"/>
                </w:tcPr>
                <w:p>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000000"/>
                      <w:kern w:val="2"/>
                      <w:sz w:val="21"/>
                      <w:szCs w:val="21"/>
                      <w:lang w:val="en-US" w:eastAsia="zh-CN"/>
                    </w:rPr>
                  </w:pPr>
                  <w:r>
                    <w:rPr>
                      <w:rFonts w:hint="eastAsia" w:cs="Times New Roman"/>
                      <w:color w:val="000000"/>
                      <w:kern w:val="2"/>
                      <w:sz w:val="21"/>
                      <w:szCs w:val="21"/>
                      <w:lang w:val="en-US" w:eastAsia="zh-CN"/>
                    </w:rPr>
                    <w:t>3</w:t>
                  </w:r>
                </w:p>
              </w:tc>
              <w:tc>
                <w:tcPr>
                  <w:tcW w:w="3246" w:type="dxa"/>
                  <w:tcBorders>
                    <w:tl2br w:val="nil"/>
                    <w:tr2bl w:val="nil"/>
                  </w:tcBorders>
                  <w:noWrap w:val="0"/>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000000" w:themeColor="text1"/>
                      <w:sz w:val="21"/>
                      <w:lang w:val="en-US" w:eastAsia="zh-CN" w:bidi="ar-SA"/>
                      <w14:textFill>
                        <w14:solidFill>
                          <w14:schemeClr w14:val="tx1"/>
                        </w14:solidFill>
                      </w14:textFill>
                    </w:rPr>
                  </w:pPr>
                  <w:r>
                    <w:rPr>
                      <w:rFonts w:hint="eastAsia" w:cs="Times New Roman"/>
                      <w:color w:val="000000" w:themeColor="text1"/>
                      <w:sz w:val="21"/>
                      <w:lang w:val="en-US" w:eastAsia="zh-CN" w:bidi="ar-SA"/>
                      <w14:textFill>
                        <w14:solidFill>
                          <w14:schemeClr w14:val="tx1"/>
                        </w14:solidFill>
                      </w14:textFill>
                    </w:rPr>
                    <w:t>颗粒物</w:t>
                  </w:r>
                </w:p>
              </w:tc>
              <w:tc>
                <w:tcPr>
                  <w:tcW w:w="2914" w:type="dxa"/>
                  <w:tcBorders>
                    <w:tl2br w:val="nil"/>
                    <w:tr2bl w:val="nil"/>
                  </w:tcBorders>
                  <w:noWrap w:val="0"/>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0.0004</w:t>
                  </w:r>
                </w:p>
              </w:tc>
            </w:tr>
          </w:tbl>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宋体"/>
                <w:color w:val="000000"/>
                <w:kern w:val="0"/>
                <w:sz w:val="24"/>
                <w:szCs w:val="24"/>
                <w:highlight w:val="none"/>
                <w:lang w:val="en-US" w:eastAsia="zh-CN" w:bidi="ar"/>
              </w:rPr>
            </w:pPr>
            <w:r>
              <w:rPr>
                <w:rFonts w:hint="eastAsia" w:ascii="Times New Roman" w:hAnsi="Times New Roman" w:eastAsia="宋体" w:cs="宋体"/>
                <w:color w:val="000000"/>
                <w:kern w:val="0"/>
                <w:sz w:val="24"/>
                <w:szCs w:val="24"/>
                <w:highlight w:val="none"/>
                <w:lang w:val="en-US" w:eastAsia="zh-CN" w:bidi="ar"/>
              </w:rPr>
              <w:t>（3）污染防治措施可行分析</w:t>
            </w:r>
          </w:p>
          <w:p>
            <w:pPr>
              <w:overflowPunct w:val="0"/>
              <w:autoSpaceDE w:val="0"/>
              <w:autoSpaceDN w:val="0"/>
              <w:bidi w:val="0"/>
              <w:adjustRightInd w:val="0"/>
              <w:snapToGrid w:val="0"/>
              <w:spacing w:before="0" w:after="0" w:line="360" w:lineRule="auto"/>
              <w:ind w:left="0" w:right="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①有组织污染防治措施</w:t>
            </w:r>
          </w:p>
          <w:p>
            <w:pPr>
              <w:overflowPunct w:val="0"/>
              <w:autoSpaceDE w:val="0"/>
              <w:autoSpaceDN w:val="0"/>
              <w:bidi w:val="0"/>
              <w:adjustRightInd w:val="0"/>
              <w:snapToGrid w:val="0"/>
              <w:spacing w:before="0" w:after="0" w:line="360" w:lineRule="auto"/>
              <w:ind w:left="0" w:right="0" w:firstLine="480" w:firstLineChars="200"/>
              <w:jc w:val="both"/>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根据</w:t>
            </w:r>
            <w:r>
              <w:rPr>
                <w:rFonts w:hint="eastAsia" w:ascii="Times New Roman" w:hAnsi="Times New Roman" w:eastAsia="宋体" w:cs="宋体"/>
                <w:lang w:val="en-US" w:eastAsia="zh-CN"/>
              </w:rPr>
              <w:t>《排污许可证申请与核发技术规范 橡胶和塑料制品工业》（HJ1122-2020）塑料板、管、型材制造</w:t>
            </w:r>
            <w:r>
              <w:rPr>
                <w:rFonts w:hint="eastAsia" w:ascii="Times New Roman" w:hAnsi="Times New Roman" w:eastAsia="宋体" w:cs="宋体"/>
                <w:color w:val="auto"/>
                <w:highlight w:val="none"/>
                <w:lang w:val="en-US" w:eastAsia="zh-CN"/>
              </w:rPr>
              <w:t>非甲烷总烃可行技术为喷淋；吸附；吸附浓缩+热力燃烧/催化燃烧，本项目生产车间非甲烷总烃经收集后共同设置一套</w:t>
            </w:r>
            <w:r>
              <w:rPr>
                <w:rFonts w:hint="eastAsia" w:cs="宋体"/>
                <w:color w:val="auto"/>
                <w:highlight w:val="none"/>
                <w:lang w:val="en-US" w:eastAsia="zh-CN"/>
              </w:rPr>
              <w:t>水洗填料塔+</w:t>
            </w:r>
            <w:r>
              <w:rPr>
                <w:rFonts w:hint="eastAsia" w:ascii="Times New Roman" w:hAnsi="Times New Roman" w:eastAsia="宋体" w:cs="宋体"/>
                <w:lang w:val="en-US" w:eastAsia="zh-CN"/>
              </w:rPr>
              <w:t>活性炭吸附+脱附+催化燃烧装置</w:t>
            </w:r>
            <w:r>
              <w:rPr>
                <w:rFonts w:hint="eastAsia" w:ascii="Times New Roman" w:hAnsi="Times New Roman" w:eastAsia="宋体" w:cs="宋体"/>
                <w:color w:val="auto"/>
                <w:highlight w:val="none"/>
                <w:lang w:val="en-US" w:eastAsia="zh-CN"/>
              </w:rPr>
              <w:t>处理后经20m排气筒（DA001）排放：排放满足《合成树脂工业污染物排放标准》（GB31572-2015）（含2024年修改单）表5 大气污染物特别排放限值</w:t>
            </w:r>
            <w:r>
              <w:rPr>
                <w:rFonts w:hint="eastAsia" w:ascii="Times New Roman" w:hAnsi="Times New Roman" w:eastAsia="宋体" w:cs="宋体"/>
                <w:lang w:val="en-US" w:eastAsia="zh-CN"/>
              </w:rPr>
              <w:t>，为可行技术。</w:t>
            </w:r>
            <w:r>
              <w:rPr>
                <w:rFonts w:hint="eastAsia" w:ascii="Times New Roman" w:hAnsi="Times New Roman" w:eastAsia="宋体" w:cs="宋体"/>
                <w:color w:val="auto"/>
                <w:highlight w:val="none"/>
                <w:lang w:val="en-US" w:eastAsia="zh-CN"/>
              </w:rPr>
              <w:t xml:space="preserve"> </w:t>
            </w:r>
          </w:p>
          <w:p>
            <w:pPr>
              <w:overflowPunct w:val="0"/>
              <w:autoSpaceDE w:val="0"/>
              <w:autoSpaceDN w:val="0"/>
              <w:bidi w:val="0"/>
              <w:adjustRightInd w:val="0"/>
              <w:snapToGrid w:val="0"/>
              <w:spacing w:before="0" w:after="0" w:line="360" w:lineRule="auto"/>
              <w:ind w:left="0" w:right="0" w:firstLine="480" w:firstLineChars="200"/>
              <w:jc w:val="both"/>
              <w:rPr>
                <w:rFonts w:hint="default" w:ascii="Times New Roman" w:hAnsi="Times New Roman" w:eastAsia="宋体" w:cs="宋体"/>
                <w:color w:val="000000"/>
                <w:lang w:val="en-US" w:eastAsia="zh-CN"/>
              </w:rPr>
            </w:pPr>
            <w:r>
              <w:rPr>
                <w:rFonts w:hint="eastAsia" w:cs="宋体"/>
                <w:color w:val="000000"/>
                <w:lang w:val="en-US" w:eastAsia="zh-CN"/>
              </w:rPr>
              <w:t>根据《挥发性有机物（VOCs）污染防治技术政策》（公告2013年第31号），　对于含高浓度VOCs的废气，宜优先采用冷凝回收、吸附回收技术进行回收利用，并辅助以其他治理技术实现达标排放。对于含中等浓度VOCs的废气，可采用吸附技术回收有机溶剂，或采用催化燃烧和热力焚烧技术净化后达标排放。当采用催化燃烧和热力焚烧技术进行净化时，应进行余热回收利用。对于含低浓度VOCs的废气，有回收价值时可采用吸附技术、吸收技术对有机溶剂回收后达标排放；不宜回收时，可采用吸附浓缩燃烧技术、生物技术、吸收技术、等离子体技术或紫外光高级氧化技术等净化后达标排放。</w:t>
            </w:r>
          </w:p>
          <w:p>
            <w:pPr>
              <w:overflowPunct w:val="0"/>
              <w:autoSpaceDE w:val="0"/>
              <w:autoSpaceDN w:val="0"/>
              <w:bidi w:val="0"/>
              <w:adjustRightInd w:val="0"/>
              <w:snapToGrid w:val="0"/>
              <w:spacing w:before="0" w:after="0" w:line="360" w:lineRule="auto"/>
              <w:ind w:left="0" w:right="0" w:firstLine="480" w:firstLineChars="200"/>
              <w:jc w:val="both"/>
              <w:rPr>
                <w:rFonts w:hint="default" w:ascii="Times New Roman" w:hAnsi="Times New Roman" w:eastAsia="宋体" w:cs="宋体"/>
                <w:color w:val="000000"/>
                <w:lang w:val="en-US" w:eastAsia="zh-CN"/>
              </w:rPr>
            </w:pPr>
            <w:r>
              <w:rPr>
                <w:rFonts w:hint="eastAsia" w:cs="宋体"/>
                <w:color w:val="000000"/>
                <w:lang w:val="en-US" w:eastAsia="zh-CN"/>
              </w:rPr>
              <w:t>参照《生物法净化低浓度挥发性有机废气研究》</w:t>
            </w:r>
            <w:r>
              <w:rPr>
                <w:rFonts w:ascii="宋体" w:hAnsi="宋体" w:eastAsia="宋体" w:cs="宋体"/>
                <w:sz w:val="24"/>
                <w:szCs w:val="24"/>
              </w:rPr>
              <w:t>中国工程科学</w:t>
            </w:r>
            <w:r>
              <w:rPr>
                <w:rFonts w:hint="eastAsia" w:cs="宋体"/>
                <w:color w:val="000000"/>
                <w:lang w:val="en-US" w:eastAsia="zh-CN"/>
              </w:rPr>
              <w:t>）</w:t>
            </w:r>
            <w:r>
              <w:rPr>
                <w:rFonts w:hint="eastAsia" w:ascii="宋体" w:hAnsi="宋体" w:eastAsia="宋体" w:cs="宋体"/>
                <w:sz w:val="24"/>
                <w:szCs w:val="24"/>
                <w:lang w:eastAsia="zh-CN"/>
              </w:rPr>
              <w:t>，</w:t>
            </w:r>
            <w:r>
              <w:rPr>
                <w:rFonts w:hint="default" w:ascii="Times New Roman" w:hAnsi="Times New Roman" w:eastAsia="宋体" w:cs="Times New Roman"/>
                <w:sz w:val="24"/>
                <w:szCs w:val="24"/>
              </w:rPr>
              <w:t>低浓度工业有机废气</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污染物浓度&lt;5g</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cs="Times New Roman"/>
                <w:color w:val="000000"/>
                <w:lang w:val="en-US" w:eastAsia="zh-CN"/>
              </w:rPr>
              <w:t>）</w:t>
            </w:r>
            <w:r>
              <w:rPr>
                <w:rFonts w:hint="eastAsia" w:ascii="Times New Roman" w:hAnsi="Times New Roman" w:cs="Times New Roman"/>
                <w:color w:val="000000"/>
                <w:lang w:val="en-US" w:eastAsia="zh-CN"/>
              </w:rPr>
              <w:t>，</w:t>
            </w:r>
            <w:r>
              <w:rPr>
                <w:rFonts w:hint="eastAsia" w:cs="宋体"/>
                <w:color w:val="000000"/>
                <w:lang w:val="en-US" w:eastAsia="zh-CN"/>
              </w:rPr>
              <w:t>本项目属于低浓度VOCs的废气，本项目采用水洗填料塔+活性炭吸附-脱附+催化燃烧装置处理有机废气，本项目废气无法进行回收利用，因此采用吸附浓缩燃烧技术，符合《挥发性有机物（VOCs）污染防治技术政策》（公告2013年第31号）要求。</w:t>
            </w:r>
          </w:p>
          <w:p>
            <w:pPr>
              <w:overflowPunct w:val="0"/>
              <w:autoSpaceDE w:val="0"/>
              <w:autoSpaceDN w:val="0"/>
              <w:bidi w:val="0"/>
              <w:adjustRightInd w:val="0"/>
              <w:snapToGrid w:val="0"/>
              <w:spacing w:before="0" w:after="0" w:line="360" w:lineRule="auto"/>
              <w:ind w:left="0" w:right="0" w:firstLine="480" w:firstLineChars="200"/>
              <w:jc w:val="both"/>
              <w:rPr>
                <w:rFonts w:ascii="宋体" w:hAnsi="宋体" w:eastAsia="宋体" w:cs="宋体"/>
                <w:sz w:val="24"/>
                <w:szCs w:val="24"/>
              </w:rPr>
            </w:pPr>
            <w:r>
              <w:rPr>
                <w:rFonts w:hint="eastAsia" w:ascii="Times New Roman" w:hAnsi="Times New Roman" w:eastAsia="宋体" w:cs="宋体"/>
                <w:color w:val="000000"/>
                <w:lang w:val="en-US" w:eastAsia="zh-CN"/>
              </w:rPr>
              <w:t>氯化氢尾气处理工艺装置</w:t>
            </w:r>
            <w:r>
              <w:rPr>
                <w:rFonts w:hint="eastAsia" w:cs="宋体"/>
                <w:color w:val="000000"/>
                <w:lang w:val="en-US" w:eastAsia="zh-CN"/>
              </w:rPr>
              <w:t>水洗填料塔</w:t>
            </w:r>
            <w:r>
              <w:rPr>
                <w:rFonts w:hint="eastAsia" w:ascii="Times New Roman" w:hAnsi="Times New Roman" w:eastAsia="宋体" w:cs="宋体"/>
                <w:color w:val="000000"/>
                <w:lang w:val="en-US" w:eastAsia="zh-CN"/>
              </w:rPr>
              <w:t>及流程如图</w:t>
            </w:r>
            <w:r>
              <w:rPr>
                <w:rFonts w:hint="eastAsia" w:cs="宋体"/>
                <w:color w:val="000000"/>
                <w:lang w:val="en-US" w:eastAsia="zh-CN"/>
              </w:rPr>
              <w:t>4.6-1</w:t>
            </w:r>
            <w:r>
              <w:rPr>
                <w:rFonts w:hint="eastAsia" w:ascii="Times New Roman" w:hAnsi="Times New Roman" w:eastAsia="宋体" w:cs="宋体"/>
                <w:color w:val="000000"/>
                <w:lang w:val="en-US" w:eastAsia="zh-CN"/>
              </w:rPr>
              <w:t>所示。该工艺采用两段填料塔逆流吸收 ，塔身分为上下两段 ，塔体及塔内件材质为玻璃钢 ，填料为规整陶瓷板波纹填料 。</w:t>
            </w:r>
            <w:r>
              <w:rPr>
                <w:rFonts w:hint="eastAsia" w:cs="宋体"/>
                <w:color w:val="000000"/>
                <w:lang w:val="en-US" w:eastAsia="zh-CN"/>
              </w:rPr>
              <w:t>生产车间集中收集</w:t>
            </w:r>
            <w:r>
              <w:rPr>
                <w:rFonts w:hint="eastAsia" w:ascii="Times New Roman" w:hAnsi="Times New Roman" w:eastAsia="宋体" w:cs="宋体"/>
                <w:color w:val="000000"/>
                <w:lang w:val="en-US" w:eastAsia="zh-CN"/>
              </w:rPr>
              <w:t>的氯化氢气体和</w:t>
            </w:r>
            <w:r>
              <w:rPr>
                <w:rFonts w:hint="eastAsia" w:cs="宋体"/>
                <w:color w:val="000000"/>
                <w:lang w:val="en-US" w:eastAsia="zh-CN"/>
              </w:rPr>
              <w:t>有机废气</w:t>
            </w:r>
            <w:r>
              <w:rPr>
                <w:rFonts w:hint="eastAsia" w:ascii="Times New Roman" w:hAnsi="Times New Roman" w:eastAsia="宋体" w:cs="宋体"/>
                <w:color w:val="000000"/>
                <w:lang w:val="en-US" w:eastAsia="zh-CN"/>
              </w:rPr>
              <w:t>一起由离心风机通过</w:t>
            </w:r>
            <w:r>
              <w:rPr>
                <w:rFonts w:hint="eastAsia" w:cs="宋体"/>
                <w:color w:val="000000"/>
                <w:lang w:val="en-US" w:eastAsia="zh-CN"/>
              </w:rPr>
              <w:t>集气罩</w:t>
            </w:r>
            <w:r>
              <w:rPr>
                <w:rFonts w:hint="eastAsia" w:ascii="Times New Roman" w:hAnsi="Times New Roman" w:eastAsia="宋体" w:cs="宋体"/>
                <w:color w:val="000000"/>
                <w:lang w:val="en-US" w:eastAsia="zh-CN"/>
              </w:rPr>
              <w:t>引入</w:t>
            </w:r>
            <w:r>
              <w:rPr>
                <w:rFonts w:hint="eastAsia" w:cs="宋体"/>
                <w:color w:val="000000"/>
                <w:lang w:val="en-US" w:eastAsia="zh-CN"/>
              </w:rPr>
              <w:t>水洗</w:t>
            </w:r>
            <w:r>
              <w:rPr>
                <w:rFonts w:hint="eastAsia" w:ascii="Times New Roman" w:hAnsi="Times New Roman" w:eastAsia="宋体" w:cs="宋体"/>
                <w:color w:val="000000"/>
                <w:lang w:val="en-US" w:eastAsia="zh-CN"/>
              </w:rPr>
              <w:t>填料塔中。在每一次操作中，上段自来水自上而下流动 ，逐</w:t>
            </w:r>
            <w:r>
              <w:drawing>
                <wp:anchor distT="0" distB="0" distL="114300" distR="114300" simplePos="0" relativeHeight="251668480" behindDoc="0" locked="0" layoutInCell="1" allowOverlap="1">
                  <wp:simplePos x="0" y="0"/>
                  <wp:positionH relativeFrom="column">
                    <wp:posOffset>1107440</wp:posOffset>
                  </wp:positionH>
                  <wp:positionV relativeFrom="paragraph">
                    <wp:posOffset>2057400</wp:posOffset>
                  </wp:positionV>
                  <wp:extent cx="2857500" cy="2209800"/>
                  <wp:effectExtent l="0" t="0" r="0" b="0"/>
                  <wp:wrapNone/>
                  <wp:docPr id="2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 descr="IMG_256"/>
                          <pic:cNvPicPr>
                            <a:picLocks noChangeAspect="1"/>
                          </pic:cNvPicPr>
                        </pic:nvPicPr>
                        <pic:blipFill>
                          <a:blip r:embed="rId20"/>
                          <a:stretch>
                            <a:fillRect/>
                          </a:stretch>
                        </pic:blipFill>
                        <pic:spPr>
                          <a:xfrm>
                            <a:off x="0" y="0"/>
                            <a:ext cx="2857500" cy="2209800"/>
                          </a:xfrm>
                          <a:prstGeom prst="rect">
                            <a:avLst/>
                          </a:prstGeom>
                          <a:noFill/>
                          <a:ln w="9525">
                            <a:noFill/>
                          </a:ln>
                        </pic:spPr>
                      </pic:pic>
                    </a:graphicData>
                  </a:graphic>
                </wp:anchor>
              </w:drawing>
            </w:r>
            <w:r>
              <w:rPr>
                <w:rFonts w:hint="eastAsia" w:ascii="Times New Roman" w:hAnsi="Times New Roman" w:eastAsia="宋体" w:cs="宋体"/>
                <w:color w:val="000000"/>
                <w:lang w:val="en-US" w:eastAsia="zh-CN"/>
              </w:rPr>
              <w:t>步与经过下段吸收的低浓度氯化氢气体进行气液接触，生成的稀盐酸流入稀酸槽，待达到一定量时，通过循环泵转移到浓酸循环罐储存。下段用稀盐酸</w:t>
            </w:r>
            <w:r>
              <w:rPr>
                <w:rFonts w:hint="eastAsia" w:cs="宋体"/>
                <w:color w:val="000000"/>
                <w:lang w:val="en-US" w:eastAsia="zh-CN"/>
              </w:rPr>
              <w:t>（</w:t>
            </w:r>
            <w:r>
              <w:rPr>
                <w:rFonts w:hint="eastAsia" w:ascii="Times New Roman" w:hAnsi="Times New Roman" w:eastAsia="宋体" w:cs="宋体"/>
                <w:color w:val="000000"/>
                <w:lang w:val="en-US" w:eastAsia="zh-CN"/>
              </w:rPr>
              <w:t>对上一操作所得的气体</w:t>
            </w:r>
            <w:r>
              <w:rPr>
                <w:rFonts w:hint="eastAsia" w:cs="宋体"/>
                <w:color w:val="000000"/>
                <w:lang w:val="en-US" w:eastAsia="zh-CN"/>
              </w:rPr>
              <w:t>）</w:t>
            </w:r>
            <w:r>
              <w:rPr>
                <w:rFonts w:hint="eastAsia" w:ascii="Times New Roman" w:hAnsi="Times New Roman" w:eastAsia="宋体" w:cs="宋体"/>
                <w:color w:val="000000"/>
                <w:lang w:val="en-US" w:eastAsia="zh-CN"/>
              </w:rPr>
              <w:t>进行循环吸收，与氯化氢气体发生气液接触生成浓盐酸，操作停止后的浓盐酸。</w:t>
            </w:r>
            <w:r>
              <w:rPr>
                <w:rFonts w:ascii="宋体" w:hAnsi="宋体" w:eastAsia="宋体" w:cs="宋体"/>
                <w:sz w:val="24"/>
                <w:szCs w:val="24"/>
              </w:rPr>
              <w:t>吸收塔循环喷淋液与氯化氢气体为逆向流动，塔内喷淋液作为分散相，靠重力作用自上而下地流动，氯化氢气体靠压强差的作用流经全塔。逆流方式可获得较大的平均推动力 ，能有效地提高过程效率，有利于提高出塔吸收液的浓度，从而减少吸收剂的耗用量，降低出塔气体的浓度。</w:t>
            </w:r>
          </w:p>
          <w:p>
            <w:pPr>
              <w:pStyle w:val="12"/>
              <w:keepNext w:val="0"/>
              <w:keepLines w:val="0"/>
              <w:widowControl/>
              <w:suppressLineNumbers w:val="0"/>
            </w:pPr>
          </w:p>
          <w:p>
            <w:pPr>
              <w:overflowPunct w:val="0"/>
              <w:autoSpaceDE w:val="0"/>
              <w:autoSpaceDN w:val="0"/>
              <w:bidi w:val="0"/>
              <w:adjustRightInd w:val="0"/>
              <w:snapToGrid w:val="0"/>
              <w:spacing w:before="0" w:after="0" w:line="360" w:lineRule="auto"/>
              <w:ind w:right="0"/>
              <w:jc w:val="center"/>
              <w:rPr>
                <w:rFonts w:hint="eastAsia" w:ascii="Times New Roman" w:hAnsi="Times New Roman" w:eastAsia="宋体" w:cs="宋体"/>
                <w:color w:val="000000"/>
              </w:rPr>
            </w:pPr>
          </w:p>
          <w:p>
            <w:pPr>
              <w:overflowPunct w:val="0"/>
              <w:autoSpaceDE w:val="0"/>
              <w:autoSpaceDN w:val="0"/>
              <w:bidi w:val="0"/>
              <w:adjustRightInd w:val="0"/>
              <w:snapToGrid w:val="0"/>
              <w:spacing w:before="0" w:after="0" w:line="360" w:lineRule="auto"/>
              <w:ind w:right="0"/>
              <w:jc w:val="center"/>
              <w:rPr>
                <w:rFonts w:hint="eastAsia" w:cs="宋体"/>
                <w:b/>
                <w:bCs/>
                <w:color w:val="000000"/>
                <w:lang w:val="en-US" w:eastAsia="zh-CN"/>
              </w:rPr>
            </w:pPr>
          </w:p>
          <w:p>
            <w:pPr>
              <w:overflowPunct w:val="0"/>
              <w:autoSpaceDE w:val="0"/>
              <w:autoSpaceDN w:val="0"/>
              <w:bidi w:val="0"/>
              <w:adjustRightInd w:val="0"/>
              <w:snapToGrid w:val="0"/>
              <w:spacing w:before="0" w:after="0" w:line="360" w:lineRule="auto"/>
              <w:ind w:right="0"/>
              <w:jc w:val="center"/>
              <w:rPr>
                <w:rFonts w:hint="eastAsia" w:cs="宋体"/>
                <w:b/>
                <w:bCs/>
                <w:color w:val="000000"/>
                <w:lang w:val="en-US" w:eastAsia="zh-CN"/>
              </w:rPr>
            </w:pPr>
          </w:p>
          <w:p>
            <w:pPr>
              <w:overflowPunct w:val="0"/>
              <w:autoSpaceDE w:val="0"/>
              <w:autoSpaceDN w:val="0"/>
              <w:bidi w:val="0"/>
              <w:adjustRightInd w:val="0"/>
              <w:snapToGrid w:val="0"/>
              <w:spacing w:before="0" w:after="0" w:line="360" w:lineRule="auto"/>
              <w:ind w:right="0"/>
              <w:jc w:val="center"/>
              <w:rPr>
                <w:rFonts w:hint="eastAsia" w:cs="宋体"/>
                <w:b/>
                <w:bCs/>
                <w:color w:val="000000"/>
                <w:lang w:val="en-US" w:eastAsia="zh-CN"/>
              </w:rPr>
            </w:pPr>
          </w:p>
          <w:p>
            <w:pPr>
              <w:overflowPunct w:val="0"/>
              <w:autoSpaceDE w:val="0"/>
              <w:autoSpaceDN w:val="0"/>
              <w:bidi w:val="0"/>
              <w:adjustRightInd w:val="0"/>
              <w:snapToGrid w:val="0"/>
              <w:spacing w:before="0" w:after="0" w:line="360" w:lineRule="auto"/>
              <w:ind w:right="0"/>
              <w:jc w:val="center"/>
              <w:rPr>
                <w:rFonts w:hint="eastAsia" w:cs="宋体"/>
                <w:b/>
                <w:bCs/>
                <w:color w:val="000000"/>
                <w:lang w:val="en-US" w:eastAsia="zh-CN"/>
              </w:rPr>
            </w:pPr>
          </w:p>
          <w:p>
            <w:pPr>
              <w:overflowPunct w:val="0"/>
              <w:autoSpaceDE w:val="0"/>
              <w:autoSpaceDN w:val="0"/>
              <w:bidi w:val="0"/>
              <w:adjustRightInd w:val="0"/>
              <w:snapToGrid w:val="0"/>
              <w:spacing w:before="0" w:after="0" w:line="360" w:lineRule="auto"/>
              <w:ind w:right="0"/>
              <w:jc w:val="both"/>
              <w:rPr>
                <w:rFonts w:hint="eastAsia" w:cs="宋体"/>
                <w:b/>
                <w:bCs/>
                <w:color w:val="000000"/>
                <w:lang w:val="en-US" w:eastAsia="zh-CN"/>
              </w:rPr>
            </w:pPr>
          </w:p>
          <w:p>
            <w:pPr>
              <w:overflowPunct w:val="0"/>
              <w:autoSpaceDE w:val="0"/>
              <w:autoSpaceDN w:val="0"/>
              <w:bidi w:val="0"/>
              <w:adjustRightInd w:val="0"/>
              <w:snapToGrid w:val="0"/>
              <w:spacing w:before="0" w:after="0" w:line="360" w:lineRule="auto"/>
              <w:ind w:right="0"/>
              <w:jc w:val="center"/>
              <w:rPr>
                <w:rFonts w:hint="eastAsia" w:cs="宋体"/>
                <w:b/>
                <w:bCs/>
                <w:color w:val="000000"/>
                <w:lang w:val="en-US" w:eastAsia="zh-CN"/>
              </w:rPr>
            </w:pPr>
          </w:p>
          <w:p>
            <w:pPr>
              <w:overflowPunct w:val="0"/>
              <w:autoSpaceDE w:val="0"/>
              <w:autoSpaceDN w:val="0"/>
              <w:bidi w:val="0"/>
              <w:adjustRightInd w:val="0"/>
              <w:snapToGrid w:val="0"/>
              <w:spacing w:before="0" w:after="0" w:line="360" w:lineRule="auto"/>
              <w:ind w:right="0"/>
              <w:jc w:val="center"/>
              <w:rPr>
                <w:rFonts w:hint="default" w:ascii="Times New Roman" w:hAnsi="Times New Roman" w:eastAsia="宋体" w:cs="宋体"/>
                <w:b/>
                <w:bCs/>
                <w:color w:val="000000"/>
                <w:lang w:val="en-US"/>
              </w:rPr>
            </w:pPr>
            <w:r>
              <w:rPr>
                <w:rFonts w:hint="eastAsia" w:cs="宋体"/>
                <w:b/>
                <w:bCs/>
                <w:color w:val="000000"/>
                <w:lang w:val="en-US" w:eastAsia="zh-CN"/>
              </w:rPr>
              <w:t>图4.6-1 水洗填料塔结构</w:t>
            </w:r>
          </w:p>
          <w:p>
            <w:pPr>
              <w:overflowPunct w:val="0"/>
              <w:autoSpaceDE w:val="0"/>
              <w:autoSpaceDN w:val="0"/>
              <w:bidi w:val="0"/>
              <w:adjustRightInd w:val="0"/>
              <w:snapToGrid w:val="0"/>
              <w:spacing w:before="0" w:after="0" w:line="360" w:lineRule="auto"/>
              <w:ind w:left="0" w:right="0" w:firstLine="480" w:firstLineChars="200"/>
              <w:jc w:val="both"/>
              <w:rPr>
                <w:rFonts w:ascii="Times New Roman" w:hAnsi="Times New Roman" w:eastAsia="宋体" w:cs="宋体"/>
                <w:color w:val="000000"/>
              </w:rPr>
            </w:pPr>
            <w:r>
              <w:rPr>
                <w:rFonts w:hint="eastAsia" w:ascii="Times New Roman" w:hAnsi="Times New Roman" w:eastAsia="宋体" w:cs="宋体"/>
                <w:color w:val="000000"/>
              </w:rPr>
              <w:t>活性炭是经过活化处理后的碳，其具备比表面积大，孔隙多的特点，使其具有较强吸附能力。颗粒碳比表面积一般可达700</w:t>
            </w:r>
            <w:r>
              <w:rPr>
                <w:rFonts w:hint="eastAsia" w:ascii="Times New Roman" w:hAnsi="Times New Roman" w:eastAsia="宋体" w:cs="宋体"/>
                <w:color w:val="000000"/>
                <w:lang w:val="en-US" w:eastAsia="zh-CN"/>
              </w:rPr>
              <w:t>-</w:t>
            </w:r>
            <w:r>
              <w:rPr>
                <w:rFonts w:hint="eastAsia" w:ascii="Times New Roman" w:hAnsi="Times New Roman" w:eastAsia="宋体" w:cs="宋体"/>
                <w:color w:val="000000"/>
              </w:rPr>
              <w:t>1200</w:t>
            </w:r>
            <w:r>
              <w:rPr>
                <w:rFonts w:hint="eastAsia" w:ascii="Times New Roman" w:hAnsi="Times New Roman" w:eastAsia="宋体" w:cs="宋体"/>
                <w:color w:val="000000"/>
                <w:lang w:val="en-US" w:eastAsia="zh-CN"/>
              </w:rPr>
              <w:t>m</w:t>
            </w:r>
            <w:r>
              <w:rPr>
                <w:rFonts w:hint="eastAsia" w:ascii="Times New Roman" w:hAnsi="Times New Roman" w:eastAsia="宋体" w:cs="宋体"/>
                <w:color w:val="000000"/>
                <w:vertAlign w:val="superscript"/>
                <w:lang w:val="en-US" w:eastAsia="zh-CN"/>
              </w:rPr>
              <w:t>2</w:t>
            </w:r>
            <w:r>
              <w:rPr>
                <w:rFonts w:hint="eastAsia" w:ascii="Times New Roman" w:hAnsi="Times New Roman" w:eastAsia="宋体" w:cs="宋体"/>
                <w:color w:val="000000"/>
              </w:rPr>
              <w:t>/g，其孔径大小范围在1.5nm</w:t>
            </w:r>
            <w:r>
              <w:rPr>
                <w:rFonts w:hint="eastAsia" w:ascii="Times New Roman" w:hAnsi="Times New Roman" w:eastAsia="宋体" w:cs="宋体"/>
                <w:color w:val="000000"/>
                <w:lang w:val="en-US" w:eastAsia="zh-CN"/>
              </w:rPr>
              <w:t>-</w:t>
            </w:r>
            <w:r>
              <w:rPr>
                <w:rFonts w:hint="eastAsia" w:ascii="Times New Roman" w:hAnsi="Times New Roman" w:eastAsia="宋体" w:cs="宋体"/>
                <w:color w:val="000000"/>
              </w:rPr>
              <w:t>5um之间。其吸附方式主要通过2种途径：一是活性炭与气体分子间的范德华力，当气体分子经过活性炭表面，范德华力起主导作用时，气体分子先被吸附至活性炭外表面，小于活性炭孔径的分子经内部扩散转移至内表面，从而达到吸附的效果，此为物理吸附；二是吸附质与吸附剂表面原子间的化学键合成，此为化学吸附。活性炭吸附一般适用于大风量、低浓度、低湿度、低含尘的有机废气。</w:t>
            </w:r>
          </w:p>
          <w:p>
            <w:pPr>
              <w:overflowPunct w:val="0"/>
              <w:autoSpaceDE w:val="0"/>
              <w:autoSpaceDN w:val="0"/>
              <w:bidi w:val="0"/>
              <w:adjustRightInd w:val="0"/>
              <w:snapToGrid w:val="0"/>
              <w:spacing w:before="0" w:after="0" w:line="360" w:lineRule="auto"/>
              <w:ind w:left="0" w:right="0" w:firstLine="480" w:firstLineChars="200"/>
              <w:jc w:val="both"/>
              <w:rPr>
                <w:rFonts w:hint="default" w:ascii="Times New Roman" w:hAnsi="Times New Roman" w:eastAsia="宋体" w:cs="宋体"/>
                <w:color w:val="000000"/>
                <w:lang w:val="en-US" w:eastAsia="zh-CN"/>
              </w:rPr>
            </w:pPr>
            <w:r>
              <w:rPr>
                <w:rFonts w:hint="eastAsia" w:ascii="Times New Roman" w:hAnsi="Times New Roman" w:eastAsia="宋体" w:cs="宋体"/>
                <w:color w:val="000000"/>
                <w:lang w:val="en-US" w:eastAsia="zh-CN"/>
              </w:rPr>
              <w:t>单个活性炭吸附箱截面积为4.84m</w:t>
            </w:r>
            <w:r>
              <w:rPr>
                <w:rFonts w:hint="eastAsia" w:ascii="Times New Roman" w:hAnsi="Times New Roman" w:eastAsia="宋体" w:cs="宋体"/>
                <w:color w:val="000000"/>
                <w:vertAlign w:val="superscript"/>
                <w:lang w:val="en-US" w:eastAsia="zh-CN"/>
              </w:rPr>
              <w:t>2</w:t>
            </w:r>
            <w:r>
              <w:rPr>
                <w:rFonts w:hint="eastAsia" w:ascii="Times New Roman" w:hAnsi="Times New Roman" w:eastAsia="宋体" w:cs="宋体"/>
                <w:color w:val="000000"/>
                <w:lang w:val="en-US" w:eastAsia="zh-CN"/>
              </w:rPr>
              <w:t>，装填高度800mm，单个活性炭吸附箱活性炭装填量为4.84</w:t>
            </w:r>
            <w:r>
              <w:rPr>
                <w:rFonts w:hint="default" w:ascii="Times New Roman" w:hAnsi="Times New Roman" w:eastAsia="宋体" w:cs="宋体"/>
                <w:color w:val="000000"/>
                <w:lang w:val="en-US" w:eastAsia="zh-CN"/>
              </w:rPr>
              <w:t>×</w:t>
            </w:r>
            <w:r>
              <w:rPr>
                <w:rFonts w:hint="eastAsia" w:ascii="Times New Roman" w:hAnsi="Times New Roman" w:eastAsia="宋体" w:cs="宋体"/>
                <w:color w:val="000000"/>
                <w:lang w:val="en-US" w:eastAsia="zh-CN"/>
              </w:rPr>
              <w:t>0.8=3.872m</w:t>
            </w:r>
            <w:r>
              <w:rPr>
                <w:rFonts w:hint="eastAsia" w:ascii="Times New Roman" w:hAnsi="Times New Roman" w:eastAsia="宋体" w:cs="宋体"/>
                <w:color w:val="000000"/>
                <w:vertAlign w:val="superscript"/>
                <w:lang w:val="en-US" w:eastAsia="zh-CN"/>
              </w:rPr>
              <w:t>3</w:t>
            </w:r>
            <w:r>
              <w:rPr>
                <w:rFonts w:hint="eastAsia" w:ascii="Times New Roman" w:hAnsi="Times New Roman" w:eastAsia="宋体" w:cs="宋体"/>
                <w:color w:val="000000"/>
                <w:lang w:val="en-US" w:eastAsia="zh-CN"/>
              </w:rPr>
              <w:t>。</w:t>
            </w:r>
          </w:p>
          <w:p>
            <w:pPr>
              <w:overflowPunct w:val="0"/>
              <w:autoSpaceDE w:val="0"/>
              <w:autoSpaceDN w:val="0"/>
              <w:bidi w:val="0"/>
              <w:adjustRightInd w:val="0"/>
              <w:snapToGrid w:val="0"/>
              <w:spacing w:before="0" w:after="0" w:line="360" w:lineRule="auto"/>
              <w:ind w:left="0" w:right="0" w:firstLine="480" w:firstLineChars="200"/>
              <w:jc w:val="both"/>
              <w:rPr>
                <w:rFonts w:hint="default" w:ascii="Times New Roman" w:hAnsi="Times New Roman" w:eastAsia="宋体" w:cs="宋体"/>
                <w:color w:val="000000"/>
                <w:lang w:val="en-US"/>
              </w:rPr>
            </w:pPr>
            <w:r>
              <w:rPr>
                <w:rFonts w:hint="eastAsia" w:ascii="Times New Roman" w:hAnsi="Times New Roman" w:eastAsia="宋体" w:cs="宋体"/>
                <w:color w:val="000000"/>
                <w:lang w:val="en-US" w:eastAsia="zh-CN"/>
              </w:rPr>
              <w:t>结合实验室测试和工程经验数据，选择碘值不低于800毫克/克的活性炭，蜂窝活性炭动态吸附量按4%设计，蜂窝活性炭密度450kg/m</w:t>
            </w:r>
            <w:r>
              <w:rPr>
                <w:rFonts w:hint="eastAsia" w:ascii="Times New Roman" w:hAnsi="Times New Roman" w:eastAsia="宋体" w:cs="宋体"/>
                <w:color w:val="000000"/>
                <w:vertAlign w:val="superscript"/>
                <w:lang w:val="en-US" w:eastAsia="zh-CN"/>
              </w:rPr>
              <w:t>3</w:t>
            </w:r>
            <w:r>
              <w:rPr>
                <w:rFonts w:hint="eastAsia" w:ascii="Times New Roman" w:hAnsi="Times New Roman" w:eastAsia="宋体" w:cs="宋体"/>
                <w:color w:val="000000"/>
                <w:lang w:val="en-US" w:eastAsia="zh-CN"/>
              </w:rPr>
              <w:t>，单个活性炭吸附箱活性炭重量为450kg/m</w:t>
            </w:r>
            <w:r>
              <w:rPr>
                <w:rFonts w:hint="eastAsia" w:ascii="Times New Roman" w:hAnsi="Times New Roman" w:eastAsia="宋体" w:cs="宋体"/>
                <w:color w:val="000000"/>
                <w:vertAlign w:val="superscript"/>
                <w:lang w:val="en-US" w:eastAsia="zh-CN"/>
              </w:rPr>
              <w:t>3</w:t>
            </w:r>
            <w:r>
              <w:rPr>
                <w:rFonts w:hint="default" w:ascii="Times New Roman" w:hAnsi="Times New Roman" w:eastAsia="宋体" w:cs="宋体"/>
                <w:color w:val="000000"/>
                <w:lang w:val="en-US" w:eastAsia="zh-CN"/>
              </w:rPr>
              <w:t>×</w:t>
            </w:r>
            <w:r>
              <w:rPr>
                <w:rFonts w:hint="eastAsia" w:ascii="Times New Roman" w:hAnsi="Times New Roman" w:eastAsia="宋体" w:cs="宋体"/>
                <w:color w:val="000000"/>
                <w:lang w:val="en-US" w:eastAsia="zh-CN"/>
              </w:rPr>
              <w:t>3.872m</w:t>
            </w:r>
            <w:r>
              <w:rPr>
                <w:rFonts w:hint="eastAsia" w:ascii="Times New Roman" w:hAnsi="Times New Roman" w:eastAsia="宋体" w:cs="宋体"/>
                <w:color w:val="000000"/>
                <w:vertAlign w:val="superscript"/>
                <w:lang w:val="en-US" w:eastAsia="zh-CN"/>
              </w:rPr>
              <w:t>3</w:t>
            </w:r>
            <w:r>
              <w:rPr>
                <w:rFonts w:hint="eastAsia" w:ascii="Times New Roman" w:hAnsi="Times New Roman" w:eastAsia="宋体" w:cs="宋体"/>
                <w:color w:val="000000"/>
                <w:lang w:val="en-US" w:eastAsia="zh-CN"/>
              </w:rPr>
              <w:t>=1754.4kg。</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废气进气阀、排气阀打开，脱附阀关闭，活性炭吸附箱吸附工作开始，吸附后的净烟气通过排气筒（DA001）排出。当活性炭吸附饱和后，启动脱附系统。当需要对活性炭吸附箱进行解析再生时，将吸附箱的吸附阀关闭，脱附阀打开，送入催化燃烧装置。</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催化燃烧装置（CO），简称“CO”，催化燃烧是一个气-固相催化反应过程，其反应的实质是活性氧参与的深度氧化作用。在催化燃烧过程中，催化剂具有吸附作用，同时可以降低反应的活化能，通过将反应物分子富集于催化剂表面从而提高反应速率 ，加快反应进程。利用催化剂的优异性能，可使有机废气在较低的起燃温度(200-300℃)下发生无焰燃烧，并氧化分解为CO</w:t>
            </w:r>
            <w:r>
              <w:rPr>
                <w:rFonts w:hint="eastAsia" w:ascii="Times New Roman" w:hAnsi="Times New Roman" w:eastAsia="宋体" w:cs="宋体"/>
                <w:vertAlign w:val="subscript"/>
                <w:lang w:val="en-US" w:eastAsia="zh-CN"/>
              </w:rPr>
              <w:t>2</w:t>
            </w:r>
            <w:r>
              <w:rPr>
                <w:rFonts w:hint="eastAsia" w:ascii="Times New Roman" w:hAnsi="Times New Roman" w:eastAsia="宋体" w:cs="宋体"/>
                <w:lang w:val="en-US" w:eastAsia="zh-CN"/>
              </w:rPr>
              <w:t>和H</w:t>
            </w:r>
            <w:r>
              <w:rPr>
                <w:rFonts w:hint="eastAsia" w:ascii="Times New Roman" w:hAnsi="Times New Roman" w:eastAsia="宋体" w:cs="宋体"/>
                <w:vertAlign w:val="subscript"/>
                <w:lang w:val="en-US" w:eastAsia="zh-CN"/>
              </w:rPr>
              <w:t>2</w:t>
            </w:r>
            <w:r>
              <w:rPr>
                <w:rFonts w:hint="eastAsia" w:ascii="Times New Roman" w:hAnsi="Times New Roman" w:eastAsia="宋体" w:cs="宋体"/>
                <w:lang w:val="en-US" w:eastAsia="zh-CN"/>
              </w:rPr>
              <w:t>O，同时放出大量热能。并且由于催化剂具有选择性催化作用，可以限制燃料中含氮化合物的氧化过程，使其在反应中生成分子氮（N</w:t>
            </w:r>
            <w:r>
              <w:rPr>
                <w:rFonts w:hint="eastAsia" w:ascii="Times New Roman" w:hAnsi="Times New Roman" w:eastAsia="宋体" w:cs="宋体"/>
                <w:vertAlign w:val="subscript"/>
                <w:lang w:val="en-US" w:eastAsia="zh-CN"/>
              </w:rPr>
              <w:t>2</w:t>
            </w:r>
            <w:r>
              <w:rPr>
                <w:rFonts w:hint="eastAsia" w:ascii="Times New Roman" w:hAnsi="Times New Roman" w:eastAsia="宋体" w:cs="宋体"/>
                <w:lang w:val="en-US" w:eastAsia="zh-CN"/>
              </w:rPr>
              <w:t xml:space="preserve">）。 </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CO催化燃烧装置净化装置的特点</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1）CO催化燃烧设备采用优质金属钯，镀铂在蜂窝陶瓷载体上作为催化剂，纯利效率高达95-100%，寿命长，可再生，气体流量大，阻力小。</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2）安全设施齐全：防火除尘器、泄压孔、超温报警等保护设施。</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3）功耗：预热15 ~ 35分钟全功率加热，工作时只消耗风机功率即可。当废气浓度低时，自动间歇补偿加热。</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4）CO催化燃烧设备选用电加热方式。</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根据《催化燃烧法工业有机废气治理工程技术规范》（HJ2027-2013），工艺设计要求：</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催化剂的工作温度应低于700℃，并能承受900℃短时间高温冲击。设计工况下催化剂使用寿命应大于8500h。  </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催化燃烧装置的设计空速宜大于10000h</w:t>
            </w:r>
            <w:r>
              <w:rPr>
                <w:rFonts w:hint="eastAsia" w:ascii="Times New Roman" w:hAnsi="Times New Roman" w:eastAsia="宋体" w:cs="宋体"/>
                <w:vertAlign w:val="baseline"/>
                <w:lang w:val="en-US" w:eastAsia="zh-CN"/>
              </w:rPr>
              <w:t>-1</w:t>
            </w:r>
            <w:r>
              <w:rPr>
                <w:rFonts w:hint="eastAsia" w:ascii="Times New Roman" w:hAnsi="Times New Roman" w:eastAsia="宋体" w:cs="宋体"/>
                <w:lang w:val="en-US" w:eastAsia="zh-CN"/>
              </w:rPr>
              <w:t>，但不应高于40000h</w:t>
            </w:r>
            <w:r>
              <w:rPr>
                <w:rFonts w:hint="eastAsia" w:ascii="Times New Roman" w:hAnsi="Times New Roman" w:eastAsia="宋体" w:cs="宋体"/>
                <w:vertAlign w:val="baseline"/>
                <w:lang w:val="en-US" w:eastAsia="zh-CN"/>
              </w:rPr>
              <w:t>-1</w:t>
            </w:r>
            <w:r>
              <w:rPr>
                <w:rFonts w:hint="eastAsia" w:ascii="Times New Roman" w:hAnsi="Times New Roman" w:eastAsia="宋体" w:cs="宋体"/>
                <w:lang w:val="en-US" w:eastAsia="zh-CN"/>
              </w:rPr>
              <w:t xml:space="preserve">。 </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进入燃烧室的气体温度应达到气体组分在催化剂上的起燃温度，混合气体按照起燃温度最高的组分确定。 </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催化燃烧装置的压力损失应低于2kPa。 </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根据《催化燃烧法工业有机废气治理工程技术规范》（HJ2027-2013）治理工程应满足《建设项目环境保护设计规定》和《建设项目环境保护管理条例》的规定。治理工程应遵循综合治理、循环利用、达标排放、总量控制的原则。治理工艺设计应本着成熟可靠、技术先进、经济适用原则，并考虑节能、安全、操作简便，确定主要工艺流程。治理工程应与生产工艺水平相适应，生产企业应把治理设备作为生产系统的一部分进行管理，治理设备应与产生废气的相应生产设备同步运转。 经过治理后的污染物排放应符合国家或地方相关大气污染物排放标准的规定。     </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根据《催化燃烧法工业有机废气治理工程技术规范》（HJ2027-2013）场址选择与总图布置： </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场址选择与总图布置应参照标准GB 50187规定执行。 </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场址选择应遵从方便施工及运行维护等原则，并按照消防要求留出消防通道和安全保护距离。 </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治理设备的布置应考虑主导风向的影响，以减少有害气体、噪声等对环境的影响。 </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催化燃烧设备应远离易燃易爆危险化学品存放地，安全距离符合国家或相关行业标准规定。 </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参考《排污许可证申请与核发技术规范 橡胶和塑料制品工业》（HJ1122-2020）有组织控制要求为：</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1）企业应考虑生产工艺、操作方式、废气性质、处理方法等因素，对工艺废气进行分类收集、分类处理或预处理，严禁经污染控制设施处理后的废气与锅炉排放烟气及其他未经处理的废气混合后直接排放，严禁经污染控制设施处理后的废气与空气混合后稀释排放。 </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2）环保设施应先于其对应的生产设施运转，后于对应设施关闭，保证在生产设施运行波动情况下仍能正常运转，实现达标排放。产生大气污染物的生产工艺和装置需设立局部或整体气体收集系统和净化处理装置，集气方向应与污染气流运动方向一致。 </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3）废气收集系统的输送管道应密闭，在负压下运行。废气收集系统排风罩（集气罩）的设置应符合GB/T 16758的规定。采用外部排风罩的，应按 GB/T 16758、AQ/T 4274规定的方法测量控制风速。 </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4）废气收集处理系统应与生产工艺设备同步运行。废气收集处理系统发生故障或检修时，对应的生产工艺设备应停止运行，待检修完毕后同步投入使用；生产工艺设备不能停止运行或不能及时停止运行的，应设置废气应急处理设施或采取其他替代措施。 </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5）所有治理设施应制定操作规程，明确各项运行参数，实际运行参数应与操作规程一致。采用废气燃烧设施治理挥发性有机物时，应按设计温度运行，并安装燃烧温度连续监控系统。      </w:t>
            </w:r>
          </w:p>
          <w:p>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宋体"/>
                <w:lang w:val="en-US" w:eastAsia="zh-CN"/>
              </w:rPr>
            </w:pPr>
            <w:r>
              <w:rPr>
                <w:rFonts w:hint="eastAsia" w:ascii="Times New Roman" w:hAnsi="Times New Roman" w:eastAsia="宋体" w:cs="宋体"/>
                <w:lang w:val="en-US" w:eastAsia="zh-CN"/>
              </w:rPr>
              <w:t>②无组织污染防治措施</w:t>
            </w:r>
          </w:p>
          <w:p>
            <w:pPr>
              <w:overflowPunct w:val="0"/>
              <w:autoSpaceDE w:val="0"/>
              <w:autoSpaceDN w:val="0"/>
              <w:bidi w:val="0"/>
              <w:adjustRightInd w:val="0"/>
              <w:snapToGrid w:val="0"/>
              <w:spacing w:before="0" w:after="0" w:line="360" w:lineRule="auto"/>
              <w:ind w:left="0" w:right="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color w:val="000000"/>
                <w:lang w:val="en-US" w:eastAsia="zh-CN"/>
              </w:rPr>
              <w:t>纵包焊接工段设置移动式焊烟净化器进行处理。</w:t>
            </w:r>
            <w:r>
              <w:rPr>
                <w:rFonts w:hint="eastAsia" w:ascii="Times New Roman" w:hAnsi="Times New Roman" w:eastAsia="宋体" w:cs="宋体"/>
                <w:lang w:val="en-US" w:eastAsia="zh-CN"/>
              </w:rPr>
              <w:t>本项目对焊接平台产生的烟尘级粉尘，采用万向伸缩臂管道收集，进入配套的移动式焊接烟尘处理器（净化效率≥95%）进行净化，本项目移动式烟尘净化器配备有3m长、直径160mm的抽排臂，软管材料为聚酯纤维（表层为PVC），可360°旋转。通过合理设计万象伸缩臂集气管道高度及风量，收集后的焊接烟气经焊烟净化装置处理，净化效率可达95%以上，经处理后的烟气通过车间排风系统排出，对周围环境影响小，从技术和经济角度分析，该处理措施可行。</w:t>
            </w:r>
          </w:p>
          <w:p>
            <w:pPr>
              <w:overflowPunct w:val="0"/>
              <w:autoSpaceDE w:val="0"/>
              <w:autoSpaceDN w:val="0"/>
              <w:bidi w:val="0"/>
              <w:adjustRightInd w:val="0"/>
              <w:snapToGrid w:val="0"/>
              <w:spacing w:before="0" w:after="0" w:line="360" w:lineRule="auto"/>
              <w:ind w:left="0" w:right="0" w:firstLine="480" w:firstLineChars="200"/>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参考《排污许可证申请与核发技术规范 橡胶和塑料制品工业》（HJ1122-2020）</w:t>
            </w:r>
          </w:p>
          <w:p>
            <w:pPr>
              <w:overflowPunct w:val="0"/>
              <w:autoSpaceDE w:val="0"/>
              <w:autoSpaceDN w:val="0"/>
              <w:bidi w:val="0"/>
              <w:adjustRightInd w:val="0"/>
              <w:snapToGrid w:val="0"/>
              <w:spacing w:before="0" w:after="0" w:line="360" w:lineRule="auto"/>
              <w:ind w:right="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挥发性有机物物料储存无组织排放控制要求 </w:t>
            </w:r>
          </w:p>
          <w:p>
            <w:pPr>
              <w:overflowPunct w:val="0"/>
              <w:autoSpaceDE w:val="0"/>
              <w:autoSpaceDN w:val="0"/>
              <w:bidi w:val="0"/>
              <w:adjustRightInd w:val="0"/>
              <w:snapToGrid w:val="0"/>
              <w:spacing w:before="0" w:after="0" w:line="360" w:lineRule="auto"/>
              <w:ind w:left="0" w:right="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1）挥发性有机物物料应储存于密闭的容器、包装袋、储库、料仓中：盛装挥发性有机物物料的容器或包装袋应存放于室内， 或存放于设置有雨棚、遮阳和防渗设施的专用场地。盛装挥发性有机物物料的容器或包装袋在非取用状态时应加盖、封口，保持密闭。 </w:t>
            </w:r>
          </w:p>
          <w:p>
            <w:pPr>
              <w:overflowPunct w:val="0"/>
              <w:autoSpaceDE w:val="0"/>
              <w:autoSpaceDN w:val="0"/>
              <w:bidi w:val="0"/>
              <w:adjustRightInd w:val="0"/>
              <w:snapToGrid w:val="0"/>
              <w:spacing w:before="0" w:after="0" w:line="360" w:lineRule="auto"/>
              <w:ind w:left="0" w:right="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2）挥发性有机物物料使用过程无法密闭的，应采取局部气体收集措施，废气应排放至挥发性有机物废气收集处理系统。 </w:t>
            </w:r>
          </w:p>
          <w:p>
            <w:pPr>
              <w:overflowPunct w:val="0"/>
              <w:autoSpaceDE w:val="0"/>
              <w:autoSpaceDN w:val="0"/>
              <w:bidi w:val="0"/>
              <w:adjustRightInd w:val="0"/>
              <w:snapToGrid w:val="0"/>
              <w:spacing w:before="0" w:after="0" w:line="360" w:lineRule="auto"/>
              <w:ind w:left="0" w:right="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3）粒状挥发性有机物物料应采用气力输送设备、管状带式输送机、螺旋输送机等密闭输送方式，或者采用密闭的包装袋、容器进行物料转移。  </w:t>
            </w:r>
          </w:p>
          <w:p>
            <w:pPr>
              <w:overflowPunct w:val="0"/>
              <w:autoSpaceDE w:val="0"/>
              <w:autoSpaceDN w:val="0"/>
              <w:bidi w:val="0"/>
              <w:adjustRightInd w:val="0"/>
              <w:snapToGrid w:val="0"/>
              <w:spacing w:before="0" w:after="0" w:line="360" w:lineRule="auto"/>
              <w:ind w:left="0" w:right="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4）对无组织排放设施应实现废气源密闭化，将其变为有组织排放；建筑物内废气无组织排放源应采用全空间或局部空间有组织强制通风收集系统。收集系统在设计时，对高浓度挥发性有机物区域应考虑防爆和安全要求。</w:t>
            </w:r>
          </w:p>
          <w:p>
            <w:pPr>
              <w:overflowPunct w:val="0"/>
              <w:autoSpaceDE w:val="0"/>
              <w:autoSpaceDN w:val="0"/>
              <w:bidi w:val="0"/>
              <w:adjustRightInd w:val="0"/>
              <w:snapToGrid w:val="0"/>
              <w:spacing w:before="0" w:after="0" w:line="360" w:lineRule="auto"/>
              <w:ind w:left="0" w:right="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5）所有废气收集系统应采用技术经济合理的密闭方式，具有耐腐、气密性好的特性，同时考虑具备阻燃和抗静电等性能，并结合其他专业设备的运行、维护需要，设置观察口、呼吸阀等设施。 </w:t>
            </w:r>
          </w:p>
          <w:p>
            <w:pPr>
              <w:overflowPunct w:val="0"/>
              <w:autoSpaceDE w:val="0"/>
              <w:autoSpaceDN w:val="0"/>
              <w:bidi w:val="0"/>
              <w:adjustRightInd w:val="0"/>
              <w:snapToGrid w:val="0"/>
              <w:spacing w:line="360" w:lineRule="auto"/>
              <w:ind w:firstLine="480" w:firstLineChars="200"/>
              <w:jc w:val="both"/>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根据《挥发性有机物无组织排放控制标准》（GB37822-2019）文件，无组织排放控制要求如下：</w:t>
            </w:r>
          </w:p>
          <w:p>
            <w:pPr>
              <w:overflowPunct w:val="0"/>
              <w:autoSpaceDE w:val="0"/>
              <w:autoSpaceDN w:val="0"/>
              <w:bidi w:val="0"/>
              <w:adjustRightInd w:val="0"/>
              <w:snapToGrid w:val="0"/>
              <w:spacing w:line="360" w:lineRule="auto"/>
              <w:ind w:firstLine="480" w:firstLineChars="200"/>
              <w:jc w:val="both"/>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1）VOCs物料应储存于密闭的容器、包装袋、储罐、储库、料仓中；</w:t>
            </w:r>
          </w:p>
          <w:p>
            <w:pPr>
              <w:overflowPunct w:val="0"/>
              <w:autoSpaceDE w:val="0"/>
              <w:autoSpaceDN w:val="0"/>
              <w:bidi w:val="0"/>
              <w:adjustRightInd w:val="0"/>
              <w:snapToGrid w:val="0"/>
              <w:spacing w:line="360" w:lineRule="auto"/>
              <w:ind w:firstLine="480" w:firstLineChars="200"/>
              <w:jc w:val="both"/>
              <w:rPr>
                <w:rFonts w:hint="eastAsia" w:ascii="Times New Roman" w:hAnsi="Times New Roman" w:eastAsia="宋体" w:cs="宋体"/>
                <w:color w:val="auto"/>
                <w:lang w:val="en-US" w:eastAsia="zh-CN"/>
              </w:rPr>
            </w:pPr>
            <w:r>
              <w:rPr>
                <w:rFonts w:hint="eastAsia" w:ascii="Times New Roman" w:hAnsi="Times New Roman" w:eastAsia="宋体" w:cs="宋体"/>
                <w:lang w:val="en-US" w:eastAsia="zh-CN"/>
              </w:rPr>
              <w:t>2）</w:t>
            </w:r>
            <w:r>
              <w:rPr>
                <w:rFonts w:hint="eastAsia" w:ascii="Times New Roman" w:hAnsi="Times New Roman" w:eastAsia="宋体" w:cs="宋体"/>
                <w:color w:val="auto"/>
                <w:lang w:val="en-US" w:eastAsia="zh-CN"/>
              </w:rPr>
              <w:t>盛放VOCs物料的容器或包装袋应存放于室内，或存放于设置有雨棚、遮阳和防渗设施的专用场地。盛装VOCs物料的容器或包装袋在非取用状态时应加盖、封口，保持密闭；</w:t>
            </w:r>
          </w:p>
          <w:p>
            <w:pPr>
              <w:overflowPunct w:val="0"/>
              <w:autoSpaceDE w:val="0"/>
              <w:autoSpaceDN w:val="0"/>
              <w:bidi w:val="0"/>
              <w:adjustRightInd w:val="0"/>
              <w:snapToGrid w:val="0"/>
              <w:spacing w:line="360" w:lineRule="auto"/>
              <w:ind w:firstLine="480" w:firstLineChars="200"/>
              <w:jc w:val="both"/>
              <w:rPr>
                <w:rFonts w:hint="eastAsia" w:ascii="Times New Roman" w:hAnsi="Times New Roman" w:eastAsia="宋体" w:cs="宋体"/>
                <w:color w:val="auto"/>
                <w:lang w:val="en-US" w:eastAsia="zh-CN"/>
              </w:rPr>
            </w:pPr>
            <w:r>
              <w:rPr>
                <w:rFonts w:hint="eastAsia" w:ascii="Times New Roman" w:hAnsi="Times New Roman" w:eastAsia="宋体" w:cs="宋体"/>
                <w:lang w:val="en-US" w:eastAsia="zh-CN"/>
              </w:rPr>
              <w:t>3）</w:t>
            </w:r>
            <w:r>
              <w:rPr>
                <w:rFonts w:hint="default" w:ascii="Times New Roman" w:hAnsi="Times New Roman" w:eastAsia="宋体" w:cs="宋体"/>
                <w:color w:val="auto"/>
                <w:lang w:val="en-US" w:eastAsia="zh-CN"/>
              </w:rPr>
              <w:t>粉状、粒状VOCs物料应采用气力输送设备、管状带式输送机、螺旋输送机等密闭输送方式</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或者采用密闭的包装袋、容器或罐车进行物料转移</w:t>
            </w:r>
            <w:r>
              <w:rPr>
                <w:rFonts w:hint="eastAsia" w:ascii="Times New Roman" w:hAnsi="Times New Roman" w:eastAsia="宋体" w:cs="宋体"/>
                <w:color w:val="auto"/>
                <w:lang w:val="en-US" w:eastAsia="zh-CN"/>
              </w:rPr>
              <w:t>；VOCs物料卸（出、放）料过程应密闭，卸料废气应排至VOCs废气收集处理系统；无法密闭的，应采取局部气体收集措施，废气应排至VOCs废气收集处理系统。</w:t>
            </w:r>
          </w:p>
          <w:p>
            <w:pPr>
              <w:overflowPunct w:val="0"/>
              <w:autoSpaceDE w:val="0"/>
              <w:autoSpaceDN w:val="0"/>
              <w:bidi w:val="0"/>
              <w:adjustRightInd w:val="0"/>
              <w:snapToGrid w:val="0"/>
              <w:spacing w:line="360" w:lineRule="auto"/>
              <w:ind w:firstLine="480" w:firstLineChars="200"/>
              <w:jc w:val="both"/>
              <w:rPr>
                <w:rFonts w:hint="default" w:ascii="Times New Roman" w:hAnsi="Times New Roman" w:eastAsia="宋体" w:cs="宋体"/>
                <w:color w:val="auto"/>
                <w:lang w:val="en-US" w:eastAsia="zh-CN"/>
              </w:rPr>
            </w:pPr>
            <w:r>
              <w:rPr>
                <w:rFonts w:hint="eastAsia" w:ascii="Times New Roman" w:hAnsi="Times New Roman" w:eastAsia="宋体" w:cs="宋体"/>
                <w:lang w:val="en-US" w:eastAsia="zh-CN"/>
              </w:rPr>
              <w:t>4）</w:t>
            </w:r>
            <w:r>
              <w:rPr>
                <w:rFonts w:hint="default" w:ascii="Times New Roman" w:hAnsi="Times New Roman" w:eastAsia="宋体" w:cs="宋体"/>
                <w:color w:val="auto"/>
                <w:lang w:val="en-US" w:eastAsia="zh-CN"/>
              </w:rPr>
              <w:t>企业应建立台账，记录含VOCs原辅材料和含VOCs产品的名称、使用量、回收量、废弃量、去向以及VOCs含量等信息。台账保存期限不少于3年。</w:t>
            </w:r>
          </w:p>
          <w:p>
            <w:pPr>
              <w:overflowPunct w:val="0"/>
              <w:autoSpaceDE w:val="0"/>
              <w:autoSpaceDN w:val="0"/>
              <w:bidi w:val="0"/>
              <w:adjustRightInd w:val="0"/>
              <w:snapToGrid w:val="0"/>
              <w:spacing w:line="360" w:lineRule="auto"/>
              <w:ind w:firstLine="480" w:firstLineChars="200"/>
              <w:jc w:val="both"/>
              <w:rPr>
                <w:rFonts w:hint="default" w:ascii="Times New Roman" w:hAnsi="Times New Roman" w:eastAsia="宋体" w:cs="宋体"/>
                <w:color w:val="auto"/>
                <w:lang w:val="en-US" w:eastAsia="zh-CN"/>
              </w:rPr>
            </w:pPr>
            <w:r>
              <w:rPr>
                <w:rFonts w:hint="eastAsia" w:ascii="Times New Roman" w:hAnsi="Times New Roman" w:eastAsia="宋体" w:cs="宋体"/>
                <w:lang w:val="en-US" w:eastAsia="zh-CN"/>
              </w:rPr>
              <w:t>5）</w:t>
            </w:r>
            <w:r>
              <w:rPr>
                <w:rFonts w:hint="default" w:ascii="Times New Roman" w:hAnsi="Times New Roman" w:eastAsia="宋体" w:cs="宋体"/>
                <w:color w:val="auto"/>
                <w:lang w:val="en-US" w:eastAsia="zh-CN"/>
              </w:rPr>
              <w:t>通风生产设备、操作工位、车间厂房等应在符合安全生产、职业卫生相关规定的前提下，根据行业作业规程与标准、工业建筑及洁净厂房通风设计规范等的要求，采用合理的通风量。</w:t>
            </w:r>
          </w:p>
          <w:p>
            <w:pPr>
              <w:overflowPunct w:val="0"/>
              <w:autoSpaceDE w:val="0"/>
              <w:autoSpaceDN w:val="0"/>
              <w:bidi w:val="0"/>
              <w:adjustRightInd w:val="0"/>
              <w:snapToGrid w:val="0"/>
              <w:spacing w:line="360" w:lineRule="auto"/>
              <w:ind w:firstLine="480" w:firstLineChars="200"/>
              <w:jc w:val="both"/>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6）</w:t>
            </w:r>
            <w:r>
              <w:rPr>
                <w:rFonts w:hint="default" w:ascii="Times New Roman" w:hAnsi="Times New Roman" w:eastAsia="宋体" w:cs="宋体"/>
                <w:color w:val="auto"/>
                <w:lang w:val="en-US" w:eastAsia="zh-CN"/>
              </w:rPr>
              <w:t>载有VOCs物料的设备及其管道在开停工</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车</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、检维修和清洗时，应在退料阶段将残存物料退净，并用密闭容器盛装，退料过程废气应排至VOCs废气收集处理系统</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清洗及吹扫过程排气应排至VOCs废气收集处理系统。</w:t>
            </w:r>
          </w:p>
          <w:p>
            <w:pPr>
              <w:overflowPunct w:val="0"/>
              <w:autoSpaceDE w:val="0"/>
              <w:autoSpaceDN w:val="0"/>
              <w:bidi w:val="0"/>
              <w:adjustRightInd w:val="0"/>
              <w:snapToGrid w:val="0"/>
              <w:spacing w:line="360" w:lineRule="auto"/>
              <w:ind w:firstLine="480" w:firstLineChars="200"/>
              <w:jc w:val="both"/>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7）</w:t>
            </w:r>
            <w:r>
              <w:rPr>
                <w:rFonts w:hint="default" w:ascii="Times New Roman" w:hAnsi="Times New Roman" w:eastAsia="宋体" w:cs="宋体"/>
                <w:color w:val="auto"/>
                <w:lang w:val="en-US" w:eastAsia="zh-CN"/>
              </w:rPr>
              <w:t>VOCs废气收集处理系统应与生产工艺设备同步运行。VOCs废气收集处理系统发生故障或检修时，对应的生产工艺设备应停止运行，待检修完毕后同步投入使用</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生产工艺设备不能停止运行或不能及时停止运行的，应设置废气应急处理设施或采取其他替代措施。</w:t>
            </w:r>
          </w:p>
          <w:p>
            <w:pPr>
              <w:overflowPunct w:val="0"/>
              <w:autoSpaceDE w:val="0"/>
              <w:autoSpaceDN w:val="0"/>
              <w:bidi w:val="0"/>
              <w:adjustRightInd w:val="0"/>
              <w:snapToGrid w:val="0"/>
              <w:spacing w:line="360" w:lineRule="auto"/>
              <w:ind w:firstLine="480" w:firstLineChars="200"/>
              <w:jc w:val="both"/>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8）</w:t>
            </w:r>
            <w:r>
              <w:rPr>
                <w:rFonts w:hint="default" w:ascii="Times New Roman" w:hAnsi="Times New Roman" w:eastAsia="宋体" w:cs="宋体"/>
                <w:color w:val="auto"/>
                <w:lang w:val="en-US" w:eastAsia="zh-CN"/>
              </w:rPr>
              <w:t>企业应考虑生产工艺、操作方式、废气性质、处理方法等因素，对VOCs废气进行分类收集。</w:t>
            </w:r>
          </w:p>
          <w:p>
            <w:pPr>
              <w:overflowPunct w:val="0"/>
              <w:autoSpaceDE w:val="0"/>
              <w:autoSpaceDN w:val="0"/>
              <w:bidi w:val="0"/>
              <w:adjustRightInd w:val="0"/>
              <w:snapToGrid w:val="0"/>
              <w:spacing w:line="360" w:lineRule="auto"/>
              <w:ind w:firstLine="480" w:firstLineChars="200"/>
              <w:jc w:val="both"/>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9）</w:t>
            </w:r>
            <w:r>
              <w:rPr>
                <w:rFonts w:hint="default" w:ascii="Times New Roman" w:hAnsi="Times New Roman" w:eastAsia="宋体" w:cs="宋体"/>
                <w:color w:val="auto"/>
                <w:lang w:val="en-US" w:eastAsia="zh-CN"/>
              </w:rPr>
              <w:t>废气收集系统排风罩（集气罩）的设置应符合GB/T16758的规定。采用外部排风罩的，应按GB/T16758、AQ/T4274</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2016规定的方法测量控制风速，测量点应选取在距排风罩开口面最远处的VOCs无组织排放位置，控制风速不应低于0.3m</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s</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行业相关规范有具体规定的，按相关规定执行</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w:t>
            </w:r>
          </w:p>
          <w:p>
            <w:pPr>
              <w:overflowPunct w:val="0"/>
              <w:autoSpaceDE w:val="0"/>
              <w:autoSpaceDN w:val="0"/>
              <w:bidi w:val="0"/>
              <w:adjustRightInd w:val="0"/>
              <w:snapToGrid w:val="0"/>
              <w:spacing w:line="360" w:lineRule="auto"/>
              <w:ind w:firstLine="480" w:firstLineChars="200"/>
              <w:jc w:val="both"/>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10）</w:t>
            </w:r>
            <w:r>
              <w:rPr>
                <w:rFonts w:hint="default" w:ascii="Times New Roman" w:hAnsi="Times New Roman" w:eastAsia="宋体" w:cs="宋体"/>
                <w:color w:val="auto"/>
                <w:lang w:val="en-US" w:eastAsia="zh-CN"/>
              </w:rPr>
              <w:t>废气收集系统的输送管道应密闭。废气收集系统应在负压下运行，若处于正压状态，应对输送管道组件的密封点进行泄漏检测，泄漏检测值不应超过500umol</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mol，亦不应有感官可察觉泄漏。泄漏检测频次、修复与记录的要求规定执行。</w:t>
            </w:r>
          </w:p>
          <w:p>
            <w:pPr>
              <w:overflowPunct w:val="0"/>
              <w:autoSpaceDE w:val="0"/>
              <w:autoSpaceDN w:val="0"/>
              <w:bidi w:val="0"/>
              <w:adjustRightInd w:val="0"/>
              <w:snapToGrid w:val="0"/>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11）</w:t>
            </w:r>
            <w:r>
              <w:rPr>
                <w:rFonts w:hint="default" w:ascii="Times New Roman" w:hAnsi="Times New Roman" w:eastAsia="宋体" w:cs="宋体"/>
                <w:color w:val="auto"/>
                <w:lang w:val="en-US" w:eastAsia="zh-CN"/>
              </w:rPr>
              <w:t>VOCs废气收集处理系统污染物排放应符合GB16297或相关行业排放标准的规定。</w:t>
            </w:r>
          </w:p>
          <w:p>
            <w:pPr>
              <w:overflowPunct w:val="0"/>
              <w:autoSpaceDE w:val="0"/>
              <w:autoSpaceDN w:val="0"/>
              <w:bidi w:val="0"/>
              <w:adjustRightInd w:val="0"/>
              <w:snapToGrid w:val="0"/>
              <w:spacing w:before="0" w:after="0" w:line="360" w:lineRule="auto"/>
              <w:ind w:left="0" w:right="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本项目聚乙烯、聚氯乙烯以及低烟无卤阻燃聚烯烃电缆料等</w:t>
            </w:r>
            <w:r>
              <w:rPr>
                <w:rFonts w:hint="default" w:ascii="Times New Roman" w:hAnsi="Times New Roman" w:eastAsia="宋体" w:cs="宋体"/>
                <w:color w:val="auto"/>
                <w:lang w:val="en-US" w:eastAsia="zh-CN"/>
              </w:rPr>
              <w:t>VOCs物料</w:t>
            </w:r>
            <w:r>
              <w:rPr>
                <w:rFonts w:hint="eastAsia" w:ascii="Times New Roman" w:hAnsi="Times New Roman" w:eastAsia="宋体" w:cs="宋体"/>
                <w:lang w:val="en-US" w:eastAsia="zh-CN"/>
              </w:rPr>
              <w:t>均为袋装，油墨为密封盒装，均贮存于项目区生产车间的原料贮存区内，封闭式控制，生产环节保持封闭式作业，在产生非甲烷总烃工段均设置集气罩收集后经活性炭吸附+脱附+催化燃烧装置处理后满足《合成树脂工业污染物排放标准》（GB31572-2015）（含2024年修改单）</w:t>
            </w:r>
            <w:r>
              <w:rPr>
                <w:rFonts w:hint="eastAsia" w:ascii="Times New Roman" w:hAnsi="Times New Roman" w:eastAsia="宋体" w:cs="宋体"/>
              </w:rPr>
              <w:t>排放限值</w:t>
            </w:r>
            <w:r>
              <w:rPr>
                <w:rFonts w:hint="eastAsia" w:ascii="Times New Roman" w:hAnsi="Times New Roman" w:eastAsia="宋体" w:cs="宋体"/>
                <w:lang w:eastAsia="zh-CN"/>
              </w:rPr>
              <w:t>，</w:t>
            </w:r>
            <w:r>
              <w:rPr>
                <w:rFonts w:hint="eastAsia" w:ascii="Times New Roman" w:hAnsi="Times New Roman" w:eastAsia="宋体" w:cs="宋体"/>
                <w:lang w:val="en-US" w:eastAsia="zh-CN"/>
              </w:rPr>
              <w:t xml:space="preserve">由20m排气筒排放。 </w:t>
            </w:r>
          </w:p>
          <w:p>
            <w:pPr>
              <w:overflowPunct w:val="0"/>
              <w:autoSpaceDE w:val="0"/>
              <w:autoSpaceDN w:val="0"/>
              <w:bidi w:val="0"/>
              <w:adjustRightInd w:val="0"/>
              <w:snapToGrid w:val="0"/>
              <w:spacing w:before="0" w:after="0" w:line="360" w:lineRule="auto"/>
              <w:ind w:left="0" w:right="0" w:firstLine="480" w:firstLineChars="200"/>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生产车间各生产工段均位于封闭车间内，车间屋面现浇，四周墙壁、门窗密闭性好，VOCs产生源设置在密闭车间内，所有开口处，包括人员或物料进出口处呈正压，且无明显泄漏点</w:t>
            </w:r>
            <w:r>
              <w:rPr>
                <w:rFonts w:hint="eastAsia" w:ascii="Times New Roman" w:hAnsi="Times New Roman" w:eastAsia="宋体" w:cs="Times New Roman"/>
                <w:snapToGrid w:val="0"/>
                <w:color w:val="000000"/>
                <w:sz w:val="24"/>
                <w:szCs w:val="24"/>
                <w:highlight w:val="none"/>
                <w:lang w:val="en-US" w:eastAsia="zh-CN" w:bidi="ar-SA"/>
              </w:rPr>
              <w:t>，</w:t>
            </w:r>
            <w:r>
              <w:rPr>
                <w:rFonts w:hint="eastAsia" w:ascii="Times New Roman" w:hAnsi="Times New Roman" w:eastAsia="宋体" w:cs="宋体"/>
                <w:lang w:val="en-US" w:eastAsia="zh-CN"/>
              </w:rPr>
              <w:t>以上措施控制下，能确保生产车间有机废气收集效率</w:t>
            </w:r>
            <w:r>
              <w:rPr>
                <w:rFonts w:hint="eastAsia" w:ascii="Times New Roman" w:hAnsi="Times New Roman" w:eastAsia="宋体" w:cs="Times New Roman"/>
                <w:kern w:val="2"/>
                <w:szCs w:val="24"/>
                <w:lang w:val="en-US" w:eastAsia="zh-CN"/>
              </w:rPr>
              <w:t>达到</w:t>
            </w:r>
            <w:r>
              <w:rPr>
                <w:rFonts w:hint="eastAsia" w:ascii="Times New Roman" w:hAnsi="Times New Roman" w:eastAsia="宋体" w:cs="Times New Roman"/>
                <w:snapToGrid w:val="0"/>
                <w:color w:val="000000"/>
                <w:sz w:val="24"/>
                <w:szCs w:val="24"/>
                <w:highlight w:val="none"/>
                <w:lang w:val="en-US" w:eastAsia="zh-CN" w:bidi="ar-SA"/>
              </w:rPr>
              <w:t>80</w:t>
            </w:r>
            <w:r>
              <w:rPr>
                <w:rFonts w:hint="default" w:ascii="Times New Roman" w:hAnsi="Times New Roman" w:eastAsia="宋体" w:cs="Times New Roman"/>
                <w:snapToGrid w:val="0"/>
                <w:color w:val="000000"/>
                <w:sz w:val="24"/>
                <w:szCs w:val="24"/>
                <w:highlight w:val="none"/>
                <w:lang w:val="en-US" w:eastAsia="zh-CN" w:bidi="ar-SA"/>
              </w:rPr>
              <w:t>%</w:t>
            </w:r>
            <w:r>
              <w:rPr>
                <w:rFonts w:hint="eastAsia" w:ascii="Times New Roman" w:hAnsi="Times New Roman" w:eastAsia="宋体" w:cs="Times New Roman"/>
                <w:kern w:val="2"/>
                <w:szCs w:val="24"/>
                <w:lang w:val="en-US" w:eastAsia="zh-CN"/>
              </w:rPr>
              <w:t>。</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4</w:t>
            </w: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color w:val="000000"/>
                <w:kern w:val="2"/>
                <w:sz w:val="24"/>
                <w:szCs w:val="24"/>
                <w:highlight w:val="none"/>
                <w:lang w:val="en-US" w:eastAsia="zh-CN" w:bidi="ar-SA"/>
              </w:rPr>
              <w:t>环境影响分析</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根据《建设项目环境影响报告表编制技术指南（污染影响类）（试行）》要求“结合建设项目所在区域环境质量现状、环境保护目标、项目采取的污染治理措施及污染物排放强度、排放方式，定性分析废气排放的环境影响”。因此本次环评环境影响分析进行定性分析。</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本项目位于</w:t>
            </w:r>
            <w:r>
              <w:rPr>
                <w:rFonts w:hint="default" w:ascii="Times New Roman" w:hAnsi="Times New Roman" w:eastAsia="宋体" w:cs="Times New Roman"/>
                <w:lang w:val="en-US" w:eastAsia="zh-CN"/>
              </w:rPr>
              <w:t>苏通小微创业园</w:t>
            </w:r>
            <w:r>
              <w:rPr>
                <w:rFonts w:hint="eastAsia" w:ascii="Times New Roman" w:hAnsi="Times New Roman" w:eastAsia="宋体" w:cs="Times New Roman"/>
                <w:b w:val="0"/>
                <w:bCs w:val="0"/>
                <w:color w:val="000000"/>
                <w:kern w:val="2"/>
                <w:sz w:val="24"/>
                <w:szCs w:val="20"/>
                <w:highlight w:val="none"/>
                <w:lang w:val="en-US" w:eastAsia="zh-CN"/>
              </w:rPr>
              <w:t>，</w:t>
            </w:r>
            <w:r>
              <w:rPr>
                <w:rFonts w:hint="default" w:ascii="Times New Roman" w:hAnsi="Times New Roman" w:eastAsia="宋体" w:cs="Times New Roman"/>
                <w:b w:val="0"/>
                <w:bCs w:val="0"/>
                <w:color w:val="000000"/>
                <w:kern w:val="2"/>
                <w:sz w:val="24"/>
                <w:szCs w:val="24"/>
                <w:highlight w:val="none"/>
                <w:lang w:val="en-US" w:eastAsia="zh-CN"/>
              </w:rPr>
              <w:t>项目区</w:t>
            </w:r>
            <w:r>
              <w:rPr>
                <w:rFonts w:hint="default" w:ascii="Times New Roman" w:hAnsi="Times New Roman" w:eastAsia="宋体" w:cs="Times New Roman"/>
                <w:b w:val="0"/>
                <w:bCs w:val="0"/>
                <w:color w:val="000000"/>
                <w:kern w:val="2"/>
                <w:sz w:val="24"/>
                <w:szCs w:val="24"/>
                <w:highlight w:val="none"/>
              </w:rPr>
              <w:t>所在区域</w:t>
            </w:r>
            <w:r>
              <w:rPr>
                <w:rFonts w:hint="eastAsia" w:ascii="Times New Roman" w:hAnsi="Times New Roman" w:eastAsia="宋体" w:cs="Times New Roman"/>
                <w:b w:val="0"/>
                <w:bCs w:val="0"/>
                <w:color w:val="000000"/>
                <w:kern w:val="2"/>
                <w:sz w:val="24"/>
                <w:szCs w:val="24"/>
                <w:highlight w:val="none"/>
                <w:lang w:val="en-US" w:eastAsia="zh-CN"/>
              </w:rPr>
              <w:t>属于非达标区。</w:t>
            </w:r>
            <w:r>
              <w:rPr>
                <w:rFonts w:hint="eastAsia" w:ascii="Times New Roman" w:hAnsi="Times New Roman" w:eastAsia="宋体" w:cs="Times New Roman"/>
                <w:color w:val="000000"/>
                <w:kern w:val="2"/>
                <w:sz w:val="24"/>
                <w:szCs w:val="24"/>
                <w:highlight w:val="none"/>
                <w:lang w:val="en-US" w:eastAsia="zh-CN"/>
              </w:rPr>
              <w:t>本项目</w:t>
            </w:r>
            <w:r>
              <w:rPr>
                <w:rFonts w:hint="eastAsia" w:ascii="Times New Roman" w:hAnsi="Times New Roman" w:eastAsia="宋体" w:cs="Times New Roman"/>
                <w:color w:val="000000"/>
                <w:kern w:val="2"/>
                <w:sz w:val="24"/>
                <w:szCs w:val="20"/>
                <w:highlight w:val="none"/>
                <w:lang w:val="en-US" w:eastAsia="zh-CN"/>
              </w:rPr>
              <w:t>厂界外500米范围内无自然保护区、风景名胜区、文化区，不存在环境空气保护目标。</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kern w:val="2"/>
                <w:sz w:val="24"/>
                <w:szCs w:val="20"/>
                <w:highlight w:val="none"/>
                <w:lang w:val="en-US" w:eastAsia="zh-CN"/>
              </w:rPr>
              <w:t>本次环评提出</w:t>
            </w:r>
            <w:r>
              <w:rPr>
                <w:rFonts w:hint="eastAsia" w:cs="Times New Roman"/>
                <w:color w:val="000000"/>
                <w:kern w:val="2"/>
                <w:sz w:val="24"/>
                <w:szCs w:val="20"/>
                <w:highlight w:val="none"/>
                <w:lang w:val="en-US" w:eastAsia="zh-CN"/>
              </w:rPr>
              <w:t>拉丝、</w:t>
            </w:r>
            <w:r>
              <w:rPr>
                <w:rFonts w:hint="eastAsia" w:ascii="Times New Roman" w:hAnsi="Times New Roman" w:eastAsia="宋体" w:cs="Times New Roman"/>
                <w:color w:val="000000"/>
                <w:kern w:val="2"/>
                <w:sz w:val="24"/>
                <w:szCs w:val="20"/>
                <w:highlight w:val="none"/>
                <w:lang w:val="en-US" w:eastAsia="zh-CN"/>
              </w:rPr>
              <w:t>挤塑</w:t>
            </w:r>
            <w:r>
              <w:rPr>
                <w:rFonts w:hint="eastAsia" w:cs="Times New Roman"/>
                <w:color w:val="000000"/>
                <w:kern w:val="2"/>
                <w:sz w:val="24"/>
                <w:szCs w:val="20"/>
                <w:highlight w:val="none"/>
                <w:lang w:val="en-US" w:eastAsia="zh-CN"/>
              </w:rPr>
              <w:t>、</w:t>
            </w:r>
            <w:r>
              <w:rPr>
                <w:rFonts w:hint="eastAsia" w:cs="宋体"/>
                <w:lang w:val="en-US" w:eastAsia="zh-CN"/>
              </w:rPr>
              <w:t>紫外光交联</w:t>
            </w:r>
            <w:r>
              <w:rPr>
                <w:rFonts w:hint="eastAsia" w:ascii="Times New Roman" w:hAnsi="Times New Roman" w:eastAsia="宋体" w:cs="Times New Roman"/>
                <w:color w:val="000000"/>
                <w:kern w:val="2"/>
                <w:sz w:val="24"/>
                <w:szCs w:val="20"/>
                <w:highlight w:val="none"/>
                <w:lang w:val="en-US" w:eastAsia="zh-CN"/>
              </w:rPr>
              <w:t>、挤护外套、喷码工段废气污染物非甲烷总烃以及</w:t>
            </w:r>
            <w:r>
              <w:rPr>
                <w:rFonts w:hint="eastAsia" w:cs="Times New Roman"/>
                <w:color w:val="000000"/>
                <w:kern w:val="2"/>
                <w:sz w:val="24"/>
                <w:szCs w:val="20"/>
                <w:highlight w:val="none"/>
                <w:lang w:val="en-US" w:eastAsia="zh-CN"/>
              </w:rPr>
              <w:t>挤塑、</w:t>
            </w:r>
            <w:r>
              <w:rPr>
                <w:rFonts w:hint="eastAsia" w:ascii="Times New Roman" w:hAnsi="Times New Roman" w:eastAsia="宋体" w:cs="Times New Roman"/>
                <w:color w:val="000000"/>
                <w:kern w:val="2"/>
                <w:sz w:val="24"/>
                <w:szCs w:val="20"/>
                <w:highlight w:val="none"/>
                <w:lang w:val="en-US" w:eastAsia="zh-CN"/>
              </w:rPr>
              <w:t>挤护外套工段氯化氢集中收集后共同经一套</w:t>
            </w:r>
            <w:r>
              <w:rPr>
                <w:rFonts w:hint="eastAsia" w:cs="Times New Roman"/>
                <w:color w:val="000000"/>
                <w:kern w:val="2"/>
                <w:sz w:val="24"/>
                <w:szCs w:val="20"/>
                <w:highlight w:val="none"/>
                <w:lang w:val="en-US" w:eastAsia="zh-CN"/>
              </w:rPr>
              <w:t>水洗填料塔+活性炭吸附+脱附+催化燃烧装置+20m排气筒</w:t>
            </w:r>
            <w:r>
              <w:rPr>
                <w:rFonts w:hint="eastAsia" w:ascii="Times New Roman" w:hAnsi="Times New Roman" w:eastAsia="宋体" w:cs="宋体"/>
                <w:color w:val="auto"/>
                <w:highlight w:val="none"/>
                <w:lang w:val="en-US" w:eastAsia="zh-CN"/>
              </w:rPr>
              <w:t>，</w:t>
            </w:r>
            <w:r>
              <w:rPr>
                <w:rFonts w:hint="eastAsia" w:ascii="Times New Roman" w:hAnsi="Times New Roman" w:eastAsia="宋体" w:cs="宋体"/>
                <w:lang w:val="en-US" w:eastAsia="zh-CN"/>
              </w:rPr>
              <w:t>处理后非甲烷总烃满足《合成树脂工业污染物排放标准》（GB31572-2015）（含2024年修改单）后排放，氯化氢满足《大气污染物综合排放标准》（GB 16297-1996）表2 新污染源大气污染物排放限值</w:t>
            </w:r>
            <w:r>
              <w:rPr>
                <w:rFonts w:hint="eastAsia" w:ascii="Times New Roman" w:hAnsi="Times New Roman" w:eastAsia="宋体" w:cs="Times New Roman"/>
                <w:color w:val="000000"/>
                <w:sz w:val="24"/>
                <w:szCs w:val="24"/>
                <w:lang w:val="en-US" w:eastAsia="zh-CN" w:bidi="ar-SA"/>
              </w:rPr>
              <w:t>。</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本项目生产车间少量无组织非甲烷总烃、氯化氢通过封闭式作业进行控制</w:t>
            </w:r>
            <w:r>
              <w:rPr>
                <w:rFonts w:hint="eastAsia" w:cs="Times New Roman"/>
                <w:color w:val="000000"/>
                <w:kern w:val="0"/>
                <w:sz w:val="24"/>
                <w:szCs w:val="24"/>
                <w:lang w:val="en-US" w:eastAsia="zh-CN" w:bidi="ar"/>
              </w:rPr>
              <w:t>，颗粒物设置移动式焊烟净化器控制</w:t>
            </w:r>
            <w:r>
              <w:rPr>
                <w:rFonts w:hint="eastAsia" w:ascii="Times New Roman" w:hAnsi="Times New Roman" w:eastAsia="宋体" w:cs="Times New Roman"/>
                <w:color w:val="000000"/>
                <w:kern w:val="0"/>
                <w:sz w:val="24"/>
                <w:szCs w:val="24"/>
                <w:lang w:val="en-US" w:eastAsia="zh-CN" w:bidi="ar"/>
              </w:rPr>
              <w:t>，根据估算结果，</w:t>
            </w:r>
            <w:r>
              <w:rPr>
                <w:rFonts w:hint="eastAsia" w:ascii="Times New Roman" w:hAnsi="Times New Roman" w:eastAsia="宋体" w:cs="Times New Roman"/>
                <w:b w:val="0"/>
                <w:bCs w:val="0"/>
                <w:i w:val="0"/>
                <w:iCs w:val="0"/>
                <w:color w:val="000000"/>
                <w:kern w:val="0"/>
                <w:sz w:val="24"/>
                <w:szCs w:val="24"/>
                <w:lang w:val="en-US" w:eastAsia="zh-CN" w:bidi="ar"/>
              </w:rPr>
              <w:t>本</w:t>
            </w:r>
            <w:r>
              <w:rPr>
                <w:rFonts w:hint="eastAsia" w:cs="Times New Roman"/>
                <w:b w:val="0"/>
                <w:bCs w:val="0"/>
                <w:i w:val="0"/>
                <w:iCs w:val="0"/>
                <w:color w:val="000000"/>
                <w:kern w:val="0"/>
                <w:sz w:val="24"/>
                <w:szCs w:val="24"/>
                <w:lang w:val="en-US" w:eastAsia="zh-CN" w:bidi="ar"/>
              </w:rPr>
              <w:t>项目厂界</w:t>
            </w:r>
            <w:r>
              <w:rPr>
                <w:rFonts w:hint="eastAsia" w:ascii="Times New Roman" w:hAnsi="Times New Roman" w:eastAsia="宋体" w:cs="Times New Roman"/>
                <w:color w:val="000000"/>
                <w:kern w:val="0"/>
                <w:sz w:val="24"/>
                <w:szCs w:val="24"/>
                <w:lang w:val="en-US" w:eastAsia="zh-CN" w:bidi="ar"/>
              </w:rPr>
              <w:t>非甲烷总烃无组织最大质量浓度为73.35007</w:t>
            </w:r>
            <w:r>
              <w:rPr>
                <w:rFonts w:hint="default" w:ascii="Times New Roman" w:hAnsi="Times New Roman" w:eastAsia="宋体" w:cs="Times New Roman"/>
                <w:color w:val="000000"/>
                <w:kern w:val="0"/>
                <w:sz w:val="24"/>
                <w:szCs w:val="24"/>
                <w:highlight w:val="none"/>
                <w:lang w:val="en-US" w:eastAsia="zh-CN" w:bidi="ar"/>
              </w:rPr>
              <w:t>μg/m</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eastAsia" w:ascii="Times New Roman" w:hAnsi="Times New Roman" w:eastAsia="宋体" w:cs="Times New Roman"/>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lang w:val="en-US" w:eastAsia="zh-CN" w:bidi="ar"/>
              </w:rPr>
              <w:t>满足</w:t>
            </w:r>
            <w:r>
              <w:rPr>
                <w:rFonts w:hint="eastAsia" w:ascii="Times New Roman" w:hAnsi="Times New Roman" w:eastAsia="宋体" w:cs="宋体"/>
                <w:lang w:val="en-US" w:eastAsia="zh-CN"/>
              </w:rPr>
              <w:t>《合成树脂工业污染物排放标准》（GB31572-2015）（含2024年修改单）</w:t>
            </w:r>
            <w:r>
              <w:rPr>
                <w:rFonts w:hint="eastAsia" w:ascii="Times New Roman" w:hAnsi="Times New Roman" w:eastAsia="宋体" w:cs="Times New Roman"/>
                <w:color w:val="000000"/>
                <w:kern w:val="0"/>
                <w:sz w:val="24"/>
                <w:szCs w:val="24"/>
                <w:lang w:val="en-US" w:eastAsia="zh-CN" w:bidi="ar"/>
              </w:rPr>
              <w:t>企业边界浓度限值</w:t>
            </w:r>
            <w:r>
              <w:rPr>
                <w:rFonts w:hint="eastAsia" w:ascii="Times New Roman" w:hAnsi="Times New Roman" w:eastAsia="宋体" w:cs="宋体"/>
                <w:color w:val="000000"/>
                <w:vertAlign w:val="baseline"/>
                <w:lang w:val="en-US" w:eastAsia="zh-CN"/>
              </w:rPr>
              <w:t>（非甲烷总烃4mg/m</w:t>
            </w:r>
            <w:r>
              <w:rPr>
                <w:rFonts w:hint="eastAsia" w:ascii="Times New Roman" w:hAnsi="Times New Roman" w:eastAsia="宋体" w:cs="宋体"/>
                <w:color w:val="000000"/>
                <w:vertAlign w:val="superscript"/>
                <w:lang w:val="en-US" w:eastAsia="zh-CN"/>
              </w:rPr>
              <w:t>3</w:t>
            </w:r>
            <w:r>
              <w:rPr>
                <w:rFonts w:hint="eastAsia" w:ascii="Times New Roman" w:hAnsi="Times New Roman" w:eastAsia="宋体" w:cs="宋体"/>
                <w:color w:val="000000"/>
                <w:vertAlign w:val="baseline"/>
                <w:lang w:val="en-US" w:eastAsia="zh-CN"/>
              </w:rPr>
              <w:t>）；</w:t>
            </w:r>
            <w:r>
              <w:rPr>
                <w:rFonts w:hint="eastAsia" w:ascii="Times New Roman" w:hAnsi="Times New Roman" w:eastAsia="宋体" w:cs="Times New Roman"/>
                <w:color w:val="000000"/>
                <w:kern w:val="0"/>
                <w:sz w:val="24"/>
                <w:szCs w:val="24"/>
                <w:lang w:val="en-US" w:eastAsia="zh-CN" w:bidi="ar"/>
              </w:rPr>
              <w:t>厂区内非甲烷总烃</w:t>
            </w:r>
            <w:r>
              <w:rPr>
                <w:rFonts w:hint="eastAsia" w:ascii="Times New Roman" w:hAnsi="Times New Roman" w:eastAsia="宋体" w:cs="宋体"/>
                <w:color w:val="000000"/>
                <w:vertAlign w:val="baseline"/>
                <w:lang w:val="en-US" w:eastAsia="zh-CN"/>
              </w:rPr>
              <w:t>《挥发性有机物无组织排放控制标准》（GB37822-2019）特别排放限值（6mg/m</w:t>
            </w:r>
            <w:r>
              <w:rPr>
                <w:rFonts w:hint="eastAsia" w:ascii="Times New Roman" w:hAnsi="Times New Roman" w:eastAsia="宋体" w:cs="宋体"/>
                <w:color w:val="000000"/>
                <w:vertAlign w:val="superscript"/>
                <w:lang w:val="en-US" w:eastAsia="zh-CN"/>
              </w:rPr>
              <w:t>3</w:t>
            </w:r>
            <w:r>
              <w:rPr>
                <w:rFonts w:hint="eastAsia" w:ascii="Times New Roman" w:hAnsi="Times New Roman" w:eastAsia="宋体" w:cs="宋体"/>
                <w:color w:val="000000"/>
                <w:vertAlign w:val="baseline"/>
                <w:lang w:val="en-US" w:eastAsia="zh-CN"/>
              </w:rPr>
              <w:t>监控点处1 h平均浓度值，20mg/m</w:t>
            </w:r>
            <w:r>
              <w:rPr>
                <w:rFonts w:hint="eastAsia" w:ascii="Times New Roman" w:hAnsi="Times New Roman" w:eastAsia="宋体" w:cs="宋体"/>
                <w:color w:val="000000"/>
                <w:vertAlign w:val="superscript"/>
                <w:lang w:val="en-US" w:eastAsia="zh-CN"/>
              </w:rPr>
              <w:t>3</w:t>
            </w:r>
            <w:r>
              <w:rPr>
                <w:rFonts w:hint="eastAsia" w:ascii="Times New Roman" w:hAnsi="Times New Roman" w:eastAsia="宋体" w:cs="宋体"/>
                <w:color w:val="000000"/>
                <w:vertAlign w:val="baseline"/>
                <w:lang w:val="en-US" w:eastAsia="zh-CN"/>
              </w:rPr>
              <w:t>监控点处任意一次浓度值）。</w:t>
            </w:r>
            <w:r>
              <w:rPr>
                <w:rFonts w:hint="eastAsia" w:ascii="Times New Roman" w:hAnsi="Times New Roman" w:eastAsia="宋体" w:cs="Times New Roman"/>
                <w:color w:val="000000"/>
                <w:kern w:val="0"/>
                <w:sz w:val="24"/>
                <w:szCs w:val="24"/>
                <w:lang w:val="en-US" w:eastAsia="zh-CN" w:bidi="ar"/>
              </w:rPr>
              <w:t>氯化氢无组织最大质量浓度为0.000338</w:t>
            </w:r>
            <w:r>
              <w:rPr>
                <w:rFonts w:hint="default" w:ascii="Times New Roman" w:hAnsi="Times New Roman" w:eastAsia="宋体" w:cs="Times New Roman"/>
                <w:color w:val="000000"/>
                <w:kern w:val="0"/>
                <w:sz w:val="24"/>
                <w:szCs w:val="24"/>
                <w:highlight w:val="none"/>
                <w:lang w:val="en-US" w:eastAsia="zh-CN" w:bidi="ar"/>
              </w:rPr>
              <w:t>μg/m</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颗粒物</w:t>
            </w:r>
            <w:r>
              <w:rPr>
                <w:rFonts w:hint="eastAsia" w:ascii="Times New Roman" w:hAnsi="Times New Roman" w:eastAsia="宋体" w:cs="Times New Roman"/>
                <w:color w:val="000000"/>
                <w:kern w:val="0"/>
                <w:sz w:val="24"/>
                <w:szCs w:val="24"/>
                <w:lang w:val="en-US" w:eastAsia="zh-CN" w:bidi="ar"/>
              </w:rPr>
              <w:t>无组织最大质量浓度为0.040469</w:t>
            </w:r>
            <w:r>
              <w:rPr>
                <w:rFonts w:hint="default" w:ascii="Times New Roman" w:hAnsi="Times New Roman" w:eastAsia="宋体" w:cs="Times New Roman"/>
                <w:color w:val="000000"/>
                <w:kern w:val="0"/>
                <w:sz w:val="24"/>
                <w:szCs w:val="24"/>
                <w:highlight w:val="none"/>
                <w:lang w:val="en-US" w:eastAsia="zh-CN" w:bidi="ar"/>
              </w:rPr>
              <w:t>μg/m</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满足《大气污染物综合排放标准》（GB 16297-1996）表2 新污染源大气污染物排放限值（</w:t>
            </w:r>
            <w:r>
              <w:rPr>
                <w:rFonts w:hint="eastAsia" w:cs="Times New Roman"/>
                <w:color w:val="000000"/>
                <w:kern w:val="0"/>
                <w:sz w:val="24"/>
                <w:szCs w:val="24"/>
                <w:lang w:val="en-US" w:eastAsia="zh-CN" w:bidi="ar"/>
              </w:rPr>
              <w:t>氯化氢</w:t>
            </w:r>
            <w:r>
              <w:rPr>
                <w:rFonts w:hint="eastAsia" w:ascii="Times New Roman" w:hAnsi="Times New Roman" w:eastAsia="宋体" w:cs="Times New Roman"/>
                <w:color w:val="000000"/>
                <w:kern w:val="0"/>
                <w:sz w:val="24"/>
                <w:szCs w:val="24"/>
                <w:lang w:val="en-US" w:eastAsia="zh-CN" w:bidi="ar"/>
              </w:rPr>
              <w:t>0.2</w:t>
            </w:r>
            <w:r>
              <w:rPr>
                <w:rFonts w:hint="eastAsia" w:ascii="Times New Roman" w:hAnsi="Times New Roman" w:eastAsia="宋体" w:cs="宋体"/>
                <w:color w:val="000000"/>
                <w:vertAlign w:val="baseline"/>
                <w:lang w:val="en-US" w:eastAsia="zh-CN"/>
              </w:rPr>
              <w:t>mg/m</w:t>
            </w:r>
            <w:r>
              <w:rPr>
                <w:rFonts w:hint="eastAsia" w:ascii="Times New Roman" w:hAnsi="Times New Roman" w:eastAsia="宋体" w:cs="宋体"/>
                <w:color w:val="000000"/>
                <w:vertAlign w:val="superscript"/>
                <w:lang w:val="en-US" w:eastAsia="zh-CN"/>
              </w:rPr>
              <w:t>3</w:t>
            </w:r>
            <w:r>
              <w:rPr>
                <w:rFonts w:hint="eastAsia" w:ascii="Times New Roman" w:hAnsi="Times New Roman" w:eastAsia="宋体" w:cs="宋体"/>
                <w:color w:val="000000"/>
                <w:vertAlign w:val="baseline"/>
                <w:lang w:val="en-US" w:eastAsia="zh-CN"/>
              </w:rPr>
              <w:t>，颗粒物1.0mg/m</w:t>
            </w:r>
            <w:r>
              <w:rPr>
                <w:rFonts w:hint="eastAsia" w:ascii="Times New Roman" w:hAnsi="Times New Roman" w:eastAsia="宋体" w:cs="宋体"/>
                <w:color w:val="000000"/>
                <w:vertAlign w:val="superscript"/>
                <w:lang w:val="en-US" w:eastAsia="zh-CN"/>
              </w:rPr>
              <w:t>3</w:t>
            </w:r>
            <w:r>
              <w:rPr>
                <w:rFonts w:hint="eastAsia" w:ascii="Times New Roman" w:hAnsi="Times New Roman" w:eastAsia="宋体" w:cs="Times New Roman"/>
                <w:color w:val="000000"/>
                <w:kern w:val="0"/>
                <w:sz w:val="24"/>
                <w:szCs w:val="24"/>
                <w:lang w:val="en-US" w:eastAsia="zh-CN" w:bidi="ar"/>
              </w:rPr>
              <w:t>）。</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5</w:t>
            </w: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排气筒高度合理性分析</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根据《大气污染物综合排放标准》（GB16297-1996），排气筒高度除须遵守表列排放速率标准值外，还应高出周围200米半径范围的建筑5米以上，不能达到该要求的排气筒，应按其高度对应的表列排放速率标准值严格50%执行。</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本项目200m范围内最高建筑为本项目办公生活楼，建筑均高为</w:t>
            </w:r>
            <w:r>
              <w:rPr>
                <w:rFonts w:hint="eastAsia" w:cs="宋体"/>
                <w:color w:val="auto"/>
                <w:kern w:val="0"/>
                <w:sz w:val="24"/>
                <w:szCs w:val="24"/>
                <w:highlight w:val="none"/>
                <w:lang w:val="en-US" w:eastAsia="zh-CN" w:bidi="ar"/>
              </w:rPr>
              <w:t>15</w:t>
            </w:r>
            <w:r>
              <w:rPr>
                <w:rFonts w:hint="eastAsia" w:ascii="Times New Roman" w:hAnsi="Times New Roman" w:eastAsia="宋体" w:cs="宋体"/>
                <w:color w:val="auto"/>
                <w:kern w:val="0"/>
                <w:sz w:val="24"/>
                <w:szCs w:val="24"/>
                <w:highlight w:val="none"/>
                <w:lang w:val="en-US" w:eastAsia="zh-CN" w:bidi="ar"/>
              </w:rPr>
              <w:t>m，本项目排气筒</w:t>
            </w:r>
            <w:r>
              <w:rPr>
                <w:rFonts w:hint="eastAsia" w:cs="宋体"/>
                <w:color w:val="auto"/>
                <w:kern w:val="0"/>
                <w:sz w:val="24"/>
                <w:szCs w:val="24"/>
                <w:highlight w:val="none"/>
                <w:lang w:val="en-US" w:eastAsia="zh-CN" w:bidi="ar"/>
              </w:rPr>
              <w:t>20</w:t>
            </w:r>
            <w:r>
              <w:rPr>
                <w:rFonts w:hint="eastAsia" w:ascii="Times New Roman" w:hAnsi="Times New Roman" w:eastAsia="宋体" w:cs="宋体"/>
                <w:color w:val="auto"/>
                <w:kern w:val="0"/>
                <w:sz w:val="24"/>
                <w:szCs w:val="24"/>
                <w:highlight w:val="none"/>
                <w:lang w:val="en-US" w:eastAsia="zh-CN" w:bidi="ar"/>
              </w:rPr>
              <w:t>m，高出200m距离内最高建筑5m，满足《大气污染物综合排放标准》（GB16297-1996）要求。</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（6）废气监测制度</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根据项目生产特点和主要污染物的排放情况，按照《排污单位自行监测技术指南 总则》（HJ819-2017）、《排污单位自行监测技术指南 橡胶和塑料制品》（HJ1207-2021）制定监测计划，见下表。</w:t>
            </w:r>
          </w:p>
          <w:p>
            <w:pPr>
              <w:pageBreakBefore w:val="0"/>
              <w:widowControl w:val="0"/>
              <w:kinsoku/>
              <w:wordWrap/>
              <w:overflowPunct/>
              <w:topLinePunct w:val="0"/>
              <w:autoSpaceDE/>
              <w:autoSpaceDN/>
              <w:bidi w:val="0"/>
              <w:adjustRightInd/>
              <w:snapToGrid/>
              <w:spacing w:before="0" w:after="0" w:line="360" w:lineRule="auto"/>
              <w:ind w:left="0" w:right="0" w:firstLine="482" w:firstLineChars="200"/>
              <w:jc w:val="center"/>
              <w:textAlignment w:val="auto"/>
              <w:rPr>
                <w:rFonts w:hint="eastAsia" w:ascii="Times New Roman" w:hAnsi="Times New Roman" w:eastAsia="宋体" w:cs="Times New Roman"/>
                <w:b/>
                <w:bCs/>
                <w:color w:val="000000"/>
                <w:kern w:val="2"/>
                <w:sz w:val="24"/>
                <w:szCs w:val="20"/>
                <w:highlight w:val="none"/>
                <w:vertAlign w:val="baseline"/>
                <w:lang w:val="en-US" w:eastAsia="zh-CN"/>
              </w:rPr>
            </w:pPr>
            <w:r>
              <w:rPr>
                <w:rFonts w:hint="eastAsia" w:ascii="Times New Roman" w:hAnsi="Times New Roman" w:eastAsia="宋体" w:cs="Times New Roman"/>
                <w:b/>
                <w:bCs/>
                <w:color w:val="000000"/>
                <w:kern w:val="2"/>
                <w:sz w:val="24"/>
                <w:szCs w:val="20"/>
                <w:highlight w:val="none"/>
                <w:vertAlign w:val="baseline"/>
                <w:lang w:val="en-US" w:eastAsia="zh-CN"/>
              </w:rPr>
              <w:t>表4.5-15废气监测制度一览表</w:t>
            </w:r>
          </w:p>
          <w:tbl>
            <w:tblPr>
              <w:tblStyle w:val="1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1008"/>
              <w:gridCol w:w="1563"/>
              <w:gridCol w:w="49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016" w:type="dxa"/>
                  <w:gridSpan w:val="2"/>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项目</w:t>
                  </w:r>
                </w:p>
              </w:tc>
              <w:tc>
                <w:tcPr>
                  <w:tcW w:w="6488" w:type="dxa"/>
                  <w:gridSpan w:val="2"/>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right="0" w:firstLine="0" w:firstLineChars="0"/>
                    <w:jc w:val="center"/>
                    <w:rPr>
                      <w:rFonts w:hint="default" w:ascii="Times New Roman" w:hAnsi="Times New Roman" w:eastAsia="宋体" w:cs="宋体"/>
                      <w:color w:val="000000"/>
                      <w:kern w:val="2"/>
                      <w:sz w:val="21"/>
                      <w:szCs w:val="21"/>
                      <w:highlight w:val="none"/>
                      <w:lang w:val="en-US" w:eastAsia="zh-CN" w:bidi="ar"/>
                    </w:rPr>
                  </w:pPr>
                  <w:r>
                    <w:rPr>
                      <w:rFonts w:hint="eastAsia" w:ascii="Times New Roman" w:hAnsi="Times New Roman" w:eastAsia="宋体" w:cs="宋体"/>
                      <w:color w:val="000000"/>
                      <w:kern w:val="2"/>
                      <w:sz w:val="21"/>
                      <w:szCs w:val="21"/>
                      <w:highlight w:val="none"/>
                      <w:lang w:val="en-US" w:eastAsia="zh-CN" w:bidi="ar"/>
                    </w:rPr>
                    <w:t>监测制度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08" w:type="dxa"/>
                  <w:vMerge w:val="restart"/>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有组织排放</w:t>
                  </w:r>
                </w:p>
              </w:tc>
              <w:tc>
                <w:tcPr>
                  <w:tcW w:w="1008" w:type="dxa"/>
                  <w:vMerge w:val="restart"/>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bidi="ar"/>
                    </w:rPr>
                    <w:t>非甲烷总烃</w:t>
                  </w:r>
                </w:p>
              </w:tc>
              <w:tc>
                <w:tcPr>
                  <w:tcW w:w="1563" w:type="dxa"/>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color w:val="000000"/>
                      <w:kern w:val="2"/>
                      <w:sz w:val="21"/>
                      <w:szCs w:val="21"/>
                      <w:highlight w:val="none"/>
                      <w:lang w:val="en-US" w:eastAsia="zh-CN" w:bidi="ar"/>
                    </w:rPr>
                  </w:pPr>
                  <w:r>
                    <w:rPr>
                      <w:rFonts w:hint="eastAsia" w:ascii="Times New Roman" w:hAnsi="Times New Roman" w:eastAsia="宋体" w:cs="Times New Roman"/>
                      <w:color w:val="000000"/>
                      <w:kern w:val="2"/>
                      <w:sz w:val="21"/>
                      <w:szCs w:val="21"/>
                      <w:highlight w:val="none"/>
                      <w:lang w:val="en-US" w:eastAsia="zh-CN" w:bidi="ar"/>
                    </w:rPr>
                    <w:t>监测点位</w:t>
                  </w:r>
                </w:p>
              </w:tc>
              <w:tc>
                <w:tcPr>
                  <w:tcW w:w="4925" w:type="dxa"/>
                  <w:tcBorders>
                    <w:tl2br w:val="nil"/>
                    <w:tr2bl w:val="nil"/>
                  </w:tcBorders>
                  <w:noWrap w:val="0"/>
                  <w:vAlign w:val="center"/>
                </w:tcPr>
                <w:p>
                  <w:pPr>
                    <w:widowControl w:val="0"/>
                    <w:autoSpaceDE w:val="0"/>
                    <w:autoSpaceDN w:val="0"/>
                    <w:spacing w:line="240" w:lineRule="auto"/>
                    <w:ind w:left="0" w:lef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lang w:val="en-US" w:eastAsia="zh-CN" w:bidi="ar-SA"/>
                    </w:rPr>
                    <w:t>DA001（</w:t>
                  </w:r>
                  <w:r>
                    <w:rPr>
                      <w:rFonts w:hint="eastAsia" w:ascii="Times New Roman" w:hAnsi="Times New Roman" w:eastAsia="宋体" w:cs="宋体"/>
                      <w:color w:val="auto"/>
                      <w:sz w:val="21"/>
                      <w:szCs w:val="22"/>
                      <w:lang w:val="en-US" w:eastAsia="zh-CN" w:bidi="ar-SA"/>
                    </w:rPr>
                    <w:t>生产车间排放口</w:t>
                  </w:r>
                  <w:r>
                    <w:rPr>
                      <w:rFonts w:hint="eastAsia" w:ascii="Times New Roman" w:hAnsi="Times New Roman" w:eastAsia="宋体" w:cs="Times New Roman"/>
                      <w:color w:val="000000"/>
                      <w:kern w:val="2"/>
                      <w:sz w:val="21"/>
                      <w:szCs w:val="21"/>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08" w:type="dxa"/>
                  <w:vMerge w:val="continue"/>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ascii="Times New Roman" w:hAnsi="Times New Roman" w:eastAsia="宋体" w:cs="宋体"/>
                    </w:rPr>
                  </w:pPr>
                </w:p>
              </w:tc>
              <w:tc>
                <w:tcPr>
                  <w:tcW w:w="1008" w:type="dxa"/>
                  <w:vMerge w:val="continue"/>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ascii="Times New Roman" w:hAnsi="Times New Roman" w:eastAsia="宋体" w:cs="宋体"/>
                    </w:rPr>
                  </w:pPr>
                </w:p>
              </w:tc>
              <w:tc>
                <w:tcPr>
                  <w:tcW w:w="1563" w:type="dxa"/>
                  <w:vMerge w:val="restart"/>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color w:val="000000"/>
                      <w:kern w:val="2"/>
                      <w:sz w:val="21"/>
                      <w:szCs w:val="21"/>
                      <w:highlight w:val="none"/>
                      <w:lang w:val="en-US" w:eastAsia="zh-CN" w:bidi="ar"/>
                    </w:rPr>
                  </w:pPr>
                  <w:r>
                    <w:rPr>
                      <w:rFonts w:hint="eastAsia" w:ascii="Times New Roman" w:hAnsi="Times New Roman" w:eastAsia="宋体" w:cs="Times New Roman"/>
                      <w:color w:val="000000"/>
                      <w:kern w:val="2"/>
                      <w:sz w:val="21"/>
                      <w:szCs w:val="21"/>
                      <w:highlight w:val="none"/>
                      <w:lang w:val="en-US" w:eastAsia="zh-CN" w:bidi="ar"/>
                    </w:rPr>
                    <w:t>监测频次</w:t>
                  </w:r>
                </w:p>
              </w:tc>
              <w:tc>
                <w:tcPr>
                  <w:tcW w:w="4925" w:type="dxa"/>
                  <w:tcBorders>
                    <w:tl2br w:val="nil"/>
                    <w:tr2bl w:val="nil"/>
                  </w:tcBorders>
                  <w:noWrap w:val="0"/>
                  <w:vAlign w:val="center"/>
                </w:tcPr>
                <w:p>
                  <w:pPr>
                    <w:widowControl w:val="0"/>
                    <w:autoSpaceDE w:val="0"/>
                    <w:autoSpaceDN w:val="0"/>
                    <w:spacing w:line="240" w:lineRule="auto"/>
                    <w:ind w:left="0" w:lef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半年/次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08" w:type="dxa"/>
                  <w:vMerge w:val="continue"/>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ascii="Times New Roman" w:hAnsi="Times New Roman" w:eastAsia="宋体" w:cs="宋体"/>
                    </w:rPr>
                  </w:pPr>
                </w:p>
              </w:tc>
              <w:tc>
                <w:tcPr>
                  <w:tcW w:w="1008" w:type="dxa"/>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ascii="Times New Roman" w:hAnsi="Times New Roman" w:eastAsia="宋体" w:cs="宋体"/>
                    </w:rPr>
                  </w:pPr>
                  <w:r>
                    <w:rPr>
                      <w:rFonts w:hint="eastAsia" w:ascii="Times New Roman" w:hAnsi="Times New Roman" w:eastAsia="宋体" w:cs="Times New Roman"/>
                      <w:color w:val="000000"/>
                      <w:kern w:val="2"/>
                      <w:sz w:val="21"/>
                      <w:szCs w:val="21"/>
                      <w:highlight w:val="none"/>
                      <w:lang w:val="en-US" w:eastAsia="zh-CN" w:bidi="ar"/>
                    </w:rPr>
                    <w:t>氯化氢、臭气浓度</w:t>
                  </w:r>
                </w:p>
              </w:tc>
              <w:tc>
                <w:tcPr>
                  <w:tcW w:w="1563" w:type="dxa"/>
                  <w:vMerge w:val="continue"/>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color w:val="000000"/>
                      <w:kern w:val="2"/>
                      <w:sz w:val="21"/>
                      <w:szCs w:val="21"/>
                      <w:highlight w:val="none"/>
                      <w:lang w:val="en-US" w:eastAsia="zh-CN" w:bidi="ar"/>
                    </w:rPr>
                  </w:pPr>
                </w:p>
              </w:tc>
              <w:tc>
                <w:tcPr>
                  <w:tcW w:w="4925" w:type="dxa"/>
                  <w:tcBorders>
                    <w:tl2br w:val="nil"/>
                    <w:tr2bl w:val="nil"/>
                  </w:tcBorders>
                  <w:noWrap w:val="0"/>
                  <w:vAlign w:val="center"/>
                </w:tcPr>
                <w:p>
                  <w:pPr>
                    <w:widowControl w:val="0"/>
                    <w:autoSpaceDE w:val="0"/>
                    <w:autoSpaceDN w:val="0"/>
                    <w:spacing w:line="240" w:lineRule="auto"/>
                    <w:ind w:left="0" w:leftChars="0" w:firstLine="0" w:firstLineChars="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年/次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1008" w:type="dxa"/>
                  <w:vMerge w:val="restart"/>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无组织排放</w:t>
                  </w:r>
                </w:p>
              </w:tc>
              <w:tc>
                <w:tcPr>
                  <w:tcW w:w="1008" w:type="dxa"/>
                  <w:vMerge w:val="restart"/>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bidi="ar"/>
                    </w:rPr>
                    <w:t>非甲烷总烃、氯化氢、</w:t>
                  </w:r>
                  <w:r>
                    <w:rPr>
                      <w:rFonts w:hint="eastAsia" w:cs="Times New Roman"/>
                      <w:color w:val="000000"/>
                      <w:kern w:val="2"/>
                      <w:sz w:val="21"/>
                      <w:szCs w:val="21"/>
                      <w:highlight w:val="none"/>
                      <w:lang w:val="en-US" w:eastAsia="zh-CN" w:bidi="ar"/>
                    </w:rPr>
                    <w:t>颗粒物、</w:t>
                  </w:r>
                  <w:r>
                    <w:rPr>
                      <w:rFonts w:hint="eastAsia" w:ascii="Times New Roman" w:hAnsi="Times New Roman" w:eastAsia="宋体" w:cs="Times New Roman"/>
                      <w:color w:val="000000"/>
                      <w:kern w:val="2"/>
                      <w:sz w:val="21"/>
                      <w:szCs w:val="21"/>
                      <w:highlight w:val="none"/>
                      <w:lang w:val="en-US" w:eastAsia="zh-CN" w:bidi="ar"/>
                    </w:rPr>
                    <w:t>臭气浓度</w:t>
                  </w:r>
                </w:p>
              </w:tc>
              <w:tc>
                <w:tcPr>
                  <w:tcW w:w="1563" w:type="dxa"/>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color w:val="000000"/>
                      <w:kern w:val="2"/>
                      <w:sz w:val="21"/>
                      <w:szCs w:val="21"/>
                      <w:highlight w:val="none"/>
                      <w:lang w:val="en-US" w:eastAsia="zh-CN" w:bidi="ar"/>
                    </w:rPr>
                  </w:pPr>
                  <w:r>
                    <w:rPr>
                      <w:rFonts w:hint="eastAsia" w:ascii="Times New Roman" w:hAnsi="Times New Roman" w:eastAsia="宋体" w:cs="Times New Roman"/>
                      <w:color w:val="000000"/>
                      <w:kern w:val="2"/>
                      <w:sz w:val="21"/>
                      <w:szCs w:val="21"/>
                      <w:highlight w:val="none"/>
                      <w:lang w:val="en-US" w:eastAsia="zh-CN" w:bidi="ar"/>
                    </w:rPr>
                    <w:t>监测点位</w:t>
                  </w:r>
                </w:p>
              </w:tc>
              <w:tc>
                <w:tcPr>
                  <w:tcW w:w="4925" w:type="dxa"/>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rPr>
                    <w:t>企业厂界、厂区内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08" w:type="dxa"/>
                  <w:vMerge w:val="continue"/>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rPr>
                  </w:pPr>
                </w:p>
              </w:tc>
              <w:tc>
                <w:tcPr>
                  <w:tcW w:w="1008" w:type="dxa"/>
                  <w:vMerge w:val="continue"/>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rPr>
                  </w:pPr>
                </w:p>
              </w:tc>
              <w:tc>
                <w:tcPr>
                  <w:tcW w:w="1563" w:type="dxa"/>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color w:val="000000"/>
                      <w:kern w:val="2"/>
                      <w:sz w:val="21"/>
                      <w:szCs w:val="21"/>
                      <w:highlight w:val="none"/>
                      <w:lang w:val="en-US" w:eastAsia="zh-CN" w:bidi="ar"/>
                    </w:rPr>
                  </w:pPr>
                  <w:r>
                    <w:rPr>
                      <w:rFonts w:hint="eastAsia" w:ascii="Times New Roman" w:hAnsi="Times New Roman" w:eastAsia="宋体" w:cs="Times New Roman"/>
                      <w:color w:val="000000"/>
                      <w:kern w:val="2"/>
                      <w:sz w:val="21"/>
                      <w:szCs w:val="21"/>
                      <w:highlight w:val="none"/>
                      <w:lang w:val="en-US" w:eastAsia="zh-CN" w:bidi="ar"/>
                    </w:rPr>
                    <w:t>监测频次</w:t>
                  </w:r>
                </w:p>
              </w:tc>
              <w:tc>
                <w:tcPr>
                  <w:tcW w:w="4925" w:type="dxa"/>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宋体"/>
                      <w:color w:val="000000"/>
                      <w:kern w:val="2"/>
                      <w:sz w:val="21"/>
                      <w:szCs w:val="21"/>
                      <w:highlight w:val="none"/>
                      <w:lang w:val="en-US" w:eastAsia="zh-CN" w:bidi="ar"/>
                    </w:rPr>
                    <w:t>年/次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016" w:type="dxa"/>
                  <w:gridSpan w:val="2"/>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采样分析数据处理</w:t>
                  </w:r>
                </w:p>
              </w:tc>
              <w:tc>
                <w:tcPr>
                  <w:tcW w:w="6488" w:type="dxa"/>
                  <w:gridSpan w:val="2"/>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按照《环境空气质量标准》(GB3095-2012)、</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环境空气质量手工监测技术规范</w:t>
                  </w:r>
                  <w:r>
                    <w:rPr>
                      <w:rFonts w:hint="eastAsia" w:ascii="Times New Roman" w:hAnsi="Times New Roman" w:eastAsia="宋体" w:cs="Times New Roman"/>
                      <w:color w:val="auto"/>
                      <w:kern w:val="2"/>
                      <w:sz w:val="21"/>
                      <w:szCs w:val="21"/>
                      <w:highlight w:val="none"/>
                      <w:lang w:val="en-US" w:eastAsia="zh-CN" w:bidi="ar"/>
                    </w:rPr>
                    <w:t>》（HJ194-2017）、《固定污染源烟气排放连续监测技术规范》（HJ75-2017）</w:t>
                  </w:r>
                  <w:r>
                    <w:rPr>
                      <w:rFonts w:hint="default" w:ascii="Times New Roman" w:hAnsi="Times New Roman" w:eastAsia="宋体" w:cs="Times New Roman"/>
                      <w:color w:val="auto"/>
                      <w:kern w:val="2"/>
                      <w:sz w:val="21"/>
                      <w:szCs w:val="21"/>
                      <w:highlight w:val="none"/>
                      <w:lang w:val="en-US" w:eastAsia="zh-CN" w:bidi="ar"/>
                    </w:rPr>
                    <w:t>的有关规定进行</w:t>
                  </w:r>
                  <w:r>
                    <w:rPr>
                      <w:rFonts w:hint="eastAsia" w:ascii="Times New Roman" w:hAnsi="Times New Roman" w:eastAsia="宋体" w:cs="Times New Roman"/>
                      <w:color w:val="auto"/>
                      <w:kern w:val="2"/>
                      <w:sz w:val="21"/>
                      <w:szCs w:val="21"/>
                      <w:highlight w:val="none"/>
                      <w:lang w:val="en-US" w:eastAsia="zh-CN" w:bidi="ar"/>
                    </w:rPr>
                    <w:t>，无组织废气排放监测应同步监测气象参数。</w:t>
                  </w:r>
                </w:p>
              </w:tc>
            </w:tr>
          </w:tbl>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宋体"/>
                <w:lang w:val="en-US" w:eastAsia="zh-CN"/>
              </w:rPr>
            </w:pPr>
            <w:r>
              <w:rPr>
                <w:rFonts w:hint="eastAsia" w:ascii="Times New Roman" w:hAnsi="Times New Roman" w:eastAsia="宋体" w:cs="Times New Roman"/>
                <w:color w:val="000000"/>
                <w:kern w:val="2"/>
                <w:sz w:val="24"/>
                <w:szCs w:val="24"/>
                <w:highlight w:val="none"/>
                <w:lang w:val="en-US" w:eastAsia="zh-CN" w:bidi="ar-SA"/>
              </w:rPr>
              <w:t>（7）废气污染防治措施</w:t>
            </w:r>
          </w:p>
          <w:p>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宋体"/>
                <w:lang w:val="en-US" w:eastAsia="zh-CN"/>
              </w:rPr>
            </w:pPr>
            <w:r>
              <w:rPr>
                <w:rFonts w:hint="eastAsia" w:ascii="Times New Roman" w:hAnsi="Times New Roman" w:eastAsia="宋体" w:cs="宋体"/>
                <w:lang w:val="en-US" w:eastAsia="zh-CN"/>
              </w:rPr>
              <w:t>有组织排放污染防治措施：</w:t>
            </w:r>
          </w:p>
          <w:p>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a）污染防治设施应与其对应的生产工艺设备同步运转，保证在生产工艺设备运行波动情况下仍能正常运转，实现达标排放。</w:t>
            </w:r>
          </w:p>
          <w:p>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宋体"/>
                <w:lang w:val="en-US" w:eastAsia="zh-CN"/>
              </w:rPr>
            </w:pPr>
            <w:r>
              <w:rPr>
                <w:rFonts w:hint="eastAsia" w:ascii="Times New Roman" w:hAnsi="Times New Roman" w:eastAsia="宋体" w:cs="宋体"/>
                <w:lang w:val="en-US" w:eastAsia="zh-CN"/>
              </w:rPr>
              <w:t>b）加强废气处理设备巡检，消除设备隐患，保证设备正常运行，废气处理装置定期维护检查，保证设备完整无破损。</w:t>
            </w:r>
          </w:p>
          <w:p>
            <w:pPr>
              <w:overflowPunct w:val="0"/>
              <w:autoSpaceDE w:val="0"/>
              <w:autoSpaceDN w:val="0"/>
              <w:bidi w:val="0"/>
              <w:adjustRightInd w:val="0"/>
              <w:snapToGrid w:val="0"/>
              <w:spacing w:before="0" w:after="0" w:line="360" w:lineRule="auto"/>
              <w:ind w:left="0" w:right="0" w:firstLine="480" w:firstLineChars="20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无组织排放污染防治措施：</w:t>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宋体"/>
                <w:lang w:val="en-US" w:eastAsia="zh-CN"/>
              </w:rPr>
              <w:t>a）</w:t>
            </w:r>
            <w:r>
              <w:rPr>
                <w:rFonts w:hint="default" w:ascii="Times New Roman" w:hAnsi="Times New Roman" w:eastAsia="宋体" w:cs="Times New Roman"/>
                <w:kern w:val="2"/>
                <w:sz w:val="24"/>
                <w:szCs w:val="24"/>
                <w:lang w:val="en-US" w:eastAsia="zh-CN" w:bidi="ar-SA"/>
              </w:rPr>
              <w:t>设计、选型及施工</w:t>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①设计及设备、设施选择严格执行国家相关法规、设计标准、规范。</w:t>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②所有设备选材、选型设计时增大安全系数，确保设备安全、无泄漏。</w:t>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宋体"/>
                <w:lang w:val="en-US" w:eastAsia="zh-CN"/>
              </w:rPr>
              <w:t>b）</w:t>
            </w:r>
            <w:r>
              <w:rPr>
                <w:rFonts w:hint="default" w:ascii="Times New Roman" w:hAnsi="Times New Roman" w:eastAsia="宋体" w:cs="Times New Roman"/>
                <w:kern w:val="2"/>
                <w:sz w:val="24"/>
                <w:szCs w:val="24"/>
                <w:lang w:val="en-US" w:eastAsia="zh-CN" w:bidi="ar-SA"/>
              </w:rPr>
              <w:t>管理及维护</w:t>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①制定全面的生产管理、安全生产、环保管理等规章制度，严格生产管理，按制度落实生产设施巡查、巡检，定期对设备等进行维护，发现问题第一时间进行处理。 </w:t>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②加强岗位培训，落实安全生产责任制。公司领导把安全生产、防范事故工作放在第一位，严格安全生产管理，经常检查安全生产措施，发现问题及时解决，消除事故隐患；强化生产操作人员的安全培训教育，增强全体职工的责任感；生产操作人员必须严格执行操作规程，熟悉发生非正常排放时应急处理措施。</w:t>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③加强设备管理，消除非正常排放隐患</w:t>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加强管理和维护工作，确保生产系统、环保设施正常运行，易损件在使用寿命期限内提前进行更换，充分估计非正常排放发生的可能性，制定应急处理措施。</w:t>
            </w:r>
          </w:p>
          <w:p>
            <w:pPr>
              <w:widowControl w:val="0"/>
              <w:overflowPunct w:val="0"/>
              <w:autoSpaceDE w:val="0"/>
              <w:autoSpaceDN w:val="0"/>
              <w:adjustRightInd w:val="0"/>
              <w:snapToGrid w:val="0"/>
              <w:spacing w:before="0" w:after="0" w:line="360" w:lineRule="auto"/>
              <w:ind w:left="0" w:right="0" w:firstLine="480" w:firstLineChars="200"/>
              <w:jc w:val="both"/>
              <w:rPr>
                <w:rFonts w:hint="eastAsia" w:ascii="Times New Roman" w:hAnsi="Times New Roman" w:eastAsia="宋体" w:cs="Times New Roman"/>
                <w:color w:val="000000"/>
                <w:kern w:val="2"/>
                <w:sz w:val="24"/>
                <w:szCs w:val="20"/>
                <w:highlight w:val="none"/>
                <w:lang w:val="en-US" w:eastAsia="zh-CN"/>
              </w:rPr>
            </w:pPr>
            <w:r>
              <w:rPr>
                <w:rFonts w:hint="default" w:ascii="Times New Roman" w:hAnsi="Times New Roman" w:eastAsia="宋体" w:cs="Times New Roman"/>
                <w:kern w:val="2"/>
                <w:sz w:val="24"/>
                <w:szCs w:val="24"/>
                <w:lang w:val="en-US" w:eastAsia="zh-CN" w:bidi="ar-SA"/>
              </w:rPr>
              <w:t>④在污染治理设施</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三同时</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未落实前主体工程不允许投入生产。</w:t>
            </w:r>
          </w:p>
          <w:p>
            <w:pPr>
              <w:widowControl w:val="0"/>
              <w:overflowPunct w:val="0"/>
              <w:autoSpaceDE w:val="0"/>
              <w:autoSpaceDN w:val="0"/>
              <w:adjustRightInd w:val="0"/>
              <w:snapToGrid w:val="0"/>
              <w:spacing w:before="0" w:after="0" w:line="360" w:lineRule="auto"/>
              <w:ind w:left="0" w:right="0" w:firstLine="480" w:firstLineChars="200"/>
              <w:jc w:val="both"/>
              <w:rPr>
                <w:rFonts w:hint="eastAsia" w:ascii="Times New Roman" w:hAnsi="Times New Roman" w:eastAsia="宋体" w:cs="黑体"/>
                <w:b/>
                <w:sz w:val="28"/>
                <w:szCs w:val="30"/>
                <w:lang w:val="en-US" w:eastAsia="zh-CN" w:bidi="ar-SA"/>
              </w:rPr>
            </w:pPr>
            <w:r>
              <w:rPr>
                <w:rFonts w:hint="default" w:ascii="Times New Roman" w:hAnsi="Times New Roman" w:eastAsia="宋体" w:cs="Times New Roman"/>
                <w:bCs/>
                <w:color w:val="auto"/>
                <w:kern w:val="2"/>
                <w:sz w:val="24"/>
                <w:szCs w:val="24"/>
              </w:rPr>
              <w:t>综上所述，项目大气污染物治理措施</w:t>
            </w:r>
            <w:r>
              <w:rPr>
                <w:rFonts w:hint="default" w:ascii="Times New Roman" w:hAnsi="Times New Roman" w:eastAsia="宋体" w:cs="Times New Roman"/>
                <w:color w:val="auto"/>
                <w:kern w:val="2"/>
                <w:sz w:val="24"/>
                <w:szCs w:val="24"/>
              </w:rPr>
              <w:t>从经济、技术角度可行，项目大气污染物排放不会对周围</w:t>
            </w:r>
            <w:r>
              <w:rPr>
                <w:rFonts w:hint="eastAsia" w:ascii="Times New Roman" w:hAnsi="Times New Roman" w:eastAsia="宋体" w:cs="Times New Roman"/>
                <w:color w:val="auto"/>
                <w:kern w:val="2"/>
                <w:sz w:val="24"/>
                <w:szCs w:val="24"/>
                <w:lang w:val="en-US" w:eastAsia="zh-CN"/>
              </w:rPr>
              <w:t>环境</w:t>
            </w:r>
            <w:r>
              <w:rPr>
                <w:rFonts w:hint="default" w:ascii="Times New Roman" w:hAnsi="Times New Roman" w:eastAsia="宋体" w:cs="Times New Roman"/>
                <w:color w:val="auto"/>
                <w:kern w:val="2"/>
                <w:sz w:val="24"/>
                <w:szCs w:val="24"/>
              </w:rPr>
              <w:t>造成影响。</w:t>
            </w:r>
          </w:p>
          <w:p>
            <w:pPr>
              <w:widowControl w:val="0"/>
              <w:overflowPunct w:val="0"/>
              <w:autoSpaceDE w:val="0"/>
              <w:autoSpaceDN w:val="0"/>
              <w:bidi w:val="0"/>
              <w:adjustRightInd w:val="0"/>
              <w:snapToGrid w:val="0"/>
              <w:spacing w:before="0" w:after="0" w:line="360" w:lineRule="auto"/>
              <w:ind w:left="0" w:right="0" w:firstLine="562" w:firstLineChars="200"/>
              <w:jc w:val="left"/>
              <w:outlineLvl w:val="1"/>
              <w:rPr>
                <w:rFonts w:hint="eastAsia" w:ascii="Times New Roman" w:hAnsi="Times New Roman" w:eastAsia="宋体" w:cs="黑体"/>
                <w:b/>
                <w:sz w:val="28"/>
                <w:szCs w:val="30"/>
                <w:lang w:val="en-US" w:eastAsia="zh-CN" w:bidi="ar-SA"/>
              </w:rPr>
            </w:pPr>
            <w:r>
              <w:rPr>
                <w:rFonts w:hint="eastAsia" w:ascii="Times New Roman" w:hAnsi="Times New Roman" w:eastAsia="宋体" w:cs="黑体"/>
                <w:b/>
                <w:sz w:val="28"/>
                <w:szCs w:val="30"/>
                <w:lang w:val="en-US" w:eastAsia="zh-CN" w:bidi="ar-SA"/>
              </w:rPr>
              <w:t>4.6废水</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bCs w:val="0"/>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（1）生活污水产排情况</w:t>
            </w:r>
          </w:p>
          <w:p>
            <w:pPr>
              <w:widowControl w:val="0"/>
              <w:spacing w:line="360" w:lineRule="auto"/>
              <w:ind w:firstLine="480" w:firstLineChars="20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本项目新增员工</w:t>
            </w:r>
            <w:r>
              <w:rPr>
                <w:rFonts w:hint="eastAsia" w:cs="Times New Roman"/>
                <w:color w:val="000000"/>
                <w:sz w:val="24"/>
                <w:szCs w:val="24"/>
                <w:highlight w:val="none"/>
                <w:lang w:val="en-US" w:eastAsia="zh-CN" w:bidi="ar-SA"/>
              </w:rPr>
              <w:t>20</w:t>
            </w:r>
            <w:r>
              <w:rPr>
                <w:rFonts w:hint="default" w:ascii="Times New Roman" w:hAnsi="Times New Roman" w:eastAsia="宋体" w:cs="Times New Roman"/>
                <w:color w:val="000000"/>
                <w:sz w:val="24"/>
                <w:szCs w:val="24"/>
                <w:highlight w:val="none"/>
                <w:lang w:val="en-US" w:eastAsia="zh-CN" w:bidi="ar-SA"/>
              </w:rPr>
              <w:t>人，根据《新疆维吾尔自治区生活用水定额》集体宿舍取80L/人•d，职工生活用水量为</w:t>
            </w:r>
            <w:r>
              <w:rPr>
                <w:rFonts w:hint="eastAsia" w:cs="Times New Roman"/>
                <w:color w:val="000000"/>
                <w:sz w:val="24"/>
                <w:szCs w:val="24"/>
                <w:highlight w:val="none"/>
                <w:lang w:val="en-US" w:eastAsia="zh-CN" w:bidi="ar-SA"/>
              </w:rPr>
              <w:t>1.6</w:t>
            </w:r>
            <w:r>
              <w:rPr>
                <w:rFonts w:hint="default" w:ascii="Times New Roman" w:hAnsi="Times New Roman" w:eastAsia="宋体" w:cs="Times New Roman"/>
                <w:color w:val="000000"/>
                <w:sz w:val="24"/>
                <w:szCs w:val="24"/>
                <w:highlight w:val="none"/>
                <w:lang w:val="en-US" w:eastAsia="zh-CN" w:bidi="ar-SA"/>
              </w:rPr>
              <w:t>m</w:t>
            </w:r>
            <w:r>
              <w:rPr>
                <w:rFonts w:hint="default" w:ascii="Times New Roman" w:hAnsi="Times New Roman" w:eastAsia="宋体" w:cs="Times New Roman"/>
                <w:color w:val="000000"/>
                <w:sz w:val="24"/>
                <w:szCs w:val="24"/>
                <w:highlight w:val="none"/>
                <w:vertAlign w:val="superscript"/>
                <w:lang w:val="en-US" w:eastAsia="zh-CN" w:bidi="ar-SA"/>
              </w:rPr>
              <w:t>3</w:t>
            </w:r>
            <w:r>
              <w:rPr>
                <w:rFonts w:hint="default" w:ascii="Times New Roman" w:hAnsi="Times New Roman" w:eastAsia="宋体" w:cs="Times New Roman"/>
                <w:color w:val="000000"/>
                <w:sz w:val="24"/>
                <w:szCs w:val="24"/>
                <w:highlight w:val="none"/>
                <w:lang w:val="en-US" w:eastAsia="zh-CN" w:bidi="ar-SA"/>
              </w:rPr>
              <w:t>/d，</w:t>
            </w:r>
            <w:r>
              <w:rPr>
                <w:rFonts w:hint="eastAsia" w:cs="Times New Roman"/>
                <w:color w:val="000000"/>
                <w:sz w:val="24"/>
                <w:szCs w:val="24"/>
                <w:highlight w:val="none"/>
                <w:lang w:val="en-US" w:eastAsia="zh-CN" w:bidi="ar-SA"/>
              </w:rPr>
              <w:t>480</w:t>
            </w:r>
            <w:r>
              <w:rPr>
                <w:rFonts w:hint="default" w:ascii="Times New Roman" w:hAnsi="Times New Roman" w:eastAsia="宋体" w:cs="Times New Roman"/>
                <w:color w:val="000000"/>
                <w:sz w:val="24"/>
                <w:szCs w:val="24"/>
                <w:highlight w:val="none"/>
                <w:lang w:val="en-US" w:eastAsia="zh-CN" w:bidi="ar-SA"/>
              </w:rPr>
              <w:t>m</w:t>
            </w:r>
            <w:r>
              <w:rPr>
                <w:rFonts w:hint="default" w:ascii="Times New Roman" w:hAnsi="Times New Roman" w:eastAsia="宋体" w:cs="Times New Roman"/>
                <w:color w:val="000000"/>
                <w:sz w:val="24"/>
                <w:szCs w:val="24"/>
                <w:highlight w:val="none"/>
                <w:vertAlign w:val="superscript"/>
                <w:lang w:val="en-US" w:eastAsia="zh-CN" w:bidi="ar-SA"/>
              </w:rPr>
              <w:t>3</w:t>
            </w:r>
            <w:r>
              <w:rPr>
                <w:rFonts w:hint="default" w:ascii="Times New Roman" w:hAnsi="Times New Roman" w:eastAsia="宋体" w:cs="Times New Roman"/>
                <w:color w:val="000000"/>
                <w:sz w:val="24"/>
                <w:szCs w:val="24"/>
                <w:highlight w:val="none"/>
                <w:lang w:val="en-US" w:eastAsia="zh-CN" w:bidi="ar-SA"/>
              </w:rPr>
              <w:t>/a。生活污水产污系数以0.8计</w:t>
            </w:r>
            <w:r>
              <w:rPr>
                <w:rFonts w:hint="eastAsia" w:ascii="Times New Roman" w:hAnsi="Times New Roman" w:eastAsia="宋体" w:cs="Times New Roman"/>
                <w:color w:val="000000"/>
                <w:sz w:val="24"/>
                <w:szCs w:val="24"/>
                <w:highlight w:val="none"/>
                <w:lang w:val="en-US" w:eastAsia="zh-CN" w:bidi="ar-SA"/>
              </w:rPr>
              <w:t>，即</w:t>
            </w:r>
            <w:r>
              <w:rPr>
                <w:rFonts w:hint="eastAsia" w:cs="Times New Roman"/>
                <w:color w:val="000000"/>
                <w:sz w:val="24"/>
                <w:szCs w:val="24"/>
                <w:highlight w:val="none"/>
                <w:lang w:val="en-US" w:eastAsia="zh-CN" w:bidi="ar-SA"/>
              </w:rPr>
              <w:t>1.28</w:t>
            </w:r>
            <w:r>
              <w:rPr>
                <w:rFonts w:hint="default" w:ascii="Times New Roman" w:hAnsi="Times New Roman" w:eastAsia="宋体" w:cs="Times New Roman"/>
                <w:color w:val="000000"/>
                <w:sz w:val="24"/>
                <w:szCs w:val="24"/>
                <w:highlight w:val="none"/>
                <w:lang w:val="en-US" w:eastAsia="zh-CN" w:bidi="ar-SA"/>
              </w:rPr>
              <w:t>m</w:t>
            </w:r>
            <w:r>
              <w:rPr>
                <w:rFonts w:hint="default" w:ascii="Times New Roman" w:hAnsi="Times New Roman" w:eastAsia="宋体" w:cs="Times New Roman"/>
                <w:color w:val="000000"/>
                <w:sz w:val="24"/>
                <w:szCs w:val="24"/>
                <w:highlight w:val="none"/>
                <w:vertAlign w:val="superscript"/>
                <w:lang w:val="en-US" w:eastAsia="zh-CN" w:bidi="ar-SA"/>
              </w:rPr>
              <w:t>3</w:t>
            </w:r>
            <w:r>
              <w:rPr>
                <w:rFonts w:hint="default" w:ascii="Times New Roman" w:hAnsi="Times New Roman" w:eastAsia="宋体" w:cs="Times New Roman"/>
                <w:color w:val="000000"/>
                <w:sz w:val="24"/>
                <w:szCs w:val="24"/>
                <w:highlight w:val="none"/>
                <w:lang w:val="en-US" w:eastAsia="zh-CN" w:bidi="ar-SA"/>
              </w:rPr>
              <w:t>/d，</w:t>
            </w:r>
            <w:r>
              <w:rPr>
                <w:rFonts w:hint="eastAsia" w:cs="Times New Roman"/>
                <w:color w:val="000000"/>
                <w:sz w:val="24"/>
                <w:szCs w:val="24"/>
                <w:highlight w:val="none"/>
                <w:lang w:val="en-US" w:eastAsia="zh-CN" w:bidi="ar-SA"/>
              </w:rPr>
              <w:t>384</w:t>
            </w:r>
            <w:r>
              <w:rPr>
                <w:rFonts w:hint="default" w:ascii="Times New Roman" w:hAnsi="Times New Roman" w:eastAsia="宋体" w:cs="Times New Roman"/>
                <w:color w:val="000000"/>
                <w:sz w:val="24"/>
                <w:szCs w:val="24"/>
                <w:highlight w:val="none"/>
                <w:lang w:val="en-US" w:eastAsia="zh-CN" w:bidi="ar-SA"/>
              </w:rPr>
              <w:t>m</w:t>
            </w:r>
            <w:r>
              <w:rPr>
                <w:rFonts w:hint="default" w:ascii="Times New Roman" w:hAnsi="Times New Roman" w:eastAsia="宋体" w:cs="Times New Roman"/>
                <w:color w:val="000000"/>
                <w:sz w:val="24"/>
                <w:szCs w:val="24"/>
                <w:highlight w:val="none"/>
                <w:vertAlign w:val="superscript"/>
                <w:lang w:val="en-US" w:eastAsia="zh-CN" w:bidi="ar-SA"/>
              </w:rPr>
              <w:t>3</w:t>
            </w:r>
            <w:r>
              <w:rPr>
                <w:rFonts w:hint="default" w:ascii="Times New Roman" w:hAnsi="Times New Roman" w:eastAsia="宋体" w:cs="Times New Roman"/>
                <w:color w:val="000000"/>
                <w:sz w:val="24"/>
                <w:szCs w:val="24"/>
                <w:highlight w:val="none"/>
                <w:lang w:val="en-US" w:eastAsia="zh-CN" w:bidi="ar-SA"/>
              </w:rPr>
              <w:t>/a</w:t>
            </w:r>
            <w:r>
              <w:rPr>
                <w:rFonts w:hint="eastAsia" w:ascii="Times New Roman" w:hAnsi="Times New Roman" w:eastAsia="宋体" w:cs="Times New Roman"/>
                <w:color w:val="000000"/>
                <w:sz w:val="24"/>
                <w:szCs w:val="24"/>
                <w:highlight w:val="none"/>
                <w:lang w:val="en-US" w:eastAsia="zh-CN" w:bidi="ar-SA"/>
              </w:rPr>
              <w:t>，</w:t>
            </w:r>
            <w:r>
              <w:rPr>
                <w:rFonts w:hint="default" w:ascii="Times New Roman" w:hAnsi="Times New Roman" w:eastAsia="宋体" w:cs="Times New Roman"/>
                <w:color w:val="000000"/>
                <w:sz w:val="24"/>
                <w:szCs w:val="24"/>
                <w:highlight w:val="none"/>
                <w:lang w:val="en-US" w:eastAsia="zh-CN" w:bidi="ar-SA"/>
              </w:rPr>
              <w:t>废水中含</w:t>
            </w:r>
            <w:r>
              <w:rPr>
                <w:rFonts w:hint="eastAsia" w:ascii="Times New Roman" w:hAnsi="Times New Roman" w:eastAsia="宋体" w:cs="Times New Roman"/>
                <w:color w:val="000000"/>
                <w:sz w:val="24"/>
                <w:szCs w:val="24"/>
                <w:highlight w:val="none"/>
                <w:lang w:val="en-US" w:eastAsia="zh-CN" w:bidi="ar-SA"/>
              </w:rPr>
              <w:t>pH、</w:t>
            </w:r>
            <w:r>
              <w:rPr>
                <w:rFonts w:hint="default" w:ascii="Times New Roman" w:hAnsi="Times New Roman" w:eastAsia="宋体" w:cs="Times New Roman"/>
                <w:color w:val="000000"/>
                <w:sz w:val="24"/>
                <w:szCs w:val="24"/>
                <w:highlight w:val="none"/>
                <w:lang w:val="en-US" w:eastAsia="zh-CN" w:bidi="ar-SA"/>
              </w:rPr>
              <w:t>COD、BOD</w:t>
            </w:r>
            <w:r>
              <w:rPr>
                <w:rFonts w:hint="default" w:ascii="Times New Roman" w:hAnsi="Times New Roman" w:eastAsia="宋体" w:cs="Times New Roman"/>
                <w:color w:val="000000"/>
                <w:sz w:val="24"/>
                <w:szCs w:val="24"/>
                <w:highlight w:val="none"/>
                <w:vertAlign w:val="subscript"/>
                <w:lang w:val="en-US" w:eastAsia="zh-CN" w:bidi="ar-SA"/>
              </w:rPr>
              <w:t>5</w:t>
            </w:r>
            <w:r>
              <w:rPr>
                <w:rFonts w:hint="default" w:ascii="Times New Roman" w:hAnsi="Times New Roman" w:eastAsia="宋体" w:cs="Times New Roman"/>
                <w:color w:val="000000"/>
                <w:sz w:val="24"/>
                <w:szCs w:val="24"/>
                <w:highlight w:val="none"/>
                <w:lang w:val="en-US" w:eastAsia="zh-CN" w:bidi="ar-SA"/>
              </w:rPr>
              <w:t>、SS、氨氮</w:t>
            </w:r>
            <w:r>
              <w:rPr>
                <w:rFonts w:hint="eastAsia" w:ascii="Times New Roman" w:hAnsi="Times New Roman" w:eastAsia="宋体" w:cs="Times New Roman"/>
                <w:color w:val="000000"/>
                <w:sz w:val="24"/>
                <w:szCs w:val="24"/>
                <w:highlight w:val="none"/>
                <w:lang w:val="en-US" w:eastAsia="zh-CN" w:bidi="ar-SA"/>
              </w:rPr>
              <w:t>、动植物油</w:t>
            </w:r>
            <w:r>
              <w:rPr>
                <w:rFonts w:hint="default" w:ascii="Times New Roman" w:hAnsi="Times New Roman" w:eastAsia="宋体" w:cs="Times New Roman"/>
                <w:color w:val="000000"/>
                <w:sz w:val="24"/>
                <w:szCs w:val="24"/>
                <w:highlight w:val="none"/>
                <w:lang w:val="en-US" w:eastAsia="zh-CN" w:bidi="ar-SA"/>
              </w:rPr>
              <w:t>等污染物。</w:t>
            </w:r>
            <w:r>
              <w:rPr>
                <w:rFonts w:hint="eastAsia" w:ascii="Times New Roman" w:hAnsi="Times New Roman" w:eastAsia="宋体" w:cs="Times New Roman"/>
                <w:color w:val="auto"/>
                <w:sz w:val="24"/>
                <w:szCs w:val="24"/>
                <w:highlight w:val="none"/>
                <w:lang w:val="en-US" w:eastAsia="zh-CN" w:bidi="ar-SA"/>
              </w:rPr>
              <w:t>由于项目区满足《污水排入城镇下水道水质标准》（GB/T 31962-2015）表1 污水排入城镇下水道水质控制项目限值B级标准要求</w:t>
            </w:r>
            <w:r>
              <w:rPr>
                <w:rFonts w:hint="eastAsia" w:ascii="Times New Roman" w:hAnsi="Times New Roman" w:eastAsia="宋体" w:cs="Times New Roman"/>
                <w:color w:val="000000"/>
                <w:kern w:val="2"/>
                <w:sz w:val="24"/>
                <w:szCs w:val="24"/>
                <w:highlight w:val="none"/>
                <w:lang w:val="en-US" w:eastAsia="zh-CN" w:bidi="ar-SA"/>
              </w:rPr>
              <w:t>进入园区管网，</w:t>
            </w:r>
            <w:r>
              <w:rPr>
                <w:rFonts w:ascii="Times New Roman" w:hAnsi="Times New Roman" w:eastAsia="宋体" w:cs="宋体"/>
              </w:rPr>
              <w:t>最终排入</w:t>
            </w:r>
            <w:r>
              <w:rPr>
                <w:rFonts w:hint="eastAsia" w:ascii="Times New Roman" w:hAnsi="Times New Roman" w:eastAsia="宋体" w:cs="宋体"/>
              </w:rPr>
              <w:t>阜康市西部城区污水处理厂（阜西区污水处理厂）处理</w:t>
            </w:r>
            <w:r>
              <w:rPr>
                <w:rFonts w:hint="eastAsia" w:ascii="Times New Roman" w:hAnsi="Times New Roman" w:eastAsia="宋体" w:cs="Times New Roman"/>
                <w:color w:val="auto"/>
                <w:sz w:val="24"/>
                <w:szCs w:val="24"/>
                <w:highlight w:val="none"/>
                <w:lang w:val="en-US" w:eastAsia="zh-CN" w:bidi="ar-SA"/>
              </w:rPr>
              <w:t>。</w:t>
            </w:r>
          </w:p>
          <w:p>
            <w:pPr>
              <w:widowControl w:val="0"/>
              <w:overflowPunct w:val="0"/>
              <w:autoSpaceDE w:val="0"/>
              <w:autoSpaceDN w:val="0"/>
              <w:adjustRightInd w:val="0"/>
              <w:snapToGrid w:val="0"/>
              <w:spacing w:before="0" w:after="0" w:line="360" w:lineRule="auto"/>
              <w:ind w:left="0" w:right="0" w:firstLine="480" w:firstLineChars="200"/>
              <w:jc w:val="left"/>
              <w:textAlignment w:val="baseline"/>
              <w:rPr>
                <w:rFonts w:hint="default" w:ascii="Times New Roman" w:hAnsi="Times New Roman" w:eastAsia="宋体" w:cs="Times New Roman"/>
                <w:kern w:val="0"/>
                <w:sz w:val="28"/>
                <w:szCs w:val="20"/>
                <w:lang w:val="en-US" w:eastAsia="zh-CN" w:bidi="ar-SA"/>
              </w:rPr>
            </w:pPr>
            <w:r>
              <w:rPr>
                <w:rFonts w:hint="default" w:ascii="Times New Roman" w:hAnsi="Times New Roman" w:eastAsia="宋体" w:cs="Times New Roman"/>
                <w:color w:val="000000"/>
                <w:kern w:val="0"/>
                <w:sz w:val="24"/>
                <w:szCs w:val="24"/>
                <w:highlight w:val="none"/>
                <w:lang w:val="en-US" w:eastAsia="zh-CN" w:bidi="ar-SA"/>
              </w:rPr>
              <w:t>本项目</w:t>
            </w:r>
            <w:r>
              <w:rPr>
                <w:rFonts w:hint="eastAsia" w:ascii="Times New Roman" w:hAnsi="Times New Roman" w:eastAsia="宋体" w:cs="Times New Roman"/>
                <w:color w:val="000000"/>
                <w:kern w:val="0"/>
                <w:sz w:val="24"/>
                <w:szCs w:val="24"/>
                <w:highlight w:val="none"/>
                <w:lang w:val="en-US" w:eastAsia="zh-CN" w:bidi="ar-SA"/>
              </w:rPr>
              <w:t>生活污水</w:t>
            </w:r>
            <w:r>
              <w:rPr>
                <w:rFonts w:hint="default" w:ascii="Times New Roman" w:hAnsi="Times New Roman" w:eastAsia="宋体" w:cs="Times New Roman"/>
                <w:color w:val="000000"/>
                <w:kern w:val="0"/>
                <w:sz w:val="24"/>
                <w:szCs w:val="24"/>
                <w:highlight w:val="none"/>
                <w:lang w:val="en-US" w:eastAsia="zh-CN" w:bidi="ar-SA"/>
              </w:rPr>
              <w:t>污染物产生及排放情况见下表</w:t>
            </w:r>
          </w:p>
          <w:p>
            <w:pPr>
              <w:widowControl w:val="0"/>
              <w:overflowPunct/>
              <w:autoSpaceDE/>
              <w:autoSpaceDN/>
              <w:adjustRightInd w:val="0"/>
              <w:snapToGrid w:val="0"/>
              <w:spacing w:before="0" w:after="0" w:line="360" w:lineRule="auto"/>
              <w:ind w:right="0"/>
              <w:jc w:val="center"/>
              <w:rPr>
                <w:rFonts w:hint="default" w:ascii="Times New Roman" w:hAnsi="Times New Roman" w:eastAsia="宋体" w:cs="Times New Roman"/>
                <w:b/>
                <w:color w:val="auto"/>
                <w:kern w:val="2"/>
                <w:sz w:val="24"/>
                <w:szCs w:val="28"/>
                <w:highlight w:val="none"/>
                <w:lang w:val="en-US" w:eastAsia="zh-CN" w:bidi="ar-SA"/>
              </w:rPr>
            </w:pPr>
            <w:r>
              <w:rPr>
                <w:rFonts w:hint="default" w:ascii="Times New Roman" w:hAnsi="Times New Roman" w:eastAsia="宋体" w:cs="Times New Roman"/>
                <w:b/>
                <w:color w:val="auto"/>
                <w:kern w:val="2"/>
                <w:sz w:val="24"/>
                <w:szCs w:val="28"/>
                <w:highlight w:val="none"/>
                <w:lang w:val="en-US" w:eastAsia="zh-CN" w:bidi="ar-SA"/>
              </w:rPr>
              <w:t>表</w:t>
            </w:r>
            <w:r>
              <w:rPr>
                <w:rFonts w:hint="eastAsia" w:ascii="Times New Roman" w:hAnsi="Times New Roman" w:eastAsia="宋体" w:cs="Times New Roman"/>
                <w:b/>
                <w:color w:val="auto"/>
                <w:kern w:val="2"/>
                <w:sz w:val="24"/>
                <w:szCs w:val="28"/>
                <w:highlight w:val="none"/>
                <w:lang w:val="en-US" w:eastAsia="zh-CN" w:bidi="ar-SA"/>
              </w:rPr>
              <w:t>4.6-1</w:t>
            </w:r>
            <w:r>
              <w:rPr>
                <w:rFonts w:hint="default" w:ascii="Times New Roman" w:hAnsi="Times New Roman" w:eastAsia="宋体" w:cs="Times New Roman"/>
                <w:b/>
                <w:color w:val="auto"/>
                <w:kern w:val="2"/>
                <w:sz w:val="24"/>
                <w:szCs w:val="28"/>
                <w:highlight w:val="none"/>
                <w:lang w:val="en-US" w:eastAsia="zh-CN" w:bidi="ar-SA"/>
              </w:rPr>
              <w:t>本项目</w:t>
            </w:r>
            <w:r>
              <w:rPr>
                <w:rFonts w:hint="eastAsia" w:ascii="Times New Roman" w:hAnsi="Times New Roman" w:eastAsia="宋体" w:cs="Times New Roman"/>
                <w:b/>
                <w:color w:val="auto"/>
                <w:kern w:val="2"/>
                <w:sz w:val="24"/>
                <w:szCs w:val="28"/>
                <w:highlight w:val="none"/>
                <w:lang w:val="en-US" w:eastAsia="zh-CN" w:bidi="ar-SA"/>
              </w:rPr>
              <w:t>生活污水</w:t>
            </w:r>
            <w:r>
              <w:rPr>
                <w:rFonts w:hint="default" w:ascii="Times New Roman" w:hAnsi="Times New Roman" w:eastAsia="宋体" w:cs="Times New Roman"/>
                <w:b/>
                <w:color w:val="auto"/>
                <w:kern w:val="2"/>
                <w:sz w:val="24"/>
                <w:szCs w:val="28"/>
                <w:highlight w:val="none"/>
                <w:lang w:val="en-US" w:eastAsia="zh-CN" w:bidi="ar-SA"/>
              </w:rPr>
              <w:t>污染物产生及排放情况汇总</w:t>
            </w:r>
          </w:p>
          <w:tbl>
            <w:tblPr>
              <w:tblStyle w:val="1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35"/>
              <w:gridCol w:w="826"/>
              <w:gridCol w:w="930"/>
              <w:gridCol w:w="1024"/>
              <w:gridCol w:w="848"/>
              <w:gridCol w:w="848"/>
              <w:gridCol w:w="848"/>
              <w:gridCol w:w="848"/>
              <w:gridCol w:w="849"/>
              <w:gridCol w:w="84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73" w:type="pct"/>
                  <w:vMerge w:val="restart"/>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废水种类</w:t>
                  </w:r>
                </w:p>
              </w:tc>
              <w:tc>
                <w:tcPr>
                  <w:tcW w:w="4128" w:type="pct"/>
                  <w:gridSpan w:val="8"/>
                  <w:tcBorders>
                    <w:tl2br w:val="nil"/>
                    <w:tr2bl w:val="nil"/>
                  </w:tcBorders>
                  <w:shd w:val="clear" w:color="auto" w:fill="auto"/>
                  <w:noWrap/>
                  <w:vAlign w:val="center"/>
                </w:tcPr>
                <w:p>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b w:val="0"/>
                      <w:bCs w:val="0"/>
                      <w:color w:val="auto"/>
                      <w:kern w:val="2"/>
                      <w:sz w:val="24"/>
                      <w:szCs w:val="28"/>
                      <w:highlight w:val="none"/>
                      <w:lang w:val="en-US" w:eastAsia="zh-CN" w:bidi="ar-SA"/>
                    </w:rPr>
                  </w:pPr>
                  <w:r>
                    <w:rPr>
                      <w:rFonts w:hint="default" w:ascii="Times New Roman" w:hAnsi="Times New Roman" w:eastAsia="宋体" w:cs="Times New Roman"/>
                      <w:b w:val="0"/>
                      <w:bCs w:val="0"/>
                      <w:color w:val="auto"/>
                      <w:kern w:val="2"/>
                      <w:sz w:val="24"/>
                      <w:szCs w:val="28"/>
                      <w:highlight w:val="none"/>
                      <w:lang w:val="en-US" w:eastAsia="zh-CN" w:bidi="ar-SA"/>
                    </w:rPr>
                    <w:t>污染物</w:t>
                  </w:r>
                </w:p>
              </w:tc>
              <w:tc>
                <w:tcPr>
                  <w:tcW w:w="498" w:type="pct"/>
                  <w:vMerge w:val="restart"/>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治理措施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6" w:hRule="atLeast"/>
                <w:jc w:val="center"/>
              </w:trPr>
              <w:tc>
                <w:tcPr>
                  <w:tcW w:w="373" w:type="pct"/>
                  <w:vMerge w:val="continue"/>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right="0" w:firstLine="0" w:firstLineChars="0"/>
                    <w:jc w:val="left"/>
                    <w:rPr>
                      <w:rFonts w:hint="default" w:ascii="Times New Roman" w:hAnsi="Times New Roman" w:eastAsia="宋体" w:cs="Times New Roman"/>
                      <w:b w:val="0"/>
                      <w:bCs w:val="0"/>
                      <w:color w:val="auto"/>
                      <w:kern w:val="0"/>
                      <w:sz w:val="21"/>
                      <w:szCs w:val="21"/>
                      <w:highlight w:val="none"/>
                    </w:rPr>
                  </w:pPr>
                </w:p>
              </w:tc>
              <w:tc>
                <w:tcPr>
                  <w:tcW w:w="485" w:type="pct"/>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产生量(t/a)</w:t>
                  </w:r>
                </w:p>
              </w:tc>
              <w:tc>
                <w:tcPr>
                  <w:tcW w:w="546" w:type="pct"/>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污染物</w:t>
                  </w:r>
                </w:p>
              </w:tc>
              <w:tc>
                <w:tcPr>
                  <w:tcW w:w="602" w:type="pct"/>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b w:val="0"/>
                      <w:bCs w:val="0"/>
                      <w:color w:val="auto"/>
                      <w:kern w:val="0"/>
                      <w:sz w:val="21"/>
                      <w:szCs w:val="21"/>
                      <w:highlight w:val="none"/>
                      <w:lang w:eastAsia="zh-CN"/>
                    </w:rPr>
                  </w:pPr>
                  <w:r>
                    <w:rPr>
                      <w:rFonts w:hint="eastAsia" w:ascii="Times New Roman" w:hAnsi="Times New Roman" w:eastAsia="宋体" w:cs="Times New Roman"/>
                      <w:b w:val="0"/>
                      <w:bCs w:val="0"/>
                      <w:color w:val="auto"/>
                      <w:kern w:val="0"/>
                      <w:sz w:val="21"/>
                      <w:szCs w:val="21"/>
                      <w:highlight w:val="none"/>
                      <w:lang w:val="en-US" w:eastAsia="zh-CN"/>
                    </w:rPr>
                    <w:t>产污系数</w:t>
                  </w:r>
                </w:p>
              </w:tc>
              <w:tc>
                <w:tcPr>
                  <w:tcW w:w="498" w:type="pct"/>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rPr>
                  </w:pPr>
                  <w:r>
                    <w:rPr>
                      <w:rFonts w:hint="eastAsia" w:ascii="Times New Roman" w:hAnsi="Times New Roman" w:eastAsia="宋体" w:cs="Times New Roman"/>
                      <w:b w:val="0"/>
                      <w:bCs w:val="0"/>
                      <w:color w:val="auto"/>
                      <w:kern w:val="0"/>
                      <w:sz w:val="21"/>
                      <w:szCs w:val="21"/>
                      <w:highlight w:val="none"/>
                      <w:lang w:val="en-US" w:eastAsia="zh-CN"/>
                    </w:rPr>
                    <w:t>产生</w:t>
                  </w:r>
                  <w:r>
                    <w:rPr>
                      <w:rFonts w:hint="default" w:ascii="Times New Roman" w:hAnsi="Times New Roman" w:eastAsia="宋体" w:cs="Times New Roman"/>
                      <w:b w:val="0"/>
                      <w:bCs w:val="0"/>
                      <w:color w:val="auto"/>
                      <w:kern w:val="0"/>
                      <w:sz w:val="21"/>
                      <w:szCs w:val="21"/>
                      <w:highlight w:val="none"/>
                    </w:rPr>
                    <w:t>量t/a</w:t>
                  </w:r>
                </w:p>
              </w:tc>
              <w:tc>
                <w:tcPr>
                  <w:tcW w:w="498" w:type="pct"/>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产生浓度mg/L</w:t>
                  </w:r>
                </w:p>
              </w:tc>
              <w:tc>
                <w:tcPr>
                  <w:tcW w:w="498" w:type="pct"/>
                  <w:tcBorders>
                    <w:tl2br w:val="nil"/>
                    <w:tr2bl w:val="nil"/>
                  </w:tcBorders>
                  <w:shd w:val="clear" w:color="auto" w:fill="auto"/>
                  <w:noWrap/>
                  <w:vAlign w:val="center"/>
                </w:tcPr>
                <w:p>
                  <w:pPr>
                    <w:widowControl/>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处理效率%</w:t>
                  </w:r>
                </w:p>
              </w:tc>
              <w:tc>
                <w:tcPr>
                  <w:tcW w:w="498" w:type="pct"/>
                  <w:tcBorders>
                    <w:tl2br w:val="nil"/>
                    <w:tr2bl w:val="nil"/>
                  </w:tcBorders>
                  <w:shd w:val="clear" w:color="auto" w:fill="auto"/>
                  <w:noWrap/>
                  <w:vAlign w:val="center"/>
                </w:tcPr>
                <w:p>
                  <w:pPr>
                    <w:widowControl/>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排放浓度mg/L</w:t>
                  </w:r>
                </w:p>
              </w:tc>
              <w:tc>
                <w:tcPr>
                  <w:tcW w:w="499" w:type="pct"/>
                  <w:tcBorders>
                    <w:tl2br w:val="nil"/>
                    <w:tr2bl w:val="nil"/>
                  </w:tcBorders>
                  <w:shd w:val="clear" w:color="auto" w:fill="auto"/>
                  <w:noWrap/>
                  <w:vAlign w:val="center"/>
                </w:tcPr>
                <w:p>
                  <w:pPr>
                    <w:widowControl/>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rPr>
                    <w:t>排放</w:t>
                  </w:r>
                  <w:r>
                    <w:rPr>
                      <w:rFonts w:hint="default" w:ascii="Times New Roman" w:hAnsi="Times New Roman" w:eastAsia="宋体" w:cs="Times New Roman"/>
                      <w:b w:val="0"/>
                      <w:bCs w:val="0"/>
                      <w:color w:val="auto"/>
                      <w:kern w:val="0"/>
                      <w:sz w:val="21"/>
                      <w:szCs w:val="21"/>
                      <w:highlight w:val="none"/>
                    </w:rPr>
                    <w:t>量t/a</w:t>
                  </w:r>
                </w:p>
              </w:tc>
              <w:tc>
                <w:tcPr>
                  <w:tcW w:w="498" w:type="pct"/>
                  <w:vMerge w:val="continue"/>
                  <w:tcBorders>
                    <w:tl2br w:val="nil"/>
                    <w:tr2bl w:val="nil"/>
                  </w:tcBorders>
                  <w:noWrap w:val="0"/>
                  <w:vAlign w:val="center"/>
                </w:tcPr>
                <w:p>
                  <w:pPr>
                    <w:widowControl/>
                    <w:overflowPunct/>
                    <w:autoSpaceDE/>
                    <w:autoSpaceDN/>
                    <w:adjustRightInd/>
                    <w:snapToGrid/>
                    <w:spacing w:before="0" w:after="0" w:line="240" w:lineRule="auto"/>
                    <w:ind w:left="0" w:right="0" w:firstLine="0" w:firstLineChars="0"/>
                    <w:jc w:val="left"/>
                    <w:rPr>
                      <w:rFonts w:hint="default" w:ascii="Times New Roman" w:hAnsi="Times New Roman" w:eastAsia="宋体" w:cs="Times New Roman"/>
                      <w:b/>
                      <w:bCs/>
                      <w:color w:val="auto"/>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373" w:type="pct"/>
                  <w:vMerge w:val="restart"/>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生活污水</w:t>
                  </w:r>
                </w:p>
              </w:tc>
              <w:tc>
                <w:tcPr>
                  <w:tcW w:w="485" w:type="pct"/>
                  <w:vMerge w:val="restart"/>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384</w:t>
                  </w:r>
                </w:p>
              </w:tc>
              <w:tc>
                <w:tcPr>
                  <w:tcW w:w="546"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pH</w:t>
                  </w:r>
                </w:p>
              </w:tc>
              <w:tc>
                <w:tcPr>
                  <w:tcW w:w="602"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6.5-9.5</w:t>
                  </w:r>
                  <w:r>
                    <w:rPr>
                      <w:rFonts w:hint="eastAsia" w:ascii="Times New Roman" w:hAnsi="Times New Roman" w:eastAsia="宋体" w:cs="Times New Roman"/>
                      <w:color w:val="auto"/>
                      <w:kern w:val="0"/>
                      <w:sz w:val="21"/>
                      <w:szCs w:val="21"/>
                      <w:highlight w:val="none"/>
                      <w:lang w:val="en-US" w:eastAsia="zh-CN"/>
                    </w:rPr>
                    <w:t>（无量纲）</w:t>
                  </w:r>
                </w:p>
              </w:tc>
              <w:tc>
                <w:tcPr>
                  <w:tcW w:w="498"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498"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0"/>
                      <w:sz w:val="21"/>
                      <w:szCs w:val="21"/>
                      <w:highlight w:val="none"/>
                      <w:lang w:val="en-US" w:eastAsia="zh-CN"/>
                    </w:rPr>
                    <w:t>6.5-9.5</w:t>
                  </w:r>
                  <w:r>
                    <w:rPr>
                      <w:rFonts w:hint="eastAsia" w:ascii="Times New Roman" w:hAnsi="Times New Roman" w:eastAsia="宋体" w:cs="Times New Roman"/>
                      <w:color w:val="auto"/>
                      <w:kern w:val="0"/>
                      <w:sz w:val="21"/>
                      <w:szCs w:val="21"/>
                      <w:highlight w:val="none"/>
                      <w:lang w:val="en-US" w:eastAsia="zh-CN"/>
                    </w:rPr>
                    <w:t>（无量纲）</w:t>
                  </w:r>
                </w:p>
              </w:tc>
              <w:tc>
                <w:tcPr>
                  <w:tcW w:w="4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49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0"/>
                      <w:sz w:val="21"/>
                      <w:szCs w:val="21"/>
                      <w:highlight w:val="none"/>
                      <w:lang w:val="en-US" w:eastAsia="zh-CN"/>
                    </w:rPr>
                    <w:t>6.5-9.5</w:t>
                  </w:r>
                  <w:r>
                    <w:rPr>
                      <w:rFonts w:hint="eastAsia" w:ascii="Times New Roman" w:hAnsi="Times New Roman" w:eastAsia="宋体" w:cs="Times New Roman"/>
                      <w:color w:val="auto"/>
                      <w:kern w:val="0"/>
                      <w:sz w:val="21"/>
                      <w:szCs w:val="21"/>
                      <w:highlight w:val="none"/>
                      <w:lang w:val="en-US" w:eastAsia="zh-CN"/>
                    </w:rPr>
                    <w:t>（无量纲）</w:t>
                  </w:r>
                </w:p>
              </w:tc>
              <w:tc>
                <w:tcPr>
                  <w:tcW w:w="49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498" w:type="pct"/>
                  <w:vMerge w:val="restart"/>
                  <w:tcBorders>
                    <w:tl2br w:val="nil"/>
                    <w:tr2bl w:val="nil"/>
                  </w:tcBorders>
                  <w:noWrap w:val="0"/>
                  <w:vAlign w:val="center"/>
                </w:tcPr>
                <w:p>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排入园区管网，最终进入阜康市西部城区污水处理厂（阜西区污水处理厂）处置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73" w:type="pct"/>
                  <w:vMerge w:val="continue"/>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485" w:type="pct"/>
                  <w:vMerge w:val="continue"/>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546"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602"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500</w:t>
                  </w:r>
                  <w:r>
                    <w:rPr>
                      <w:rFonts w:hint="eastAsia" w:ascii="Times New Roman" w:hAnsi="Times New Roman" w:eastAsia="宋体" w:cs="Times New Roman"/>
                      <w:color w:val="auto"/>
                      <w:kern w:val="0"/>
                      <w:sz w:val="21"/>
                      <w:szCs w:val="21"/>
                      <w:highlight w:val="none"/>
                      <w:lang w:val="en-US" w:eastAsia="zh-CN"/>
                    </w:rPr>
                    <w:t>mg/L</w:t>
                  </w:r>
                </w:p>
              </w:tc>
              <w:tc>
                <w:tcPr>
                  <w:tcW w:w="498"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19</w:t>
                  </w:r>
                </w:p>
              </w:tc>
              <w:tc>
                <w:tcPr>
                  <w:tcW w:w="498"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500</w:t>
                  </w:r>
                </w:p>
              </w:tc>
              <w:tc>
                <w:tcPr>
                  <w:tcW w:w="49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4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500</w:t>
                  </w:r>
                </w:p>
              </w:tc>
              <w:tc>
                <w:tcPr>
                  <w:tcW w:w="84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19</w:t>
                  </w:r>
                </w:p>
              </w:tc>
              <w:tc>
                <w:tcPr>
                  <w:tcW w:w="498" w:type="pct"/>
                  <w:vMerge w:val="continue"/>
                  <w:tcBorders>
                    <w:tl2br w:val="nil"/>
                    <w:tr2bl w:val="nil"/>
                  </w:tcBorders>
                  <w:noWrap w:val="0"/>
                  <w:vAlign w:val="center"/>
                </w:tcPr>
                <w:p>
                  <w:pPr>
                    <w:widowControl/>
                    <w:overflowPunct/>
                    <w:autoSpaceDE/>
                    <w:autoSpaceDN/>
                    <w:adjustRightInd/>
                    <w:snapToGrid/>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73" w:type="pct"/>
                  <w:vMerge w:val="continue"/>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leftChars="0" w:right="0" w:rightChars="0" w:firstLine="0" w:firstLineChars="0"/>
                    <w:jc w:val="left"/>
                    <w:rPr>
                      <w:rFonts w:hint="eastAsia" w:ascii="Times New Roman" w:hAnsi="Times New Roman" w:eastAsia="宋体" w:cs="Times New Roman"/>
                      <w:color w:val="auto"/>
                      <w:kern w:val="0"/>
                      <w:sz w:val="21"/>
                      <w:szCs w:val="21"/>
                      <w:highlight w:val="none"/>
                      <w:lang w:val="en-US" w:eastAsia="zh-CN"/>
                    </w:rPr>
                  </w:pPr>
                </w:p>
              </w:tc>
              <w:tc>
                <w:tcPr>
                  <w:tcW w:w="485" w:type="pct"/>
                  <w:vMerge w:val="continue"/>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leftChars="0" w:right="0" w:rightChars="0" w:firstLine="0" w:firstLineChars="0"/>
                    <w:jc w:val="left"/>
                    <w:rPr>
                      <w:rFonts w:hint="eastAsia" w:ascii="Times New Roman" w:hAnsi="Times New Roman" w:eastAsia="宋体" w:cs="Times New Roman"/>
                      <w:color w:val="auto"/>
                      <w:kern w:val="0"/>
                      <w:sz w:val="21"/>
                      <w:szCs w:val="21"/>
                      <w:highlight w:val="none"/>
                      <w:lang w:val="en-US" w:eastAsia="zh-CN"/>
                    </w:rPr>
                  </w:pPr>
                </w:p>
              </w:tc>
              <w:tc>
                <w:tcPr>
                  <w:tcW w:w="546"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602"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300</w:t>
                  </w:r>
                  <w:r>
                    <w:rPr>
                      <w:rFonts w:hint="eastAsia" w:ascii="Times New Roman" w:hAnsi="Times New Roman" w:eastAsia="宋体" w:cs="Times New Roman"/>
                      <w:color w:val="auto"/>
                      <w:kern w:val="0"/>
                      <w:sz w:val="21"/>
                      <w:szCs w:val="21"/>
                      <w:highlight w:val="none"/>
                      <w:lang w:val="en-US" w:eastAsia="zh-CN"/>
                    </w:rPr>
                    <w:t>mg/L</w:t>
                  </w:r>
                </w:p>
              </w:tc>
              <w:tc>
                <w:tcPr>
                  <w:tcW w:w="498"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0.12</w:t>
                  </w:r>
                </w:p>
              </w:tc>
              <w:tc>
                <w:tcPr>
                  <w:tcW w:w="498"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300</w:t>
                  </w:r>
                </w:p>
              </w:tc>
              <w:tc>
                <w:tcPr>
                  <w:tcW w:w="49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49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300</w:t>
                  </w:r>
                </w:p>
              </w:tc>
              <w:tc>
                <w:tcPr>
                  <w:tcW w:w="84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0.12</w:t>
                  </w:r>
                </w:p>
              </w:tc>
              <w:tc>
                <w:tcPr>
                  <w:tcW w:w="498" w:type="pct"/>
                  <w:vMerge w:val="continue"/>
                  <w:tcBorders>
                    <w:tl2br w:val="nil"/>
                    <w:tr2bl w:val="nil"/>
                  </w:tcBorders>
                  <w:noWrap w:val="0"/>
                  <w:vAlign w:val="center"/>
                </w:tcPr>
                <w:p>
                  <w:pPr>
                    <w:widowControl/>
                    <w:overflowPunct/>
                    <w:autoSpaceDE/>
                    <w:autoSpaceDN/>
                    <w:adjustRightInd/>
                    <w:snapToGrid/>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73" w:type="pct"/>
                  <w:vMerge w:val="continue"/>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leftChars="0" w:right="0" w:rightChars="0" w:firstLine="0" w:firstLineChars="0"/>
                    <w:jc w:val="left"/>
                    <w:rPr>
                      <w:rFonts w:hint="eastAsia" w:ascii="Times New Roman" w:hAnsi="Times New Roman" w:eastAsia="宋体" w:cs="Times New Roman"/>
                      <w:color w:val="auto"/>
                      <w:kern w:val="0"/>
                      <w:sz w:val="21"/>
                      <w:szCs w:val="21"/>
                      <w:highlight w:val="none"/>
                      <w:lang w:val="en-US" w:eastAsia="zh-CN"/>
                    </w:rPr>
                  </w:pPr>
                </w:p>
              </w:tc>
              <w:tc>
                <w:tcPr>
                  <w:tcW w:w="485" w:type="pct"/>
                  <w:vMerge w:val="continue"/>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leftChars="0" w:right="0" w:rightChars="0" w:firstLine="0" w:firstLineChars="0"/>
                    <w:jc w:val="left"/>
                    <w:rPr>
                      <w:rFonts w:hint="eastAsia" w:ascii="Times New Roman" w:hAnsi="Times New Roman" w:eastAsia="宋体" w:cs="Times New Roman"/>
                      <w:color w:val="auto"/>
                      <w:kern w:val="0"/>
                      <w:sz w:val="21"/>
                      <w:szCs w:val="21"/>
                      <w:highlight w:val="none"/>
                      <w:lang w:val="en-US" w:eastAsia="zh-CN"/>
                    </w:rPr>
                  </w:pPr>
                </w:p>
              </w:tc>
              <w:tc>
                <w:tcPr>
                  <w:tcW w:w="546"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b w:val="0"/>
                      <w:bCs w:val="0"/>
                      <w:color w:val="auto"/>
                      <w:sz w:val="21"/>
                      <w:szCs w:val="21"/>
                      <w:lang w:val="en-US" w:eastAsia="zh-CN"/>
                    </w:rPr>
                    <w:t>氨氮</w:t>
                  </w:r>
                </w:p>
              </w:tc>
              <w:tc>
                <w:tcPr>
                  <w:tcW w:w="602"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r>
                    <w:rPr>
                      <w:rFonts w:hint="eastAsia" w:ascii="Times New Roman" w:hAnsi="Times New Roman" w:eastAsia="宋体" w:cs="Times New Roman"/>
                      <w:color w:val="auto"/>
                      <w:kern w:val="0"/>
                      <w:sz w:val="21"/>
                      <w:szCs w:val="21"/>
                      <w:highlight w:val="none"/>
                      <w:lang w:val="en-US" w:eastAsia="zh-CN"/>
                    </w:rPr>
                    <w:t>mg/L</w:t>
                  </w:r>
                </w:p>
              </w:tc>
              <w:tc>
                <w:tcPr>
                  <w:tcW w:w="498"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 </w:t>
                  </w:r>
                </w:p>
              </w:tc>
              <w:tc>
                <w:tcPr>
                  <w:tcW w:w="498"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49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49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84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 </w:t>
                  </w:r>
                </w:p>
              </w:tc>
              <w:tc>
                <w:tcPr>
                  <w:tcW w:w="498" w:type="pct"/>
                  <w:vMerge w:val="continue"/>
                  <w:tcBorders>
                    <w:tl2br w:val="nil"/>
                    <w:tr2bl w:val="nil"/>
                  </w:tcBorders>
                  <w:noWrap w:val="0"/>
                  <w:vAlign w:val="center"/>
                </w:tcPr>
                <w:p>
                  <w:pPr>
                    <w:widowControl/>
                    <w:overflowPunct/>
                    <w:autoSpaceDE/>
                    <w:autoSpaceDN/>
                    <w:adjustRightInd/>
                    <w:snapToGrid/>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73" w:type="pct"/>
                  <w:vMerge w:val="continue"/>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leftChars="0" w:right="0" w:rightChars="0" w:firstLine="0" w:firstLineChars="0"/>
                    <w:jc w:val="left"/>
                    <w:rPr>
                      <w:rFonts w:hint="eastAsia" w:ascii="Times New Roman" w:hAnsi="Times New Roman" w:eastAsia="宋体" w:cs="Times New Roman"/>
                      <w:color w:val="auto"/>
                      <w:kern w:val="0"/>
                      <w:sz w:val="21"/>
                      <w:szCs w:val="21"/>
                      <w:highlight w:val="none"/>
                      <w:lang w:val="en-US" w:eastAsia="zh-CN"/>
                    </w:rPr>
                  </w:pPr>
                </w:p>
              </w:tc>
              <w:tc>
                <w:tcPr>
                  <w:tcW w:w="485" w:type="pct"/>
                  <w:vMerge w:val="continue"/>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leftChars="0" w:right="0" w:rightChars="0" w:firstLine="0" w:firstLineChars="0"/>
                    <w:jc w:val="left"/>
                    <w:rPr>
                      <w:rFonts w:hint="eastAsia" w:ascii="Times New Roman" w:hAnsi="Times New Roman" w:eastAsia="宋体" w:cs="Times New Roman"/>
                      <w:color w:val="auto"/>
                      <w:kern w:val="0"/>
                      <w:sz w:val="21"/>
                      <w:szCs w:val="21"/>
                      <w:highlight w:val="none"/>
                      <w:lang w:val="en-US" w:eastAsia="zh-CN"/>
                    </w:rPr>
                  </w:pPr>
                </w:p>
              </w:tc>
              <w:tc>
                <w:tcPr>
                  <w:tcW w:w="546"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BOD</w:t>
                  </w:r>
                </w:p>
              </w:tc>
              <w:tc>
                <w:tcPr>
                  <w:tcW w:w="602"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w:t>
                  </w:r>
                  <w:r>
                    <w:rPr>
                      <w:rFonts w:hint="eastAsia" w:ascii="Times New Roman" w:hAnsi="Times New Roman" w:eastAsia="宋体" w:cs="Times New Roman"/>
                      <w:color w:val="auto"/>
                      <w:kern w:val="0"/>
                      <w:sz w:val="21"/>
                      <w:szCs w:val="21"/>
                      <w:highlight w:val="none"/>
                      <w:lang w:val="en-US" w:eastAsia="zh-CN"/>
                    </w:rPr>
                    <w:t>mg/L</w:t>
                  </w:r>
                </w:p>
              </w:tc>
              <w:tc>
                <w:tcPr>
                  <w:tcW w:w="498"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0.12</w:t>
                  </w:r>
                </w:p>
              </w:tc>
              <w:tc>
                <w:tcPr>
                  <w:tcW w:w="498"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49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49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84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0.12</w:t>
                  </w:r>
                </w:p>
              </w:tc>
              <w:tc>
                <w:tcPr>
                  <w:tcW w:w="498" w:type="pct"/>
                  <w:vMerge w:val="continue"/>
                  <w:tcBorders>
                    <w:tl2br w:val="nil"/>
                    <w:tr2bl w:val="nil"/>
                  </w:tcBorders>
                  <w:noWrap w:val="0"/>
                  <w:vAlign w:val="center"/>
                </w:tcPr>
                <w:p>
                  <w:pPr>
                    <w:widowControl/>
                    <w:overflowPunct/>
                    <w:autoSpaceDE/>
                    <w:autoSpaceDN/>
                    <w:adjustRightInd/>
                    <w:snapToGrid/>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73" w:type="pct"/>
                  <w:vMerge w:val="continue"/>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leftChars="0" w:right="0" w:rightChars="0" w:firstLine="0" w:firstLineChars="0"/>
                    <w:jc w:val="left"/>
                    <w:rPr>
                      <w:rFonts w:hint="eastAsia" w:ascii="Times New Roman" w:hAnsi="Times New Roman" w:eastAsia="宋体" w:cs="Times New Roman"/>
                      <w:color w:val="auto"/>
                      <w:kern w:val="0"/>
                      <w:sz w:val="21"/>
                      <w:szCs w:val="21"/>
                      <w:highlight w:val="none"/>
                      <w:lang w:val="en-US" w:eastAsia="zh-CN"/>
                    </w:rPr>
                  </w:pPr>
                </w:p>
              </w:tc>
              <w:tc>
                <w:tcPr>
                  <w:tcW w:w="485" w:type="pct"/>
                  <w:vMerge w:val="continue"/>
                  <w:tcBorders>
                    <w:tl2br w:val="nil"/>
                    <w:tr2bl w:val="nil"/>
                  </w:tcBorders>
                  <w:shd w:val="clear" w:color="auto" w:fill="auto"/>
                  <w:noWrap w:val="0"/>
                  <w:vAlign w:val="center"/>
                </w:tcPr>
                <w:p>
                  <w:pPr>
                    <w:widowControl/>
                    <w:overflowPunct/>
                    <w:autoSpaceDE/>
                    <w:autoSpaceDN/>
                    <w:adjustRightInd/>
                    <w:snapToGrid/>
                    <w:spacing w:before="0" w:after="0" w:line="240" w:lineRule="auto"/>
                    <w:ind w:left="0" w:leftChars="0" w:right="0" w:rightChars="0" w:firstLine="0" w:firstLineChars="0"/>
                    <w:jc w:val="left"/>
                    <w:rPr>
                      <w:rFonts w:hint="eastAsia" w:ascii="Times New Roman" w:hAnsi="Times New Roman" w:eastAsia="宋体" w:cs="Times New Roman"/>
                      <w:color w:val="auto"/>
                      <w:kern w:val="0"/>
                      <w:sz w:val="21"/>
                      <w:szCs w:val="21"/>
                      <w:highlight w:val="none"/>
                      <w:lang w:val="en-US" w:eastAsia="zh-CN"/>
                    </w:rPr>
                  </w:pPr>
                </w:p>
              </w:tc>
              <w:tc>
                <w:tcPr>
                  <w:tcW w:w="546"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动植物油</w:t>
                  </w:r>
                </w:p>
              </w:tc>
              <w:tc>
                <w:tcPr>
                  <w:tcW w:w="602"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100</w:t>
                  </w:r>
                  <w:r>
                    <w:rPr>
                      <w:rFonts w:hint="eastAsia" w:ascii="Times New Roman" w:hAnsi="Times New Roman" w:eastAsia="宋体" w:cs="Times New Roman"/>
                      <w:color w:val="auto"/>
                      <w:kern w:val="0"/>
                      <w:sz w:val="21"/>
                      <w:szCs w:val="21"/>
                      <w:highlight w:val="none"/>
                      <w:lang w:val="en-US" w:eastAsia="zh-CN"/>
                    </w:rPr>
                    <w:t>mg/L</w:t>
                  </w:r>
                </w:p>
              </w:tc>
              <w:tc>
                <w:tcPr>
                  <w:tcW w:w="498"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w:t>
                  </w:r>
                </w:p>
              </w:tc>
              <w:tc>
                <w:tcPr>
                  <w:tcW w:w="498"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100</w:t>
                  </w:r>
                </w:p>
              </w:tc>
              <w:tc>
                <w:tcPr>
                  <w:tcW w:w="49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4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100</w:t>
                  </w:r>
                </w:p>
              </w:tc>
              <w:tc>
                <w:tcPr>
                  <w:tcW w:w="84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w:t>
                  </w:r>
                </w:p>
              </w:tc>
              <w:tc>
                <w:tcPr>
                  <w:tcW w:w="498" w:type="pct"/>
                  <w:vMerge w:val="continue"/>
                  <w:tcBorders>
                    <w:tl2br w:val="nil"/>
                    <w:tr2bl w:val="nil"/>
                  </w:tcBorders>
                  <w:noWrap w:val="0"/>
                  <w:vAlign w:val="center"/>
                </w:tcPr>
                <w:p>
                  <w:pPr>
                    <w:widowControl/>
                    <w:overflowPunct/>
                    <w:autoSpaceDE/>
                    <w:autoSpaceDN/>
                    <w:adjustRightInd/>
                    <w:snapToGrid/>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bl>
          <w:p>
            <w:pPr>
              <w:widowControl w:val="0"/>
              <w:numPr>
                <w:ilvl w:val="0"/>
                <w:numId w:val="0"/>
              </w:numPr>
              <w:overflowPunct w:val="0"/>
              <w:autoSpaceDE w:val="0"/>
              <w:autoSpaceDN w:val="0"/>
              <w:adjustRightInd w:val="0"/>
              <w:snapToGrid w:val="0"/>
              <w:spacing w:line="360" w:lineRule="auto"/>
              <w:ind w:left="480" w:leftChars="200" w:firstLine="0" w:firstLineChars="0"/>
              <w:jc w:val="both"/>
              <w:rPr>
                <w:rFonts w:hint="eastAsia" w:ascii="Times New Roman" w:hAnsi="Times New Roman" w:eastAsia="宋体" w:cs="Times New Roman"/>
                <w:b w:val="0"/>
                <w:bCs w:val="0"/>
                <w:color w:val="auto"/>
                <w:kern w:val="2"/>
                <w:sz w:val="24"/>
                <w:szCs w:val="20"/>
                <w:highlight w:val="none"/>
                <w:lang w:val="en-US" w:eastAsia="zh-CN" w:bidi="ar-SA"/>
              </w:rPr>
            </w:pPr>
            <w:r>
              <w:rPr>
                <w:rFonts w:hint="eastAsia" w:ascii="Times New Roman" w:hAnsi="Times New Roman" w:eastAsia="宋体" w:cs="Times New Roman"/>
                <w:b w:val="0"/>
                <w:bCs w:val="0"/>
                <w:color w:val="auto"/>
                <w:kern w:val="2"/>
                <w:sz w:val="24"/>
                <w:szCs w:val="20"/>
                <w:highlight w:val="none"/>
                <w:lang w:val="en-US" w:eastAsia="zh-CN" w:bidi="ar-SA"/>
              </w:rPr>
              <w:t>①废水排放口基本情况见表4.6-2、表4.6-3。</w:t>
            </w:r>
          </w:p>
          <w:p>
            <w:pPr>
              <w:widowControl w:val="0"/>
              <w:numPr>
                <w:ilvl w:val="0"/>
                <w:numId w:val="0"/>
              </w:numPr>
              <w:overflowPunct w:val="0"/>
              <w:autoSpaceDE w:val="0"/>
              <w:autoSpaceDN w:val="0"/>
              <w:adjustRightInd w:val="0"/>
              <w:snapToGrid w:val="0"/>
              <w:spacing w:line="360" w:lineRule="auto"/>
              <w:ind w:left="480" w:leftChars="200" w:firstLine="0" w:firstLineChars="0"/>
              <w:jc w:val="both"/>
              <w:rPr>
                <w:rFonts w:hint="eastAsia" w:ascii="Times New Roman" w:hAnsi="Times New Roman" w:eastAsia="宋体" w:cs="Times New Roman"/>
                <w:b w:val="0"/>
                <w:bCs w:val="0"/>
                <w:color w:val="auto"/>
                <w:kern w:val="2"/>
                <w:sz w:val="24"/>
                <w:szCs w:val="20"/>
                <w:highlight w:val="none"/>
                <w:lang w:val="en-US" w:eastAsia="zh-CN" w:bidi="ar-SA"/>
              </w:rPr>
            </w:pPr>
            <w:r>
              <w:rPr>
                <w:rFonts w:hint="eastAsia" w:ascii="Times New Roman" w:hAnsi="Times New Roman" w:eastAsia="宋体" w:cs="Times New Roman"/>
                <w:b w:val="0"/>
                <w:bCs w:val="0"/>
                <w:color w:val="auto"/>
                <w:kern w:val="2"/>
                <w:sz w:val="24"/>
                <w:szCs w:val="20"/>
                <w:highlight w:val="none"/>
                <w:lang w:val="en-US" w:eastAsia="zh-CN" w:bidi="ar-SA"/>
              </w:rPr>
              <w:t>②废水排放口基本情况见表4.6-4、表4.6-5。</w:t>
            </w:r>
          </w:p>
          <w:p>
            <w:pPr>
              <w:widowControl w:val="0"/>
              <w:numPr>
                <w:ilvl w:val="0"/>
                <w:numId w:val="0"/>
              </w:numPr>
              <w:overflowPunct w:val="0"/>
              <w:autoSpaceDE w:val="0"/>
              <w:autoSpaceDN w:val="0"/>
              <w:adjustRightInd w:val="0"/>
              <w:snapToGrid w:val="0"/>
              <w:spacing w:line="360" w:lineRule="auto"/>
              <w:ind w:left="480" w:leftChars="200" w:firstLine="0" w:firstLineChars="0"/>
              <w:jc w:val="both"/>
              <w:rPr>
                <w:rFonts w:hint="eastAsia" w:ascii="Times New Roman" w:hAnsi="Times New Roman" w:eastAsia="宋体" w:cs="Times New Roman"/>
                <w:b w:val="0"/>
                <w:bCs w:val="0"/>
                <w:color w:val="auto"/>
                <w:kern w:val="2"/>
                <w:sz w:val="24"/>
                <w:szCs w:val="20"/>
                <w:highlight w:val="none"/>
                <w:lang w:val="en-US" w:eastAsia="zh-CN" w:bidi="ar-SA"/>
              </w:rPr>
            </w:pPr>
            <w:r>
              <w:rPr>
                <w:rFonts w:hint="eastAsia" w:ascii="Times New Roman" w:hAnsi="Times New Roman" w:eastAsia="宋体" w:cs="Times New Roman"/>
                <w:b w:val="0"/>
                <w:bCs w:val="0"/>
                <w:color w:val="auto"/>
                <w:kern w:val="2"/>
                <w:sz w:val="24"/>
                <w:szCs w:val="20"/>
                <w:highlight w:val="none"/>
                <w:lang w:val="en-US" w:eastAsia="zh-CN" w:bidi="ar-SA"/>
              </w:rPr>
              <w:t>③废水污染物排放信息见表4.6-6。</w:t>
            </w:r>
          </w:p>
          <w:p>
            <w:pPr>
              <w:widowControl w:val="0"/>
              <w:numPr>
                <w:ilvl w:val="0"/>
                <w:numId w:val="0"/>
              </w:numPr>
              <w:overflowPunct w:val="0"/>
              <w:autoSpaceDE w:val="0"/>
              <w:autoSpaceDN w:val="0"/>
              <w:adjustRightInd w:val="0"/>
              <w:snapToGrid w:val="0"/>
              <w:spacing w:line="360" w:lineRule="auto"/>
              <w:ind w:left="480" w:leftChars="200" w:firstLine="0" w:firstLineChars="0"/>
              <w:jc w:val="both"/>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b w:val="0"/>
                <w:bCs w:val="0"/>
                <w:color w:val="auto"/>
                <w:kern w:val="2"/>
                <w:sz w:val="24"/>
                <w:szCs w:val="20"/>
                <w:highlight w:val="none"/>
                <w:lang w:val="en-US" w:eastAsia="zh-CN" w:bidi="ar-SA"/>
              </w:rPr>
              <w:t>（2）</w:t>
            </w:r>
            <w:r>
              <w:rPr>
                <w:rFonts w:hint="eastAsia" w:ascii="Times New Roman" w:hAnsi="Times New Roman" w:eastAsia="宋体" w:cs="Times New Roman"/>
                <w:color w:val="auto"/>
                <w:kern w:val="2"/>
                <w:sz w:val="24"/>
                <w:szCs w:val="20"/>
                <w:highlight w:val="none"/>
                <w:lang w:val="en-US" w:eastAsia="zh-CN" w:bidi="ar-SA"/>
              </w:rPr>
              <w:t>生活污水依托可行性分析</w:t>
            </w:r>
          </w:p>
          <w:p>
            <w:pPr>
              <w:widowControl w:val="0"/>
              <w:overflowPunct w:val="0"/>
              <w:autoSpaceDE w:val="0"/>
              <w:autoSpaceDN w:val="0"/>
              <w:bidi w:val="0"/>
              <w:adjustRightInd w:val="0"/>
              <w:snapToGrid w:val="0"/>
              <w:spacing w:before="0" w:after="0" w:line="360" w:lineRule="auto"/>
              <w:ind w:left="0" w:right="0" w:firstLine="480" w:firstLineChars="200"/>
              <w:jc w:val="both"/>
              <w:outlineLvl w:val="1"/>
              <w:rPr>
                <w:rFonts w:hint="default" w:ascii="宋体" w:hAnsi="宋体"/>
                <w:color w:val="auto"/>
                <w:szCs w:val="24"/>
                <w:highlight w:val="none"/>
                <w:lang w:val="en-US" w:bidi="ar"/>
              </w:rPr>
            </w:pPr>
            <w:r>
              <w:rPr>
                <w:rFonts w:hint="eastAsia" w:ascii="Times New Roman" w:hAnsi="Times New Roman" w:eastAsia="宋体" w:cs="Times New Roman"/>
                <w:color w:val="000000"/>
                <w:kern w:val="2"/>
                <w:sz w:val="24"/>
                <w:szCs w:val="20"/>
                <w:highlight w:val="none"/>
                <w:lang w:val="en-US" w:eastAsia="zh-CN"/>
              </w:rPr>
              <w:t>阜康市西部城区污水处理厂，又名阜西区污水处理厂，</w:t>
            </w:r>
            <w:r>
              <w:rPr>
                <w:rFonts w:hint="eastAsia" w:cs="Times New Roman"/>
                <w:color w:val="000000"/>
                <w:kern w:val="2"/>
                <w:sz w:val="24"/>
                <w:szCs w:val="20"/>
                <w:highlight w:val="none"/>
                <w:lang w:val="en-US" w:eastAsia="zh-CN"/>
              </w:rPr>
              <w:t>2016年6月6日取得《关于</w:t>
            </w:r>
            <w:r>
              <w:rPr>
                <w:rFonts w:hint="eastAsia" w:ascii="Times New Roman" w:hAnsi="Times New Roman" w:eastAsia="宋体" w:cs="Times New Roman"/>
                <w:color w:val="000000"/>
                <w:kern w:val="2"/>
                <w:sz w:val="24"/>
                <w:szCs w:val="20"/>
                <w:highlight w:val="none"/>
                <w:lang w:val="en-US" w:eastAsia="zh-CN"/>
              </w:rPr>
              <w:t>阜康市西部城区污水处理厂</w:t>
            </w:r>
            <w:r>
              <w:rPr>
                <w:rFonts w:hint="eastAsia" w:cs="Times New Roman"/>
                <w:color w:val="000000"/>
                <w:kern w:val="2"/>
                <w:sz w:val="24"/>
                <w:szCs w:val="20"/>
                <w:highlight w:val="none"/>
                <w:lang w:val="en-US" w:eastAsia="zh-CN"/>
              </w:rPr>
              <w:t>及配套管网工程环境影响报告书的批复》（新环函[2016]680号），</w:t>
            </w:r>
            <w:r>
              <w:rPr>
                <w:rFonts w:hint="eastAsia" w:ascii="Times New Roman" w:hAnsi="Times New Roman" w:eastAsia="宋体" w:cs="Times New Roman"/>
                <w:color w:val="000000"/>
                <w:kern w:val="2"/>
                <w:sz w:val="24"/>
                <w:szCs w:val="20"/>
                <w:highlight w:val="none"/>
                <w:lang w:val="en-US" w:eastAsia="zh-CN"/>
              </w:rPr>
              <w:t>于201</w:t>
            </w:r>
            <w:r>
              <w:rPr>
                <w:rFonts w:hint="eastAsia" w:cs="Times New Roman"/>
                <w:color w:val="000000"/>
                <w:kern w:val="2"/>
                <w:sz w:val="24"/>
                <w:szCs w:val="20"/>
                <w:highlight w:val="none"/>
                <w:lang w:val="en-US" w:eastAsia="zh-CN"/>
              </w:rPr>
              <w:t>6</w:t>
            </w:r>
            <w:r>
              <w:rPr>
                <w:rFonts w:hint="eastAsia" w:ascii="Times New Roman" w:hAnsi="Times New Roman" w:eastAsia="宋体" w:cs="Times New Roman"/>
                <w:color w:val="000000"/>
                <w:kern w:val="2"/>
                <w:sz w:val="24"/>
                <w:szCs w:val="20"/>
                <w:highlight w:val="none"/>
                <w:lang w:val="en-US" w:eastAsia="zh-CN"/>
              </w:rPr>
              <w:t>年</w:t>
            </w:r>
            <w:r>
              <w:rPr>
                <w:rFonts w:hint="eastAsia" w:cs="Times New Roman"/>
                <w:color w:val="000000"/>
                <w:kern w:val="2"/>
                <w:sz w:val="24"/>
                <w:szCs w:val="20"/>
                <w:highlight w:val="none"/>
                <w:lang w:val="en-US" w:eastAsia="zh-CN"/>
              </w:rPr>
              <w:t>建成，2018年5月31日完成验收</w:t>
            </w:r>
            <w:r>
              <w:rPr>
                <w:rFonts w:hint="eastAsia" w:ascii="Times New Roman" w:hAnsi="Times New Roman" w:eastAsia="宋体" w:cs="Times New Roman"/>
                <w:color w:val="000000"/>
                <w:kern w:val="2"/>
                <w:sz w:val="24"/>
                <w:szCs w:val="20"/>
                <w:highlight w:val="none"/>
                <w:lang w:val="en-US" w:eastAsia="zh-CN"/>
              </w:rPr>
              <w:t>，阜西区污水处理厂采用较为先进的污水处理工艺水解酸化+ A2/O+ MBR膜池，其设计规模为5万立方米/日，目前日处理规模达到2万立方米/日，园区内下水管网均已敷设完毕，各企业内排水管网与园区主下水管网接通后即可排水。根据实地调查，目前项目区污水管网已经铺设完毕，阜西区污水处理厂已投入运营，经处理后的污水水质满足《城镇污水处理厂污染物排放标准》（GB18918-2002）一级A排放标准，目前仍有充足容量，因此本项目生活污水排入园区管网依托可行</w:t>
            </w:r>
            <w:r>
              <w:rPr>
                <w:rFonts w:hint="default" w:ascii="Times New Roman" w:hAnsi="Times New Roman" w:cs="Times New Roman"/>
                <w:color w:val="auto"/>
                <w:szCs w:val="24"/>
                <w:highlight w:val="none"/>
                <w:lang w:val="en-US" w:eastAsia="zh-CN" w:bidi="ar"/>
              </w:rPr>
              <w:t>。</w:t>
            </w:r>
          </w:p>
          <w:p>
            <w:pPr>
              <w:widowControl w:val="0"/>
              <w:numPr>
                <w:ilvl w:val="0"/>
                <w:numId w:val="0"/>
              </w:numPr>
              <w:overflowPunct w:val="0"/>
              <w:autoSpaceDE w:val="0"/>
              <w:autoSpaceDN w:val="0"/>
              <w:adjustRightInd w:val="0"/>
              <w:snapToGrid w:val="0"/>
              <w:spacing w:line="360" w:lineRule="auto"/>
              <w:ind w:left="0" w:leftChars="0" w:firstLine="480" w:firstLineChars="200"/>
              <w:jc w:val="both"/>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（3）废水监测制度</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宋体" w:cs="宋体"/>
                <w:bCs/>
                <w:snapToGrid w:val="0"/>
                <w:color w:val="000000"/>
                <w:spacing w:val="-10"/>
                <w:kern w:val="2"/>
                <w:sz w:val="21"/>
                <w:szCs w:val="21"/>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rPr>
              <w:t>参照</w:t>
            </w:r>
            <w:r>
              <w:rPr>
                <w:rFonts w:hint="eastAsia" w:ascii="Times New Roman" w:hAnsi="Times New Roman" w:eastAsia="宋体" w:cs="Times New Roman"/>
                <w:color w:val="000000"/>
                <w:kern w:val="2"/>
                <w:sz w:val="24"/>
                <w:szCs w:val="20"/>
                <w:highlight w:val="none"/>
                <w:lang w:val="en-US" w:eastAsia="zh-CN"/>
              </w:rPr>
              <w:t>《排污单位自行监测技术指南 橡胶和塑料制品》（HJ1207-2021）</w:t>
            </w:r>
            <w:r>
              <w:rPr>
                <w:rFonts w:hint="eastAsia" w:ascii="Times New Roman" w:hAnsi="Times New Roman" w:eastAsia="宋体" w:cs="Times New Roman"/>
                <w:color w:val="auto"/>
                <w:kern w:val="2"/>
                <w:sz w:val="24"/>
                <w:szCs w:val="20"/>
                <w:highlight w:val="none"/>
                <w:lang w:val="en-US" w:eastAsia="zh-CN"/>
              </w:rPr>
              <w:t>监测要求，非重点排污单位间接排放生活污水可不进行监测，因此本项目不设置生活污水监测制度。</w:t>
            </w:r>
          </w:p>
        </w:tc>
      </w:tr>
    </w:tbl>
    <w:p>
      <w:pPr>
        <w:rPr>
          <w:rFonts w:hint="eastAsia" w:ascii="Times New Roman" w:hAnsi="Times New Roman" w:eastAsia="宋体" w:cs="宋体"/>
          <w:color w:val="auto"/>
          <w:sz w:val="24"/>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val="0"/>
        <w:spacing w:line="400" w:lineRule="exact"/>
        <w:ind w:firstLine="0" w:firstLineChars="0"/>
        <w:jc w:val="center"/>
        <w:rPr>
          <w:rFonts w:hint="eastAsia" w:ascii="Times New Roman" w:hAnsi="Times New Roman" w:eastAsia="宋体" w:cs="宋体"/>
          <w:b/>
          <w:color w:val="000000" w:themeColor="text1"/>
          <w:sz w:val="24"/>
          <w:szCs w:val="24"/>
          <w:lang w:val="en-US" w:eastAsia="zh-CN" w:bidi="ar-SA"/>
          <w14:textFill>
            <w14:solidFill>
              <w14:schemeClr w14:val="tx1"/>
            </w14:solidFill>
          </w14:textFill>
        </w:rPr>
      </w:pPr>
      <w:r>
        <w:rPr>
          <w:rFonts w:hint="eastAsia" w:ascii="Times New Roman" w:hAnsi="Times New Roman" w:eastAsia="宋体" w:cs="宋体"/>
          <w:b/>
          <w:color w:val="000000" w:themeColor="text1"/>
          <w:sz w:val="24"/>
          <w:szCs w:val="24"/>
          <w:lang w:val="en-US" w:eastAsia="zh-CN" w:bidi="ar-SA"/>
          <w14:textFill>
            <w14:solidFill>
              <w14:schemeClr w14:val="tx1"/>
            </w14:solidFill>
          </w14:textFill>
        </w:rPr>
        <w:t>表4.6-2废水类别、污染物及污染治理设施信息表</w:t>
      </w:r>
    </w:p>
    <w:tbl>
      <w:tblPr>
        <w:tblStyle w:val="1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16"/>
        <w:gridCol w:w="916"/>
        <w:gridCol w:w="1118"/>
        <w:gridCol w:w="1080"/>
        <w:gridCol w:w="1290"/>
        <w:gridCol w:w="1125"/>
        <w:gridCol w:w="1410"/>
        <w:gridCol w:w="1161"/>
        <w:gridCol w:w="885"/>
        <w:gridCol w:w="1530"/>
        <w:gridCol w:w="31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5" w:hRule="atLeast"/>
        </w:trPr>
        <w:tc>
          <w:tcPr>
            <w:tcW w:w="182"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序号</w:t>
            </w:r>
          </w:p>
        </w:tc>
        <w:tc>
          <w:tcPr>
            <w:tcW w:w="323"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废水类别</w:t>
            </w:r>
          </w:p>
        </w:tc>
        <w:tc>
          <w:tcPr>
            <w:tcW w:w="394"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污染物种类</w:t>
            </w:r>
          </w:p>
        </w:tc>
        <w:tc>
          <w:tcPr>
            <w:tcW w:w="381"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排水去向</w:t>
            </w:r>
          </w:p>
        </w:tc>
        <w:tc>
          <w:tcPr>
            <w:tcW w:w="455"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排放规律</w:t>
            </w:r>
          </w:p>
        </w:tc>
        <w:tc>
          <w:tcPr>
            <w:tcW w:w="1304" w:type="pct"/>
            <w:gridSpan w:val="3"/>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污染治理设施</w:t>
            </w:r>
          </w:p>
        </w:tc>
        <w:tc>
          <w:tcPr>
            <w:tcW w:w="312"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排放口编号</w:t>
            </w:r>
          </w:p>
        </w:tc>
        <w:tc>
          <w:tcPr>
            <w:tcW w:w="540"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排放口设置是否符合要求</w:t>
            </w:r>
          </w:p>
        </w:tc>
        <w:tc>
          <w:tcPr>
            <w:tcW w:w="1105"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排放口类型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5" w:hRule="atLeast"/>
        </w:trPr>
        <w:tc>
          <w:tcPr>
            <w:tcW w:w="182"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23"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94"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81"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455"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97"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污染治理设施编号</w:t>
            </w:r>
          </w:p>
        </w:tc>
        <w:tc>
          <w:tcPr>
            <w:tcW w:w="497"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污染治理设施名称</w:t>
            </w:r>
          </w:p>
        </w:tc>
        <w:tc>
          <w:tcPr>
            <w:tcW w:w="409"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污染治理设施工艺</w:t>
            </w:r>
          </w:p>
        </w:tc>
        <w:tc>
          <w:tcPr>
            <w:tcW w:w="312"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54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1105"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82"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1</w:t>
            </w:r>
          </w:p>
        </w:tc>
        <w:tc>
          <w:tcPr>
            <w:tcW w:w="323"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生活污水</w:t>
            </w:r>
          </w:p>
        </w:tc>
        <w:tc>
          <w:tcPr>
            <w:tcW w:w="39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eastAsia="zh-CN"/>
              </w:rPr>
            </w:pPr>
            <w:r>
              <w:rPr>
                <w:rFonts w:hint="eastAsia" w:ascii="Times New Roman" w:hAnsi="Times New Roman" w:eastAsia="宋体" w:cs="Times New Roman"/>
                <w:color w:val="auto"/>
                <w:kern w:val="0"/>
                <w:sz w:val="21"/>
                <w:szCs w:val="21"/>
                <w:highlight w:val="none"/>
                <w:lang w:val="en-US" w:eastAsia="zh-CN"/>
              </w:rPr>
              <w:t>pH、</w:t>
            </w:r>
            <w:r>
              <w:rPr>
                <w:rFonts w:hint="default" w:ascii="Times New Roman" w:hAnsi="Times New Roman" w:eastAsia="宋体" w:cs="Times New Roman"/>
                <w:i w:val="0"/>
                <w:iCs w:val="0"/>
                <w:color w:val="auto"/>
                <w:kern w:val="0"/>
                <w:sz w:val="21"/>
                <w:szCs w:val="21"/>
                <w:highlight w:val="none"/>
                <w:u w:val="none"/>
                <w:lang w:val="en-US" w:eastAsia="zh-CN" w:bidi="ar"/>
              </w:rPr>
              <w:t>COD</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i w:val="0"/>
                <w:iCs w:val="0"/>
                <w:color w:val="auto"/>
                <w:kern w:val="0"/>
                <w:sz w:val="21"/>
                <w:szCs w:val="21"/>
                <w:highlight w:val="none"/>
                <w:u w:val="none"/>
                <w:lang w:val="en-US" w:eastAsia="zh-CN" w:bidi="ar"/>
              </w:rPr>
              <w:t>SS</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b w:val="0"/>
                <w:bCs w:val="0"/>
                <w:color w:val="auto"/>
                <w:sz w:val="21"/>
                <w:szCs w:val="21"/>
                <w:lang w:val="en-US" w:eastAsia="zh-CN"/>
              </w:rPr>
              <w:t>氨氮</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eastAsia" w:ascii="Times New Roman" w:hAnsi="Times New Roman" w:eastAsia="宋体" w:cs="Times New Roman"/>
                <w:i w:val="0"/>
                <w:iCs w:val="0"/>
                <w:color w:val="auto"/>
                <w:kern w:val="0"/>
                <w:sz w:val="21"/>
                <w:szCs w:val="21"/>
                <w:highlight w:val="none"/>
                <w:u w:val="none"/>
                <w:lang w:val="en-US" w:eastAsia="zh-CN" w:bidi="ar"/>
              </w:rPr>
              <w:t>、动植物油</w:t>
            </w:r>
          </w:p>
        </w:tc>
        <w:tc>
          <w:tcPr>
            <w:tcW w:w="381"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default" w:ascii="Times New Roman" w:hAnsi="Times New Roman" w:eastAsia="宋体" w:cs="Times New Roman"/>
                <w:sz w:val="21"/>
                <w:lang w:val="en-US" w:eastAsia="zh-CN" w:bidi="ar-SA"/>
              </w:rPr>
              <w:t>阜康市西部城区污水处理厂（阜西区污水处理厂）</w:t>
            </w:r>
          </w:p>
        </w:tc>
        <w:tc>
          <w:tcPr>
            <w:tcW w:w="455"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间断排放，排放期间流量不稳定，但有规律，且不属于非周期性规律</w:t>
            </w:r>
          </w:p>
        </w:tc>
        <w:tc>
          <w:tcPr>
            <w:tcW w:w="397"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无</w:t>
            </w:r>
          </w:p>
        </w:tc>
        <w:tc>
          <w:tcPr>
            <w:tcW w:w="497"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w:t>
            </w:r>
          </w:p>
        </w:tc>
        <w:tc>
          <w:tcPr>
            <w:tcW w:w="409"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w:t>
            </w:r>
          </w:p>
        </w:tc>
        <w:tc>
          <w:tcPr>
            <w:tcW w:w="312"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DW001生活污水总排口</w:t>
            </w:r>
          </w:p>
        </w:tc>
        <w:tc>
          <w:tcPr>
            <w:tcW w:w="540"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☑是</w:t>
            </w:r>
          </w:p>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□否</w:t>
            </w:r>
          </w:p>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1105"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☑企业总排    □雨水排放</w:t>
            </w:r>
          </w:p>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□清净下水排放 □温排水排放</w:t>
            </w:r>
          </w:p>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□车间或车间处理设施排放</w:t>
            </w:r>
          </w:p>
        </w:tc>
      </w:tr>
    </w:tbl>
    <w:p>
      <w:pPr>
        <w:widowControl w:val="0"/>
        <w:spacing w:line="400" w:lineRule="exact"/>
        <w:ind w:firstLine="0" w:firstLineChars="0"/>
        <w:jc w:val="center"/>
        <w:rPr>
          <w:rFonts w:ascii="Times New Roman" w:hAnsi="Times New Roman" w:eastAsia="宋体" w:cs="宋体"/>
          <w:b/>
          <w:color w:val="000000" w:themeColor="text1"/>
          <w:sz w:val="24"/>
          <w:szCs w:val="24"/>
          <w:lang w:val="en-US" w:eastAsia="zh-CN" w:bidi="ar-SA"/>
          <w14:textFill>
            <w14:solidFill>
              <w14:schemeClr w14:val="tx1"/>
            </w14:solidFill>
          </w14:textFill>
        </w:rPr>
      </w:pPr>
      <w:r>
        <w:rPr>
          <w:rFonts w:hint="eastAsia" w:ascii="Times New Roman" w:hAnsi="Times New Roman" w:eastAsia="宋体" w:cs="宋体"/>
          <w:b/>
          <w:color w:val="000000" w:themeColor="text1"/>
          <w:sz w:val="24"/>
          <w:szCs w:val="24"/>
          <w:lang w:val="en-US" w:eastAsia="zh-CN" w:bidi="ar-SA"/>
          <w14:textFill>
            <w14:solidFill>
              <w14:schemeClr w14:val="tx1"/>
            </w14:solidFill>
          </w14:textFill>
        </w:rPr>
        <w:t>表4.6-3废水间接排放口基本情况表</w:t>
      </w:r>
    </w:p>
    <w:tbl>
      <w:tblPr>
        <w:tblStyle w:val="14"/>
        <w:tblW w:w="1417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70"/>
        <w:gridCol w:w="833"/>
        <w:gridCol w:w="1044"/>
        <w:gridCol w:w="712"/>
        <w:gridCol w:w="712"/>
        <w:gridCol w:w="901"/>
        <w:gridCol w:w="534"/>
        <w:gridCol w:w="993"/>
        <w:gridCol w:w="1044"/>
        <w:gridCol w:w="1044"/>
        <w:gridCol w:w="2856"/>
        <w:gridCol w:w="303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jc w:val="center"/>
        </w:trPr>
        <w:tc>
          <w:tcPr>
            <w:tcW w:w="165"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序号</w:t>
            </w:r>
          </w:p>
        </w:tc>
        <w:tc>
          <w:tcPr>
            <w:tcW w:w="293"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排放口编号</w:t>
            </w:r>
          </w:p>
        </w:tc>
        <w:tc>
          <w:tcPr>
            <w:tcW w:w="368"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废水排放量（万t/a）</w:t>
            </w:r>
          </w:p>
        </w:tc>
        <w:tc>
          <w:tcPr>
            <w:tcW w:w="502" w:type="pct"/>
            <w:gridSpan w:val="2"/>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排放口地理坐标</w:t>
            </w:r>
          </w:p>
        </w:tc>
        <w:tc>
          <w:tcPr>
            <w:tcW w:w="317"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排水去向</w:t>
            </w:r>
          </w:p>
        </w:tc>
        <w:tc>
          <w:tcPr>
            <w:tcW w:w="188"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排放规律</w:t>
            </w:r>
          </w:p>
        </w:tc>
        <w:tc>
          <w:tcPr>
            <w:tcW w:w="350"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间歇排放时间段</w:t>
            </w:r>
          </w:p>
        </w:tc>
        <w:tc>
          <w:tcPr>
            <w:tcW w:w="2813" w:type="pct"/>
            <w:gridSpan w:val="4"/>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ascii="Arial" w:hAnsi="Arial" w:eastAsia="宋体" w:cs="Arial"/>
                <w:i w:val="0"/>
                <w:iCs w:val="0"/>
                <w:caps w:val="0"/>
                <w:color w:val="333333"/>
                <w:spacing w:val="0"/>
                <w:sz w:val="21"/>
                <w:szCs w:val="21"/>
                <w:shd w:val="clear" w:fill="F5F3F4"/>
                <w:lang w:val="en-US" w:eastAsia="zh-CN" w:bidi="ar-SA"/>
              </w:rPr>
              <w:t>受纳污水处理厂信息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65"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93"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51"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经度</w:t>
            </w:r>
          </w:p>
        </w:tc>
        <w:tc>
          <w:tcPr>
            <w:tcW w:w="251"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纬度</w:t>
            </w:r>
          </w:p>
        </w:tc>
        <w:tc>
          <w:tcPr>
            <w:tcW w:w="317"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18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5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名称</w:t>
            </w:r>
          </w:p>
        </w:tc>
        <w:tc>
          <w:tcPr>
            <w:tcW w:w="368"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污染物</w:t>
            </w:r>
          </w:p>
        </w:tc>
        <w:tc>
          <w:tcPr>
            <w:tcW w:w="1007"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ascii="Times New Roman" w:hAnsi="Times New Roman" w:eastAsia="宋体" w:cs="Times New Roman"/>
                <w:sz w:val="21"/>
                <w:lang w:val="en-US" w:eastAsia="zh-CN" w:bidi="ar-SA"/>
              </w:rPr>
              <w:t>排水协议规定的浓度限值</w:t>
            </w:r>
            <w:r>
              <w:rPr>
                <w:rFonts w:hint="eastAsia" w:ascii="Times New Roman" w:hAnsi="Times New Roman" w:eastAsia="宋体" w:cs="Times New Roman"/>
                <w:sz w:val="21"/>
                <w:lang w:val="en-US" w:eastAsia="zh-CN" w:bidi="ar-SA"/>
              </w:rPr>
              <w:t>（</w:t>
            </w:r>
            <w:r>
              <w:rPr>
                <w:rFonts w:ascii="Times New Roman" w:hAnsi="Times New Roman" w:eastAsia="宋体" w:cs="Times New Roman"/>
                <w:sz w:val="21"/>
                <w:lang w:val="en-US" w:eastAsia="zh-CN" w:bidi="ar-SA"/>
              </w:rPr>
              <w:t>mg/L</w:t>
            </w:r>
            <w:r>
              <w:rPr>
                <w:rFonts w:hint="eastAsia" w:ascii="Times New Roman" w:hAnsi="Times New Roman" w:eastAsia="宋体" w:cs="Times New Roman"/>
                <w:sz w:val="21"/>
                <w:lang w:val="en-US" w:eastAsia="zh-CN" w:bidi="ar-SA"/>
              </w:rPr>
              <w:t>）</w:t>
            </w:r>
            <w:r>
              <w:rPr>
                <w:rFonts w:ascii="Times New Roman" w:hAnsi="Times New Roman" w:eastAsia="宋体" w:cs="Times New Roman"/>
                <w:sz w:val="21"/>
                <w:lang w:val="en-US" w:eastAsia="zh-CN" w:bidi="ar-SA"/>
              </w:rPr>
              <w:t>（如有）</w:t>
            </w:r>
          </w:p>
        </w:tc>
        <w:tc>
          <w:tcPr>
            <w:tcW w:w="1068"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国家或地方污染物排放标准浓度限值（mg/L）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165"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1</w:t>
            </w:r>
          </w:p>
        </w:tc>
        <w:tc>
          <w:tcPr>
            <w:tcW w:w="293"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DW001</w:t>
            </w:r>
          </w:p>
        </w:tc>
        <w:tc>
          <w:tcPr>
            <w:tcW w:w="368"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cs="Times New Roman"/>
                <w:sz w:val="21"/>
                <w:lang w:val="en-US" w:eastAsia="zh-CN" w:bidi="ar-SA"/>
              </w:rPr>
              <w:t>0.0384</w:t>
            </w:r>
          </w:p>
        </w:tc>
        <w:tc>
          <w:tcPr>
            <w:tcW w:w="251"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default" w:ascii="Times New Roman" w:hAnsi="Times New Roman" w:eastAsia="宋体" w:cs="Times New Roman"/>
                <w:sz w:val="21"/>
                <w:lang w:val="en-US" w:eastAsia="zh-CN" w:bidi="ar-SA"/>
              </w:rPr>
              <w:t>87°50′25.43</w:t>
            </w:r>
            <w:r>
              <w:rPr>
                <w:rFonts w:hint="eastAsia" w:cs="Times New Roman"/>
                <w:sz w:val="21"/>
                <w:lang w:val="en-US" w:eastAsia="zh-CN" w:bidi="ar-SA"/>
              </w:rPr>
              <w:t>4</w:t>
            </w:r>
            <w:r>
              <w:rPr>
                <w:rFonts w:hint="default" w:ascii="Times New Roman" w:hAnsi="Times New Roman" w:eastAsia="宋体" w:cs="Times New Roman"/>
                <w:sz w:val="21"/>
                <w:lang w:val="en-US" w:eastAsia="zh-CN" w:bidi="ar-SA"/>
              </w:rPr>
              <w:t>″</w:t>
            </w:r>
          </w:p>
        </w:tc>
        <w:tc>
          <w:tcPr>
            <w:tcW w:w="251"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default" w:ascii="Times New Roman" w:hAnsi="Times New Roman" w:eastAsia="宋体" w:cs="Times New Roman"/>
                <w:sz w:val="21"/>
                <w:lang w:val="en-US" w:eastAsia="zh-CN" w:bidi="ar-SA"/>
              </w:rPr>
              <w:t>44°9′40.797</w:t>
            </w:r>
            <w:r>
              <w:rPr>
                <w:rFonts w:hint="eastAsia" w:cs="Times New Roman"/>
                <w:sz w:val="21"/>
                <w:lang w:val="en-US" w:eastAsia="zh-CN" w:bidi="ar-SA"/>
              </w:rPr>
              <w:t>9</w:t>
            </w:r>
            <w:r>
              <w:rPr>
                <w:rFonts w:hint="default" w:ascii="Times New Roman" w:hAnsi="Times New Roman" w:eastAsia="宋体" w:cs="Times New Roman"/>
                <w:sz w:val="21"/>
                <w:lang w:val="en-US" w:eastAsia="zh-CN" w:bidi="ar-SA"/>
              </w:rPr>
              <w:t>″</w:t>
            </w:r>
          </w:p>
        </w:tc>
        <w:tc>
          <w:tcPr>
            <w:tcW w:w="317"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新疆建投绿源水务经营有限公司（西站污水处理厂）</w:t>
            </w:r>
          </w:p>
        </w:tc>
        <w:tc>
          <w:tcPr>
            <w:tcW w:w="188"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间断排放</w:t>
            </w:r>
          </w:p>
        </w:tc>
        <w:tc>
          <w:tcPr>
            <w:tcW w:w="350"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cs="Times New Roman"/>
                <w:sz w:val="21"/>
                <w:lang w:val="en-US" w:eastAsia="zh-CN" w:bidi="ar-SA"/>
              </w:rPr>
              <w:t>10-20</w:t>
            </w:r>
          </w:p>
        </w:tc>
        <w:tc>
          <w:tcPr>
            <w:tcW w:w="368"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新疆建投绿源水务经营有限公司（西站污水处理厂）</w:t>
            </w:r>
          </w:p>
        </w:tc>
        <w:tc>
          <w:tcPr>
            <w:tcW w:w="36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rPr>
            </w:pPr>
            <w:r>
              <w:rPr>
                <w:rFonts w:hint="eastAsia" w:ascii="Times New Roman" w:hAnsi="Times New Roman" w:eastAsia="宋体" w:cs="Times New Roman"/>
                <w:color w:val="auto"/>
                <w:kern w:val="0"/>
                <w:sz w:val="21"/>
                <w:szCs w:val="21"/>
                <w:highlight w:val="none"/>
                <w:lang w:val="en-US" w:eastAsia="zh-CN"/>
              </w:rPr>
              <w:t>pH</w:t>
            </w:r>
          </w:p>
        </w:tc>
        <w:tc>
          <w:tcPr>
            <w:tcW w:w="1007"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w:t>
            </w:r>
          </w:p>
        </w:tc>
        <w:tc>
          <w:tcPr>
            <w:tcW w:w="1068"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6-9（无量纲）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65"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93"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51"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51"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17"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18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5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1007" w:type="pct"/>
            <w:tcBorders>
              <w:tl2br w:val="nil"/>
              <w:tr2bl w:val="nil"/>
            </w:tcBorders>
            <w:vAlign w:val="center"/>
          </w:tcPr>
          <w:p>
            <w:pPr>
              <w:bidi w:val="0"/>
              <w:jc w:val="center"/>
              <w:rPr>
                <w:rFonts w:hint="default" w:ascii="Times New Roman" w:hAnsi="Times New Roman" w:eastAsia="宋体" w:cs="宋体"/>
                <w:lang w:val="en-US" w:eastAsia="zh-CN"/>
              </w:rPr>
            </w:pPr>
            <w:r>
              <w:rPr>
                <w:rFonts w:hint="eastAsia" w:ascii="Times New Roman" w:hAnsi="Times New Roman" w:eastAsia="宋体" w:cs="宋体"/>
                <w:lang w:val="en-US" w:eastAsia="zh-CN"/>
              </w:rPr>
              <w:t>/</w:t>
            </w:r>
          </w:p>
        </w:tc>
        <w:tc>
          <w:tcPr>
            <w:tcW w:w="1068"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65"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93"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51"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51"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17"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18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5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1007" w:type="pct"/>
            <w:tcBorders>
              <w:tl2br w:val="nil"/>
              <w:tr2bl w:val="nil"/>
            </w:tcBorders>
            <w:vAlign w:val="center"/>
          </w:tcPr>
          <w:p>
            <w:pPr>
              <w:bidi w:val="0"/>
              <w:jc w:val="cente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c>
          <w:tcPr>
            <w:tcW w:w="1068"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65"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93"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51"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51"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17"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18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5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lang w:val="en-US" w:eastAsia="zh-CN"/>
              </w:rPr>
            </w:pPr>
            <w:r>
              <w:rPr>
                <w:rFonts w:hint="eastAsia" w:ascii="Times New Roman" w:hAnsi="Times New Roman" w:eastAsia="宋体" w:cs="Times New Roman"/>
                <w:b w:val="0"/>
                <w:bCs w:val="0"/>
                <w:color w:val="auto"/>
                <w:sz w:val="21"/>
                <w:szCs w:val="21"/>
                <w:lang w:val="en-US" w:eastAsia="zh-CN"/>
              </w:rPr>
              <w:t>氨氮</w:t>
            </w:r>
          </w:p>
        </w:tc>
        <w:tc>
          <w:tcPr>
            <w:tcW w:w="1007" w:type="pct"/>
            <w:tcBorders>
              <w:tl2br w:val="nil"/>
              <w:tr2bl w:val="nil"/>
            </w:tcBorders>
            <w:vAlign w:val="center"/>
          </w:tcPr>
          <w:p>
            <w:pPr>
              <w:bidi w:val="0"/>
              <w:jc w:val="cente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c>
          <w:tcPr>
            <w:tcW w:w="1068"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65"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93"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51"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51"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17"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18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5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BOD</w:t>
            </w:r>
          </w:p>
        </w:tc>
        <w:tc>
          <w:tcPr>
            <w:tcW w:w="1007" w:type="pct"/>
            <w:tcBorders>
              <w:tl2br w:val="nil"/>
              <w:tr2bl w:val="nil"/>
            </w:tcBorders>
            <w:vAlign w:val="center"/>
          </w:tcPr>
          <w:p>
            <w:pPr>
              <w:bidi w:val="0"/>
              <w:jc w:val="cente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c>
          <w:tcPr>
            <w:tcW w:w="1068"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65"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93"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51"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51"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17"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18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5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动植物油</w:t>
            </w:r>
          </w:p>
        </w:tc>
        <w:tc>
          <w:tcPr>
            <w:tcW w:w="10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68"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1</w:t>
            </w:r>
          </w:p>
        </w:tc>
      </w:tr>
    </w:tbl>
    <w:p>
      <w:pPr>
        <w:widowControl w:val="0"/>
        <w:spacing w:line="400" w:lineRule="exact"/>
        <w:ind w:firstLine="0" w:firstLineChars="0"/>
        <w:jc w:val="center"/>
        <w:rPr>
          <w:rFonts w:hint="eastAsia" w:ascii="Times New Roman" w:hAnsi="Times New Roman" w:eastAsia="宋体" w:cs="宋体"/>
          <w:b/>
          <w:color w:val="000000" w:themeColor="text1"/>
          <w:sz w:val="24"/>
          <w:szCs w:val="24"/>
          <w:lang w:val="en-US" w:eastAsia="zh-CN" w:bidi="ar-SA"/>
          <w14:textFill>
            <w14:solidFill>
              <w14:schemeClr w14:val="tx1"/>
            </w14:solidFill>
          </w14:textFill>
        </w:rPr>
      </w:pPr>
    </w:p>
    <w:p>
      <w:pPr>
        <w:widowControl w:val="0"/>
        <w:spacing w:line="400" w:lineRule="exact"/>
        <w:ind w:firstLine="0" w:firstLineChars="0"/>
        <w:jc w:val="center"/>
        <w:rPr>
          <w:rFonts w:ascii="Times New Roman" w:hAnsi="Times New Roman" w:eastAsia="宋体" w:cs="宋体"/>
          <w:b/>
          <w:color w:val="000000" w:themeColor="text1"/>
          <w:sz w:val="24"/>
          <w:szCs w:val="24"/>
          <w:lang w:val="en-US" w:eastAsia="zh-CN" w:bidi="ar-SA"/>
          <w14:textFill>
            <w14:solidFill>
              <w14:schemeClr w14:val="tx1"/>
            </w14:solidFill>
          </w14:textFill>
        </w:rPr>
      </w:pPr>
      <w:r>
        <w:rPr>
          <w:rFonts w:hint="eastAsia" w:ascii="Times New Roman" w:hAnsi="Times New Roman" w:eastAsia="宋体" w:cs="宋体"/>
          <w:b/>
          <w:color w:val="000000" w:themeColor="text1"/>
          <w:sz w:val="24"/>
          <w:szCs w:val="24"/>
          <w:lang w:val="en-US" w:eastAsia="zh-CN" w:bidi="ar-SA"/>
          <w14:textFill>
            <w14:solidFill>
              <w14:schemeClr w14:val="tx1"/>
            </w14:solidFill>
          </w14:textFill>
        </w:rPr>
        <w:t>表4.6-4废水污染物排放执行标准表</w:t>
      </w:r>
    </w:p>
    <w:tbl>
      <w:tblPr>
        <w:tblStyle w:val="1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615"/>
        <w:gridCol w:w="1802"/>
        <w:gridCol w:w="7338"/>
        <w:gridCol w:w="340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570"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排放口编号</w:t>
            </w:r>
          </w:p>
        </w:tc>
        <w:tc>
          <w:tcPr>
            <w:tcW w:w="636"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污染物种类</w:t>
            </w:r>
          </w:p>
        </w:tc>
        <w:tc>
          <w:tcPr>
            <w:tcW w:w="3793" w:type="pct"/>
            <w:gridSpan w:val="2"/>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国家或地方污染物排放标准及其他按规定商定的排放协议排放浓度限值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57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636"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2590"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名称</w:t>
            </w:r>
          </w:p>
        </w:tc>
        <w:tc>
          <w:tcPr>
            <w:tcW w:w="1203"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浓度限值（mg/L）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570"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DW001</w:t>
            </w:r>
          </w:p>
        </w:tc>
        <w:tc>
          <w:tcPr>
            <w:tcW w:w="6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宋体"/>
              </w:rPr>
            </w:pPr>
            <w:r>
              <w:rPr>
                <w:rFonts w:hint="default" w:ascii="Times New Roman" w:hAnsi="Times New Roman" w:eastAsia="宋体" w:cs="Times New Roman"/>
                <w:b w:val="0"/>
                <w:bCs w:val="0"/>
                <w:color w:val="auto"/>
                <w:sz w:val="21"/>
                <w:szCs w:val="21"/>
                <w:lang w:val="en-US" w:eastAsia="zh-CN"/>
              </w:rPr>
              <w:t>pH</w:t>
            </w:r>
          </w:p>
        </w:tc>
        <w:tc>
          <w:tcPr>
            <w:tcW w:w="2590"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《污水排入城镇下水道水质标准》（GB/T 31962-2015）表1 污水排入城镇下水道水质控制项目限值B级标准</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宋体"/>
                <w:lang w:val="en-US"/>
              </w:rPr>
            </w:pPr>
            <w:r>
              <w:rPr>
                <w:rFonts w:hint="eastAsia" w:cs="Times New Roman"/>
                <w:b w:val="0"/>
                <w:bCs w:val="0"/>
                <w:color w:val="auto"/>
                <w:sz w:val="21"/>
                <w:szCs w:val="21"/>
                <w:lang w:val="en-US" w:eastAsia="zh-CN"/>
              </w:rPr>
              <w:t>6.5-9.5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7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6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宋体"/>
                <w:lang w:val="en-US" w:eastAsia="zh-CN"/>
              </w:rPr>
            </w:pPr>
            <w:r>
              <w:rPr>
                <w:rFonts w:hint="default" w:ascii="Times New Roman" w:hAnsi="Times New Roman" w:eastAsia="宋体" w:cs="Times New Roman"/>
                <w:b w:val="0"/>
                <w:bCs w:val="0"/>
                <w:color w:val="auto"/>
                <w:sz w:val="21"/>
                <w:szCs w:val="21"/>
                <w:lang w:val="en-US" w:eastAsia="zh-CN"/>
              </w:rPr>
              <w:t>COD</w:t>
            </w:r>
          </w:p>
        </w:tc>
        <w:tc>
          <w:tcPr>
            <w:tcW w:w="259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宋体"/>
                <w:lang w:val="en-US" w:eastAsia="zh-CN"/>
              </w:rPr>
            </w:pPr>
            <w:r>
              <w:rPr>
                <w:rFonts w:hint="eastAsia" w:ascii="Times New Roman" w:hAnsi="Times New Roman" w:eastAsia="宋体" w:cs="Times New Roman"/>
                <w:b w:val="0"/>
                <w:bCs w:val="0"/>
                <w:color w:val="auto"/>
                <w:sz w:val="21"/>
                <w:szCs w:val="21"/>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7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6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宋体"/>
                <w:lang w:val="en-US" w:eastAsia="zh-CN"/>
              </w:rPr>
            </w:pPr>
            <w:r>
              <w:rPr>
                <w:rFonts w:hint="default" w:ascii="Times New Roman" w:hAnsi="Times New Roman" w:eastAsia="宋体" w:cs="Times New Roman"/>
                <w:b w:val="0"/>
                <w:bCs w:val="0"/>
                <w:color w:val="auto"/>
                <w:sz w:val="21"/>
                <w:szCs w:val="21"/>
                <w:lang w:val="en-US" w:eastAsia="zh-CN"/>
              </w:rPr>
              <w:t>SS</w:t>
            </w:r>
          </w:p>
        </w:tc>
        <w:tc>
          <w:tcPr>
            <w:tcW w:w="259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宋体"/>
                <w:lang w:val="en-US" w:eastAsia="zh-CN"/>
              </w:rPr>
            </w:pPr>
            <w:r>
              <w:rPr>
                <w:rFonts w:hint="eastAsia" w:ascii="Times New Roman" w:hAnsi="Times New Roman" w:eastAsia="宋体" w:cs="Times New Roman"/>
                <w:b w:val="0"/>
                <w:bCs w:val="0"/>
                <w:color w:val="auto"/>
                <w:sz w:val="21"/>
                <w:szCs w:val="21"/>
                <w:lang w:val="en-US" w:eastAsia="zh-CN"/>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7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6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宋体"/>
                <w:lang w:val="en-US" w:eastAsia="zh-CN"/>
              </w:rPr>
            </w:pPr>
            <w:r>
              <w:rPr>
                <w:rFonts w:hint="eastAsia" w:ascii="Times New Roman" w:hAnsi="Times New Roman" w:eastAsia="宋体" w:cs="Times New Roman"/>
                <w:b w:val="0"/>
                <w:bCs w:val="0"/>
                <w:color w:val="auto"/>
                <w:sz w:val="21"/>
                <w:szCs w:val="21"/>
                <w:lang w:val="en-US" w:eastAsia="zh-CN"/>
              </w:rPr>
              <w:t>BOD</w:t>
            </w:r>
          </w:p>
        </w:tc>
        <w:tc>
          <w:tcPr>
            <w:tcW w:w="259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宋体"/>
                <w:lang w:val="en-US" w:eastAsia="zh-CN"/>
              </w:rPr>
            </w:pPr>
            <w:r>
              <w:rPr>
                <w:rFonts w:hint="eastAsia" w:cs="Times New Roman"/>
                <w:b w:val="0"/>
                <w:bCs w:val="0"/>
                <w:color w:val="auto"/>
                <w:sz w:val="21"/>
                <w:szCs w:val="21"/>
                <w:lang w:val="en-US" w:eastAsia="zh-CN"/>
              </w:rPr>
              <w:t>350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7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6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宋体"/>
                <w:lang w:val="en-US" w:eastAsia="zh-CN"/>
              </w:rPr>
            </w:pPr>
            <w:r>
              <w:rPr>
                <w:rFonts w:hint="eastAsia" w:ascii="Times New Roman" w:hAnsi="Times New Roman" w:eastAsia="宋体" w:cs="Times New Roman"/>
                <w:b w:val="0"/>
                <w:bCs w:val="0"/>
                <w:color w:val="auto"/>
                <w:sz w:val="21"/>
                <w:szCs w:val="21"/>
                <w:lang w:val="en-US" w:eastAsia="zh-CN"/>
              </w:rPr>
              <w:t>氨氮</w:t>
            </w:r>
          </w:p>
        </w:tc>
        <w:tc>
          <w:tcPr>
            <w:tcW w:w="259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宋体"/>
                <w:lang w:val="en-US" w:eastAsia="zh-CN"/>
              </w:rPr>
            </w:pPr>
            <w:r>
              <w:rPr>
                <w:rFonts w:hint="eastAsia" w:cs="Times New Roman"/>
                <w:b w:val="0"/>
                <w:bCs w:val="0"/>
                <w:color w:val="auto"/>
                <w:sz w:val="21"/>
                <w:szCs w:val="21"/>
                <w:lang w:val="en-US" w:eastAsia="zh-CN"/>
              </w:rPr>
              <w:t>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7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6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动植物油</w:t>
            </w:r>
          </w:p>
        </w:tc>
        <w:tc>
          <w:tcPr>
            <w:tcW w:w="2590"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100</w:t>
            </w:r>
          </w:p>
        </w:tc>
      </w:tr>
    </w:tbl>
    <w:p>
      <w:pPr>
        <w:widowControl w:val="0"/>
        <w:spacing w:line="400" w:lineRule="exact"/>
        <w:ind w:firstLine="0" w:firstLineChars="0"/>
        <w:jc w:val="center"/>
        <w:rPr>
          <w:rFonts w:ascii="Times New Roman" w:hAnsi="Times New Roman" w:eastAsia="宋体" w:cs="宋体"/>
          <w:b/>
          <w:color w:val="000000" w:themeColor="text1"/>
          <w:sz w:val="24"/>
          <w:szCs w:val="24"/>
          <w:lang w:val="en-US" w:eastAsia="zh-CN" w:bidi="ar-SA"/>
          <w14:textFill>
            <w14:solidFill>
              <w14:schemeClr w14:val="tx1"/>
            </w14:solidFill>
          </w14:textFill>
        </w:rPr>
      </w:pPr>
      <w:r>
        <w:rPr>
          <w:rFonts w:hint="eastAsia" w:ascii="Times New Roman" w:hAnsi="Times New Roman" w:eastAsia="宋体" w:cs="宋体"/>
          <w:b/>
          <w:color w:val="000000" w:themeColor="text1"/>
          <w:sz w:val="24"/>
          <w:szCs w:val="24"/>
          <w:lang w:val="en-US" w:eastAsia="zh-CN" w:bidi="ar-SA"/>
          <w14:textFill>
            <w14:solidFill>
              <w14:schemeClr w14:val="tx1"/>
            </w14:solidFill>
          </w14:textFill>
        </w:rPr>
        <w:t>表4.6-5废水污染物排放信息表</w:t>
      </w:r>
    </w:p>
    <w:tbl>
      <w:tblPr>
        <w:tblStyle w:val="1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537"/>
        <w:gridCol w:w="3542"/>
        <w:gridCol w:w="3542"/>
        <w:gridCol w:w="354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248"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排放口编号</w:t>
            </w:r>
          </w:p>
        </w:tc>
        <w:tc>
          <w:tcPr>
            <w:tcW w:w="1250"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污染物种类</w:t>
            </w:r>
          </w:p>
        </w:tc>
        <w:tc>
          <w:tcPr>
            <w:tcW w:w="1250"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排放浓度（mg/L）</w:t>
            </w:r>
          </w:p>
        </w:tc>
        <w:tc>
          <w:tcPr>
            <w:tcW w:w="1250" w:type="pc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248"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DW001</w:t>
            </w: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宋体"/>
              </w:rPr>
            </w:pPr>
            <w:r>
              <w:rPr>
                <w:rFonts w:hint="default" w:ascii="Times New Roman" w:hAnsi="Times New Roman" w:eastAsia="宋体" w:cs="Times New Roman"/>
                <w:b w:val="0"/>
                <w:bCs w:val="0"/>
                <w:color w:val="auto"/>
                <w:sz w:val="21"/>
                <w:szCs w:val="21"/>
                <w:lang w:val="en-US" w:eastAsia="zh-CN"/>
              </w:rPr>
              <w:t>pH</w:t>
            </w:r>
          </w:p>
        </w:tc>
        <w:tc>
          <w:tcPr>
            <w:tcW w:w="12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rPr>
            </w:pPr>
            <w:r>
              <w:rPr>
                <w:rFonts w:hint="eastAsia" w:cs="Times New Roman"/>
                <w:b w:val="0"/>
                <w:bCs w:val="0"/>
                <w:color w:val="auto"/>
                <w:sz w:val="21"/>
                <w:szCs w:val="21"/>
                <w:lang w:val="en-US" w:eastAsia="zh-CN"/>
              </w:rPr>
              <w:t>6.5-9.5</w:t>
            </w:r>
            <w:r>
              <w:rPr>
                <w:rFonts w:hint="eastAsia" w:ascii="Times New Roman" w:hAnsi="Times New Roman" w:eastAsia="宋体" w:cs="Times New Roman"/>
                <w:color w:val="auto"/>
                <w:kern w:val="0"/>
                <w:sz w:val="21"/>
                <w:szCs w:val="21"/>
                <w:highlight w:val="none"/>
                <w:lang w:val="en-US" w:eastAsia="zh-CN"/>
              </w:rPr>
              <w:t>（无量纲）</w:t>
            </w:r>
          </w:p>
        </w:tc>
        <w:tc>
          <w:tcPr>
            <w:tcW w:w="12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1" w:hRule="atLeast"/>
        </w:trPr>
        <w:tc>
          <w:tcPr>
            <w:tcW w:w="124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宋体"/>
                <w:lang w:val="en-US" w:eastAsia="zh-CN"/>
              </w:rPr>
            </w:pPr>
            <w:r>
              <w:rPr>
                <w:rFonts w:hint="default" w:ascii="Times New Roman" w:hAnsi="Times New Roman" w:eastAsia="宋体" w:cs="Times New Roman"/>
                <w:b w:val="0"/>
                <w:bCs w:val="0"/>
                <w:color w:val="auto"/>
                <w:sz w:val="21"/>
                <w:szCs w:val="21"/>
                <w:lang w:val="en-US" w:eastAsia="zh-CN"/>
              </w:rPr>
              <w:t>COD</w:t>
            </w:r>
          </w:p>
        </w:tc>
        <w:tc>
          <w:tcPr>
            <w:tcW w:w="12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500</w:t>
            </w:r>
          </w:p>
        </w:tc>
        <w:tc>
          <w:tcPr>
            <w:tcW w:w="35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1" w:hRule="atLeast"/>
        </w:trPr>
        <w:tc>
          <w:tcPr>
            <w:tcW w:w="124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宋体"/>
                <w:lang w:val="en-US" w:eastAsia="zh-CN"/>
              </w:rPr>
            </w:pPr>
            <w:r>
              <w:rPr>
                <w:rFonts w:hint="default" w:ascii="Times New Roman" w:hAnsi="Times New Roman" w:eastAsia="宋体" w:cs="Times New Roman"/>
                <w:b w:val="0"/>
                <w:bCs w:val="0"/>
                <w:color w:val="auto"/>
                <w:sz w:val="21"/>
                <w:szCs w:val="21"/>
                <w:lang w:val="en-US" w:eastAsia="zh-CN"/>
              </w:rPr>
              <w:t>SS</w:t>
            </w:r>
          </w:p>
        </w:tc>
        <w:tc>
          <w:tcPr>
            <w:tcW w:w="12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300</w:t>
            </w:r>
          </w:p>
        </w:tc>
        <w:tc>
          <w:tcPr>
            <w:tcW w:w="35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eastAsia="zh-CN"/>
              </w:rPr>
            </w:pPr>
            <w:r>
              <w:rPr>
                <w:rFonts w:hint="eastAsia" w:cs="Times New Roman"/>
                <w:i w:val="0"/>
                <w:iCs w:val="0"/>
                <w:color w:val="auto"/>
                <w:kern w:val="0"/>
                <w:sz w:val="21"/>
                <w:szCs w:val="21"/>
                <w:highlight w:val="none"/>
                <w:u w:val="none"/>
                <w:lang w:val="en-US" w:eastAsia="zh-CN" w:bidi="ar"/>
              </w:rPr>
              <w:t>0.12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1" w:hRule="atLeast"/>
        </w:trPr>
        <w:tc>
          <w:tcPr>
            <w:tcW w:w="124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宋体"/>
                <w:lang w:val="en-US" w:eastAsia="zh-CN"/>
              </w:rPr>
            </w:pPr>
            <w:r>
              <w:rPr>
                <w:rFonts w:hint="eastAsia" w:ascii="Times New Roman" w:hAnsi="Times New Roman" w:eastAsia="宋体" w:cs="Times New Roman"/>
                <w:b w:val="0"/>
                <w:bCs w:val="0"/>
                <w:color w:val="auto"/>
                <w:sz w:val="21"/>
                <w:szCs w:val="21"/>
                <w:lang w:val="en-US" w:eastAsia="zh-CN"/>
              </w:rPr>
              <w:t>BOD</w:t>
            </w:r>
          </w:p>
        </w:tc>
        <w:tc>
          <w:tcPr>
            <w:tcW w:w="12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35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eastAsia="zh-CN"/>
              </w:rPr>
            </w:pPr>
            <w:r>
              <w:rPr>
                <w:rFonts w:hint="eastAsia" w:cs="Times New Roman"/>
                <w:i w:val="0"/>
                <w:iCs w:val="0"/>
                <w:color w:val="auto"/>
                <w:kern w:val="0"/>
                <w:sz w:val="21"/>
                <w:szCs w:val="21"/>
                <w:highlight w:val="none"/>
                <w:u w:val="none"/>
                <w:lang w:val="en-US" w:eastAsia="zh-CN" w:bidi="ar"/>
              </w:rPr>
              <w:t>0.12</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1" w:hRule="atLeast"/>
        </w:trPr>
        <w:tc>
          <w:tcPr>
            <w:tcW w:w="124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宋体"/>
                <w:lang w:val="en-US" w:eastAsia="zh-CN"/>
              </w:rPr>
            </w:pPr>
            <w:r>
              <w:rPr>
                <w:rFonts w:hint="eastAsia" w:ascii="Times New Roman" w:hAnsi="Times New Roman" w:eastAsia="宋体" w:cs="Times New Roman"/>
                <w:b w:val="0"/>
                <w:bCs w:val="0"/>
                <w:color w:val="auto"/>
                <w:sz w:val="21"/>
                <w:szCs w:val="21"/>
                <w:lang w:val="en-US" w:eastAsia="zh-CN"/>
              </w:rPr>
              <w:t>氨氮</w:t>
            </w:r>
          </w:p>
        </w:tc>
        <w:tc>
          <w:tcPr>
            <w:tcW w:w="12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35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eastAsia="zh-CN"/>
              </w:rPr>
            </w:pPr>
            <w:r>
              <w:rPr>
                <w:rFonts w:hint="eastAsia" w:cs="Times New Roman"/>
                <w:i w:val="0"/>
                <w:iCs w:val="0"/>
                <w:color w:val="auto"/>
                <w:kern w:val="0"/>
                <w:sz w:val="21"/>
                <w:szCs w:val="21"/>
                <w:highlight w:val="none"/>
                <w:u w:val="none"/>
                <w:lang w:val="en-US" w:eastAsia="zh-CN" w:bidi="ar"/>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1" w:hRule="atLeast"/>
        </w:trPr>
        <w:tc>
          <w:tcPr>
            <w:tcW w:w="124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动植物油</w:t>
            </w:r>
          </w:p>
        </w:tc>
        <w:tc>
          <w:tcPr>
            <w:tcW w:w="12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100</w:t>
            </w:r>
          </w:p>
        </w:tc>
        <w:tc>
          <w:tcPr>
            <w:tcW w:w="35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3" w:hRule="atLeast"/>
        </w:trPr>
        <w:tc>
          <w:tcPr>
            <w:tcW w:w="1248" w:type="pct"/>
            <w:vMerge w:val="restart"/>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sz w:val="21"/>
                <w:lang w:val="en-US" w:eastAsia="zh-CN" w:bidi="ar-SA"/>
              </w:rPr>
            </w:pPr>
            <w:r>
              <w:rPr>
                <w:rFonts w:hint="eastAsia" w:ascii="Times New Roman" w:hAnsi="Times New Roman" w:eastAsia="宋体" w:cs="Times New Roman"/>
                <w:sz w:val="21"/>
                <w:lang w:val="en-US" w:eastAsia="zh-CN" w:bidi="ar-SA"/>
              </w:rPr>
              <w:t>全厂排放口合计</w:t>
            </w:r>
          </w:p>
        </w:tc>
        <w:tc>
          <w:tcPr>
            <w:tcW w:w="35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宋体"/>
              </w:rPr>
            </w:pPr>
            <w:r>
              <w:rPr>
                <w:rFonts w:hint="default" w:ascii="Times New Roman" w:hAnsi="Times New Roman" w:eastAsia="宋体" w:cs="Times New Roman"/>
                <w:b w:val="0"/>
                <w:bCs w:val="0"/>
                <w:color w:val="auto"/>
                <w:sz w:val="21"/>
                <w:szCs w:val="21"/>
                <w:lang w:val="en-US" w:eastAsia="zh-CN"/>
              </w:rPr>
              <w:t>pH</w:t>
            </w:r>
          </w:p>
        </w:tc>
        <w:tc>
          <w:tcPr>
            <w:tcW w:w="12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rPr>
            </w:pPr>
            <w:r>
              <w:rPr>
                <w:rFonts w:hint="eastAsia" w:cs="Times New Roman"/>
                <w:b w:val="0"/>
                <w:bCs w:val="0"/>
                <w:color w:val="auto"/>
                <w:sz w:val="21"/>
                <w:szCs w:val="21"/>
                <w:lang w:val="en-US" w:eastAsia="zh-CN"/>
              </w:rPr>
              <w:t>6.5-9.5</w:t>
            </w:r>
            <w:r>
              <w:rPr>
                <w:rFonts w:hint="eastAsia" w:ascii="Times New Roman" w:hAnsi="Times New Roman" w:eastAsia="宋体" w:cs="Times New Roman"/>
                <w:color w:val="auto"/>
                <w:kern w:val="0"/>
                <w:sz w:val="21"/>
                <w:szCs w:val="21"/>
                <w:highlight w:val="none"/>
                <w:lang w:val="en-US" w:eastAsia="zh-CN"/>
              </w:rPr>
              <w:t>（无量纲）</w:t>
            </w:r>
          </w:p>
        </w:tc>
        <w:tc>
          <w:tcPr>
            <w:tcW w:w="125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124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35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宋体"/>
                <w:lang w:val="en-US" w:eastAsia="zh-CN"/>
              </w:rPr>
            </w:pPr>
            <w:r>
              <w:rPr>
                <w:rFonts w:hint="default" w:ascii="Times New Roman" w:hAnsi="Times New Roman" w:eastAsia="宋体" w:cs="Times New Roman"/>
                <w:b w:val="0"/>
                <w:bCs w:val="0"/>
                <w:color w:val="auto"/>
                <w:sz w:val="21"/>
                <w:szCs w:val="21"/>
                <w:lang w:val="en-US" w:eastAsia="zh-CN"/>
              </w:rPr>
              <w:t>COD</w:t>
            </w:r>
          </w:p>
        </w:tc>
        <w:tc>
          <w:tcPr>
            <w:tcW w:w="35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500</w:t>
            </w:r>
          </w:p>
        </w:tc>
        <w:tc>
          <w:tcPr>
            <w:tcW w:w="35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124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35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宋体"/>
                <w:lang w:val="en-US" w:eastAsia="zh-CN"/>
              </w:rPr>
            </w:pPr>
            <w:r>
              <w:rPr>
                <w:rFonts w:hint="default" w:ascii="Times New Roman" w:hAnsi="Times New Roman" w:eastAsia="宋体" w:cs="Times New Roman"/>
                <w:b w:val="0"/>
                <w:bCs w:val="0"/>
                <w:color w:val="auto"/>
                <w:sz w:val="21"/>
                <w:szCs w:val="21"/>
                <w:lang w:val="en-US" w:eastAsia="zh-CN"/>
              </w:rPr>
              <w:t>SS</w:t>
            </w:r>
          </w:p>
        </w:tc>
        <w:tc>
          <w:tcPr>
            <w:tcW w:w="35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300</w:t>
            </w:r>
          </w:p>
        </w:tc>
        <w:tc>
          <w:tcPr>
            <w:tcW w:w="35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lang w:val="en-US" w:eastAsia="zh-CN"/>
              </w:rPr>
            </w:pPr>
            <w:r>
              <w:rPr>
                <w:rFonts w:hint="eastAsia" w:cs="Times New Roman"/>
                <w:i w:val="0"/>
                <w:iCs w:val="0"/>
                <w:color w:val="auto"/>
                <w:kern w:val="0"/>
                <w:sz w:val="21"/>
                <w:szCs w:val="21"/>
                <w:highlight w:val="none"/>
                <w:u w:val="none"/>
                <w:lang w:val="en-US" w:eastAsia="zh-CN" w:bidi="ar"/>
              </w:rPr>
              <w:t>0.12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124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35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宋体"/>
                <w:lang w:val="en-US" w:eastAsia="zh-CN"/>
              </w:rPr>
            </w:pPr>
            <w:r>
              <w:rPr>
                <w:rFonts w:hint="eastAsia" w:ascii="Times New Roman" w:hAnsi="Times New Roman" w:eastAsia="宋体" w:cs="Times New Roman"/>
                <w:b w:val="0"/>
                <w:bCs w:val="0"/>
                <w:color w:val="auto"/>
                <w:sz w:val="21"/>
                <w:szCs w:val="21"/>
                <w:lang w:val="en-US" w:eastAsia="zh-CN"/>
              </w:rPr>
              <w:t>BOD</w:t>
            </w:r>
          </w:p>
        </w:tc>
        <w:tc>
          <w:tcPr>
            <w:tcW w:w="35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300</w:t>
            </w:r>
          </w:p>
        </w:tc>
        <w:tc>
          <w:tcPr>
            <w:tcW w:w="35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lang w:val="en-US" w:eastAsia="zh-CN"/>
              </w:rPr>
            </w:pPr>
            <w:r>
              <w:rPr>
                <w:rFonts w:hint="eastAsia" w:cs="Times New Roman"/>
                <w:i w:val="0"/>
                <w:iCs w:val="0"/>
                <w:color w:val="auto"/>
                <w:kern w:val="0"/>
                <w:sz w:val="21"/>
                <w:szCs w:val="21"/>
                <w:highlight w:val="none"/>
                <w:u w:val="none"/>
                <w:lang w:val="en-US" w:eastAsia="zh-CN" w:bidi="ar"/>
              </w:rPr>
              <w:t>0.12</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124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35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宋体"/>
                <w:lang w:val="en-US" w:eastAsia="zh-CN"/>
              </w:rPr>
            </w:pPr>
            <w:r>
              <w:rPr>
                <w:rFonts w:hint="eastAsia" w:ascii="Times New Roman" w:hAnsi="Times New Roman" w:eastAsia="宋体" w:cs="Times New Roman"/>
                <w:b w:val="0"/>
                <w:bCs w:val="0"/>
                <w:color w:val="auto"/>
                <w:sz w:val="21"/>
                <w:szCs w:val="21"/>
                <w:lang w:val="en-US" w:eastAsia="zh-CN"/>
              </w:rPr>
              <w:t>氨氮</w:t>
            </w:r>
          </w:p>
        </w:tc>
        <w:tc>
          <w:tcPr>
            <w:tcW w:w="35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35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lang w:val="en-US" w:eastAsia="zh-CN"/>
              </w:rPr>
            </w:pPr>
            <w:r>
              <w:rPr>
                <w:rFonts w:hint="eastAsia" w:cs="Times New Roman"/>
                <w:i w:val="0"/>
                <w:iCs w:val="0"/>
                <w:color w:val="auto"/>
                <w:kern w:val="0"/>
                <w:sz w:val="21"/>
                <w:szCs w:val="21"/>
                <w:highlight w:val="none"/>
                <w:u w:val="none"/>
                <w:lang w:val="en-US" w:eastAsia="zh-CN" w:bidi="ar"/>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1248" w:type="pct"/>
            <w:vMerge w:val="continue"/>
            <w:tcBorders>
              <w:tl2br w:val="nil"/>
              <w:tr2bl w:val="nil"/>
            </w:tcBorders>
            <w:vAlign w:val="center"/>
          </w:tcPr>
          <w:p>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sz w:val="21"/>
                <w:lang w:val="en-US" w:eastAsia="zh-CN" w:bidi="ar-SA"/>
              </w:rPr>
            </w:pPr>
          </w:p>
        </w:tc>
        <w:tc>
          <w:tcPr>
            <w:tcW w:w="35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动植物油</w:t>
            </w:r>
          </w:p>
        </w:tc>
        <w:tc>
          <w:tcPr>
            <w:tcW w:w="35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100</w:t>
            </w:r>
          </w:p>
        </w:tc>
        <w:tc>
          <w:tcPr>
            <w:tcW w:w="35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w:t>
            </w:r>
          </w:p>
        </w:tc>
      </w:tr>
    </w:tbl>
    <w:p>
      <w:pPr>
        <w:rPr>
          <w:rFonts w:hint="eastAsia" w:ascii="Times New Roman" w:hAnsi="Times New Roman" w:eastAsia="宋体" w:cs="宋体"/>
          <w:color w:val="auto"/>
          <w:sz w:val="24"/>
          <w:szCs w:val="22"/>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4"/>
        <w:gridCol w:w="86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72" w:hRule="atLeast"/>
          <w:jc w:val="center"/>
        </w:trPr>
        <w:tc>
          <w:tcPr>
            <w:tcW w:w="434" w:type="dxa"/>
            <w:noWrap w:val="0"/>
            <w:tcMar>
              <w:left w:w="28" w:type="dxa"/>
              <w:right w:w="28" w:type="dxa"/>
            </w:tcMar>
            <w:vAlign w:val="center"/>
          </w:tcPr>
          <w:p>
            <w:pPr>
              <w:keepNext/>
              <w:keepLines/>
              <w:widowControl/>
              <w:spacing w:before="280" w:after="290" w:line="376" w:lineRule="atLeast"/>
              <w:jc w:val="both"/>
              <w:outlineLvl w:val="3"/>
              <w:rPr>
                <w:rFonts w:hint="eastAsia" w:ascii="Arial" w:hAnsi="Arial" w:eastAsia="宋体" w:cs="宋体"/>
                <w:b/>
                <w:bCs/>
                <w:color w:val="auto"/>
                <w:sz w:val="24"/>
                <w:szCs w:val="28"/>
                <w:lang w:val="en-US" w:eastAsia="zh-CN" w:bidi="ar-SA"/>
              </w:rPr>
            </w:pPr>
          </w:p>
        </w:tc>
        <w:tc>
          <w:tcPr>
            <w:tcW w:w="8637" w:type="dxa"/>
            <w:noWrap w:val="0"/>
            <w:vAlign w:val="center"/>
          </w:tcPr>
          <w:p>
            <w:pPr>
              <w:widowControl w:val="0"/>
              <w:overflowPunct w:val="0"/>
              <w:autoSpaceDE w:val="0"/>
              <w:autoSpaceDN w:val="0"/>
              <w:bidi w:val="0"/>
              <w:adjustRightInd w:val="0"/>
              <w:snapToGrid w:val="0"/>
              <w:spacing w:before="0" w:after="0" w:line="360" w:lineRule="auto"/>
              <w:ind w:left="0" w:right="0" w:firstLine="562" w:firstLineChars="200"/>
              <w:jc w:val="both"/>
              <w:outlineLvl w:val="1"/>
              <w:rPr>
                <w:rFonts w:hint="eastAsia" w:ascii="Times New Roman" w:hAnsi="Times New Roman" w:eastAsia="宋体" w:cs="黑体"/>
                <w:b/>
                <w:color w:val="auto"/>
                <w:sz w:val="28"/>
                <w:szCs w:val="30"/>
                <w:highlight w:val="none"/>
                <w:lang w:val="en-US" w:eastAsia="zh-CN" w:bidi="ar-SA"/>
              </w:rPr>
            </w:pPr>
            <w:r>
              <w:rPr>
                <w:rFonts w:hint="eastAsia" w:ascii="Times New Roman" w:hAnsi="Times New Roman" w:eastAsia="宋体" w:cs="黑体"/>
                <w:b/>
                <w:color w:val="auto"/>
                <w:sz w:val="28"/>
                <w:szCs w:val="30"/>
                <w:highlight w:val="none"/>
                <w:lang w:val="en-US" w:eastAsia="zh-CN" w:bidi="ar-SA"/>
              </w:rPr>
              <w:t>4.7噪声</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（1）噪声源强分析</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rPr>
              <w:t>项目营运期主要噪声源有拉丝机、绞丝机、挤出机、成缆机</w:t>
            </w:r>
            <w:r>
              <w:rPr>
                <w:rFonts w:hint="eastAsia" w:cs="Times New Roman"/>
                <w:color w:val="auto"/>
                <w:kern w:val="2"/>
                <w:sz w:val="24"/>
                <w:szCs w:val="20"/>
                <w:highlight w:val="none"/>
                <w:lang w:val="en-US" w:eastAsia="zh-CN"/>
              </w:rPr>
              <w:t>、紫外线交联机</w:t>
            </w:r>
            <w:r>
              <w:rPr>
                <w:rFonts w:hint="eastAsia" w:ascii="Times New Roman" w:hAnsi="Times New Roman" w:eastAsia="宋体" w:cs="Times New Roman"/>
                <w:color w:val="auto"/>
                <w:kern w:val="2"/>
                <w:sz w:val="24"/>
                <w:szCs w:val="20"/>
                <w:highlight w:val="none"/>
                <w:lang w:val="en-US" w:eastAsia="zh-CN"/>
              </w:rPr>
              <w:t>、喷码机、风机</w:t>
            </w:r>
            <w:r>
              <w:rPr>
                <w:rFonts w:hint="eastAsia" w:cs="Times New Roman"/>
                <w:color w:val="auto"/>
                <w:kern w:val="2"/>
                <w:sz w:val="24"/>
                <w:szCs w:val="20"/>
                <w:highlight w:val="none"/>
                <w:lang w:val="en-US" w:eastAsia="zh-CN"/>
              </w:rPr>
              <w:t>、氩弧焊机</w:t>
            </w:r>
            <w:r>
              <w:rPr>
                <w:rFonts w:hint="eastAsia" w:ascii="Times New Roman" w:hAnsi="Times New Roman" w:eastAsia="宋体" w:cs="Times New Roman"/>
                <w:color w:val="auto"/>
                <w:kern w:val="2"/>
                <w:sz w:val="24"/>
                <w:szCs w:val="20"/>
                <w:highlight w:val="none"/>
                <w:lang w:val="en-US" w:eastAsia="zh-CN"/>
              </w:rPr>
              <w:t>等设备运行过程中产生噪声，源强在</w:t>
            </w:r>
            <w:r>
              <w:rPr>
                <w:rFonts w:hint="eastAsia" w:cs="Times New Roman"/>
                <w:color w:val="auto"/>
                <w:kern w:val="2"/>
                <w:sz w:val="24"/>
                <w:szCs w:val="20"/>
                <w:highlight w:val="none"/>
                <w:lang w:val="en-US" w:eastAsia="zh-CN"/>
              </w:rPr>
              <w:t>85-92</w:t>
            </w:r>
            <w:r>
              <w:rPr>
                <w:rFonts w:hint="eastAsia" w:ascii="Times New Roman" w:hAnsi="Times New Roman" w:eastAsia="宋体" w:cs="Times New Roman"/>
                <w:color w:val="auto"/>
                <w:kern w:val="2"/>
                <w:sz w:val="24"/>
                <w:szCs w:val="20"/>
                <w:highlight w:val="none"/>
                <w:lang w:val="en-US" w:eastAsia="zh-CN"/>
              </w:rPr>
              <w:t>dB（A）之间。</w:t>
            </w:r>
            <w:r>
              <w:rPr>
                <w:rFonts w:hint="eastAsia" w:ascii="Times New Roman" w:hAnsi="Times New Roman" w:eastAsia="宋体" w:cs="Times New Roman"/>
                <w:color w:val="auto"/>
                <w:kern w:val="2"/>
                <w:sz w:val="24"/>
                <w:szCs w:val="24"/>
                <w:highlight w:val="none"/>
                <w:lang w:val="en-US" w:eastAsia="zh-CN" w:bidi="ar-SA"/>
              </w:rPr>
              <w:t>针对以上噪声源产生情况，项目将采取了以下防噪、降噪措施：</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a.在满足生产要求的前提下，选用低噪声设备，从根本上降低噪声源强；</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b.风机等强噪声设备设置罩壳，利用隔声且考虑减振等措施，有效地控制噪声对环境的影响；</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c.提高零部件的装配精度，加强运转部件的润滑，降低摩擦力，对各连接部位安装弹性钢垫或橡胶衬垫，以减少传动装置间的振动；</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d.为了减小噪声和振动对环境的影响，在设备安装时采用下垫减振橡胶减振；</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e.种植绿化带起到一定的隔声降噪作用；</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经采取上述措施后，本项目噪声源强可降低20dB（A）左右。本项目主要噪声源见表4.7-1。</w:t>
            </w:r>
          </w:p>
          <w:p>
            <w:pPr>
              <w:widowControl w:val="0"/>
              <w:overflowPunct w:val="0"/>
              <w:autoSpaceDE w:val="0"/>
              <w:autoSpaceDN w:val="0"/>
              <w:adjustRightInd w:val="0"/>
              <w:snapToGrid w:val="0"/>
              <w:spacing w:before="0" w:after="0" w:line="360" w:lineRule="auto"/>
              <w:ind w:right="0" w:firstLine="380" w:firstLineChars="200"/>
              <w:jc w:val="both"/>
              <w:rPr>
                <w:rFonts w:ascii="Times New Roman" w:hAnsi="Times New Roman" w:eastAsia="宋体" w:cs="宋体"/>
                <w:bCs/>
                <w:snapToGrid w:val="0"/>
                <w:color w:val="000000"/>
                <w:spacing w:val="-10"/>
                <w:kern w:val="2"/>
                <w:sz w:val="21"/>
                <w:szCs w:val="21"/>
                <w:highlight w:val="none"/>
                <w:lang w:val="en-US" w:eastAsia="zh-CN" w:bidi="ar-SA"/>
              </w:rPr>
            </w:pPr>
          </w:p>
          <w:p>
            <w:pPr>
              <w:keepNext/>
              <w:keepLines/>
              <w:widowControl/>
              <w:spacing w:before="280" w:after="290" w:line="376" w:lineRule="atLeast"/>
              <w:jc w:val="both"/>
              <w:outlineLvl w:val="3"/>
              <w:rPr>
                <w:rFonts w:ascii="Times New Roman" w:hAnsi="Times New Roman" w:eastAsia="宋体" w:cs="宋体"/>
                <w:b/>
                <w:bCs/>
                <w:snapToGrid w:val="0"/>
                <w:color w:val="000000"/>
                <w:spacing w:val="-10"/>
                <w:kern w:val="2"/>
                <w:sz w:val="21"/>
                <w:szCs w:val="21"/>
                <w:highlight w:val="none"/>
                <w:lang w:val="en-US" w:eastAsia="zh-CN" w:bidi="ar-SA"/>
              </w:rPr>
            </w:pPr>
          </w:p>
          <w:p>
            <w:pPr>
              <w:rPr>
                <w:rFonts w:ascii="Times New Roman" w:hAnsi="Times New Roman" w:eastAsia="宋体" w:cs="宋体"/>
                <w:bCs/>
                <w:snapToGrid w:val="0"/>
                <w:color w:val="000000"/>
                <w:spacing w:val="-10"/>
                <w:kern w:val="2"/>
                <w:sz w:val="21"/>
                <w:szCs w:val="21"/>
                <w:highlight w:val="none"/>
                <w:lang w:val="en-US" w:eastAsia="zh-CN" w:bidi="ar-SA"/>
              </w:rPr>
            </w:pPr>
          </w:p>
          <w:p>
            <w:pPr>
              <w:keepNext/>
              <w:keepLines/>
              <w:widowControl/>
              <w:spacing w:before="280" w:after="290" w:line="376" w:lineRule="atLeast"/>
              <w:jc w:val="both"/>
              <w:outlineLvl w:val="3"/>
              <w:rPr>
                <w:rFonts w:ascii="Times New Roman" w:hAnsi="Times New Roman" w:eastAsia="宋体" w:cs="宋体"/>
                <w:b/>
                <w:bCs/>
                <w:snapToGrid w:val="0"/>
                <w:color w:val="000000"/>
                <w:spacing w:val="-10"/>
                <w:kern w:val="2"/>
                <w:sz w:val="21"/>
                <w:szCs w:val="21"/>
                <w:highlight w:val="none"/>
                <w:lang w:val="en-US" w:eastAsia="zh-CN" w:bidi="ar-SA"/>
              </w:rPr>
            </w:pPr>
          </w:p>
          <w:p>
            <w:pPr>
              <w:rPr>
                <w:rFonts w:ascii="Times New Roman" w:hAnsi="Times New Roman" w:eastAsia="宋体" w:cs="宋体"/>
                <w:lang w:val="en-US" w:eastAsia="zh-CN"/>
              </w:rPr>
            </w:pPr>
          </w:p>
          <w:p>
            <w:pPr>
              <w:rPr>
                <w:rFonts w:ascii="Times New Roman" w:hAnsi="Times New Roman" w:eastAsia="宋体" w:cs="宋体"/>
                <w:bCs/>
                <w:snapToGrid w:val="0"/>
                <w:color w:val="000000"/>
                <w:spacing w:val="-10"/>
                <w:kern w:val="2"/>
                <w:sz w:val="21"/>
                <w:szCs w:val="21"/>
                <w:highlight w:val="none"/>
                <w:lang w:val="en-US" w:eastAsia="zh-CN" w:bidi="ar-SA"/>
              </w:rPr>
            </w:pPr>
          </w:p>
          <w:p>
            <w:pPr>
              <w:keepNext/>
              <w:keepLines/>
              <w:widowControl/>
              <w:spacing w:before="280" w:after="290" w:line="376" w:lineRule="atLeast"/>
              <w:jc w:val="both"/>
              <w:outlineLvl w:val="3"/>
              <w:rPr>
                <w:rFonts w:ascii="Times New Roman" w:hAnsi="Times New Roman" w:eastAsia="宋体" w:cs="宋体"/>
                <w:b/>
                <w:bCs/>
                <w:snapToGrid w:val="0"/>
                <w:color w:val="000000"/>
                <w:spacing w:val="-10"/>
                <w:kern w:val="2"/>
                <w:sz w:val="21"/>
                <w:szCs w:val="21"/>
                <w:highlight w:val="none"/>
                <w:lang w:val="en-US" w:eastAsia="zh-CN" w:bidi="ar-SA"/>
              </w:rPr>
            </w:pPr>
          </w:p>
          <w:p>
            <w:pPr>
              <w:rPr>
                <w:rFonts w:ascii="Times New Roman" w:hAnsi="Times New Roman" w:eastAsia="宋体" w:cs="宋体"/>
                <w:bCs/>
                <w:snapToGrid w:val="0"/>
                <w:color w:val="000000"/>
                <w:spacing w:val="-10"/>
                <w:kern w:val="2"/>
                <w:sz w:val="21"/>
                <w:szCs w:val="21"/>
                <w:highlight w:val="none"/>
                <w:lang w:val="en-US" w:eastAsia="zh-CN" w:bidi="ar-SA"/>
              </w:rPr>
            </w:pPr>
          </w:p>
          <w:p>
            <w:pPr>
              <w:keepNext/>
              <w:keepLines/>
              <w:widowControl/>
              <w:spacing w:before="280" w:after="290" w:line="376" w:lineRule="atLeast"/>
              <w:jc w:val="both"/>
              <w:outlineLvl w:val="3"/>
              <w:rPr>
                <w:rFonts w:ascii="Times New Roman" w:hAnsi="Times New Roman" w:eastAsia="宋体" w:cs="宋体"/>
                <w:b/>
                <w:bCs/>
                <w:snapToGrid w:val="0"/>
                <w:color w:val="000000"/>
                <w:spacing w:val="-10"/>
                <w:kern w:val="2"/>
                <w:sz w:val="21"/>
                <w:szCs w:val="21"/>
                <w:highlight w:val="none"/>
                <w:lang w:val="en-US" w:eastAsia="zh-CN" w:bidi="ar-SA"/>
              </w:rPr>
            </w:pPr>
          </w:p>
          <w:p>
            <w:pPr>
              <w:rPr>
                <w:rFonts w:ascii="Times New Roman" w:hAnsi="Times New Roman" w:eastAsia="宋体" w:cs="宋体"/>
                <w:lang w:val="en-US" w:eastAsia="zh-CN"/>
              </w:rPr>
            </w:pPr>
          </w:p>
        </w:tc>
      </w:tr>
    </w:tbl>
    <w:p>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Times New Roman"/>
          <w:b/>
          <w:bCs/>
          <w:color w:val="000000"/>
          <w:sz w:val="24"/>
          <w:szCs w:val="20"/>
          <w:highlight w:val="none"/>
          <w:vertAlign w:val="baseline"/>
          <w:lang w:val="en-US" w:eastAsia="zh-CN"/>
        </w:rPr>
      </w:pPr>
      <w:r>
        <w:rPr>
          <w:rFonts w:hint="eastAsia" w:ascii="Times New Roman" w:hAnsi="Times New Roman" w:eastAsia="宋体" w:cs="Times New Roman"/>
          <w:b/>
          <w:bCs/>
          <w:color w:val="000000"/>
          <w:sz w:val="24"/>
          <w:szCs w:val="20"/>
          <w:highlight w:val="none"/>
          <w:vertAlign w:val="baseline"/>
          <w:lang w:val="en-US" w:eastAsia="zh-CN"/>
        </w:rPr>
        <w:t>表4.7-1本项目主要噪声源调查一览表</w:t>
      </w:r>
    </w:p>
    <w:tbl>
      <w:tblPr>
        <w:tblStyle w:val="26"/>
        <w:tblW w:w="154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25"/>
        <w:gridCol w:w="539"/>
        <w:gridCol w:w="1816"/>
        <w:gridCol w:w="889"/>
        <w:gridCol w:w="1689"/>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5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325"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序号</w:t>
            </w:r>
          </w:p>
        </w:tc>
        <w:tc>
          <w:tcPr>
            <w:tcW w:w="539"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建筑物名称</w:t>
            </w:r>
          </w:p>
        </w:tc>
        <w:tc>
          <w:tcPr>
            <w:tcW w:w="1816"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声源名称</w:t>
            </w:r>
          </w:p>
        </w:tc>
        <w:tc>
          <w:tcPr>
            <w:tcW w:w="88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声源源强</w:t>
            </w:r>
          </w:p>
        </w:tc>
        <w:tc>
          <w:tcPr>
            <w:tcW w:w="1689"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声源控制措施</w:t>
            </w:r>
          </w:p>
        </w:tc>
        <w:tc>
          <w:tcPr>
            <w:tcW w:w="1449" w:type="dxa"/>
            <w:gridSpan w:val="3"/>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空间相对位置/m</w:t>
            </w:r>
          </w:p>
        </w:tc>
        <w:tc>
          <w:tcPr>
            <w:tcW w:w="1932" w:type="dxa"/>
            <w:gridSpan w:val="4"/>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距室内边界距离/m</w:t>
            </w:r>
          </w:p>
        </w:tc>
        <w:tc>
          <w:tcPr>
            <w:tcW w:w="1932" w:type="dxa"/>
            <w:gridSpan w:val="4"/>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1"/>
                <w:sz w:val="21"/>
                <w:szCs w:val="21"/>
              </w:rPr>
              <w:t>室内边界声级/dB</w:t>
            </w:r>
            <w:r>
              <w:rPr>
                <w:rFonts w:hint="eastAsia" w:ascii="Times New Roman" w:hAnsi="Times New Roman" w:eastAsia="宋体" w:cs="Times New Roman"/>
                <w:spacing w:val="-1"/>
                <w:sz w:val="21"/>
                <w:szCs w:val="21"/>
                <w:lang w:eastAsia="zh-CN"/>
              </w:rPr>
              <w:t>（</w:t>
            </w:r>
            <w:r>
              <w:rPr>
                <w:rFonts w:hint="default" w:ascii="Times New Roman" w:hAnsi="Times New Roman" w:eastAsia="宋体" w:cs="Times New Roman"/>
                <w:spacing w:val="-1"/>
                <w:sz w:val="21"/>
                <w:szCs w:val="21"/>
              </w:rPr>
              <w:t>A</w:t>
            </w:r>
            <w:r>
              <w:rPr>
                <w:rFonts w:hint="eastAsia" w:ascii="Times New Roman" w:hAnsi="Times New Roman" w:eastAsia="宋体" w:cs="Times New Roman"/>
                <w:spacing w:val="-1"/>
                <w:sz w:val="21"/>
                <w:szCs w:val="21"/>
                <w:lang w:eastAsia="zh-CN"/>
              </w:rPr>
              <w:t>）</w:t>
            </w:r>
          </w:p>
        </w:tc>
        <w:tc>
          <w:tcPr>
            <w:tcW w:w="483"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运行时</w:t>
            </w:r>
            <w:r>
              <w:rPr>
                <w:rFonts w:hint="default" w:ascii="Times New Roman" w:hAnsi="Times New Roman" w:eastAsia="宋体" w:cs="Times New Roman"/>
                <w:sz w:val="21"/>
                <w:szCs w:val="21"/>
              </w:rPr>
              <w:t>段</w:t>
            </w:r>
          </w:p>
        </w:tc>
        <w:tc>
          <w:tcPr>
            <w:tcW w:w="1932" w:type="dxa"/>
            <w:gridSpan w:val="4"/>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1"/>
                <w:sz w:val="21"/>
                <w:szCs w:val="21"/>
              </w:rPr>
              <w:t>建筑物插入损失/dB</w:t>
            </w:r>
            <w:r>
              <w:rPr>
                <w:rFonts w:hint="eastAsia" w:ascii="Times New Roman" w:hAnsi="Times New Roman" w:eastAsia="宋体" w:cs="Times New Roman"/>
                <w:spacing w:val="-1"/>
                <w:sz w:val="21"/>
                <w:szCs w:val="21"/>
                <w:lang w:eastAsia="zh-CN"/>
              </w:rPr>
              <w:t>（</w:t>
            </w:r>
            <w:r>
              <w:rPr>
                <w:rFonts w:hint="default" w:ascii="Times New Roman" w:hAnsi="Times New Roman" w:eastAsia="宋体" w:cs="Times New Roman"/>
                <w:spacing w:val="-1"/>
                <w:sz w:val="21"/>
                <w:szCs w:val="21"/>
              </w:rPr>
              <w:t>A</w:t>
            </w:r>
            <w:r>
              <w:rPr>
                <w:rFonts w:hint="eastAsia" w:ascii="Times New Roman" w:hAnsi="Times New Roman" w:eastAsia="宋体" w:cs="Times New Roman"/>
                <w:spacing w:val="-1"/>
                <w:sz w:val="21"/>
                <w:szCs w:val="21"/>
                <w:lang w:eastAsia="zh-CN"/>
              </w:rPr>
              <w:t>）</w:t>
            </w:r>
          </w:p>
        </w:tc>
        <w:tc>
          <w:tcPr>
            <w:tcW w:w="2434" w:type="dxa"/>
            <w:gridSpan w:val="5"/>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1"/>
                <w:sz w:val="21"/>
                <w:szCs w:val="21"/>
              </w:rPr>
              <w:t>建筑物外噪声声压级/dB</w:t>
            </w:r>
            <w:r>
              <w:rPr>
                <w:rFonts w:hint="eastAsia" w:ascii="Times New Roman" w:hAnsi="Times New Roman" w:eastAsia="宋体" w:cs="Times New Roman"/>
                <w:spacing w:val="-1"/>
                <w:sz w:val="21"/>
                <w:szCs w:val="21"/>
                <w:lang w:eastAsia="zh-CN"/>
              </w:rPr>
              <w:t>（</w:t>
            </w:r>
            <w:r>
              <w:rPr>
                <w:rFonts w:hint="default" w:ascii="Times New Roman" w:hAnsi="Times New Roman" w:eastAsia="宋体" w:cs="Times New Roman"/>
                <w:spacing w:val="-1"/>
                <w:sz w:val="21"/>
                <w:szCs w:val="21"/>
              </w:rPr>
              <w:t>A</w:t>
            </w:r>
            <w:r>
              <w:rPr>
                <w:rFonts w:hint="eastAsia" w:ascii="Times New Roman" w:hAnsi="Times New Roman" w:eastAsia="宋体" w:cs="Times New Roman"/>
                <w:spacing w:val="-1"/>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4" w:hRule="atLeast"/>
          <w:jc w:val="center"/>
        </w:trPr>
        <w:tc>
          <w:tcPr>
            <w:tcW w:w="32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53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181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889" w:type="dxa"/>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1"/>
                <w:sz w:val="21"/>
                <w:szCs w:val="21"/>
              </w:rPr>
              <w:t>声功率级/dB</w:t>
            </w:r>
            <w:r>
              <w:rPr>
                <w:rFonts w:hint="eastAsia" w:ascii="Times New Roman" w:hAnsi="Times New Roman" w:eastAsia="宋体" w:cs="Times New Roman"/>
                <w:spacing w:val="-1"/>
                <w:sz w:val="21"/>
                <w:szCs w:val="21"/>
                <w:lang w:eastAsia="zh-CN"/>
              </w:rPr>
              <w:t>（</w:t>
            </w:r>
            <w:r>
              <w:rPr>
                <w:rFonts w:hint="default" w:ascii="Times New Roman" w:hAnsi="Times New Roman" w:eastAsia="宋体" w:cs="Times New Roman"/>
                <w:spacing w:val="-1"/>
                <w:sz w:val="21"/>
                <w:szCs w:val="21"/>
              </w:rPr>
              <w:t>A</w:t>
            </w:r>
            <w:r>
              <w:rPr>
                <w:rFonts w:hint="eastAsia" w:ascii="Times New Roman" w:hAnsi="Times New Roman" w:eastAsia="宋体" w:cs="Times New Roman"/>
                <w:spacing w:val="-1"/>
                <w:sz w:val="21"/>
                <w:szCs w:val="21"/>
                <w:lang w:eastAsia="zh-CN"/>
              </w:rPr>
              <w:t>）</w:t>
            </w:r>
          </w:p>
        </w:tc>
        <w:tc>
          <w:tcPr>
            <w:tcW w:w="168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483" w:type="dxa"/>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X</w:t>
            </w:r>
          </w:p>
        </w:tc>
        <w:tc>
          <w:tcPr>
            <w:tcW w:w="483" w:type="dxa"/>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w:t>
            </w:r>
          </w:p>
        </w:tc>
        <w:tc>
          <w:tcPr>
            <w:tcW w:w="483" w:type="dxa"/>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w:t>
            </w: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w:t>
            </w: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w:t>
            </w: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w:t>
            </w: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w:t>
            </w: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w:t>
            </w: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w:t>
            </w: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w:t>
            </w: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w:t>
            </w:r>
          </w:p>
        </w:tc>
        <w:tc>
          <w:tcPr>
            <w:tcW w:w="48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w:t>
            </w: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w:t>
            </w: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w:t>
            </w: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w:t>
            </w: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w:t>
            </w: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w:t>
            </w: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w:t>
            </w:r>
          </w:p>
        </w:tc>
        <w:tc>
          <w:tcPr>
            <w:tcW w:w="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w:t>
            </w:r>
          </w:p>
        </w:tc>
        <w:tc>
          <w:tcPr>
            <w:tcW w:w="50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建筑物外距离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325" w:type="dxa"/>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39"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生产车间</w:t>
            </w:r>
          </w:p>
        </w:tc>
        <w:tc>
          <w:tcPr>
            <w:tcW w:w="181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highlight w:val="none"/>
                <w:lang w:val="en-US" w:eastAsia="zh-CN"/>
              </w:rPr>
              <w:t>拉丝机，</w:t>
            </w:r>
            <w:r>
              <w:rPr>
                <w:rFonts w:hint="eastAsia" w:cs="宋体"/>
                <w:sz w:val="21"/>
                <w:szCs w:val="21"/>
                <w:highlight w:val="none"/>
                <w:lang w:val="en-US" w:eastAsia="zh-CN"/>
              </w:rPr>
              <w:t>1</w:t>
            </w:r>
            <w:r>
              <w:rPr>
                <w:rFonts w:hint="eastAsia" w:ascii="Times New Roman" w:hAnsi="Times New Roman" w:eastAsia="宋体" w:cs="宋体"/>
                <w:sz w:val="21"/>
                <w:szCs w:val="21"/>
                <w:highlight w:val="none"/>
                <w:lang w:val="en-US" w:eastAsia="zh-CN"/>
              </w:rPr>
              <w:t>台</w:t>
            </w:r>
          </w:p>
        </w:tc>
        <w:tc>
          <w:tcPr>
            <w:tcW w:w="88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85</w:t>
            </w:r>
          </w:p>
        </w:tc>
        <w:tc>
          <w:tcPr>
            <w:tcW w:w="1689" w:type="dxa"/>
            <w:vMerge w:val="restart"/>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减振+建筑物隔声</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13</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38</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0.5</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119</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30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21</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65.00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43.49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55.46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58.56 </w:t>
            </w:r>
          </w:p>
        </w:tc>
        <w:tc>
          <w:tcPr>
            <w:tcW w:w="483" w:type="dxa"/>
            <w:vMerge w:val="restar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2400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45.00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23.49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35.46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38.56 </w:t>
            </w:r>
          </w:p>
        </w:tc>
        <w:tc>
          <w:tcPr>
            <w:tcW w:w="5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325" w:type="dxa"/>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2</w:t>
            </w:r>
          </w:p>
        </w:tc>
        <w:tc>
          <w:tcPr>
            <w:tcW w:w="53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lang w:val="en-US" w:eastAsia="zh-CN"/>
              </w:rPr>
            </w:pPr>
          </w:p>
        </w:tc>
        <w:tc>
          <w:tcPr>
            <w:tcW w:w="181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宋体"/>
                <w:sz w:val="21"/>
                <w:szCs w:val="21"/>
                <w:lang w:val="en-US" w:eastAsia="zh-CN"/>
              </w:rPr>
              <w:t>绞丝机，</w:t>
            </w:r>
            <w:r>
              <w:rPr>
                <w:rFonts w:hint="eastAsia" w:cs="宋体"/>
                <w:sz w:val="21"/>
                <w:szCs w:val="21"/>
                <w:lang w:val="en-US" w:eastAsia="zh-CN"/>
              </w:rPr>
              <w:t>1</w:t>
            </w:r>
            <w:r>
              <w:rPr>
                <w:rFonts w:hint="eastAsia" w:ascii="Times New Roman" w:hAnsi="Times New Roman" w:eastAsia="宋体" w:cs="宋体"/>
                <w:sz w:val="21"/>
                <w:szCs w:val="21"/>
                <w:lang w:val="en-US" w:eastAsia="zh-CN"/>
              </w:rPr>
              <w:t>台</w:t>
            </w:r>
          </w:p>
        </w:tc>
        <w:tc>
          <w:tcPr>
            <w:tcW w:w="88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4"/>
                <w:sz w:val="21"/>
                <w:szCs w:val="21"/>
                <w:lang w:val="en-US" w:eastAsia="zh-CN"/>
              </w:rPr>
              <w:t>85</w:t>
            </w:r>
          </w:p>
        </w:tc>
        <w:tc>
          <w:tcPr>
            <w:tcW w:w="1689" w:type="dxa"/>
            <w:vMerge w:val="continue"/>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13</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19</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0.5</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100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30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40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65.00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45.00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55.46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52.96 </w:t>
            </w:r>
          </w:p>
        </w:tc>
        <w:tc>
          <w:tcPr>
            <w:tcW w:w="483"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45.00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25.00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35.46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32.96 </w:t>
            </w:r>
          </w:p>
        </w:tc>
        <w:tc>
          <w:tcPr>
            <w:tcW w:w="5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325" w:type="dxa"/>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53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lang w:val="en-US" w:eastAsia="zh-CN"/>
              </w:rPr>
            </w:pPr>
          </w:p>
        </w:tc>
        <w:tc>
          <w:tcPr>
            <w:tcW w:w="181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挤出机，</w:t>
            </w:r>
            <w:r>
              <w:rPr>
                <w:rFonts w:hint="eastAsia" w:cs="宋体"/>
                <w:sz w:val="21"/>
                <w:szCs w:val="21"/>
                <w:lang w:val="en-US" w:eastAsia="zh-CN"/>
              </w:rPr>
              <w:t>5</w:t>
            </w:r>
            <w:r>
              <w:rPr>
                <w:rFonts w:hint="eastAsia" w:ascii="Times New Roman" w:hAnsi="Times New Roman" w:eastAsia="宋体" w:cs="宋体"/>
                <w:sz w:val="21"/>
                <w:szCs w:val="21"/>
                <w:lang w:val="en-US" w:eastAsia="zh-CN"/>
              </w:rPr>
              <w:t>台</w:t>
            </w:r>
          </w:p>
        </w:tc>
        <w:tc>
          <w:tcPr>
            <w:tcW w:w="88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4"/>
                <w:sz w:val="21"/>
                <w:szCs w:val="21"/>
                <w:lang w:val="en-US" w:eastAsia="zh-CN"/>
              </w:rPr>
            </w:pPr>
            <w:r>
              <w:rPr>
                <w:rFonts w:hint="eastAsia" w:cs="Times New Roman"/>
                <w:spacing w:val="-4"/>
                <w:sz w:val="21"/>
                <w:szCs w:val="21"/>
                <w:lang w:val="en-US" w:eastAsia="zh-CN"/>
              </w:rPr>
              <w:t>92</w:t>
            </w:r>
          </w:p>
        </w:tc>
        <w:tc>
          <w:tcPr>
            <w:tcW w:w="168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1"/>
                <w:sz w:val="21"/>
                <w:szCs w:val="21"/>
              </w:rPr>
            </w:pP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3</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-21</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0.5</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60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80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65.98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56.44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65.98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53.94 </w:t>
            </w:r>
          </w:p>
        </w:tc>
        <w:tc>
          <w:tcPr>
            <w:tcW w:w="483"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45.98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36.44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45.98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33.94 </w:t>
            </w:r>
          </w:p>
        </w:tc>
        <w:tc>
          <w:tcPr>
            <w:tcW w:w="5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325" w:type="dxa"/>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53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lang w:val="en-US" w:eastAsia="zh-CN"/>
              </w:rPr>
            </w:pPr>
          </w:p>
        </w:tc>
        <w:tc>
          <w:tcPr>
            <w:tcW w:w="181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喷码机，</w:t>
            </w:r>
            <w:r>
              <w:rPr>
                <w:rFonts w:hint="eastAsia" w:cs="宋体"/>
                <w:sz w:val="21"/>
                <w:szCs w:val="21"/>
                <w:lang w:val="en-US" w:eastAsia="zh-CN"/>
              </w:rPr>
              <w:t>4</w:t>
            </w:r>
            <w:r>
              <w:rPr>
                <w:rFonts w:hint="eastAsia" w:ascii="Times New Roman" w:hAnsi="Times New Roman" w:eastAsia="宋体" w:cs="宋体"/>
                <w:sz w:val="21"/>
                <w:szCs w:val="21"/>
                <w:lang w:val="en-US" w:eastAsia="zh-CN"/>
              </w:rPr>
              <w:t>台</w:t>
            </w:r>
          </w:p>
        </w:tc>
        <w:tc>
          <w:tcPr>
            <w:tcW w:w="88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4"/>
                <w:sz w:val="21"/>
                <w:szCs w:val="21"/>
                <w:lang w:val="en-US" w:eastAsia="zh-CN"/>
              </w:rPr>
            </w:pPr>
            <w:r>
              <w:rPr>
                <w:rFonts w:hint="eastAsia" w:cs="Times New Roman"/>
                <w:spacing w:val="-4"/>
                <w:sz w:val="21"/>
                <w:szCs w:val="21"/>
                <w:lang w:val="en-US" w:eastAsia="zh-CN"/>
              </w:rPr>
              <w:t>91</w:t>
            </w:r>
          </w:p>
        </w:tc>
        <w:tc>
          <w:tcPr>
            <w:tcW w:w="168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1"/>
                <w:sz w:val="21"/>
                <w:szCs w:val="21"/>
              </w:rPr>
            </w:pP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3</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-61</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0.5</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64.98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64.98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64.98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49.42 </w:t>
            </w:r>
          </w:p>
        </w:tc>
        <w:tc>
          <w:tcPr>
            <w:tcW w:w="483"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44.98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44.98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44.98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29.42 </w:t>
            </w:r>
          </w:p>
        </w:tc>
        <w:tc>
          <w:tcPr>
            <w:tcW w:w="5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325" w:type="dxa"/>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53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181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sz w:val="21"/>
                <w:szCs w:val="21"/>
                <w:lang w:val="en-US" w:eastAsia="zh-CN"/>
              </w:rPr>
              <w:t>成缆机，1台</w:t>
            </w:r>
          </w:p>
        </w:tc>
        <w:tc>
          <w:tcPr>
            <w:tcW w:w="88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pacing w:val="-2"/>
                <w:sz w:val="21"/>
                <w:szCs w:val="21"/>
                <w:lang w:val="en-US" w:eastAsia="zh-CN"/>
              </w:rPr>
            </w:pPr>
            <w:r>
              <w:rPr>
                <w:rFonts w:hint="eastAsia" w:ascii="Times New Roman" w:hAnsi="Times New Roman" w:eastAsia="宋体" w:cs="Times New Roman"/>
                <w:spacing w:val="-4"/>
                <w:sz w:val="21"/>
                <w:szCs w:val="21"/>
                <w:lang w:val="en-US" w:eastAsia="zh-CN"/>
              </w:rPr>
              <w:t>85</w:t>
            </w:r>
          </w:p>
        </w:tc>
        <w:tc>
          <w:tcPr>
            <w:tcW w:w="168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1"/>
                <w:sz w:val="21"/>
                <w:szCs w:val="21"/>
              </w:rPr>
            </w:pP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13</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29</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0.5</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110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30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30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65.00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44.17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55.46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55.46 </w:t>
            </w:r>
          </w:p>
        </w:tc>
        <w:tc>
          <w:tcPr>
            <w:tcW w:w="483"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45.00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24.17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35.46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35.46 </w:t>
            </w:r>
          </w:p>
        </w:tc>
        <w:tc>
          <w:tcPr>
            <w:tcW w:w="5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325" w:type="dxa"/>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53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181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sz w:val="21"/>
                <w:szCs w:val="21"/>
                <w:lang w:val="en-US" w:eastAsia="zh-CN"/>
              </w:rPr>
              <w:t>紫外线交联机</w:t>
            </w:r>
            <w:r>
              <w:rPr>
                <w:rFonts w:hint="eastAsia" w:cs="宋体"/>
                <w:sz w:val="21"/>
                <w:szCs w:val="21"/>
                <w:lang w:val="en-US" w:eastAsia="zh-CN"/>
              </w:rPr>
              <w:t>，3台</w:t>
            </w:r>
          </w:p>
        </w:tc>
        <w:tc>
          <w:tcPr>
            <w:tcW w:w="889" w:type="dxa"/>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pacing w:val="-2"/>
                <w:sz w:val="21"/>
                <w:szCs w:val="21"/>
                <w:lang w:val="en-US" w:eastAsia="zh-CN"/>
              </w:rPr>
            </w:pPr>
            <w:r>
              <w:rPr>
                <w:rFonts w:hint="eastAsia" w:ascii="Times New Roman" w:hAnsi="Times New Roman" w:eastAsia="宋体" w:cs="Times New Roman"/>
                <w:spacing w:val="-4"/>
                <w:sz w:val="21"/>
                <w:szCs w:val="21"/>
                <w:lang w:val="en-US" w:eastAsia="zh-CN"/>
              </w:rPr>
              <w:t>90</w:t>
            </w:r>
          </w:p>
        </w:tc>
        <w:tc>
          <w:tcPr>
            <w:tcW w:w="168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1"/>
                <w:sz w:val="21"/>
                <w:szCs w:val="21"/>
              </w:rPr>
            </w:pP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3</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9</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0.5</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90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50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63.98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50.92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63.98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56.02 </w:t>
            </w:r>
          </w:p>
        </w:tc>
        <w:tc>
          <w:tcPr>
            <w:tcW w:w="483"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43.98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30.92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43.98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36.02 </w:t>
            </w:r>
          </w:p>
        </w:tc>
        <w:tc>
          <w:tcPr>
            <w:tcW w:w="5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325" w:type="dxa"/>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53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181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风机，1台</w:t>
            </w:r>
          </w:p>
        </w:tc>
        <w:tc>
          <w:tcPr>
            <w:tcW w:w="88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pacing w:val="-2"/>
                <w:sz w:val="21"/>
                <w:szCs w:val="21"/>
                <w:lang w:val="en-US" w:eastAsia="zh-CN"/>
              </w:rPr>
            </w:pPr>
            <w:r>
              <w:rPr>
                <w:rFonts w:hint="eastAsia" w:ascii="Times New Roman" w:hAnsi="Times New Roman" w:eastAsia="宋体" w:cs="Times New Roman"/>
                <w:spacing w:val="-2"/>
                <w:sz w:val="21"/>
                <w:szCs w:val="21"/>
                <w:lang w:val="en-US" w:eastAsia="zh-CN"/>
              </w:rPr>
              <w:t>85</w:t>
            </w:r>
          </w:p>
        </w:tc>
        <w:tc>
          <w:tcPr>
            <w:tcW w:w="168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1"/>
                <w:sz w:val="21"/>
                <w:szCs w:val="21"/>
              </w:rPr>
            </w:pP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-12</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-11</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0.5</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35</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70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5</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70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54.12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48.10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71.02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48.10 </w:t>
            </w:r>
          </w:p>
        </w:tc>
        <w:tc>
          <w:tcPr>
            <w:tcW w:w="483"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34.12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28.10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51.02 </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 xml:space="preserve">28.10 </w:t>
            </w:r>
          </w:p>
        </w:tc>
        <w:tc>
          <w:tcPr>
            <w:tcW w:w="5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325" w:type="dxa"/>
            <w:tcBorders>
              <w:tl2br w:val="nil"/>
              <w:tr2bl w:val="nil"/>
            </w:tcBorders>
            <w:vAlign w:val="center"/>
          </w:tcPr>
          <w:p>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53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1816"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氩弧焊</w:t>
            </w:r>
            <w:r>
              <w:rPr>
                <w:rFonts w:hint="eastAsia" w:cs="宋体"/>
                <w:sz w:val="21"/>
                <w:szCs w:val="21"/>
                <w:lang w:val="en-US" w:eastAsia="zh-CN"/>
              </w:rPr>
              <w:t>机，1</w:t>
            </w:r>
            <w:r>
              <w:rPr>
                <w:rFonts w:hint="eastAsia" w:ascii="Times New Roman" w:hAnsi="Times New Roman" w:eastAsia="宋体" w:cs="宋体"/>
                <w:sz w:val="21"/>
                <w:szCs w:val="21"/>
                <w:lang w:val="en-US" w:eastAsia="zh-CN"/>
              </w:rPr>
              <w:t>台</w:t>
            </w:r>
          </w:p>
        </w:tc>
        <w:tc>
          <w:tcPr>
            <w:tcW w:w="88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pacing w:val="-2"/>
                <w:sz w:val="21"/>
                <w:szCs w:val="21"/>
                <w:lang w:val="en-US" w:eastAsia="zh-CN"/>
              </w:rPr>
            </w:pPr>
            <w:r>
              <w:rPr>
                <w:rFonts w:hint="eastAsia" w:ascii="Times New Roman" w:hAnsi="Times New Roman" w:eastAsia="宋体" w:cs="Times New Roman"/>
                <w:spacing w:val="-2"/>
                <w:sz w:val="21"/>
                <w:szCs w:val="21"/>
                <w:lang w:val="en-US" w:eastAsia="zh-CN"/>
              </w:rPr>
              <w:t>85</w:t>
            </w:r>
          </w:p>
        </w:tc>
        <w:tc>
          <w:tcPr>
            <w:tcW w:w="168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1"/>
                <w:sz w:val="21"/>
                <w:szCs w:val="21"/>
              </w:rPr>
            </w:pP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8</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0.5</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15</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80</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25</w:t>
            </w:r>
          </w:p>
        </w:tc>
        <w:tc>
          <w:tcPr>
            <w:tcW w:w="483"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60</w:t>
            </w:r>
          </w:p>
        </w:tc>
        <w:tc>
          <w:tcPr>
            <w:tcW w:w="48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61.48 </w:t>
            </w:r>
          </w:p>
        </w:tc>
        <w:tc>
          <w:tcPr>
            <w:tcW w:w="48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46.94 </w:t>
            </w:r>
          </w:p>
        </w:tc>
        <w:tc>
          <w:tcPr>
            <w:tcW w:w="48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57.04 </w:t>
            </w:r>
          </w:p>
        </w:tc>
        <w:tc>
          <w:tcPr>
            <w:tcW w:w="48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49.44 </w:t>
            </w:r>
          </w:p>
        </w:tc>
        <w:tc>
          <w:tcPr>
            <w:tcW w:w="483" w:type="dxa"/>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hAnsi="Times New Roman" w:eastAsia="宋体" w:cs="宋体"/>
                <w:sz w:val="21"/>
                <w:szCs w:val="21"/>
                <w:lang w:val="en-US" w:eastAsia="zh-CN"/>
              </w:rPr>
            </w:pPr>
          </w:p>
        </w:tc>
        <w:tc>
          <w:tcPr>
            <w:tcW w:w="48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8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8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8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8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41.48 </w:t>
            </w:r>
          </w:p>
        </w:tc>
        <w:tc>
          <w:tcPr>
            <w:tcW w:w="48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26.94 </w:t>
            </w:r>
          </w:p>
        </w:tc>
        <w:tc>
          <w:tcPr>
            <w:tcW w:w="48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37.04 </w:t>
            </w:r>
          </w:p>
        </w:tc>
        <w:tc>
          <w:tcPr>
            <w:tcW w:w="48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29.44 </w:t>
            </w:r>
          </w:p>
        </w:tc>
        <w:tc>
          <w:tcPr>
            <w:tcW w:w="502" w:type="dxa"/>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r>
    </w:tbl>
    <w:p>
      <w:pPr>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4"/>
        <w:gridCol w:w="86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72" w:hRule="atLeast"/>
          <w:jc w:val="center"/>
        </w:trPr>
        <w:tc>
          <w:tcPr>
            <w:tcW w:w="434" w:type="dxa"/>
            <w:noWrap w:val="0"/>
            <w:tcMar>
              <w:left w:w="28" w:type="dxa"/>
              <w:right w:w="28" w:type="dxa"/>
            </w:tcMar>
            <w:vAlign w:val="center"/>
          </w:tcPr>
          <w:p>
            <w:pPr>
              <w:bidi w:val="0"/>
              <w:spacing w:line="360" w:lineRule="auto"/>
              <w:jc w:val="center"/>
              <w:rPr>
                <w:rFonts w:hint="eastAsia" w:ascii="Times New Roman" w:hAnsi="Times New Roman" w:eastAsia="宋体" w:cs="宋体"/>
                <w:color w:val="000000"/>
                <w:kern w:val="2"/>
                <w:sz w:val="24"/>
                <w:szCs w:val="24"/>
                <w:highlight w:val="none"/>
                <w:lang w:val="en-US" w:eastAsia="zh-CN" w:bidi="ar-SA"/>
              </w:rPr>
            </w:pPr>
          </w:p>
        </w:tc>
        <w:tc>
          <w:tcPr>
            <w:tcW w:w="8637" w:type="dxa"/>
            <w:noWrap w:val="0"/>
            <w:vAlign w:val="center"/>
          </w:tcPr>
          <w:p>
            <w:pPr>
              <w:keepNext w:val="0"/>
              <w:keepLines w:val="0"/>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（2）达标分析</w:t>
            </w:r>
          </w:p>
          <w:p>
            <w:pPr>
              <w:widowControl w:val="0"/>
              <w:overflowPunct w:val="0"/>
              <w:autoSpaceDE w:val="0"/>
              <w:autoSpaceDN w:val="0"/>
              <w:adjustRightInd w:val="0"/>
              <w:snapToGrid w:val="0"/>
              <w:spacing w:before="0" w:after="0" w:line="500" w:lineRule="exact"/>
              <w:ind w:left="0" w:right="0" w:firstLine="480" w:firstLineChars="200"/>
              <w:jc w:val="both"/>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采用《</w:t>
            </w:r>
            <w:r>
              <w:rPr>
                <w:rFonts w:hint="eastAsia" w:ascii="Times New Roman" w:hAnsi="Times New Roman" w:eastAsia="宋体" w:cs="Times New Roman"/>
                <w:color w:val="auto"/>
                <w:kern w:val="2"/>
                <w:sz w:val="24"/>
                <w:szCs w:val="24"/>
                <w:highlight w:val="none"/>
                <w:lang w:val="en-US" w:eastAsia="zh-CN" w:bidi="ar-SA"/>
              </w:rPr>
              <w:t>环境影响评价技术导则 声环境</w:t>
            </w:r>
            <w:r>
              <w:rPr>
                <w:rFonts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HJ2.4－20</w:t>
            </w:r>
            <w:r>
              <w:rPr>
                <w:rFonts w:hint="eastAsia" w:ascii="Times New Roman" w:hAnsi="Times New Roman" w:eastAsia="宋体" w:cs="Times New Roman"/>
                <w:color w:val="auto"/>
                <w:kern w:val="2"/>
                <w:sz w:val="24"/>
                <w:szCs w:val="24"/>
                <w:highlight w:val="none"/>
                <w:lang w:val="en-US" w:eastAsia="zh-CN" w:bidi="ar-SA"/>
              </w:rPr>
              <w:t>21）</w:t>
            </w:r>
            <w:r>
              <w:rPr>
                <w:rFonts w:ascii="Times New Roman" w:hAnsi="Times New Roman" w:eastAsia="宋体" w:cs="Times New Roman"/>
                <w:color w:val="auto"/>
                <w:kern w:val="2"/>
                <w:sz w:val="24"/>
                <w:szCs w:val="24"/>
                <w:highlight w:val="none"/>
                <w:lang w:val="en-US" w:eastAsia="zh-CN" w:bidi="ar-SA"/>
              </w:rPr>
              <w:t>中推荐模式形式进行</w:t>
            </w:r>
            <w:r>
              <w:rPr>
                <w:rFonts w:hint="eastAsia" w:ascii="Times New Roman" w:hAnsi="Times New Roman" w:eastAsia="宋体" w:cs="Times New Roman"/>
                <w:color w:val="auto"/>
                <w:kern w:val="2"/>
                <w:sz w:val="24"/>
                <w:szCs w:val="24"/>
                <w:highlight w:val="none"/>
                <w:lang w:val="en-US" w:eastAsia="zh-CN" w:bidi="ar-SA"/>
              </w:rPr>
              <w:t>分析</w:t>
            </w:r>
            <w:r>
              <w:rPr>
                <w:rFonts w:ascii="Times New Roman" w:hAnsi="Times New Roman" w:eastAsia="宋体" w:cs="Times New Roman"/>
                <w:color w:val="auto"/>
                <w:kern w:val="2"/>
                <w:sz w:val="24"/>
                <w:szCs w:val="24"/>
                <w:highlight w:val="none"/>
                <w:lang w:val="en-US" w:eastAsia="zh-CN" w:bidi="ar-SA"/>
              </w:rPr>
              <w:t>：</w:t>
            </w:r>
          </w:p>
          <w:p>
            <w:pPr>
              <w:overflowPunct/>
              <w:autoSpaceDE/>
              <w:autoSpaceDN/>
              <w:adjustRightInd/>
              <w:snapToGrid w:val="0"/>
              <w:spacing w:before="0" w:after="0" w:line="520" w:lineRule="exact"/>
              <w:ind w:left="0" w:right="0" w:firstLine="480" w:firstLineChars="200"/>
              <w:jc w:val="both"/>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lang w:val="en-US" w:eastAsia="zh-CN" w:bidi="ar-SA"/>
              </w:rPr>
              <w:t>①</w:t>
            </w:r>
            <w:r>
              <w:rPr>
                <w:rFonts w:ascii="Times New Roman" w:hAnsi="Times New Roman" w:eastAsia="宋体" w:cs="Times New Roman"/>
                <w:color w:val="auto"/>
                <w:kern w:val="2"/>
                <w:sz w:val="24"/>
                <w:szCs w:val="24"/>
                <w:highlight w:val="none"/>
              </w:rPr>
              <w:t>室内声源</w:t>
            </w:r>
          </w:p>
          <w:p>
            <w:pPr>
              <w:overflowPunct/>
              <w:autoSpaceDE/>
              <w:autoSpaceDN/>
              <w:adjustRightInd/>
              <w:snapToGrid w:val="0"/>
              <w:spacing w:before="0" w:after="0" w:line="520" w:lineRule="exact"/>
              <w:ind w:left="0" w:right="0"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假如某厂房内有K个噪声源，对预测点的影响相当于若干个等效室外声源，其计算如下：</w:t>
            </w:r>
          </w:p>
          <w:p>
            <w:pPr>
              <w:overflowPunct/>
              <w:autoSpaceDE/>
              <w:autoSpaceDN/>
              <w:adjustRightInd/>
              <w:snapToGrid w:val="0"/>
              <w:spacing w:before="0" w:after="0" w:line="520" w:lineRule="exact"/>
              <w:ind w:left="0" w:right="0"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1）计算厂房内第I个声源在室内靠近围护结构处的声级Lpil：</w:t>
            </w:r>
          </w:p>
          <w:p>
            <w:pPr>
              <w:overflowPunct/>
              <w:autoSpaceDE/>
              <w:autoSpaceDN/>
              <w:adjustRightInd/>
              <w:snapToGrid w:val="0"/>
              <w:spacing w:before="0" w:after="0" w:line="520" w:lineRule="exact"/>
              <w:ind w:left="0" w:right="0"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Lpil=Lwi+10lg（Qπri/4+4/R）</w:t>
            </w:r>
          </w:p>
          <w:p>
            <w:pPr>
              <w:overflowPunct/>
              <w:autoSpaceDE/>
              <w:autoSpaceDN/>
              <w:adjustRightInd/>
              <w:snapToGrid w:val="0"/>
              <w:spacing w:before="0" w:after="0" w:line="520" w:lineRule="exact"/>
              <w:ind w:left="0" w:right="0"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式中：</w:t>
            </w:r>
          </w:p>
          <w:p>
            <w:pPr>
              <w:overflowPunct/>
              <w:autoSpaceDE/>
              <w:autoSpaceDN/>
              <w:adjustRightInd/>
              <w:snapToGrid w:val="0"/>
              <w:spacing w:before="0" w:after="0" w:line="520" w:lineRule="exact"/>
              <w:ind w:left="0" w:right="0"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Lwi—该厂房内第i个声源的声功率级；</w:t>
            </w:r>
          </w:p>
          <w:p>
            <w:pPr>
              <w:overflowPunct/>
              <w:autoSpaceDE/>
              <w:autoSpaceDN/>
              <w:adjustRightInd/>
              <w:snapToGrid w:val="0"/>
              <w:spacing w:before="0" w:after="0" w:line="520" w:lineRule="exact"/>
              <w:ind w:left="0" w:right="0"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Q—声源的方向性因素；</w:t>
            </w:r>
          </w:p>
          <w:p>
            <w:pPr>
              <w:overflowPunct/>
              <w:autoSpaceDE/>
              <w:autoSpaceDN/>
              <w:adjustRightInd/>
              <w:snapToGrid w:val="0"/>
              <w:spacing w:before="0" w:after="0" w:line="520" w:lineRule="exact"/>
              <w:ind w:left="0" w:right="0"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ri—室内点距声源的距离；</w:t>
            </w:r>
          </w:p>
          <w:p>
            <w:pPr>
              <w:overflowPunct/>
              <w:autoSpaceDE/>
              <w:autoSpaceDN/>
              <w:adjustRightInd/>
              <w:snapToGrid w:val="0"/>
              <w:spacing w:before="0" w:after="0" w:line="520" w:lineRule="exact"/>
              <w:ind w:left="0" w:right="0"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R—房间常数。</w:t>
            </w:r>
          </w:p>
          <w:p>
            <w:pPr>
              <w:overflowPunct/>
              <w:autoSpaceDE/>
              <w:autoSpaceDN/>
              <w:adjustRightInd/>
              <w:snapToGrid w:val="0"/>
              <w:spacing w:before="0" w:after="0" w:line="520" w:lineRule="exact"/>
              <w:ind w:left="0" w:right="0"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2）计算厂房内K个声源在靠近围护结构处的声级Lp1：</w:t>
            </w:r>
          </w:p>
          <w:p>
            <w:pPr>
              <w:overflowPunct/>
              <w:autoSpaceDE/>
              <w:autoSpaceDN/>
              <w:adjustRightInd/>
              <w:snapToGrid w:val="0"/>
              <w:spacing w:before="0" w:after="0" w:line="520" w:lineRule="exact"/>
              <w:ind w:left="0" w:right="0"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Lp1=10lgΣ100.1Lpi1</w:t>
            </w:r>
          </w:p>
          <w:p>
            <w:pPr>
              <w:overflowPunct/>
              <w:autoSpaceDE/>
              <w:autoSpaceDN/>
              <w:adjustRightInd/>
              <w:snapToGrid w:val="0"/>
              <w:spacing w:before="0" w:after="0" w:line="520" w:lineRule="exact"/>
              <w:ind w:left="0" w:right="0"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3）计算厂房外靠近围护结构处的声级Lp2: Lp2=Lp1-（TL+6）</w:t>
            </w:r>
          </w:p>
          <w:p>
            <w:pPr>
              <w:overflowPunct/>
              <w:autoSpaceDE/>
              <w:autoSpaceDN/>
              <w:adjustRightInd/>
              <w:snapToGrid w:val="0"/>
              <w:spacing w:before="0" w:after="0" w:line="520" w:lineRule="exact"/>
              <w:ind w:left="0" w:right="0"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式中:TL—围护结构的传声损失。</w:t>
            </w:r>
          </w:p>
          <w:p>
            <w:pPr>
              <w:widowControl w:val="0"/>
              <w:overflowPunct w:val="0"/>
              <w:autoSpaceDE w:val="0"/>
              <w:autoSpaceDN w:val="0"/>
              <w:adjustRightInd w:val="0"/>
              <w:snapToGrid w:val="0"/>
              <w:spacing w:before="0" w:after="0" w:line="500" w:lineRule="exact"/>
              <w:ind w:left="0" w:right="0" w:firstLine="480" w:firstLineChars="200"/>
              <w:jc w:val="both"/>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4）把围护结构当作等效室外声源，再根据声级Lp2和围护结构（一般为门、窗）的面积，计算等效室外的声功率级。</w:t>
            </w:r>
          </w:p>
          <w:p>
            <w:pPr>
              <w:widowControl w:val="0"/>
              <w:overflowPunct w:val="0"/>
              <w:autoSpaceDE w:val="0"/>
              <w:autoSpaceDN w:val="0"/>
              <w:adjustRightInd w:val="0"/>
              <w:snapToGrid w:val="0"/>
              <w:spacing w:before="0" w:after="0" w:line="500" w:lineRule="exact"/>
              <w:ind w:left="0" w:right="0" w:firstLine="480" w:firstLineChars="200"/>
              <w:jc w:val="both"/>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5）按照上述室外声源的计算方法，计算该等效室外声源在第i个预测点的声级Lakj（in）。</w:t>
            </w:r>
          </w:p>
          <w:p>
            <w:pPr>
              <w:widowControl w:val="0"/>
              <w:overflowPunct w:val="0"/>
              <w:autoSpaceDE w:val="0"/>
              <w:autoSpaceDN w:val="0"/>
              <w:adjustRightInd w:val="0"/>
              <w:snapToGrid w:val="0"/>
              <w:spacing w:before="0" w:after="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②噪声预测值</w:t>
            </w:r>
          </w:p>
          <w:p>
            <w:pPr>
              <w:widowControl w:val="0"/>
              <w:overflowPunct w:val="0"/>
              <w:autoSpaceDE w:val="0"/>
              <w:autoSpaceDN w:val="0"/>
              <w:adjustRightInd w:val="0"/>
              <w:snapToGrid w:val="0"/>
              <w:spacing w:before="0" w:after="0" w:line="500" w:lineRule="exact"/>
              <w:ind w:left="0" w:right="0" w:firstLine="480" w:firstLineChars="200"/>
              <w:jc w:val="both"/>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预测点的贡献值和背景值按能量叠加方法计算得到的声级</w:t>
            </w:r>
            <w:r>
              <w:rPr>
                <w:rFonts w:ascii="Times New Roman" w:hAnsi="Times New Roman" w:eastAsia="宋体" w:cs="Times New Roman"/>
                <w:color w:val="auto"/>
                <w:kern w:val="2"/>
                <w:sz w:val="24"/>
                <w:szCs w:val="24"/>
                <w:highlight w:val="none"/>
                <w:lang w:val="en-US" w:eastAsia="zh-CN" w:bidi="ar-SA"/>
              </w:rPr>
              <w:t>。</w:t>
            </w:r>
          </w:p>
          <w:p>
            <w:pPr>
              <w:widowControl w:val="0"/>
              <w:overflowPunct w:val="0"/>
              <w:autoSpaceDE w:val="0"/>
              <w:autoSpaceDN w:val="0"/>
              <w:adjustRightInd w:val="0"/>
              <w:snapToGrid w:val="0"/>
              <w:spacing w:before="0" w:after="0" w:line="500" w:lineRule="exact"/>
              <w:ind w:left="0" w:right="0" w:firstLine="480" w:firstLineChars="200"/>
              <w:jc w:val="both"/>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③</w:t>
            </w:r>
            <w:r>
              <w:rPr>
                <w:rFonts w:ascii="Times New Roman" w:hAnsi="Times New Roman" w:eastAsia="宋体" w:cs="Times New Roman"/>
                <w:color w:val="auto"/>
                <w:kern w:val="2"/>
                <w:sz w:val="24"/>
                <w:szCs w:val="24"/>
                <w:highlight w:val="none"/>
                <w:lang w:val="en-US" w:eastAsia="zh-CN" w:bidi="ar-SA"/>
              </w:rPr>
              <w:t>计算受声点的布设</w:t>
            </w:r>
          </w:p>
          <w:p>
            <w:pPr>
              <w:widowControl w:val="0"/>
              <w:overflowPunct w:val="0"/>
              <w:autoSpaceDE w:val="0"/>
              <w:autoSpaceDN w:val="0"/>
              <w:adjustRightInd w:val="0"/>
              <w:snapToGrid w:val="0"/>
              <w:spacing w:before="0" w:after="0" w:line="500" w:lineRule="exact"/>
              <w:ind w:left="0" w:right="0" w:firstLine="480" w:firstLineChars="200"/>
              <w:jc w:val="both"/>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根据工程规模及建设地点环境噪声特点，参照</w:t>
            </w:r>
            <w:r>
              <w:rPr>
                <w:rFonts w:hint="eastAsia" w:ascii="Times New Roman" w:hAnsi="Times New Roman" w:eastAsia="宋体" w:cs="Times New Roman"/>
                <w:color w:val="auto"/>
                <w:kern w:val="2"/>
                <w:sz w:val="24"/>
                <w:szCs w:val="24"/>
                <w:highlight w:val="none"/>
                <w:lang w:val="en-US" w:eastAsia="zh-CN" w:bidi="ar-SA"/>
              </w:rPr>
              <w:t>《环境影响评价技术导则 声环境》（HJ2.4-2021）</w:t>
            </w:r>
            <w:r>
              <w:rPr>
                <w:rFonts w:ascii="Times New Roman" w:hAnsi="Times New Roman" w:eastAsia="宋体" w:cs="Times New Roman"/>
                <w:color w:val="auto"/>
                <w:kern w:val="2"/>
                <w:sz w:val="24"/>
                <w:szCs w:val="24"/>
                <w:highlight w:val="none"/>
                <w:lang w:val="en-US" w:eastAsia="zh-CN" w:bidi="ar-SA"/>
              </w:rPr>
              <w:t>的有关规定，预测计算影响到厂界范围的声场分布状况，根据</w:t>
            </w:r>
            <w:r>
              <w:rPr>
                <w:rFonts w:hint="eastAsia" w:ascii="Times New Roman" w:hAnsi="Times New Roman" w:eastAsia="宋体" w:cs="Times New Roman"/>
                <w:color w:val="auto"/>
                <w:kern w:val="2"/>
                <w:sz w:val="24"/>
                <w:szCs w:val="24"/>
                <w:highlight w:val="none"/>
                <w:lang w:val="en-US" w:eastAsia="zh-CN" w:bidi="ar-SA"/>
              </w:rPr>
              <w:t>计算</w:t>
            </w:r>
            <w:r>
              <w:rPr>
                <w:rFonts w:ascii="Times New Roman" w:hAnsi="Times New Roman" w:eastAsia="宋体" w:cs="Times New Roman"/>
                <w:color w:val="auto"/>
                <w:kern w:val="2"/>
                <w:sz w:val="24"/>
                <w:szCs w:val="24"/>
                <w:highlight w:val="none"/>
                <w:lang w:val="en-US" w:eastAsia="zh-CN" w:bidi="ar-SA"/>
              </w:rPr>
              <w:t>结果说明项目建成后，对周围环境的噪声影响情况。</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④计算结果</w:t>
            </w:r>
          </w:p>
          <w:p>
            <w:pPr>
              <w:widowControl w:val="0"/>
              <w:overflowPunct w:val="0"/>
              <w:autoSpaceDE w:val="0"/>
              <w:autoSpaceDN w:val="0"/>
              <w:adjustRightInd w:val="0"/>
              <w:snapToGrid w:val="0"/>
              <w:spacing w:before="0" w:after="0" w:line="500" w:lineRule="exact"/>
              <w:ind w:left="0" w:right="0" w:firstLine="480" w:firstLineChars="200"/>
              <w:jc w:val="both"/>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在本次声环境影响</w:t>
            </w:r>
            <w:r>
              <w:rPr>
                <w:rFonts w:hint="eastAsia" w:ascii="Times New Roman" w:hAnsi="Times New Roman" w:eastAsia="宋体" w:cs="Times New Roman"/>
                <w:color w:val="auto"/>
                <w:kern w:val="2"/>
                <w:sz w:val="24"/>
                <w:szCs w:val="24"/>
                <w:highlight w:val="none"/>
                <w:lang w:val="en-US" w:eastAsia="zh-CN" w:bidi="ar-SA"/>
              </w:rPr>
              <w:t>达标分析预测</w:t>
            </w:r>
            <w:r>
              <w:rPr>
                <w:rFonts w:ascii="Times New Roman" w:hAnsi="Times New Roman" w:eastAsia="宋体" w:cs="Times New Roman"/>
                <w:color w:val="auto"/>
                <w:kern w:val="2"/>
                <w:sz w:val="24"/>
                <w:szCs w:val="24"/>
                <w:highlight w:val="none"/>
                <w:lang w:val="en-US" w:eastAsia="zh-CN" w:bidi="ar-SA"/>
              </w:rPr>
              <w:t>结果见表</w:t>
            </w:r>
            <w:r>
              <w:rPr>
                <w:rFonts w:hint="eastAsia" w:ascii="Times New Roman" w:hAnsi="Times New Roman" w:eastAsia="宋体" w:cs="Times New Roman"/>
                <w:color w:val="auto"/>
                <w:kern w:val="2"/>
                <w:sz w:val="24"/>
                <w:szCs w:val="24"/>
                <w:highlight w:val="none"/>
                <w:lang w:val="en-US" w:eastAsia="zh-CN" w:bidi="ar-SA"/>
              </w:rPr>
              <w:t>4.7-2</w:t>
            </w:r>
            <w:r>
              <w:rPr>
                <w:rFonts w:ascii="Times New Roman" w:hAnsi="Times New Roman" w:eastAsia="宋体" w:cs="Times New Roman"/>
                <w:color w:val="auto"/>
                <w:kern w:val="2"/>
                <w:sz w:val="24"/>
                <w:szCs w:val="24"/>
                <w:highlight w:val="none"/>
                <w:lang w:val="en-US" w:eastAsia="zh-CN" w:bidi="ar-SA"/>
              </w:rPr>
              <w:t>。</w:t>
            </w:r>
          </w:p>
          <w:p>
            <w:pPr>
              <w:pageBreakBefore w:val="0"/>
              <w:widowControl w:val="0"/>
              <w:kinsoku/>
              <w:wordWrap/>
              <w:overflowPunct/>
              <w:topLinePunct w:val="0"/>
              <w:autoSpaceDE/>
              <w:autoSpaceDN/>
              <w:bidi w:val="0"/>
              <w:adjustRightInd/>
              <w:snapToGrid/>
              <w:spacing w:before="0" w:after="0" w:line="480" w:lineRule="exact"/>
              <w:ind w:left="0" w:right="0" w:firstLine="482" w:firstLineChars="200"/>
              <w:jc w:val="center"/>
              <w:textAlignment w:val="auto"/>
              <w:rPr>
                <w:rFonts w:hint="eastAsia" w:ascii="Times New Roman" w:hAnsi="Times New Roman" w:eastAsia="宋体" w:cs="Times New Roman"/>
                <w:b/>
                <w:bCs/>
                <w:color w:val="auto"/>
                <w:kern w:val="2"/>
                <w:sz w:val="24"/>
                <w:szCs w:val="20"/>
                <w:highlight w:val="none"/>
                <w:vertAlign w:val="baseline"/>
                <w:lang w:val="en-US" w:eastAsia="zh-CN"/>
              </w:rPr>
            </w:pPr>
            <w:r>
              <w:rPr>
                <w:rFonts w:hint="eastAsia" w:ascii="Times New Roman" w:hAnsi="Times New Roman" w:eastAsia="宋体" w:cs="Times New Roman"/>
                <w:b/>
                <w:bCs/>
                <w:color w:val="auto"/>
                <w:kern w:val="2"/>
                <w:sz w:val="24"/>
                <w:szCs w:val="20"/>
                <w:highlight w:val="none"/>
                <w:vertAlign w:val="baseline"/>
                <w:lang w:val="en-US" w:eastAsia="zh-CN"/>
              </w:rPr>
              <w:t>表4.7-2厂界噪声预测结果一览表   单位：dB（A）</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857"/>
              <w:gridCol w:w="857"/>
              <w:gridCol w:w="858"/>
              <w:gridCol w:w="858"/>
              <w:gridCol w:w="858"/>
              <w:gridCol w:w="858"/>
              <w:gridCol w:w="858"/>
              <w:gridCol w:w="8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厂界噪声</w:t>
                  </w:r>
                </w:p>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dB（A）</w:t>
                  </w:r>
                </w:p>
              </w:tc>
              <w:tc>
                <w:tcPr>
                  <w:tcW w:w="171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东厂界</w:t>
                  </w:r>
                </w:p>
              </w:tc>
              <w:tc>
                <w:tcPr>
                  <w:tcW w:w="171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南厂界</w:t>
                  </w:r>
                </w:p>
              </w:tc>
              <w:tc>
                <w:tcPr>
                  <w:tcW w:w="171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西厂界</w:t>
                  </w:r>
                </w:p>
              </w:tc>
              <w:tc>
                <w:tcPr>
                  <w:tcW w:w="171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北厂界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昼</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夜</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昼</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夜</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昼</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夜</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昼</w:t>
                  </w:r>
                </w:p>
              </w:tc>
              <w:tc>
                <w:tcPr>
                  <w:tcW w:w="8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贡献值</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48.1</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0</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39.7</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0</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47.5</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0</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21.1</w:t>
                  </w:r>
                </w:p>
              </w:tc>
              <w:tc>
                <w:tcPr>
                  <w:tcW w:w="8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标准值</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65</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55</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65</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55</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65</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55</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65</w:t>
                  </w:r>
                </w:p>
              </w:tc>
              <w:tc>
                <w:tcPr>
                  <w:tcW w:w="8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4" w:type="dxa"/>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注：项目夜间不生产</w:t>
                  </w:r>
                </w:p>
              </w:tc>
            </w:tr>
          </w:tbl>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本项目噪声计算结果显示：本项目运行后厂界贡献值噪声满足《工业企业厂界环境噪声排放标准（GB12348-2008）》中3类标准（昼间65dB，夜间55dB），实现厂界噪声稳定达标。</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（3）噪声监测制度</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根据</w:t>
            </w:r>
            <w:r>
              <w:rPr>
                <w:rFonts w:hint="eastAsia" w:ascii="Times New Roman" w:hAnsi="Times New Roman" w:eastAsia="宋体" w:cs="Times New Roman"/>
                <w:color w:val="000000"/>
                <w:kern w:val="2"/>
                <w:sz w:val="24"/>
                <w:szCs w:val="20"/>
                <w:highlight w:val="none"/>
                <w:lang w:val="en-US" w:eastAsia="zh-CN"/>
              </w:rPr>
              <w:t>《排污单位自行监测技术指南 总则》（HJ819-2017）、《排污单位自行监测技术指南 橡胶和塑料制品》（HJ1207-2021）</w:t>
            </w:r>
            <w:r>
              <w:rPr>
                <w:rFonts w:hint="eastAsia" w:ascii="Times New Roman" w:hAnsi="Times New Roman" w:eastAsia="宋体" w:cs="Times New Roman"/>
                <w:color w:val="auto"/>
                <w:kern w:val="2"/>
                <w:sz w:val="24"/>
                <w:szCs w:val="20"/>
                <w:highlight w:val="none"/>
                <w:lang w:val="en-US" w:eastAsia="zh-CN"/>
              </w:rPr>
              <w:t>监测要求，本项目全场噪声监测制度见表4.7-3。</w:t>
            </w:r>
          </w:p>
          <w:p>
            <w:pPr>
              <w:pageBreakBefore w:val="0"/>
              <w:widowControl w:val="0"/>
              <w:kinsoku/>
              <w:wordWrap/>
              <w:overflowPunct/>
              <w:topLinePunct w:val="0"/>
              <w:autoSpaceDE/>
              <w:autoSpaceDN/>
              <w:bidi w:val="0"/>
              <w:adjustRightInd/>
              <w:snapToGrid/>
              <w:spacing w:before="0" w:after="0" w:line="480" w:lineRule="exact"/>
              <w:ind w:left="0" w:right="0" w:firstLine="482" w:firstLineChars="200"/>
              <w:jc w:val="center"/>
              <w:textAlignment w:val="auto"/>
              <w:rPr>
                <w:rFonts w:hint="eastAsia" w:ascii="Times New Roman" w:hAnsi="Times New Roman" w:eastAsia="宋体" w:cs="Times New Roman"/>
                <w:b/>
                <w:bCs/>
                <w:color w:val="auto"/>
                <w:kern w:val="2"/>
                <w:sz w:val="24"/>
                <w:szCs w:val="20"/>
                <w:highlight w:val="none"/>
                <w:vertAlign w:val="baseline"/>
                <w:lang w:val="en-US" w:eastAsia="zh-CN"/>
              </w:rPr>
            </w:pPr>
            <w:r>
              <w:rPr>
                <w:rFonts w:hint="eastAsia" w:ascii="Times New Roman" w:hAnsi="Times New Roman" w:eastAsia="宋体" w:cs="Times New Roman"/>
                <w:b/>
                <w:bCs/>
                <w:color w:val="auto"/>
                <w:kern w:val="2"/>
                <w:sz w:val="24"/>
                <w:szCs w:val="20"/>
                <w:highlight w:val="none"/>
                <w:vertAlign w:val="baseline"/>
                <w:lang w:val="en-US" w:eastAsia="zh-CN"/>
              </w:rPr>
              <w:t>表4.7-3本项目噪声监测制度一览表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61"/>
              <w:gridCol w:w="2255"/>
              <w:gridCol w:w="51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88" w:type="dxa"/>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项目</w:t>
                  </w:r>
                </w:p>
              </w:tc>
              <w:tc>
                <w:tcPr>
                  <w:tcW w:w="6930" w:type="dxa"/>
                  <w:gridSpan w:val="2"/>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right="0" w:firstLine="0" w:firstLineChars="0"/>
                    <w:jc w:val="center"/>
                    <w:rPr>
                      <w:rFonts w:hint="default" w:ascii="Times New Roman" w:hAnsi="Times New Roman" w:eastAsia="宋体" w:cs="宋体"/>
                      <w:color w:val="auto"/>
                      <w:kern w:val="2"/>
                      <w:sz w:val="21"/>
                      <w:szCs w:val="21"/>
                      <w:highlight w:val="none"/>
                      <w:lang w:val="en-US" w:eastAsia="zh-CN" w:bidi="ar"/>
                    </w:rPr>
                  </w:pPr>
                  <w:r>
                    <w:rPr>
                      <w:rFonts w:hint="eastAsia" w:ascii="Times New Roman" w:hAnsi="Times New Roman" w:eastAsia="宋体" w:cs="宋体"/>
                      <w:color w:val="auto"/>
                      <w:kern w:val="2"/>
                      <w:sz w:val="21"/>
                      <w:szCs w:val="21"/>
                      <w:highlight w:val="none"/>
                      <w:lang w:val="en-US" w:eastAsia="zh-CN" w:bidi="ar"/>
                    </w:rPr>
                    <w:t>监测制度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88" w:type="dxa"/>
                  <w:vMerge w:val="restart"/>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噪声</w:t>
                  </w:r>
                </w:p>
              </w:tc>
              <w:tc>
                <w:tcPr>
                  <w:tcW w:w="2100" w:type="dxa"/>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监测项目</w:t>
                  </w:r>
                </w:p>
              </w:tc>
              <w:tc>
                <w:tcPr>
                  <w:tcW w:w="4830" w:type="dxa"/>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Lep（A）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88" w:type="dxa"/>
                  <w:vMerge w:val="continue"/>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rPr>
                  </w:pPr>
                </w:p>
              </w:tc>
              <w:tc>
                <w:tcPr>
                  <w:tcW w:w="2100" w:type="dxa"/>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监测点位</w:t>
                  </w:r>
                </w:p>
              </w:tc>
              <w:tc>
                <w:tcPr>
                  <w:tcW w:w="4830" w:type="dxa"/>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东、南、西、北厂界外1m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88" w:type="dxa"/>
                  <w:vMerge w:val="continue"/>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rPr>
                  </w:pPr>
                </w:p>
              </w:tc>
              <w:tc>
                <w:tcPr>
                  <w:tcW w:w="2100" w:type="dxa"/>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监测频次</w:t>
                  </w:r>
                </w:p>
              </w:tc>
              <w:tc>
                <w:tcPr>
                  <w:tcW w:w="4830" w:type="dxa"/>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每季度监测一次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88" w:type="dxa"/>
                  <w:vMerge w:val="continue"/>
                  <w:tcBorders>
                    <w:tl2br w:val="nil"/>
                    <w:tr2bl w:val="nil"/>
                  </w:tcBorders>
                  <w:noWrap w:val="0"/>
                  <w:vAlign w:val="center"/>
                </w:tcPr>
                <w:p>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rPr>
                  </w:pPr>
                </w:p>
              </w:tc>
              <w:tc>
                <w:tcPr>
                  <w:tcW w:w="2100" w:type="dxa"/>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rPr>
                    <w:t>监测方法</w:t>
                  </w:r>
                </w:p>
              </w:tc>
              <w:tc>
                <w:tcPr>
                  <w:tcW w:w="4830" w:type="dxa"/>
                  <w:tcBorders>
                    <w:tl2br w:val="nil"/>
                    <w:tr2bl w:val="nil"/>
                  </w:tcBorders>
                  <w:noWrap w:val="0"/>
                  <w:vAlign w:val="center"/>
                </w:tcPr>
                <w:p>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按照《工业企业厂界环境噪声排放标准》(GB12348-2008)的有关规定进行</w:t>
                  </w:r>
                </w:p>
              </w:tc>
            </w:tr>
          </w:tbl>
          <w:p>
            <w:pPr>
              <w:pageBreakBefore w:val="0"/>
              <w:widowControl w:val="0"/>
              <w:kinsoku/>
              <w:wordWrap/>
              <w:overflowPunct/>
              <w:topLinePunct w:val="0"/>
              <w:autoSpaceDE/>
              <w:autoSpaceDN/>
              <w:bidi w:val="0"/>
              <w:adjustRightInd/>
              <w:snapToGrid/>
              <w:spacing w:before="0" w:after="0" w:line="480" w:lineRule="exact"/>
              <w:ind w:left="0" w:right="0" w:firstLine="562" w:firstLineChars="200"/>
              <w:jc w:val="both"/>
              <w:textAlignment w:val="auto"/>
              <w:rPr>
                <w:rFonts w:hint="eastAsia" w:ascii="Times New Roman" w:hAnsi="Times New Roman" w:eastAsia="宋体" w:cs="Times New Roman"/>
                <w:color w:val="000000"/>
                <w:kern w:val="2"/>
                <w:sz w:val="28"/>
                <w:szCs w:val="28"/>
                <w:highlight w:val="none"/>
                <w:lang w:val="en-US" w:eastAsia="zh-CN"/>
              </w:rPr>
            </w:pPr>
            <w:r>
              <w:rPr>
                <w:rFonts w:hint="eastAsia" w:ascii="Times New Roman" w:hAnsi="Times New Roman" w:eastAsia="宋体" w:cs="Times New Roman"/>
                <w:b/>
                <w:color w:val="000000"/>
                <w:kern w:val="2"/>
                <w:sz w:val="28"/>
                <w:szCs w:val="28"/>
                <w:highlight w:val="none"/>
                <w:lang w:val="en-US" w:eastAsia="zh-CN" w:bidi="ar-SA"/>
              </w:rPr>
              <w:t>4.8固废</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b w:val="0"/>
                <w:bCs w:val="0"/>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（1）固体废物产生情况</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①生活垃圾</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本项目生活垃圾产生量以每人1kg/d计，年工作</w:t>
            </w:r>
            <w:r>
              <w:rPr>
                <w:rFonts w:hint="eastAsia" w:ascii="Times New Roman" w:hAnsi="Times New Roman" w:eastAsia="宋体" w:cs="Times New Roman"/>
                <w:color w:val="000000"/>
                <w:sz w:val="24"/>
                <w:szCs w:val="24"/>
                <w:highlight w:val="none"/>
                <w:lang w:val="en-US" w:eastAsia="zh-CN" w:bidi="ar-SA"/>
              </w:rPr>
              <w:t>300</w:t>
            </w:r>
            <w:r>
              <w:rPr>
                <w:rFonts w:hint="default" w:ascii="Times New Roman" w:hAnsi="Times New Roman" w:eastAsia="宋体" w:cs="Times New Roman"/>
                <w:color w:val="000000"/>
                <w:sz w:val="24"/>
                <w:szCs w:val="24"/>
                <w:highlight w:val="none"/>
                <w:lang w:val="en-US" w:eastAsia="zh-CN" w:bidi="ar-SA"/>
              </w:rPr>
              <w:t>天，故本项目生活垃圾产生量为</w:t>
            </w:r>
            <w:r>
              <w:rPr>
                <w:rFonts w:hint="eastAsia" w:cs="Times New Roman"/>
                <w:color w:val="000000"/>
                <w:sz w:val="24"/>
                <w:szCs w:val="24"/>
                <w:highlight w:val="none"/>
                <w:lang w:val="en-US" w:eastAsia="zh-CN" w:bidi="ar-SA"/>
              </w:rPr>
              <w:t>6</w:t>
            </w:r>
            <w:r>
              <w:rPr>
                <w:rFonts w:hint="default" w:ascii="Times New Roman" w:hAnsi="Times New Roman" w:eastAsia="宋体" w:cs="Times New Roman"/>
                <w:color w:val="000000"/>
                <w:sz w:val="24"/>
                <w:szCs w:val="24"/>
                <w:highlight w:val="none"/>
                <w:lang w:val="en-US" w:eastAsia="zh-CN" w:bidi="ar-SA"/>
              </w:rPr>
              <w:t>t/a，厂区内</w:t>
            </w:r>
            <w:r>
              <w:rPr>
                <w:rFonts w:hint="eastAsia" w:ascii="Times New Roman" w:hAnsi="Times New Roman" w:eastAsia="宋体" w:cs="Times New Roman"/>
                <w:color w:val="000000"/>
                <w:sz w:val="24"/>
                <w:szCs w:val="24"/>
                <w:highlight w:val="none"/>
                <w:lang w:val="en-US" w:eastAsia="zh-CN" w:bidi="ar-SA"/>
              </w:rPr>
              <w:t>集中</w:t>
            </w:r>
            <w:r>
              <w:rPr>
                <w:rFonts w:hint="default" w:ascii="Times New Roman" w:hAnsi="Times New Roman" w:eastAsia="宋体" w:cs="Times New Roman"/>
                <w:color w:val="000000"/>
                <w:sz w:val="24"/>
                <w:szCs w:val="24"/>
                <w:highlight w:val="none"/>
                <w:lang w:val="en-US" w:eastAsia="zh-CN" w:bidi="ar-SA"/>
              </w:rPr>
              <w:t>收集后</w:t>
            </w:r>
            <w:r>
              <w:rPr>
                <w:rFonts w:hint="eastAsia" w:ascii="Times New Roman" w:hAnsi="Times New Roman" w:eastAsia="宋体" w:cs="Times New Roman"/>
                <w:color w:val="000000"/>
                <w:sz w:val="24"/>
                <w:szCs w:val="24"/>
                <w:highlight w:val="none"/>
                <w:lang w:val="en-US" w:eastAsia="zh-CN" w:bidi="ar-SA"/>
              </w:rPr>
              <w:t>委托环卫部门定期清运</w:t>
            </w:r>
            <w:r>
              <w:rPr>
                <w:rFonts w:hint="default" w:ascii="Times New Roman" w:hAnsi="Times New Roman" w:eastAsia="宋体" w:cs="Times New Roman"/>
                <w:color w:val="000000"/>
                <w:sz w:val="24"/>
                <w:szCs w:val="24"/>
                <w:highlight w:val="none"/>
                <w:lang w:val="en-US" w:eastAsia="zh-CN" w:bidi="ar-SA"/>
              </w:rPr>
              <w:t>。</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②一般工业固废</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color w:val="000000"/>
                <w:kern w:val="2"/>
                <w:sz w:val="24"/>
                <w:szCs w:val="24"/>
                <w:highlight w:val="yellow"/>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本项目废包装材料（主要为废编织袋）产生量为</w:t>
            </w:r>
            <w:r>
              <w:rPr>
                <w:rFonts w:hint="eastAsia" w:cs="Times New Roman"/>
                <w:color w:val="000000"/>
                <w:kern w:val="2"/>
                <w:sz w:val="24"/>
                <w:szCs w:val="24"/>
                <w:highlight w:val="none"/>
                <w:lang w:val="en-US" w:eastAsia="zh-CN" w:bidi="ar-SA"/>
              </w:rPr>
              <w:t>0.5</w:t>
            </w:r>
            <w:r>
              <w:rPr>
                <w:rFonts w:hint="eastAsia" w:ascii="Times New Roman" w:hAnsi="Times New Roman" w:eastAsia="宋体" w:cs="Times New Roman"/>
                <w:color w:val="000000"/>
                <w:kern w:val="2"/>
                <w:sz w:val="24"/>
                <w:szCs w:val="24"/>
                <w:highlight w:val="none"/>
                <w:lang w:val="en-US" w:eastAsia="zh-CN" w:bidi="ar-SA"/>
              </w:rPr>
              <w:t>t/a，属于一般固废，收集后暂存于生产车间内，定期外售回收单位综合利用。</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snapToGrid w:val="0"/>
                <w:color w:val="000000"/>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本项目绞丝过程中会产生一定的废金属线，产生量为</w:t>
            </w:r>
            <w:r>
              <w:rPr>
                <w:rFonts w:hint="eastAsia" w:cs="Times New Roman"/>
                <w:color w:val="000000"/>
                <w:kern w:val="2"/>
                <w:sz w:val="24"/>
                <w:szCs w:val="24"/>
                <w:highlight w:val="none"/>
                <w:lang w:val="en-US" w:eastAsia="zh-CN" w:bidi="ar-SA"/>
              </w:rPr>
              <w:t>6.5</w:t>
            </w:r>
            <w:r>
              <w:rPr>
                <w:rFonts w:hint="eastAsia" w:ascii="Times New Roman" w:hAnsi="Times New Roman" w:eastAsia="宋体" w:cs="Times New Roman"/>
                <w:color w:val="000000"/>
                <w:kern w:val="2"/>
                <w:sz w:val="24"/>
                <w:szCs w:val="24"/>
                <w:highlight w:val="none"/>
                <w:lang w:val="en-US" w:eastAsia="zh-CN" w:bidi="ar-SA"/>
              </w:rPr>
              <w:t>t/a，属于一般固废，收集后暂存于生产车间内，定期外售回收单位综合利用。</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snapToGrid w:val="0"/>
                <w:color w:val="000000"/>
                <w:sz w:val="24"/>
                <w:szCs w:val="24"/>
                <w:highlight w:val="none"/>
                <w:lang w:val="en-US" w:eastAsia="zh-CN" w:bidi="ar-SA"/>
              </w:rPr>
              <w:t>本项目挤塑、挤护外套工段会产生一定的废塑料，</w:t>
            </w:r>
            <w:r>
              <w:rPr>
                <w:rFonts w:hint="default" w:ascii="Times New Roman" w:hAnsi="Times New Roman" w:eastAsia="宋体" w:cs="Times New Roman"/>
                <w:snapToGrid w:val="0"/>
                <w:color w:val="000000"/>
                <w:sz w:val="24"/>
                <w:szCs w:val="24"/>
                <w:highlight w:val="none"/>
                <w:lang w:val="en-US" w:eastAsia="zh-CN" w:bidi="ar-SA"/>
              </w:rPr>
              <w:t>产量为</w:t>
            </w:r>
            <w:r>
              <w:rPr>
                <w:rFonts w:hint="eastAsia" w:cs="Times New Roman"/>
                <w:snapToGrid w:val="0"/>
                <w:color w:val="000000"/>
                <w:sz w:val="24"/>
                <w:szCs w:val="24"/>
                <w:highlight w:val="none"/>
                <w:lang w:val="en-US" w:eastAsia="zh-CN" w:bidi="ar-SA"/>
              </w:rPr>
              <w:t>1</w:t>
            </w:r>
            <w:r>
              <w:rPr>
                <w:rFonts w:hint="default" w:ascii="Times New Roman" w:hAnsi="Times New Roman" w:eastAsia="宋体" w:cs="Times New Roman"/>
                <w:snapToGrid w:val="0"/>
                <w:color w:val="000000"/>
                <w:sz w:val="24"/>
                <w:szCs w:val="24"/>
                <w:highlight w:val="none"/>
                <w:lang w:val="en-US" w:eastAsia="zh-CN" w:bidi="ar-SA"/>
              </w:rPr>
              <w:t>t/a</w:t>
            </w:r>
            <w:r>
              <w:rPr>
                <w:rFonts w:hint="eastAsia" w:ascii="Times New Roman" w:hAnsi="Times New Roman" w:eastAsia="宋体" w:cs="Times New Roman"/>
                <w:color w:val="000000"/>
                <w:kern w:val="2"/>
                <w:sz w:val="24"/>
                <w:szCs w:val="24"/>
                <w:highlight w:val="none"/>
                <w:lang w:val="en-US" w:eastAsia="zh-CN" w:bidi="ar-SA"/>
              </w:rPr>
              <w:t>，属于一般固废，收集后暂存于生产车间内，定期外售回收单位综合利用。</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color w:val="000000"/>
                <w:kern w:val="2"/>
                <w:sz w:val="24"/>
                <w:szCs w:val="24"/>
                <w:highlight w:val="yellow"/>
                <w:lang w:val="en-US" w:eastAsia="zh-CN" w:bidi="ar-SA"/>
              </w:rPr>
            </w:pPr>
            <w:r>
              <w:rPr>
                <w:rFonts w:hint="eastAsia" w:ascii="Times New Roman" w:hAnsi="Times New Roman" w:eastAsia="宋体" w:cs="Times New Roman"/>
                <w:snapToGrid w:val="0"/>
                <w:color w:val="000000"/>
                <w:sz w:val="24"/>
                <w:szCs w:val="24"/>
                <w:highlight w:val="none"/>
                <w:lang w:val="en-US" w:eastAsia="zh-CN" w:bidi="ar-SA"/>
              </w:rPr>
              <w:t>本项目检验会产生一定的不合格品，</w:t>
            </w:r>
            <w:r>
              <w:rPr>
                <w:rFonts w:hint="default" w:ascii="Times New Roman" w:hAnsi="Times New Roman" w:eastAsia="宋体" w:cs="Times New Roman"/>
                <w:snapToGrid w:val="0"/>
                <w:color w:val="000000"/>
                <w:sz w:val="24"/>
                <w:szCs w:val="24"/>
                <w:highlight w:val="none"/>
                <w:lang w:val="en-US" w:eastAsia="zh-CN" w:bidi="ar-SA"/>
              </w:rPr>
              <w:t>产量为</w:t>
            </w:r>
            <w:r>
              <w:rPr>
                <w:rFonts w:hint="eastAsia" w:cs="Times New Roman"/>
                <w:snapToGrid w:val="0"/>
                <w:color w:val="000000"/>
                <w:sz w:val="24"/>
                <w:szCs w:val="24"/>
                <w:highlight w:val="none"/>
                <w:lang w:val="en-US" w:eastAsia="zh-CN" w:bidi="ar-SA"/>
              </w:rPr>
              <w:t>10</w:t>
            </w:r>
            <w:r>
              <w:rPr>
                <w:rFonts w:hint="default" w:ascii="Times New Roman" w:hAnsi="Times New Roman" w:eastAsia="宋体" w:cs="Times New Roman"/>
                <w:snapToGrid w:val="0"/>
                <w:color w:val="000000"/>
                <w:sz w:val="24"/>
                <w:szCs w:val="24"/>
                <w:highlight w:val="none"/>
                <w:lang w:val="en-US" w:eastAsia="zh-CN" w:bidi="ar-SA"/>
              </w:rPr>
              <w:t>t/a</w:t>
            </w:r>
            <w:r>
              <w:rPr>
                <w:rFonts w:hint="eastAsia" w:ascii="Times New Roman" w:hAnsi="Times New Roman" w:eastAsia="宋体" w:cs="Times New Roman"/>
                <w:color w:val="000000"/>
                <w:kern w:val="2"/>
                <w:sz w:val="24"/>
                <w:szCs w:val="24"/>
                <w:highlight w:val="none"/>
                <w:lang w:val="en-US" w:eastAsia="zh-CN" w:bidi="ar-SA"/>
              </w:rPr>
              <w:t>，属于一般固废，收集后暂存于生产车间内，定期外售回收单位综合利用。</w:t>
            </w:r>
          </w:p>
          <w:p>
            <w:pPr>
              <w:snapToGrid w:val="0"/>
              <w:spacing w:line="520" w:lineRule="exact"/>
              <w:ind w:firstLine="480" w:firstLineChars="200"/>
              <w:rPr>
                <w:rFonts w:hint="default" w:ascii="Times New Roman" w:hAnsi="Times New Roman" w:eastAsia="宋体" w:cs="Times New Roman"/>
                <w:color w:val="000000"/>
                <w:kern w:val="2"/>
                <w:sz w:val="24"/>
                <w:szCs w:val="24"/>
                <w:highlight w:val="none"/>
                <w:lang w:val="en-US" w:eastAsia="zh-CN" w:bidi="ar-SA"/>
              </w:rPr>
            </w:pPr>
            <w:r>
              <w:rPr>
                <w:rFonts w:hint="eastAsia" w:cs="Times New Roman"/>
                <w:color w:val="000000"/>
                <w:kern w:val="2"/>
                <w:sz w:val="24"/>
                <w:szCs w:val="24"/>
                <w:highlight w:val="none"/>
                <w:lang w:val="en-US" w:eastAsia="zh-CN" w:bidi="ar-SA"/>
              </w:rPr>
              <w:t>本项目</w:t>
            </w:r>
            <w:r>
              <w:rPr>
                <w:rFonts w:hint="eastAsia" w:ascii="Times New Roman" w:hAnsi="Times New Roman" w:eastAsia="宋体" w:cs="Times New Roman"/>
                <w:color w:val="auto"/>
                <w:highlight w:val="none"/>
                <w:lang w:val="en-US" w:eastAsia="zh-CN"/>
              </w:rPr>
              <w:t>纵包焊接</w:t>
            </w:r>
            <w:r>
              <w:rPr>
                <w:rFonts w:hint="default" w:ascii="Times New Roman" w:hAnsi="Times New Roman" w:eastAsia="宋体" w:cs="Times New Roman"/>
                <w:color w:val="auto"/>
                <w:highlight w:val="none"/>
                <w:lang w:val="en-US" w:eastAsia="zh-CN"/>
              </w:rPr>
              <w:t>经</w:t>
            </w:r>
            <w:r>
              <w:rPr>
                <w:rFonts w:hint="eastAsia" w:ascii="Times New Roman" w:hAnsi="Times New Roman" w:eastAsia="宋体" w:cs="Times New Roman"/>
                <w:color w:val="auto"/>
                <w:highlight w:val="none"/>
                <w:lang w:val="en-US" w:eastAsia="zh-CN"/>
              </w:rPr>
              <w:t>移动</w:t>
            </w:r>
            <w:r>
              <w:rPr>
                <w:rFonts w:hint="default" w:ascii="Times New Roman" w:hAnsi="Times New Roman" w:eastAsia="宋体" w:cs="Times New Roman"/>
                <w:color w:val="auto"/>
                <w:highlight w:val="none"/>
                <w:lang w:val="en-US" w:eastAsia="zh-CN"/>
              </w:rPr>
              <w:t>式</w:t>
            </w:r>
            <w:r>
              <w:rPr>
                <w:rFonts w:hint="eastAsia" w:ascii="Times New Roman" w:hAnsi="Times New Roman" w:eastAsia="宋体" w:cs="Times New Roman"/>
                <w:color w:val="auto"/>
                <w:highlight w:val="none"/>
                <w:lang w:val="en-US" w:eastAsia="zh-CN"/>
              </w:rPr>
              <w:t>焊烟净化器处理共</w:t>
            </w:r>
            <w:r>
              <w:rPr>
                <w:rFonts w:hint="default" w:ascii="Times New Roman" w:hAnsi="Times New Roman" w:eastAsia="宋体" w:cs="Times New Roman"/>
                <w:color w:val="auto"/>
                <w:highlight w:val="none"/>
                <w:lang w:val="en-US" w:eastAsia="zh-CN"/>
              </w:rPr>
              <w:t>收集的</w:t>
            </w:r>
            <w:r>
              <w:rPr>
                <w:rFonts w:hint="eastAsia" w:ascii="Times New Roman" w:hAnsi="Times New Roman" w:eastAsia="宋体" w:cs="Times New Roman"/>
                <w:color w:val="auto"/>
                <w:highlight w:val="none"/>
                <w:lang w:val="en-US" w:eastAsia="zh-CN"/>
              </w:rPr>
              <w:t>粉尘量为7.6kg</w:t>
            </w:r>
            <w:r>
              <w:rPr>
                <w:rFonts w:hint="default" w:ascii="Times New Roman" w:hAnsi="Times New Roman" w:eastAsia="宋体" w:cs="Times New Roman"/>
                <w:color w:val="auto"/>
                <w:highlight w:val="none"/>
                <w:lang w:val="en-US" w:eastAsia="zh-CN"/>
              </w:rPr>
              <w:t>/a</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主要成分均为金属</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000000"/>
                <w:kern w:val="2"/>
                <w:sz w:val="24"/>
                <w:szCs w:val="24"/>
                <w:highlight w:val="none"/>
                <w:lang w:val="en-US" w:eastAsia="zh-CN" w:bidi="ar-SA"/>
              </w:rPr>
              <w:t>属于</w:t>
            </w:r>
            <w:r>
              <w:rPr>
                <w:rFonts w:hint="default" w:ascii="Times New Roman" w:hAnsi="Times New Roman" w:eastAsia="宋体" w:cs="Times New Roman"/>
                <w:color w:val="auto"/>
                <w:highlight w:val="none"/>
                <w:lang w:val="en-US" w:eastAsia="zh-CN"/>
              </w:rPr>
              <w:t>一般固废，</w:t>
            </w:r>
            <w:r>
              <w:rPr>
                <w:rFonts w:hint="eastAsia" w:ascii="Times New Roman" w:hAnsi="Times New Roman" w:eastAsia="宋体" w:cs="Times New Roman"/>
                <w:color w:val="auto"/>
                <w:highlight w:val="none"/>
                <w:lang w:val="en-US" w:eastAsia="zh-CN"/>
              </w:rPr>
              <w:t>集中收集后，在</w:t>
            </w:r>
            <w:r>
              <w:rPr>
                <w:rFonts w:hint="eastAsia" w:ascii="Times New Roman" w:hAnsi="Times New Roman" w:eastAsia="宋体" w:cs="Times New Roman"/>
                <w:color w:val="000000"/>
                <w:kern w:val="2"/>
                <w:sz w:val="24"/>
                <w:szCs w:val="24"/>
                <w:highlight w:val="none"/>
                <w:lang w:val="en-US" w:eastAsia="zh-CN" w:bidi="ar-SA"/>
              </w:rPr>
              <w:t>车间内设置防渗吨袋暂存，</w:t>
            </w:r>
            <w:r>
              <w:rPr>
                <w:rFonts w:hint="eastAsia" w:ascii="Times New Roman" w:hAnsi="Times New Roman" w:eastAsia="宋体" w:cs="Times New Roman"/>
                <w:color w:val="auto"/>
                <w:highlight w:val="none"/>
                <w:lang w:val="en-US" w:eastAsia="zh-CN"/>
              </w:rPr>
              <w:t>定期外售综合利用</w:t>
            </w:r>
            <w:r>
              <w:rPr>
                <w:rFonts w:hint="default" w:ascii="Times New Roman" w:hAnsi="Times New Roman" w:eastAsia="宋体" w:cs="Times New Roman"/>
                <w:color w:val="auto"/>
                <w:highlight w:val="none"/>
                <w:lang w:val="en-US" w:eastAsia="zh-CN"/>
              </w:rPr>
              <w:t>。</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③危险废物</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本项目喷码过程中产生的废油墨盒，产量约</w:t>
            </w:r>
            <w:r>
              <w:rPr>
                <w:rFonts w:hint="eastAsia" w:cs="Times New Roman"/>
                <w:color w:val="000000"/>
                <w:kern w:val="2"/>
                <w:sz w:val="24"/>
                <w:szCs w:val="24"/>
                <w:highlight w:val="none"/>
                <w:lang w:val="en-US" w:eastAsia="zh-CN" w:bidi="ar-SA"/>
              </w:rPr>
              <w:t>2776</w:t>
            </w:r>
            <w:r>
              <w:rPr>
                <w:rFonts w:hint="eastAsia" w:ascii="Times New Roman" w:hAnsi="Times New Roman" w:eastAsia="宋体" w:cs="Times New Roman"/>
                <w:color w:val="000000"/>
                <w:kern w:val="2"/>
                <w:sz w:val="24"/>
                <w:szCs w:val="24"/>
                <w:highlight w:val="none"/>
                <w:lang w:val="en-US" w:eastAsia="zh-CN" w:bidi="ar-SA"/>
              </w:rPr>
              <w:t>个/a</w:t>
            </w:r>
            <w:r>
              <w:rPr>
                <w:rFonts w:hint="eastAsia" w:cs="Times New Roman"/>
                <w:color w:val="000000"/>
                <w:kern w:val="2"/>
                <w:sz w:val="24"/>
                <w:szCs w:val="24"/>
                <w:highlight w:val="none"/>
                <w:lang w:val="en-US" w:eastAsia="zh-CN" w:bidi="ar-SA"/>
              </w:rPr>
              <w:t>，每个50g，约0.14t/a</w:t>
            </w:r>
            <w:r>
              <w:rPr>
                <w:rFonts w:hint="eastAsia" w:ascii="Times New Roman" w:hAnsi="Times New Roman" w:eastAsia="宋体" w:cs="Times New Roman"/>
                <w:color w:val="000000"/>
                <w:kern w:val="2"/>
                <w:sz w:val="24"/>
                <w:szCs w:val="24"/>
                <w:highlight w:val="none"/>
                <w:lang w:val="en-US" w:eastAsia="zh-CN" w:bidi="ar-SA"/>
              </w:rPr>
              <w:t>，根据《国家危险废物名录》，属名录中HW49其他废物，行业来源为非特定行业，废物代码分别为900-041-49，属含有或沾染毒性、感染性危险废物的废弃包装物、容器、过滤吸附介质，危险特性为T/In。</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本项目设备在检修或维护过程中会产生少量的废机油，产生量约为0.2t/a。根据《国家危险废物名录》，属名录中HW08废矿物油与含矿物油废物，行业来源为非特定行业，废物代码分别为900-214-08，属车辆、机械维修和拆解过程中产生的废发动机油、制动器油、自动变速器油、齿轮油等废润滑油，危险特性为T，I。</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本项目治理VOCs采用活性炭吸附+脱附+催化燃烧装置，活性炭吸附、脱附一年需更换1次活性炭，</w:t>
            </w:r>
            <w:r>
              <w:rPr>
                <w:rFonts w:hint="eastAsia" w:cs="Times New Roman"/>
                <w:color w:val="000000"/>
                <w:kern w:val="2"/>
                <w:sz w:val="24"/>
                <w:szCs w:val="24"/>
                <w:highlight w:val="none"/>
                <w:lang w:val="en-US" w:eastAsia="zh-CN" w:bidi="ar-SA"/>
              </w:rPr>
              <w:t>根据充填量计算，</w:t>
            </w:r>
            <w:r>
              <w:rPr>
                <w:rFonts w:hint="eastAsia" w:ascii="Times New Roman" w:hAnsi="Times New Roman" w:eastAsia="宋体" w:cs="宋体"/>
                <w:color w:val="000000"/>
                <w:lang w:val="en-US" w:eastAsia="zh-CN"/>
              </w:rPr>
              <w:t>单个活性炭吸附箱活性炭重量为450kg/m</w:t>
            </w:r>
            <w:r>
              <w:rPr>
                <w:rFonts w:hint="eastAsia" w:ascii="Times New Roman" w:hAnsi="Times New Roman" w:eastAsia="宋体" w:cs="宋体"/>
                <w:color w:val="000000"/>
                <w:vertAlign w:val="superscript"/>
                <w:lang w:val="en-US" w:eastAsia="zh-CN"/>
              </w:rPr>
              <w:t>3</w:t>
            </w:r>
            <w:r>
              <w:rPr>
                <w:rFonts w:hint="default" w:ascii="Times New Roman" w:hAnsi="Times New Roman" w:eastAsia="宋体" w:cs="宋体"/>
                <w:color w:val="000000"/>
                <w:lang w:val="en-US" w:eastAsia="zh-CN"/>
              </w:rPr>
              <w:t>×</w:t>
            </w:r>
            <w:r>
              <w:rPr>
                <w:rFonts w:hint="eastAsia" w:ascii="Times New Roman" w:hAnsi="Times New Roman" w:eastAsia="宋体" w:cs="宋体"/>
                <w:color w:val="000000"/>
                <w:lang w:val="en-US" w:eastAsia="zh-CN"/>
              </w:rPr>
              <w:t>3.872m</w:t>
            </w:r>
            <w:r>
              <w:rPr>
                <w:rFonts w:hint="eastAsia" w:ascii="Times New Roman" w:hAnsi="Times New Roman" w:eastAsia="宋体" w:cs="宋体"/>
                <w:color w:val="000000"/>
                <w:vertAlign w:val="superscript"/>
                <w:lang w:val="en-US" w:eastAsia="zh-CN"/>
              </w:rPr>
              <w:t>3</w:t>
            </w:r>
            <w:r>
              <w:rPr>
                <w:rFonts w:hint="eastAsia" w:ascii="Times New Roman" w:hAnsi="Times New Roman" w:eastAsia="宋体" w:cs="宋体"/>
                <w:color w:val="000000"/>
                <w:lang w:val="en-US" w:eastAsia="zh-CN"/>
              </w:rPr>
              <w:t>=1754.4kg。</w:t>
            </w:r>
            <w:r>
              <w:rPr>
                <w:rFonts w:hint="eastAsia" w:cs="宋体"/>
                <w:color w:val="000000"/>
                <w:lang w:val="en-US" w:eastAsia="zh-CN"/>
              </w:rPr>
              <w:t>本项目活性炭吸附、脱附共两个</w:t>
            </w:r>
            <w:r>
              <w:rPr>
                <w:rFonts w:hint="eastAsia" w:ascii="Times New Roman" w:hAnsi="Times New Roman" w:eastAsia="宋体" w:cs="宋体"/>
                <w:color w:val="000000"/>
                <w:lang w:val="en-US" w:eastAsia="zh-CN"/>
              </w:rPr>
              <w:t>活性炭箱</w:t>
            </w:r>
            <w:r>
              <w:rPr>
                <w:rFonts w:hint="eastAsia" w:ascii="Times New Roman" w:hAnsi="Times New Roman" w:eastAsia="宋体" w:cs="Times New Roman"/>
                <w:color w:val="000000"/>
                <w:kern w:val="2"/>
                <w:sz w:val="24"/>
                <w:szCs w:val="24"/>
                <w:highlight w:val="none"/>
                <w:lang w:val="en-US" w:eastAsia="zh-CN" w:bidi="ar-SA"/>
              </w:rPr>
              <w:t>，</w:t>
            </w:r>
            <w:r>
              <w:rPr>
                <w:rFonts w:hint="eastAsia" w:cs="Times New Roman"/>
                <w:color w:val="000000"/>
                <w:kern w:val="2"/>
                <w:sz w:val="24"/>
                <w:szCs w:val="24"/>
                <w:highlight w:val="none"/>
                <w:lang w:val="en-US" w:eastAsia="zh-CN" w:bidi="ar-SA"/>
              </w:rPr>
              <w:t>因此</w:t>
            </w:r>
            <w:r>
              <w:rPr>
                <w:rFonts w:hint="eastAsia" w:ascii="Times New Roman" w:hAnsi="Times New Roman" w:eastAsia="宋体" w:cs="Times New Roman"/>
                <w:color w:val="000000"/>
                <w:kern w:val="2"/>
                <w:sz w:val="24"/>
                <w:szCs w:val="24"/>
                <w:highlight w:val="none"/>
                <w:lang w:val="en-US" w:eastAsia="zh-CN" w:bidi="ar-SA"/>
              </w:rPr>
              <w:t>期间产生废活性炭</w:t>
            </w:r>
            <w:r>
              <w:rPr>
                <w:rFonts w:hint="eastAsia" w:cs="Times New Roman"/>
                <w:color w:val="000000"/>
                <w:kern w:val="2"/>
                <w:sz w:val="24"/>
                <w:szCs w:val="24"/>
                <w:highlight w:val="none"/>
                <w:lang w:val="en-US" w:eastAsia="zh-CN" w:bidi="ar-SA"/>
              </w:rPr>
              <w:t>共</w:t>
            </w:r>
            <w:r>
              <w:rPr>
                <w:rFonts w:hint="eastAsia" w:ascii="Times New Roman" w:hAnsi="Times New Roman" w:eastAsia="宋体" w:cs="Times New Roman"/>
                <w:color w:val="000000"/>
                <w:kern w:val="2"/>
                <w:sz w:val="24"/>
                <w:szCs w:val="24"/>
                <w:highlight w:val="none"/>
                <w:lang w:val="en-US" w:eastAsia="zh-CN" w:bidi="ar-SA"/>
              </w:rPr>
              <w:t>3.51t/a，根据《国家危险废物名录》，属名录中HW49其他废物，行业来源为非特定行业，废物代码分别为900-039-49，属VOCs治理过程（不包括餐饮行业油烟治理过程）产生的废活性炭，危险特性为T。</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本项目治理VOCs采用活性炭吸附+脱附+催化燃烧装置，贵金属催化剂更换周期为8000小时。催化剂每3年更换一次。催化剂主要为贵金属铂、钯等，废催化剂产生量为2t/3a，根据《国家危险废物名录》，属于名录中HW49 其他废物，废物代码为900-041-49，行业来源为非特定行业</w:t>
            </w:r>
            <w:r>
              <w:rPr>
                <w:rFonts w:hint="eastAsia" w:cs="Times New Roman"/>
                <w:color w:val="000000"/>
                <w:kern w:val="2"/>
                <w:sz w:val="24"/>
                <w:szCs w:val="24"/>
                <w:highlight w:val="none"/>
                <w:lang w:val="en-US" w:eastAsia="zh-CN" w:bidi="ar-SA"/>
              </w:rPr>
              <w:t>，属于含有或沾染毒性、感染性危险废物的废弃包装物、容器、过滤吸附介质</w:t>
            </w:r>
            <w:r>
              <w:rPr>
                <w:rFonts w:hint="eastAsia" w:ascii="Times New Roman" w:hAnsi="Times New Roman" w:eastAsia="宋体" w:cs="Times New Roman"/>
                <w:color w:val="000000"/>
                <w:kern w:val="2"/>
                <w:sz w:val="24"/>
                <w:szCs w:val="24"/>
                <w:highlight w:val="none"/>
                <w:lang w:val="en-US" w:eastAsia="zh-CN" w:bidi="ar-SA"/>
              </w:rPr>
              <w:t>，危险特性为T/In。</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cs="Times New Roman"/>
                <w:color w:val="000000"/>
                <w:kern w:val="2"/>
                <w:sz w:val="24"/>
                <w:szCs w:val="24"/>
                <w:highlight w:val="none"/>
                <w:lang w:val="en-US" w:eastAsia="zh-CN" w:bidi="ar-SA"/>
              </w:rPr>
              <w:t>本项目治理氯化氢采用水洗填料塔进行处置，每年需要清理一次废盐酸，根据设备单位提供循环水量为2m</w:t>
            </w:r>
            <w:r>
              <w:rPr>
                <w:rFonts w:hint="eastAsia" w:cs="Times New Roman"/>
                <w:color w:val="000000"/>
                <w:kern w:val="2"/>
                <w:sz w:val="24"/>
                <w:szCs w:val="24"/>
                <w:highlight w:val="none"/>
                <w:vertAlign w:val="superscript"/>
                <w:lang w:val="en-US" w:eastAsia="zh-CN" w:bidi="ar-SA"/>
              </w:rPr>
              <w:t>3</w:t>
            </w:r>
            <w:r>
              <w:rPr>
                <w:rFonts w:hint="eastAsia" w:ascii="Times New Roman" w:hAnsi="Times New Roman" w:eastAsia="宋体" w:cs="Times New Roman"/>
                <w:color w:val="000000"/>
                <w:kern w:val="2"/>
                <w:sz w:val="24"/>
                <w:szCs w:val="24"/>
                <w:highlight w:val="none"/>
                <w:lang w:val="en-US" w:eastAsia="zh-CN" w:bidi="ar-SA"/>
              </w:rPr>
              <w:t>/a</w:t>
            </w:r>
            <w:r>
              <w:rPr>
                <w:rFonts w:hint="eastAsia" w:cs="Times New Roman"/>
                <w:color w:val="000000"/>
                <w:kern w:val="2"/>
                <w:sz w:val="24"/>
                <w:szCs w:val="24"/>
                <w:highlight w:val="none"/>
                <w:lang w:val="en-US" w:eastAsia="zh-CN" w:bidi="ar-SA"/>
              </w:rPr>
              <w:t>，本项目吸收氯化氢产量为0.015kg/a，因此废盐酸量约2t/a，根据</w:t>
            </w:r>
            <w:r>
              <w:rPr>
                <w:rFonts w:hint="eastAsia" w:ascii="Times New Roman" w:hAnsi="Times New Roman" w:eastAsia="宋体" w:cs="Times New Roman"/>
                <w:color w:val="000000"/>
                <w:kern w:val="2"/>
                <w:sz w:val="24"/>
                <w:szCs w:val="24"/>
                <w:highlight w:val="none"/>
                <w:lang w:val="en-US" w:eastAsia="zh-CN" w:bidi="ar-SA"/>
              </w:rPr>
              <w:t>《国家危险废物名录》，属名录中HW34废酸，行业来源为非特定行业，废物代码分别为900-349-34，属生产、销售及使用过程中产生的失效、变质、不合格、淘汰、伪劣的强酸性擦洗粉、清洁剂、污迹去除剂以及其他强酸性废酸液和酸渣，危险特性为C，T。</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cs="Times New Roman"/>
                <w:color w:val="000000"/>
                <w:kern w:val="2"/>
                <w:sz w:val="24"/>
                <w:szCs w:val="24"/>
                <w:highlight w:val="none"/>
                <w:lang w:val="en-US" w:eastAsia="zh-CN" w:bidi="ar-SA"/>
              </w:rPr>
              <w:t>本项目治理氯化氢采用水洗填料塔进行处置，需定期更换填料，根据设备单位提供，每3年进行一次更换，塔径900mm，填料层高6000mm（两段）；填料型号为规整陶瓷板波纹填料，一次更换填料约3.82m</w:t>
            </w:r>
            <w:r>
              <w:rPr>
                <w:rFonts w:hint="eastAsia" w:cs="Times New Roman"/>
                <w:color w:val="000000"/>
                <w:kern w:val="2"/>
                <w:sz w:val="24"/>
                <w:szCs w:val="24"/>
                <w:highlight w:val="none"/>
                <w:vertAlign w:val="superscript"/>
                <w:lang w:val="en-US" w:eastAsia="zh-CN" w:bidi="ar-SA"/>
              </w:rPr>
              <w:t>3</w:t>
            </w:r>
            <w:r>
              <w:rPr>
                <w:rFonts w:hint="eastAsia" w:ascii="Times New Roman" w:hAnsi="Times New Roman" w:eastAsia="宋体" w:cs="Times New Roman"/>
                <w:color w:val="000000"/>
                <w:kern w:val="2"/>
                <w:sz w:val="24"/>
                <w:szCs w:val="24"/>
                <w:highlight w:val="none"/>
                <w:lang w:val="en-US" w:eastAsia="zh-CN" w:bidi="ar-SA"/>
              </w:rPr>
              <w:t>/</w:t>
            </w:r>
            <w:r>
              <w:rPr>
                <w:rFonts w:hint="eastAsia" w:cs="Times New Roman"/>
                <w:color w:val="000000"/>
                <w:kern w:val="2"/>
                <w:sz w:val="24"/>
                <w:szCs w:val="24"/>
                <w:highlight w:val="none"/>
                <w:lang w:val="en-US" w:eastAsia="zh-CN" w:bidi="ar-SA"/>
              </w:rPr>
              <w:t>3</w:t>
            </w:r>
            <w:r>
              <w:rPr>
                <w:rFonts w:hint="eastAsia" w:ascii="Times New Roman" w:hAnsi="Times New Roman" w:eastAsia="宋体" w:cs="Times New Roman"/>
                <w:color w:val="000000"/>
                <w:kern w:val="2"/>
                <w:sz w:val="24"/>
                <w:szCs w:val="24"/>
                <w:highlight w:val="none"/>
                <w:lang w:val="en-US" w:eastAsia="zh-CN" w:bidi="ar-SA"/>
              </w:rPr>
              <w:t>a，根据《国家危险废物名录》，属于名录中HW49 其他废物，废物代码为900-041-49，行业来源为非特定行业</w:t>
            </w:r>
            <w:r>
              <w:rPr>
                <w:rFonts w:hint="eastAsia" w:cs="Times New Roman"/>
                <w:color w:val="000000"/>
                <w:kern w:val="2"/>
                <w:sz w:val="24"/>
                <w:szCs w:val="24"/>
                <w:highlight w:val="none"/>
                <w:lang w:val="en-US" w:eastAsia="zh-CN" w:bidi="ar-SA"/>
              </w:rPr>
              <w:t>，属于含有或沾染毒性、感染性危险废物的废弃包装物、容器、过滤吸附介质</w:t>
            </w:r>
            <w:r>
              <w:rPr>
                <w:rFonts w:hint="eastAsia" w:ascii="Times New Roman" w:hAnsi="Times New Roman" w:eastAsia="宋体" w:cs="Times New Roman"/>
                <w:color w:val="000000"/>
                <w:kern w:val="2"/>
                <w:sz w:val="24"/>
                <w:szCs w:val="24"/>
                <w:highlight w:val="none"/>
                <w:lang w:val="en-US" w:eastAsia="zh-CN" w:bidi="ar-SA"/>
              </w:rPr>
              <w:t>，危险特性为T/In。</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危险废物收集后分类暂存于本项目</w:t>
            </w:r>
            <w:r>
              <w:rPr>
                <w:rFonts w:hint="eastAsia" w:cs="Times New Roman"/>
                <w:color w:val="000000"/>
                <w:kern w:val="2"/>
                <w:sz w:val="24"/>
                <w:szCs w:val="24"/>
                <w:highlight w:val="none"/>
                <w:lang w:val="en-US" w:eastAsia="zh-CN" w:bidi="ar-SA"/>
              </w:rPr>
              <w:t>40</w:t>
            </w:r>
            <w:r>
              <w:rPr>
                <w:rFonts w:hint="eastAsia" w:ascii="Times New Roman" w:hAnsi="Times New Roman" w:eastAsia="宋体" w:cs="Times New Roman"/>
                <w:color w:val="000000"/>
                <w:kern w:val="2"/>
                <w:sz w:val="24"/>
                <w:szCs w:val="24"/>
                <w:highlight w:val="none"/>
                <w:lang w:val="en-US" w:eastAsia="zh-CN" w:bidi="ar-SA"/>
              </w:rPr>
              <w:t>m</w:t>
            </w:r>
            <w:r>
              <w:rPr>
                <w:rFonts w:hint="eastAsia" w:ascii="Times New Roman" w:hAnsi="Times New Roman" w:eastAsia="宋体" w:cs="Times New Roman"/>
                <w:color w:val="000000"/>
                <w:kern w:val="2"/>
                <w:sz w:val="24"/>
                <w:szCs w:val="24"/>
                <w:highlight w:val="none"/>
                <w:vertAlign w:val="superscript"/>
                <w:lang w:val="en-US" w:eastAsia="zh-CN" w:bidi="ar-SA"/>
              </w:rPr>
              <w:t>2</w:t>
            </w:r>
            <w:r>
              <w:rPr>
                <w:rFonts w:hint="eastAsia" w:ascii="Times New Roman" w:hAnsi="Times New Roman" w:eastAsia="宋体" w:cs="Times New Roman"/>
                <w:color w:val="000000"/>
                <w:kern w:val="2"/>
                <w:sz w:val="24"/>
                <w:szCs w:val="24"/>
                <w:highlight w:val="none"/>
                <w:lang w:val="en-US" w:eastAsia="zh-CN" w:bidi="ar-SA"/>
              </w:rPr>
              <w:t>危废暂存间内，贮存容器废油墨盒采用防渗吨袋，废机油、废活性炭、废催化剂</w:t>
            </w:r>
            <w:r>
              <w:rPr>
                <w:rFonts w:hint="eastAsia" w:cs="Times New Roman"/>
                <w:color w:val="000000"/>
                <w:kern w:val="2"/>
                <w:sz w:val="24"/>
                <w:szCs w:val="24"/>
                <w:highlight w:val="none"/>
                <w:lang w:val="en-US" w:eastAsia="zh-CN" w:bidi="ar-SA"/>
              </w:rPr>
              <w:t>、废盐酸、废填料</w:t>
            </w:r>
            <w:r>
              <w:rPr>
                <w:rFonts w:hint="eastAsia" w:ascii="Times New Roman" w:hAnsi="Times New Roman" w:eastAsia="宋体" w:cs="Times New Roman"/>
                <w:color w:val="000000"/>
                <w:kern w:val="2"/>
                <w:sz w:val="24"/>
                <w:szCs w:val="24"/>
                <w:highlight w:val="none"/>
                <w:lang w:val="en-US" w:eastAsia="zh-CN" w:bidi="ar-SA"/>
              </w:rPr>
              <w:t>采用防渗吨桶，定期委托有资质的单位处置。</w:t>
            </w:r>
          </w:p>
          <w:p>
            <w:pPr>
              <w:pageBreakBefore w:val="0"/>
              <w:widowControl w:val="0"/>
              <w:kinsoku/>
              <w:wordWrap/>
              <w:overflowPunct/>
              <w:topLinePunct w:val="0"/>
              <w:autoSpaceDE/>
              <w:autoSpaceDN/>
              <w:bidi w:val="0"/>
              <w:adjustRightInd/>
              <w:snapToGrid/>
              <w:spacing w:before="0" w:after="0" w:line="480" w:lineRule="exact"/>
              <w:ind w:right="0"/>
              <w:jc w:val="center"/>
              <w:textAlignment w:val="auto"/>
              <w:rPr>
                <w:rFonts w:hint="eastAsia" w:ascii="Times New Roman" w:hAnsi="Times New Roman" w:eastAsia="宋体" w:cs="Times New Roman"/>
                <w:b/>
                <w:bCs/>
                <w:color w:val="000000"/>
                <w:kern w:val="2"/>
                <w:sz w:val="24"/>
                <w:szCs w:val="20"/>
                <w:highlight w:val="none"/>
                <w:vertAlign w:val="baseline"/>
                <w:lang w:val="en-US" w:eastAsia="zh-CN"/>
              </w:rPr>
            </w:pPr>
            <w:r>
              <w:rPr>
                <w:rFonts w:hint="eastAsia" w:ascii="Times New Roman" w:hAnsi="Times New Roman" w:eastAsia="宋体" w:cs="Times New Roman"/>
                <w:b/>
                <w:bCs/>
                <w:color w:val="000000"/>
                <w:kern w:val="2"/>
                <w:sz w:val="24"/>
                <w:szCs w:val="20"/>
                <w:highlight w:val="none"/>
                <w:vertAlign w:val="baseline"/>
                <w:lang w:val="en-US" w:eastAsia="zh-CN"/>
              </w:rPr>
              <w:t>表4.8-1本项目固体废物产生情况一览表</w:t>
            </w:r>
          </w:p>
          <w:tbl>
            <w:tblPr>
              <w:tblStyle w:val="13"/>
              <w:tblW w:w="85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84"/>
              <w:gridCol w:w="777"/>
              <w:gridCol w:w="573"/>
              <w:gridCol w:w="932"/>
              <w:gridCol w:w="777"/>
              <w:gridCol w:w="751"/>
              <w:gridCol w:w="814"/>
              <w:gridCol w:w="601"/>
              <w:gridCol w:w="383"/>
              <w:gridCol w:w="648"/>
              <w:gridCol w:w="633"/>
              <w:gridCol w:w="544"/>
              <w:gridCol w:w="7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2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bidi="ar"/>
                    </w:rPr>
                    <w:t>序号</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名称</w:t>
                  </w:r>
                </w:p>
              </w:tc>
              <w:tc>
                <w:tcPr>
                  <w:tcW w:w="3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产生环节</w:t>
                  </w:r>
                </w:p>
              </w:tc>
              <w:tc>
                <w:tcPr>
                  <w:tcW w:w="5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属性</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一般固体废物分类代码</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废物代码</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产生量（t/a）</w:t>
                  </w:r>
                </w:p>
              </w:tc>
              <w:tc>
                <w:tcPr>
                  <w:tcW w:w="3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最大储存量（t）</w:t>
                  </w: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形态</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有害成分</w:t>
                  </w:r>
                </w:p>
              </w:tc>
              <w:tc>
                <w:tcPr>
                  <w:tcW w:w="3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危险特性</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包装方式</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2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生活垃圾</w:t>
                  </w:r>
                </w:p>
              </w:tc>
              <w:tc>
                <w:tcPr>
                  <w:tcW w:w="3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办公生活区</w:t>
                  </w:r>
                </w:p>
              </w:tc>
              <w:tc>
                <w:tcPr>
                  <w:tcW w:w="5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w:t>
                  </w:r>
                </w:p>
              </w:tc>
              <w:tc>
                <w:tcPr>
                  <w:tcW w:w="3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0.5</w:t>
                  </w: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固</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3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桶装</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集中收集，暂存于垃圾箱内，委托环卫部门定期清运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2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原料运输、包装</w:t>
                  </w:r>
                </w:p>
              </w:tc>
              <w:tc>
                <w:tcPr>
                  <w:tcW w:w="3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废包装材料</w:t>
                  </w:r>
                </w:p>
              </w:tc>
              <w:tc>
                <w:tcPr>
                  <w:tcW w:w="5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一般固废</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383-001-07</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SW17可再生类废物</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0.5</w:t>
                  </w:r>
                </w:p>
              </w:tc>
              <w:tc>
                <w:tcPr>
                  <w:tcW w:w="3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固</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3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暂存于生产车间，外售综合利用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2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废金属线</w:t>
                  </w:r>
                </w:p>
              </w:tc>
              <w:tc>
                <w:tcPr>
                  <w:tcW w:w="3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绞丝</w:t>
                  </w:r>
                </w:p>
              </w:tc>
              <w:tc>
                <w:tcPr>
                  <w:tcW w:w="5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一般固废</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383-001-09</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SW17可再生类废物</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6.5</w:t>
                  </w:r>
                </w:p>
              </w:tc>
              <w:tc>
                <w:tcPr>
                  <w:tcW w:w="3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固</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3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暂存于生产车间，外售综合利用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2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废塑料</w:t>
                  </w:r>
                </w:p>
              </w:tc>
              <w:tc>
                <w:tcPr>
                  <w:tcW w:w="3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挤塑、挤护外套</w:t>
                  </w:r>
                </w:p>
              </w:tc>
              <w:tc>
                <w:tcPr>
                  <w:tcW w:w="5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一般固废</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383-001-06</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SW17可再生类废物</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1</w:t>
                  </w:r>
                </w:p>
              </w:tc>
              <w:tc>
                <w:tcPr>
                  <w:tcW w:w="3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固</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3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暂存于生产车间，外售综合利用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2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5</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不合格品</w:t>
                  </w:r>
                </w:p>
              </w:tc>
              <w:tc>
                <w:tcPr>
                  <w:tcW w:w="3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检验</w:t>
                  </w:r>
                </w:p>
              </w:tc>
              <w:tc>
                <w:tcPr>
                  <w:tcW w:w="5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一般固废</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383-001-99</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SW17可再生类废物</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w:t>
                  </w:r>
                </w:p>
              </w:tc>
              <w:tc>
                <w:tcPr>
                  <w:tcW w:w="3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w:t>
                  </w: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固</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3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暂存于生产车间，外售综合利用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2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除尘灰</w:t>
                  </w:r>
                </w:p>
              </w:tc>
              <w:tc>
                <w:tcPr>
                  <w:tcW w:w="3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废气处理</w:t>
                  </w:r>
                </w:p>
              </w:tc>
              <w:tc>
                <w:tcPr>
                  <w:tcW w:w="5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一般固废</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383-001-66</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SW59其他工业固体废物</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7.6kg/a</w:t>
                  </w:r>
                </w:p>
              </w:tc>
              <w:tc>
                <w:tcPr>
                  <w:tcW w:w="3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w:t>
                  </w: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固</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3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暂存于生产车间，外售综合利用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2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7</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废油墨盒</w:t>
                  </w:r>
                </w:p>
              </w:tc>
              <w:tc>
                <w:tcPr>
                  <w:tcW w:w="3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喷码</w:t>
                  </w:r>
                </w:p>
              </w:tc>
              <w:tc>
                <w:tcPr>
                  <w:tcW w:w="5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危险废物/HW49</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900-041-49</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0.14</w:t>
                  </w:r>
                </w:p>
              </w:tc>
              <w:tc>
                <w:tcPr>
                  <w:tcW w:w="35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40</w:t>
                  </w: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固</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废油墨盒</w:t>
                  </w:r>
                </w:p>
              </w:tc>
              <w:tc>
                <w:tcPr>
                  <w:tcW w:w="3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T/In</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袋装</w:t>
                  </w:r>
                </w:p>
              </w:tc>
              <w:tc>
                <w:tcPr>
                  <w:tcW w:w="41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分类暂存于危废暂存间，定期委托有资质单位处置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2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8</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废机油</w:t>
                  </w:r>
                </w:p>
              </w:tc>
              <w:tc>
                <w:tcPr>
                  <w:tcW w:w="3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设备维修</w:t>
                  </w:r>
                </w:p>
              </w:tc>
              <w:tc>
                <w:tcPr>
                  <w:tcW w:w="5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危险废物/HW08</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900-214-08</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0.2</w:t>
                  </w:r>
                </w:p>
              </w:tc>
              <w:tc>
                <w:tcPr>
                  <w:tcW w:w="3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液</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废机油</w:t>
                  </w:r>
                </w:p>
              </w:tc>
              <w:tc>
                <w:tcPr>
                  <w:tcW w:w="3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T，I</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桶装</w:t>
                  </w:r>
                </w:p>
              </w:tc>
              <w:tc>
                <w:tcPr>
                  <w:tcW w:w="4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2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cs="Times New Roman"/>
                      <w:color w:val="auto"/>
                      <w:kern w:val="0"/>
                      <w:sz w:val="21"/>
                      <w:szCs w:val="21"/>
                      <w:highlight w:val="none"/>
                      <w:lang w:val="en-US" w:eastAsia="zh-CN" w:bidi="ar"/>
                    </w:rPr>
                    <w:t>废活性炭</w:t>
                  </w:r>
                </w:p>
              </w:tc>
              <w:tc>
                <w:tcPr>
                  <w:tcW w:w="33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cs="Times New Roman"/>
                      <w:color w:val="auto"/>
                      <w:kern w:val="0"/>
                      <w:sz w:val="21"/>
                      <w:szCs w:val="21"/>
                      <w:highlight w:val="none"/>
                      <w:lang w:val="en-US" w:eastAsia="zh-CN" w:bidi="ar"/>
                    </w:rPr>
                    <w:t>废气处理</w:t>
                  </w:r>
                </w:p>
              </w:tc>
              <w:tc>
                <w:tcPr>
                  <w:tcW w:w="5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危险废物/HW</w:t>
                  </w:r>
                  <w:r>
                    <w:rPr>
                      <w:rFonts w:hint="eastAsia" w:cs="Times New Roman"/>
                      <w:color w:val="auto"/>
                      <w:kern w:val="0"/>
                      <w:sz w:val="21"/>
                      <w:szCs w:val="21"/>
                      <w:highlight w:val="none"/>
                      <w:lang w:val="en-US" w:eastAsia="zh-CN" w:bidi="ar"/>
                    </w:rPr>
                    <w:t>49</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900-039-49</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3.51</w:t>
                  </w:r>
                </w:p>
              </w:tc>
              <w:tc>
                <w:tcPr>
                  <w:tcW w:w="3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固</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废活性炭</w:t>
                  </w:r>
                </w:p>
              </w:tc>
              <w:tc>
                <w:tcPr>
                  <w:tcW w:w="3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桶装</w:t>
                  </w:r>
                </w:p>
              </w:tc>
              <w:tc>
                <w:tcPr>
                  <w:tcW w:w="4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000000"/>
                      <w:kern w:val="0"/>
                      <w:sz w:val="21"/>
                      <w:szCs w:val="21"/>
                      <w:highlight w:val="none"/>
                      <w:lang w:val="en-US" w:eastAsia="zh-CN" w:bidi="ar"/>
                    </w:rPr>
                    <w:t>废催化剂</w:t>
                  </w:r>
                </w:p>
              </w:tc>
              <w:tc>
                <w:tcPr>
                  <w:tcW w:w="33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5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危险废物/HW</w:t>
                  </w:r>
                  <w:r>
                    <w:rPr>
                      <w:rFonts w:hint="eastAsia" w:cs="Times New Roman"/>
                      <w:color w:val="auto"/>
                      <w:kern w:val="0"/>
                      <w:sz w:val="21"/>
                      <w:szCs w:val="21"/>
                      <w:highlight w:val="none"/>
                      <w:lang w:val="en-US" w:eastAsia="zh-CN" w:bidi="ar"/>
                    </w:rPr>
                    <w:t>49</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900-041-49</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000000"/>
                      <w:kern w:val="0"/>
                      <w:sz w:val="21"/>
                      <w:szCs w:val="21"/>
                      <w:highlight w:val="none"/>
                      <w:lang w:val="en-US" w:eastAsia="zh-CN" w:bidi="ar"/>
                    </w:rPr>
                    <w:t>2t/3a</w:t>
                  </w:r>
                </w:p>
              </w:tc>
              <w:tc>
                <w:tcPr>
                  <w:tcW w:w="3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固</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000000"/>
                      <w:kern w:val="0"/>
                      <w:sz w:val="21"/>
                      <w:szCs w:val="21"/>
                      <w:highlight w:val="none"/>
                      <w:lang w:val="en-US" w:eastAsia="zh-CN" w:bidi="ar"/>
                    </w:rPr>
                    <w:t>废催化剂</w:t>
                  </w:r>
                </w:p>
              </w:tc>
              <w:tc>
                <w:tcPr>
                  <w:tcW w:w="3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 xml:space="preserve">T/In </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桶装</w:t>
                  </w:r>
                </w:p>
              </w:tc>
              <w:tc>
                <w:tcPr>
                  <w:tcW w:w="4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11</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废盐酸</w:t>
                  </w:r>
                </w:p>
              </w:tc>
              <w:tc>
                <w:tcPr>
                  <w:tcW w:w="33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5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危险废物/HW34</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900-349-34</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000000"/>
                      <w:kern w:val="0"/>
                      <w:sz w:val="21"/>
                      <w:szCs w:val="21"/>
                      <w:highlight w:val="none"/>
                      <w:lang w:val="en-US" w:eastAsia="zh-CN" w:bidi="ar"/>
                    </w:rPr>
                  </w:pPr>
                  <w:r>
                    <w:rPr>
                      <w:rFonts w:hint="eastAsia" w:cs="Times New Roman"/>
                      <w:color w:val="000000"/>
                      <w:kern w:val="2"/>
                      <w:sz w:val="24"/>
                      <w:szCs w:val="24"/>
                      <w:highlight w:val="none"/>
                      <w:lang w:val="en-US" w:eastAsia="zh-CN" w:bidi="ar-SA"/>
                    </w:rPr>
                    <w:t>2t</w:t>
                  </w:r>
                  <w:r>
                    <w:rPr>
                      <w:rFonts w:hint="eastAsia" w:ascii="Times New Roman" w:hAnsi="Times New Roman" w:eastAsia="宋体" w:cs="Times New Roman"/>
                      <w:color w:val="000000"/>
                      <w:kern w:val="2"/>
                      <w:sz w:val="24"/>
                      <w:szCs w:val="24"/>
                      <w:highlight w:val="none"/>
                      <w:lang w:val="en-US" w:eastAsia="zh-CN" w:bidi="ar-SA"/>
                    </w:rPr>
                    <w:t>/a</w:t>
                  </w:r>
                </w:p>
              </w:tc>
              <w:tc>
                <w:tcPr>
                  <w:tcW w:w="3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固</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废盐酸</w:t>
                  </w:r>
                </w:p>
              </w:tc>
              <w:tc>
                <w:tcPr>
                  <w:tcW w:w="3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C，T</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桶装</w:t>
                  </w:r>
                </w:p>
              </w:tc>
              <w:tc>
                <w:tcPr>
                  <w:tcW w:w="4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12</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废填料</w:t>
                  </w:r>
                </w:p>
              </w:tc>
              <w:tc>
                <w:tcPr>
                  <w:tcW w:w="33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5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危险废物/HW</w:t>
                  </w:r>
                  <w:r>
                    <w:rPr>
                      <w:rFonts w:hint="eastAsia" w:cs="Times New Roman"/>
                      <w:color w:val="auto"/>
                      <w:kern w:val="0"/>
                      <w:sz w:val="21"/>
                      <w:szCs w:val="21"/>
                      <w:highlight w:val="none"/>
                      <w:lang w:val="en-US" w:eastAsia="zh-CN" w:bidi="ar"/>
                    </w:rPr>
                    <w:t>49</w:t>
                  </w:r>
                </w:p>
              </w:tc>
              <w:tc>
                <w:tcPr>
                  <w:tcW w:w="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900-041-49</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3.82m</w:t>
                  </w:r>
                  <w:r>
                    <w:rPr>
                      <w:rFonts w:hint="eastAsia" w:cs="Times New Roman"/>
                      <w:color w:val="000000"/>
                      <w:kern w:val="0"/>
                      <w:sz w:val="21"/>
                      <w:szCs w:val="21"/>
                      <w:highlight w:val="none"/>
                      <w:vertAlign w:val="superscript"/>
                      <w:lang w:val="en-US" w:eastAsia="zh-CN" w:bidi="ar"/>
                    </w:rPr>
                    <w:t>3</w:t>
                  </w:r>
                  <w:r>
                    <w:rPr>
                      <w:rFonts w:hint="eastAsia" w:cs="Times New Roman"/>
                      <w:color w:val="000000"/>
                      <w:kern w:val="0"/>
                      <w:sz w:val="21"/>
                      <w:szCs w:val="21"/>
                      <w:highlight w:val="none"/>
                      <w:lang w:val="en-US" w:eastAsia="zh-CN" w:bidi="ar"/>
                    </w:rPr>
                    <w:t>/3a</w:t>
                  </w:r>
                </w:p>
              </w:tc>
              <w:tc>
                <w:tcPr>
                  <w:tcW w:w="3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固</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废填料</w:t>
                  </w:r>
                </w:p>
              </w:tc>
              <w:tc>
                <w:tcPr>
                  <w:tcW w:w="3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T/In</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桶装</w:t>
                  </w:r>
                </w:p>
              </w:tc>
              <w:tc>
                <w:tcPr>
                  <w:tcW w:w="4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5000" w:type="pct"/>
                  <w:gridSpan w:val="1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一般固体废物分类与代码根据《一般固体废物分类与代码》（GB/T39198—2020）确定；废物代码根据《一般工业固体废物管理台账制定指南（试行）》确定</w:t>
                  </w:r>
                </w:p>
              </w:tc>
            </w:tr>
          </w:tbl>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b w:val="0"/>
                <w:bCs w:val="0"/>
                <w:color w:val="000000"/>
                <w:kern w:val="2"/>
                <w:sz w:val="24"/>
                <w:szCs w:val="20"/>
                <w:highlight w:val="none"/>
                <w:lang w:val="en-US" w:eastAsia="zh-CN"/>
              </w:rPr>
            </w:pPr>
            <w:r>
              <w:rPr>
                <w:rFonts w:hint="eastAsia" w:cs="Times New Roman"/>
                <w:b w:val="0"/>
                <w:bCs w:val="0"/>
                <w:color w:val="000000"/>
                <w:kern w:val="2"/>
                <w:sz w:val="24"/>
                <w:szCs w:val="20"/>
                <w:highlight w:val="none"/>
                <w:lang w:val="en-US" w:eastAsia="zh-CN"/>
              </w:rPr>
              <w:t>本项目危险废物贮存场所（设施）的名称、位置、占地面积、贮存方式、贮存容积、贮存周期等列表见表4.8-2。</w:t>
            </w:r>
          </w:p>
          <w:p>
            <w:pPr>
              <w:pageBreakBefore w:val="0"/>
              <w:widowControl w:val="0"/>
              <w:kinsoku/>
              <w:wordWrap/>
              <w:overflowPunct/>
              <w:topLinePunct w:val="0"/>
              <w:autoSpaceDE/>
              <w:autoSpaceDN/>
              <w:bidi w:val="0"/>
              <w:adjustRightInd/>
              <w:snapToGrid/>
              <w:spacing w:before="0" w:after="0" w:line="480" w:lineRule="exact"/>
              <w:ind w:right="0"/>
              <w:jc w:val="center"/>
              <w:textAlignment w:val="auto"/>
              <w:rPr>
                <w:rFonts w:hint="eastAsia" w:ascii="Times New Roman" w:hAnsi="Times New Roman" w:eastAsia="宋体" w:cs="Times New Roman"/>
                <w:b/>
                <w:bCs/>
                <w:color w:val="000000"/>
                <w:kern w:val="2"/>
                <w:sz w:val="24"/>
                <w:szCs w:val="20"/>
                <w:highlight w:val="none"/>
                <w:vertAlign w:val="baseline"/>
                <w:lang w:val="en-US" w:eastAsia="zh-CN"/>
              </w:rPr>
            </w:pPr>
            <w:r>
              <w:rPr>
                <w:rFonts w:hint="eastAsia" w:ascii="Times New Roman" w:hAnsi="Times New Roman" w:eastAsia="宋体" w:cs="Times New Roman"/>
                <w:b/>
                <w:bCs/>
                <w:color w:val="000000"/>
                <w:kern w:val="2"/>
                <w:sz w:val="24"/>
                <w:szCs w:val="20"/>
                <w:highlight w:val="none"/>
                <w:vertAlign w:val="baseline"/>
                <w:lang w:val="en-US" w:eastAsia="zh-CN"/>
              </w:rPr>
              <w:t>表4.8-2 建设项目危险废物贮存场所（设施）基本情况表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92"/>
              <w:gridCol w:w="670"/>
              <w:gridCol w:w="673"/>
              <w:gridCol w:w="1175"/>
              <w:gridCol w:w="1175"/>
              <w:gridCol w:w="1076"/>
              <w:gridCol w:w="990"/>
              <w:gridCol w:w="750"/>
              <w:gridCol w:w="830"/>
              <w:gridCol w:w="7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bidi="ar"/>
                    </w:rPr>
                    <w:t>序号</w:t>
                  </w:r>
                </w:p>
              </w:tc>
              <w:tc>
                <w:tcPr>
                  <w:tcW w:w="3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贮存场所</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（设施） </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名称</w:t>
                  </w:r>
                </w:p>
              </w:tc>
              <w:tc>
                <w:tcPr>
                  <w:tcW w:w="39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危险废物名称</w:t>
                  </w:r>
                </w:p>
              </w:tc>
              <w:tc>
                <w:tcPr>
                  <w:tcW w:w="6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危险废物类别</w:t>
                  </w:r>
                </w:p>
              </w:tc>
              <w:tc>
                <w:tcPr>
                  <w:tcW w:w="6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危险废物代码</w:t>
                  </w:r>
                </w:p>
              </w:tc>
              <w:tc>
                <w:tcPr>
                  <w:tcW w:w="6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位置</w:t>
                  </w:r>
                </w:p>
              </w:tc>
              <w:tc>
                <w:tcPr>
                  <w:tcW w:w="5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占地面积</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贮存方式</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贮存能力</w:t>
                  </w:r>
                </w:p>
              </w:tc>
              <w:tc>
                <w:tcPr>
                  <w:tcW w:w="4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贮存周期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2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p>
              </w:tc>
              <w:tc>
                <w:tcPr>
                  <w:tcW w:w="39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危险废物暂存间</w:t>
                  </w:r>
                </w:p>
              </w:tc>
              <w:tc>
                <w:tcPr>
                  <w:tcW w:w="39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废油墨盒</w:t>
                  </w:r>
                </w:p>
              </w:tc>
              <w:tc>
                <w:tcPr>
                  <w:tcW w:w="6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危险废物/HW49</w:t>
                  </w:r>
                </w:p>
              </w:tc>
              <w:tc>
                <w:tcPr>
                  <w:tcW w:w="6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900-041-49</w:t>
                  </w:r>
                </w:p>
              </w:tc>
              <w:tc>
                <w:tcPr>
                  <w:tcW w:w="63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危废暂存间东北侧区域</w:t>
                  </w:r>
                </w:p>
              </w:tc>
              <w:tc>
                <w:tcPr>
                  <w:tcW w:w="58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20</w:t>
                  </w:r>
                  <w:r>
                    <w:rPr>
                      <w:rFonts w:hint="eastAsia" w:ascii="Times New Roman" w:hAnsi="Times New Roman" w:eastAsia="宋体" w:cs="Times New Roman"/>
                      <w:color w:val="000000"/>
                      <w:kern w:val="0"/>
                      <w:sz w:val="21"/>
                      <w:szCs w:val="21"/>
                      <w:highlight w:val="none"/>
                      <w:lang w:val="en-US" w:eastAsia="zh-CN" w:bidi="ar"/>
                    </w:rPr>
                    <w:t>m</w:t>
                  </w:r>
                  <w:r>
                    <w:rPr>
                      <w:rFonts w:hint="eastAsia" w:ascii="Times New Roman" w:hAnsi="Times New Roman" w:eastAsia="宋体" w:cs="Times New Roman"/>
                      <w:color w:val="000000"/>
                      <w:kern w:val="0"/>
                      <w:sz w:val="21"/>
                      <w:szCs w:val="21"/>
                      <w:highlight w:val="none"/>
                      <w:vertAlign w:val="superscript"/>
                      <w:lang w:val="en-US" w:eastAsia="zh-CN" w:bidi="ar"/>
                    </w:rPr>
                    <w:t>2</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袋装</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500</w:t>
                  </w:r>
                  <w:r>
                    <w:rPr>
                      <w:rFonts w:hint="eastAsia" w:ascii="Times New Roman" w:hAnsi="Times New Roman" w:eastAsia="宋体" w:cs="Times New Roman"/>
                      <w:color w:val="000000"/>
                      <w:kern w:val="0"/>
                      <w:sz w:val="21"/>
                      <w:szCs w:val="21"/>
                      <w:highlight w:val="none"/>
                      <w:lang w:val="en-US" w:eastAsia="zh-CN" w:bidi="ar"/>
                    </w:rPr>
                    <w:t>个桶</w:t>
                  </w:r>
                </w:p>
              </w:tc>
              <w:tc>
                <w:tcPr>
                  <w:tcW w:w="4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w:t>
                  </w:r>
                  <w:r>
                    <w:rPr>
                      <w:rFonts w:hint="eastAsia" w:ascii="Times New Roman" w:hAnsi="Times New Roman" w:eastAsia="宋体" w:cs="Times New Roman"/>
                      <w:color w:val="auto"/>
                      <w:kern w:val="0"/>
                      <w:sz w:val="21"/>
                      <w:szCs w:val="21"/>
                      <w:highlight w:val="none"/>
                      <w:lang w:val="en-US" w:eastAsia="zh-CN" w:bidi="ar"/>
                    </w:rPr>
                    <w:t>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2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p>
              </w:tc>
              <w:tc>
                <w:tcPr>
                  <w:tcW w:w="39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p>
              </w:tc>
              <w:tc>
                <w:tcPr>
                  <w:tcW w:w="39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000000"/>
                      <w:kern w:val="0"/>
                      <w:sz w:val="21"/>
                      <w:szCs w:val="21"/>
                      <w:highlight w:val="none"/>
                      <w:lang w:val="en-US" w:eastAsia="zh-CN" w:bidi="ar"/>
                    </w:rPr>
                    <w:t>废催化剂</w:t>
                  </w:r>
                </w:p>
              </w:tc>
              <w:tc>
                <w:tcPr>
                  <w:tcW w:w="6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危险废物/HW</w:t>
                  </w:r>
                  <w:r>
                    <w:rPr>
                      <w:rFonts w:hint="eastAsia" w:cs="Times New Roman"/>
                      <w:color w:val="auto"/>
                      <w:kern w:val="0"/>
                      <w:sz w:val="21"/>
                      <w:szCs w:val="21"/>
                      <w:highlight w:val="none"/>
                      <w:lang w:val="en-US" w:eastAsia="zh-CN" w:bidi="ar"/>
                    </w:rPr>
                    <w:t>49</w:t>
                  </w:r>
                </w:p>
              </w:tc>
              <w:tc>
                <w:tcPr>
                  <w:tcW w:w="6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900-041-49</w:t>
                  </w:r>
                </w:p>
              </w:tc>
              <w:tc>
                <w:tcPr>
                  <w:tcW w:w="63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p>
              </w:tc>
              <w:tc>
                <w:tcPr>
                  <w:tcW w:w="5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桶装</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12m</w:t>
                  </w:r>
                  <w:r>
                    <w:rPr>
                      <w:rFonts w:hint="eastAsia" w:cs="Times New Roman"/>
                      <w:color w:val="000000"/>
                      <w:kern w:val="0"/>
                      <w:sz w:val="21"/>
                      <w:szCs w:val="21"/>
                      <w:highlight w:val="none"/>
                      <w:vertAlign w:val="superscript"/>
                      <w:lang w:val="en-US" w:eastAsia="zh-CN" w:bidi="ar"/>
                    </w:rPr>
                    <w:t>3</w:t>
                  </w:r>
                </w:p>
              </w:tc>
              <w:tc>
                <w:tcPr>
                  <w:tcW w:w="4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2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w:t>
                  </w:r>
                </w:p>
              </w:tc>
              <w:tc>
                <w:tcPr>
                  <w:tcW w:w="39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p>
              </w:tc>
              <w:tc>
                <w:tcPr>
                  <w:tcW w:w="39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废填料</w:t>
                  </w:r>
                </w:p>
              </w:tc>
              <w:tc>
                <w:tcPr>
                  <w:tcW w:w="6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危险废物/HW</w:t>
                  </w:r>
                  <w:r>
                    <w:rPr>
                      <w:rFonts w:hint="eastAsia" w:cs="Times New Roman"/>
                      <w:color w:val="auto"/>
                      <w:kern w:val="0"/>
                      <w:sz w:val="21"/>
                      <w:szCs w:val="21"/>
                      <w:highlight w:val="none"/>
                      <w:lang w:val="en-US" w:eastAsia="zh-CN" w:bidi="ar"/>
                    </w:rPr>
                    <w:t>49</w:t>
                  </w:r>
                </w:p>
              </w:tc>
              <w:tc>
                <w:tcPr>
                  <w:tcW w:w="6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900-041-49</w:t>
                  </w:r>
                </w:p>
              </w:tc>
              <w:tc>
                <w:tcPr>
                  <w:tcW w:w="63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p>
              </w:tc>
              <w:tc>
                <w:tcPr>
                  <w:tcW w:w="5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桶装</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12m</w:t>
                  </w:r>
                  <w:r>
                    <w:rPr>
                      <w:rFonts w:hint="eastAsia" w:cs="Times New Roman"/>
                      <w:color w:val="000000"/>
                      <w:kern w:val="0"/>
                      <w:sz w:val="21"/>
                      <w:szCs w:val="21"/>
                      <w:highlight w:val="none"/>
                      <w:vertAlign w:val="superscript"/>
                      <w:lang w:val="en-US" w:eastAsia="zh-CN" w:bidi="ar"/>
                    </w:rPr>
                    <w:t>3</w:t>
                  </w:r>
                </w:p>
              </w:tc>
              <w:tc>
                <w:tcPr>
                  <w:tcW w:w="4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w:t>
                  </w:r>
                </w:p>
              </w:tc>
              <w:tc>
                <w:tcPr>
                  <w:tcW w:w="39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39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auto"/>
                      <w:kern w:val="0"/>
                      <w:sz w:val="21"/>
                      <w:szCs w:val="21"/>
                      <w:highlight w:val="none"/>
                      <w:lang w:val="en-US" w:eastAsia="zh-CN" w:bidi="ar"/>
                    </w:rPr>
                    <w:t>废活性炭</w:t>
                  </w:r>
                </w:p>
              </w:tc>
              <w:tc>
                <w:tcPr>
                  <w:tcW w:w="6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危险废物/HW</w:t>
                  </w:r>
                  <w:r>
                    <w:rPr>
                      <w:rFonts w:hint="eastAsia" w:cs="Times New Roman"/>
                      <w:color w:val="auto"/>
                      <w:kern w:val="0"/>
                      <w:sz w:val="21"/>
                      <w:szCs w:val="21"/>
                      <w:highlight w:val="none"/>
                      <w:lang w:val="en-US" w:eastAsia="zh-CN" w:bidi="ar"/>
                    </w:rPr>
                    <w:t>49</w:t>
                  </w:r>
                </w:p>
              </w:tc>
              <w:tc>
                <w:tcPr>
                  <w:tcW w:w="6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900-039-49</w:t>
                  </w:r>
                </w:p>
              </w:tc>
              <w:tc>
                <w:tcPr>
                  <w:tcW w:w="6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危废暂存间</w:t>
                  </w:r>
                  <w:r>
                    <w:rPr>
                      <w:rFonts w:hint="eastAsia" w:cs="Times New Roman"/>
                      <w:color w:val="000000"/>
                      <w:kern w:val="0"/>
                      <w:sz w:val="21"/>
                      <w:szCs w:val="21"/>
                      <w:highlight w:val="none"/>
                      <w:lang w:val="en-US" w:eastAsia="zh-CN" w:bidi="ar"/>
                    </w:rPr>
                    <w:t>西北</w:t>
                  </w:r>
                  <w:r>
                    <w:rPr>
                      <w:rFonts w:hint="eastAsia" w:ascii="Times New Roman" w:hAnsi="Times New Roman" w:eastAsia="宋体" w:cs="Times New Roman"/>
                      <w:color w:val="000000"/>
                      <w:kern w:val="0"/>
                      <w:sz w:val="21"/>
                      <w:szCs w:val="21"/>
                      <w:highlight w:val="none"/>
                      <w:lang w:val="en-US" w:eastAsia="zh-CN" w:bidi="ar"/>
                    </w:rPr>
                    <w:t>侧区域</w:t>
                  </w:r>
                </w:p>
              </w:tc>
              <w:tc>
                <w:tcPr>
                  <w:tcW w:w="5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w:t>
                  </w:r>
                  <w:r>
                    <w:rPr>
                      <w:rFonts w:hint="eastAsia" w:ascii="Times New Roman" w:hAnsi="Times New Roman" w:eastAsia="宋体" w:cs="Times New Roman"/>
                      <w:color w:val="000000"/>
                      <w:kern w:val="0"/>
                      <w:sz w:val="21"/>
                      <w:szCs w:val="21"/>
                      <w:highlight w:val="none"/>
                      <w:lang w:val="en-US" w:eastAsia="zh-CN" w:bidi="ar"/>
                    </w:rPr>
                    <w:t>m</w:t>
                  </w:r>
                  <w:r>
                    <w:rPr>
                      <w:rFonts w:hint="eastAsia" w:ascii="Times New Roman" w:hAnsi="Times New Roman" w:eastAsia="宋体" w:cs="Times New Roman"/>
                      <w:color w:val="000000"/>
                      <w:kern w:val="0"/>
                      <w:sz w:val="21"/>
                      <w:szCs w:val="21"/>
                      <w:highlight w:val="none"/>
                      <w:vertAlign w:val="superscript"/>
                      <w:lang w:val="en-US" w:eastAsia="zh-CN" w:bidi="ar"/>
                    </w:rPr>
                    <w:t>2</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桶装</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000000"/>
                      <w:kern w:val="0"/>
                      <w:sz w:val="21"/>
                      <w:szCs w:val="21"/>
                      <w:highlight w:val="none"/>
                      <w:lang w:val="en-US" w:eastAsia="zh-CN" w:bidi="ar"/>
                    </w:rPr>
                    <w:t>40m</w:t>
                  </w:r>
                  <w:r>
                    <w:rPr>
                      <w:rFonts w:hint="eastAsia" w:cs="Times New Roman"/>
                      <w:color w:val="000000"/>
                      <w:kern w:val="0"/>
                      <w:sz w:val="21"/>
                      <w:szCs w:val="21"/>
                      <w:highlight w:val="none"/>
                      <w:vertAlign w:val="superscript"/>
                      <w:lang w:val="en-US" w:eastAsia="zh-CN" w:bidi="ar"/>
                    </w:rPr>
                    <w:t>3</w:t>
                  </w:r>
                </w:p>
              </w:tc>
              <w:tc>
                <w:tcPr>
                  <w:tcW w:w="4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5</w:t>
                  </w:r>
                </w:p>
              </w:tc>
              <w:tc>
                <w:tcPr>
                  <w:tcW w:w="39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39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000000"/>
                      <w:kern w:val="0"/>
                      <w:sz w:val="21"/>
                      <w:szCs w:val="21"/>
                      <w:highlight w:val="none"/>
                      <w:lang w:val="en-US" w:eastAsia="zh-CN" w:bidi="ar"/>
                    </w:rPr>
                    <w:t>废盐酸</w:t>
                  </w:r>
                </w:p>
              </w:tc>
              <w:tc>
                <w:tcPr>
                  <w:tcW w:w="6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危险废物/HW34</w:t>
                  </w:r>
                </w:p>
              </w:tc>
              <w:tc>
                <w:tcPr>
                  <w:tcW w:w="6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900-349-34</w:t>
                  </w:r>
                </w:p>
              </w:tc>
              <w:tc>
                <w:tcPr>
                  <w:tcW w:w="6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危废暂存间</w:t>
                  </w:r>
                  <w:r>
                    <w:rPr>
                      <w:rFonts w:hint="eastAsia" w:cs="Times New Roman"/>
                      <w:color w:val="000000"/>
                      <w:kern w:val="0"/>
                      <w:sz w:val="21"/>
                      <w:szCs w:val="21"/>
                      <w:highlight w:val="none"/>
                      <w:lang w:val="en-US" w:eastAsia="zh-CN" w:bidi="ar"/>
                    </w:rPr>
                    <w:t>东南</w:t>
                  </w:r>
                  <w:r>
                    <w:rPr>
                      <w:rFonts w:hint="eastAsia" w:ascii="Times New Roman" w:hAnsi="Times New Roman" w:eastAsia="宋体" w:cs="Times New Roman"/>
                      <w:color w:val="000000"/>
                      <w:kern w:val="0"/>
                      <w:sz w:val="21"/>
                      <w:szCs w:val="21"/>
                      <w:highlight w:val="none"/>
                      <w:lang w:val="en-US" w:eastAsia="zh-CN" w:bidi="ar"/>
                    </w:rPr>
                    <w:t>侧区域</w:t>
                  </w:r>
                </w:p>
              </w:tc>
              <w:tc>
                <w:tcPr>
                  <w:tcW w:w="5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w:t>
                  </w:r>
                  <w:r>
                    <w:rPr>
                      <w:rFonts w:hint="eastAsia" w:ascii="Times New Roman" w:hAnsi="Times New Roman" w:eastAsia="宋体" w:cs="Times New Roman"/>
                      <w:color w:val="000000"/>
                      <w:kern w:val="0"/>
                      <w:sz w:val="21"/>
                      <w:szCs w:val="21"/>
                      <w:highlight w:val="none"/>
                      <w:lang w:val="en-US" w:eastAsia="zh-CN" w:bidi="ar"/>
                    </w:rPr>
                    <w:t>m</w:t>
                  </w:r>
                  <w:r>
                    <w:rPr>
                      <w:rFonts w:hint="eastAsia" w:ascii="Times New Roman" w:hAnsi="Times New Roman" w:eastAsia="宋体" w:cs="Times New Roman"/>
                      <w:color w:val="000000"/>
                      <w:kern w:val="0"/>
                      <w:sz w:val="21"/>
                      <w:szCs w:val="21"/>
                      <w:highlight w:val="none"/>
                      <w:vertAlign w:val="superscript"/>
                      <w:lang w:val="en-US" w:eastAsia="zh-CN" w:bidi="ar"/>
                    </w:rPr>
                    <w:t>2</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桶装</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4t</w:t>
                  </w:r>
                </w:p>
              </w:tc>
              <w:tc>
                <w:tcPr>
                  <w:tcW w:w="4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w:t>
                  </w:r>
                </w:p>
              </w:tc>
              <w:tc>
                <w:tcPr>
                  <w:tcW w:w="39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39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废机油</w:t>
                  </w:r>
                </w:p>
              </w:tc>
              <w:tc>
                <w:tcPr>
                  <w:tcW w:w="6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危险废物/HW08</w:t>
                  </w:r>
                </w:p>
              </w:tc>
              <w:tc>
                <w:tcPr>
                  <w:tcW w:w="6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900-214-08</w:t>
                  </w:r>
                </w:p>
              </w:tc>
              <w:tc>
                <w:tcPr>
                  <w:tcW w:w="6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危废暂存间</w:t>
                  </w:r>
                  <w:r>
                    <w:rPr>
                      <w:rFonts w:hint="eastAsia" w:cs="Times New Roman"/>
                      <w:color w:val="000000"/>
                      <w:kern w:val="0"/>
                      <w:sz w:val="21"/>
                      <w:szCs w:val="21"/>
                      <w:highlight w:val="none"/>
                      <w:lang w:val="en-US" w:eastAsia="zh-CN" w:bidi="ar"/>
                    </w:rPr>
                    <w:t>西南</w:t>
                  </w:r>
                  <w:r>
                    <w:rPr>
                      <w:rFonts w:hint="eastAsia" w:ascii="Times New Roman" w:hAnsi="Times New Roman" w:eastAsia="宋体" w:cs="Times New Roman"/>
                      <w:color w:val="000000"/>
                      <w:kern w:val="0"/>
                      <w:sz w:val="21"/>
                      <w:szCs w:val="21"/>
                      <w:highlight w:val="none"/>
                      <w:lang w:val="en-US" w:eastAsia="zh-CN" w:bidi="ar"/>
                    </w:rPr>
                    <w:t>侧区域</w:t>
                  </w:r>
                </w:p>
              </w:tc>
              <w:tc>
                <w:tcPr>
                  <w:tcW w:w="5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w:t>
                  </w:r>
                  <w:r>
                    <w:rPr>
                      <w:rFonts w:hint="eastAsia" w:ascii="Times New Roman" w:hAnsi="Times New Roman" w:eastAsia="宋体" w:cs="Times New Roman"/>
                      <w:color w:val="000000"/>
                      <w:kern w:val="0"/>
                      <w:sz w:val="21"/>
                      <w:szCs w:val="21"/>
                      <w:highlight w:val="none"/>
                      <w:lang w:val="en-US" w:eastAsia="zh-CN" w:bidi="ar"/>
                    </w:rPr>
                    <w:t>m</w:t>
                  </w:r>
                  <w:r>
                    <w:rPr>
                      <w:rFonts w:hint="eastAsia" w:ascii="Times New Roman" w:hAnsi="Times New Roman" w:eastAsia="宋体" w:cs="Times New Roman"/>
                      <w:color w:val="000000"/>
                      <w:kern w:val="0"/>
                      <w:sz w:val="21"/>
                      <w:szCs w:val="21"/>
                      <w:highlight w:val="none"/>
                      <w:vertAlign w:val="superscript"/>
                      <w:lang w:val="en-US" w:eastAsia="zh-CN" w:bidi="ar"/>
                    </w:rPr>
                    <w:t>2</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桶装</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0.4t</w:t>
                  </w:r>
                </w:p>
              </w:tc>
              <w:tc>
                <w:tcPr>
                  <w:tcW w:w="4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9个月</w:t>
                  </w:r>
                </w:p>
              </w:tc>
            </w:tr>
          </w:tbl>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b w:val="0"/>
                <w:bCs w:val="0"/>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（2）环境管理要求</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default"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1）一般要求</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固体废物污染防治法规定“建设项目的环境影响评价文件确定需要配套建设的固体废物污染环境防治设施，必须与主体工程同时设计、同时施工、同时投入使用。固体废物污染环境防治设施必须经原审批环境影响评价文件的环境保护行政主管部门验收合格后，该建设项目方可投入生产或者使用。对固体废物污染环境防治设施的验收应当与对主体工程的验收同时进行”。根据这些规定，本项目固体废物污染环境防治设施必须做到</w:t>
            </w:r>
            <w:r>
              <w:rPr>
                <w:rFonts w:hint="eastAsia" w:ascii="Times New Roman" w:hAnsi="Times New Roman" w:eastAsia="宋体" w:cs="Times New Roman"/>
                <w:color w:val="000000"/>
                <w:kern w:val="2"/>
                <w:sz w:val="24"/>
                <w:szCs w:val="24"/>
                <w:lang w:val="en-US" w:eastAsia="zh-CN" w:bidi="ar-SA"/>
              </w:rPr>
              <w:t>“</w:t>
            </w:r>
            <w:r>
              <w:rPr>
                <w:rFonts w:hint="default" w:ascii="Times New Roman" w:hAnsi="Times New Roman" w:eastAsia="宋体" w:cs="Times New Roman"/>
                <w:color w:val="000000"/>
                <w:kern w:val="2"/>
                <w:sz w:val="24"/>
                <w:szCs w:val="24"/>
                <w:lang w:val="en-US" w:eastAsia="zh-CN" w:bidi="ar-SA"/>
              </w:rPr>
              <w:t>三同时</w:t>
            </w:r>
            <w:r>
              <w:rPr>
                <w:rFonts w:hint="eastAsia" w:ascii="Times New Roman" w:hAnsi="Times New Roman" w:eastAsia="宋体" w:cs="Times New Roman"/>
                <w:color w:val="000000"/>
                <w:kern w:val="2"/>
                <w:sz w:val="24"/>
                <w:szCs w:val="24"/>
                <w:lang w:val="en-US" w:eastAsia="zh-CN" w:bidi="ar-SA"/>
              </w:rPr>
              <w:t>”</w:t>
            </w:r>
            <w:r>
              <w:rPr>
                <w:rFonts w:hint="default" w:ascii="Times New Roman" w:hAnsi="Times New Roman" w:eastAsia="宋体" w:cs="Times New Roman"/>
                <w:color w:val="000000"/>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为了进一步降低固体废物的影响，建议建设单位在实践中逐步确定新的废物管理模式，对所有固体废物进行监控管理。</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①</w:t>
            </w:r>
            <w:r>
              <w:rPr>
                <w:rFonts w:hint="default" w:ascii="Times New Roman" w:hAnsi="Times New Roman" w:eastAsia="宋体" w:cs="Times New Roman"/>
                <w:color w:val="000000"/>
                <w:kern w:val="2"/>
                <w:sz w:val="24"/>
                <w:szCs w:val="24"/>
                <w:lang w:val="en-US" w:eastAsia="zh-CN" w:bidi="ar-SA"/>
              </w:rPr>
              <w:t>全过程管理</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即对废物从</w:t>
            </w:r>
            <w:r>
              <w:rPr>
                <w:rFonts w:hint="eastAsia" w:ascii="Times New Roman" w:hAnsi="Times New Roman" w:eastAsia="宋体" w:cs="Times New Roman"/>
                <w:color w:val="000000"/>
                <w:kern w:val="2"/>
                <w:sz w:val="24"/>
                <w:szCs w:val="24"/>
                <w:lang w:val="en-US" w:eastAsia="zh-CN" w:bidi="ar-SA"/>
              </w:rPr>
              <w:t>“</w:t>
            </w:r>
            <w:r>
              <w:rPr>
                <w:rFonts w:hint="default" w:ascii="Times New Roman" w:hAnsi="Times New Roman" w:eastAsia="宋体" w:cs="Times New Roman"/>
                <w:color w:val="000000"/>
                <w:kern w:val="2"/>
                <w:sz w:val="24"/>
                <w:szCs w:val="24"/>
                <w:lang w:val="en-US" w:eastAsia="zh-CN" w:bidi="ar-SA"/>
              </w:rPr>
              <w:t>出生</w:t>
            </w:r>
            <w:r>
              <w:rPr>
                <w:rFonts w:hint="eastAsia" w:ascii="Times New Roman" w:hAnsi="Times New Roman" w:eastAsia="宋体" w:cs="Times New Roman"/>
                <w:color w:val="000000"/>
                <w:kern w:val="2"/>
                <w:sz w:val="24"/>
                <w:szCs w:val="24"/>
                <w:lang w:val="en-US" w:eastAsia="zh-CN" w:bidi="ar-SA"/>
              </w:rPr>
              <w:t>”</w:t>
            </w:r>
            <w:r>
              <w:rPr>
                <w:rFonts w:hint="default" w:ascii="Times New Roman" w:hAnsi="Times New Roman" w:eastAsia="宋体" w:cs="Times New Roman"/>
                <w:color w:val="000000"/>
                <w:kern w:val="2"/>
                <w:sz w:val="24"/>
                <w:szCs w:val="24"/>
                <w:lang w:val="en-US" w:eastAsia="zh-CN" w:bidi="ar-SA"/>
              </w:rPr>
              <w:t>那一时刻起对废物的产生、收集、运输、贮存、再循环、再利用、加工处理直至最终处置实行全过程管理，以实现废物减量化、资源化和无害化。</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②</w:t>
            </w:r>
            <w:r>
              <w:rPr>
                <w:rFonts w:hint="default" w:ascii="Times New Roman" w:hAnsi="Times New Roman" w:eastAsia="宋体" w:cs="Times New Roman"/>
                <w:color w:val="000000"/>
                <w:kern w:val="2"/>
                <w:sz w:val="24"/>
                <w:szCs w:val="24"/>
                <w:lang w:val="en-US" w:eastAsia="zh-CN" w:bidi="ar-SA"/>
              </w:rPr>
              <w:t>对排放废物进行审计</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废物审计制度是对废物从产生、处理到处置排放实行全过程监督的有效手段。其主要内容有：废物合理的产生量；废物流向和分配及监测记录；废物处理和转化；废物有效排放和废物总量衡算；废物从产生到处理的全过程评估</w:t>
            </w:r>
            <w:r>
              <w:rPr>
                <w:rFonts w:hint="eastAsia" w:ascii="Times New Roman" w:hAnsi="Times New Roman" w:eastAsia="宋体" w:cs="Times New Roman"/>
                <w:color w:val="000000"/>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2）危险废物管理要求</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危险废物管理包括危险废物贮存措施、危险废物转运措施、危险废物安全处置措施等环节。本次环评要求严格按照《危险废物贮存污染控制标准》（GB 18597-2023）、《危险废物收集 贮存 运输技术规范》（HJ2025-2012）和《危险废物转移管理办法》（生态环境部 公安部 交通运输部 部令第23号）相关要求对其进行贮存、转移及制度性管理。根据国家产生危险废物的单位应当以控制危险废物的环境风险为目标，企业应制定危险废物管理计划和应急预案并报所在地县级以上地方环保部门备案。</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3)危废暂存间要求</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本项目新建</w:t>
            </w:r>
            <w:r>
              <w:rPr>
                <w:rFonts w:hint="eastAsia" w:cs="Times New Roman"/>
                <w:color w:val="000000"/>
                <w:kern w:val="2"/>
                <w:sz w:val="24"/>
                <w:szCs w:val="24"/>
                <w:highlight w:val="none"/>
                <w:lang w:val="en-US" w:eastAsia="zh-CN" w:bidi="ar-SA"/>
              </w:rPr>
              <w:t>4</w:t>
            </w:r>
            <w:r>
              <w:rPr>
                <w:rFonts w:hint="eastAsia" w:ascii="Times New Roman" w:hAnsi="Times New Roman" w:eastAsia="宋体" w:cs="Times New Roman"/>
                <w:color w:val="000000"/>
                <w:kern w:val="2"/>
                <w:sz w:val="24"/>
                <w:szCs w:val="24"/>
                <w:highlight w:val="none"/>
                <w:lang w:val="en-US" w:eastAsia="zh-CN" w:bidi="ar-SA"/>
              </w:rPr>
              <w:t>0m</w:t>
            </w:r>
            <w:r>
              <w:rPr>
                <w:rFonts w:hint="eastAsia" w:ascii="Times New Roman" w:hAnsi="Times New Roman" w:eastAsia="宋体" w:cs="Times New Roman"/>
                <w:color w:val="000000"/>
                <w:kern w:val="2"/>
                <w:sz w:val="24"/>
                <w:szCs w:val="24"/>
                <w:highlight w:val="none"/>
                <w:vertAlign w:val="superscript"/>
                <w:lang w:val="en-US" w:eastAsia="zh-CN" w:bidi="ar-SA"/>
              </w:rPr>
              <w:t>2</w:t>
            </w:r>
            <w:r>
              <w:rPr>
                <w:rFonts w:hint="eastAsia" w:ascii="Times New Roman" w:hAnsi="Times New Roman" w:eastAsia="宋体" w:cs="Times New Roman"/>
                <w:color w:val="000000"/>
                <w:kern w:val="2"/>
                <w:sz w:val="24"/>
                <w:szCs w:val="24"/>
                <w:highlight w:val="none"/>
                <w:lang w:val="en-US" w:eastAsia="zh-CN" w:bidi="ar-SA"/>
              </w:rPr>
              <w:t>危废暂存间一座，主要用于暂存本项目产生的危险废物，贮存设计满足《危险废物贮存污染控制标准》（GB 18597-2023）以及《危险废物收集 贮存 运输技术规范》（HJ2025-2012）要求，委托有资质的单位进行处置。本项目危险废物在收集、转运时需满足以下要求：</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①危险废物的收集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a.危险废物产生单位进行的危险废物收集包括两个方面，一是在危险废物产生节点将危险废物集中到适当的包装容器中或运输车辆上的活动；二是将已包装或装到运输车辆上的危险废物集中到危险废物产生单位内部临时贮存设施的内部转运。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b.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c.危险废物的收集应制定详细的操作规程，内容至少应包括适用范围、操作程序和方法、专用设备和工具、转移和交接、安全保障和应急防护等。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d.危险废物收集和转运作业人员应根据工作需要配备必要的个人防护装备，如手套、防护镜、防护服、防毒面具或口罩等。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e.在危险废物的收集和转运过程中，应采取相应的安全防护和污染防治措施，包括防爆、防火、防中毒、防感染、防</w:t>
            </w:r>
            <w:r>
              <w:rPr>
                <w:rFonts w:hint="eastAsia" w:ascii="Times New Roman" w:hAnsi="Times New Roman" w:eastAsia="宋体" w:cs="Times New Roman"/>
                <w:color w:val="auto"/>
                <w:kern w:val="0"/>
                <w:sz w:val="24"/>
                <w:szCs w:val="24"/>
                <w:lang w:val="en-US" w:eastAsia="zh-CN" w:bidi="ar-SA"/>
              </w:rPr>
              <w:t>泄漏</w:t>
            </w:r>
            <w:r>
              <w:rPr>
                <w:rFonts w:hint="default" w:ascii="Times New Roman" w:hAnsi="Times New Roman" w:eastAsia="宋体" w:cs="Times New Roman"/>
                <w:color w:val="auto"/>
                <w:kern w:val="0"/>
                <w:sz w:val="24"/>
                <w:szCs w:val="24"/>
                <w:lang w:val="en-US" w:eastAsia="zh-CN" w:bidi="ar-SA"/>
              </w:rPr>
              <w:t xml:space="preserve">、防飞扬、防雨或其它防止污染环境的措施。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f.危险废物收集时应根据危险废物的种类、数量、危险特性、物理形态、运输要求等因素确定包装形式，具体包装应符合如下要求：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1)包装材质要与危险废物相容，可根据废物特性选择钢、铝、塑料等材质。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2)性质类似的废物可收集到同一容器中，性质不相容的危险废物不应混合包装。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3)危险废物包装应能有效隔断危险废物迁移扩散途径，并达到防渗、防漏要求。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4)包装好的危险废物应设置相应的标签，标签信息应填写完整翔实。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5)盛装过危险废物的包装袋或包装容器破损后应按危险废物进行管理和处置。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6)危险废物还应根据GB12463的有关要求进行运输包装。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g.危险废物的收集作业应满足如下要求：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1)应根据收集设备、转运车辆以及现场人员等实际情况确定相应作业区域，同时要设置作业界限标志和警示牌。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2)作业区域内应设置危险废物收集专用通道和人员避险通道。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3)收集时应配备必要的收集工具和包装物，以及必要的应急监测设备及应急装备。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4)危险废物收集应参照本标准附录A填写记录表，并将记录表作为危险废物管理的重要档案妥善保存。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5)收集结束后应清理和恢复收集作业区域，确保作业区域环境整洁安全。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6)收集过危险废物的容器、设备、设施、场所及其它物品转作它用时，应消除污染，确保其使用安全。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h.危险废物内部转运作业应满足如下要求：</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1)危险废物内部转运应综合考虑厂区的实际情况确定转运路线，尽量避开办公区和生活区。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2)危险废物内部转运作业应采用专用的工具，危险废物内部转运应填写《危险废物厂内转运记录表》。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3)危险废物内部转运结束后，应对转运路线进行检查和清理，确保无危险废物遗失在转运路线上，并对转运工具进行清洗。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i.收集不具备运输包装条件的危险废物时，且危险特性不会对环境和操作人员造成重大危害，可在临时包装后进行暂时贮存，但正式运输前应按本标准要求进行包装。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②危险废物的转运</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危险废物应按照国家有关规定向当地环境保护行政主管部门申报登记，接受当地环境保护行政主管部门监督管理。同时，根据国务院令第</w:t>
            </w:r>
            <w:r>
              <w:rPr>
                <w:rFonts w:hint="eastAsia" w:ascii="Times New Roman" w:hAnsi="Times New Roman" w:eastAsia="宋体" w:cs="Times New Roman"/>
                <w:sz w:val="24"/>
                <w:szCs w:val="24"/>
                <w:highlight w:val="none"/>
                <w:lang w:val="en-US" w:eastAsia="zh-CN" w:bidi="ar-SA"/>
              </w:rPr>
              <w:t>645</w:t>
            </w:r>
            <w:r>
              <w:rPr>
                <w:rFonts w:hint="default" w:ascii="Times New Roman" w:hAnsi="Times New Roman" w:eastAsia="宋体" w:cs="Times New Roman"/>
                <w:sz w:val="24"/>
                <w:szCs w:val="24"/>
                <w:highlight w:val="none"/>
                <w:lang w:val="en-US" w:eastAsia="zh-CN" w:bidi="ar-SA"/>
              </w:rPr>
              <w:t>号《危险化学品安全管理条例》、《危险废物收集 贮存 运输技术规范》（HJ2025-2012）的有关规定，在危险废物外运至处置单位时必须严格遵守以下要求：</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 xml:space="preserve">a.危险废物运输应由持有危险废物经营许可证的单位按照其许可证的经营范围组织实施，承担危险废物运输的单位应获得交通运输部门颁发的危险货物运输资质；危险废物公路运输应按照《道路危险货物运输管理规定》(交通部令[2005 年]第 9 号)、JT617 以及 JT618 执行；废弃危险化学品的运输应执行《危险化学品安全管理条例》有关运输的规定；运输单位承运危险废物时，应在危险废物包装上按照 GB18597 附录A设置标志；危险废物公路运输时，运输车辆应按GB13392设置车辆标志；危险废物运输时的中转、装卸过程应遵守如下技术要求： </w:t>
            </w:r>
          </w:p>
          <w:p>
            <w:pPr>
              <w:widowControl w:val="0"/>
              <w:wordWrap/>
              <w:overflowPunct w:val="0"/>
              <w:autoSpaceDE w:val="0"/>
              <w:autoSpaceDN w:val="0"/>
              <w:adjustRightInd w:val="0"/>
              <w:snapToGrid w:val="0"/>
              <w:spacing w:line="440" w:lineRule="exact"/>
              <w:ind w:left="0" w:leftChars="0" w:firstLine="480" w:firstLineChars="200"/>
              <w:jc w:val="both"/>
              <w:textAlignment w:val="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 xml:space="preserve">1)卸载区的工作人员应熟悉废物的危险特性，并配备适当的个人防护装备，装卸剧毒废物应配备特殊的防护装备。 </w:t>
            </w:r>
          </w:p>
          <w:p>
            <w:pPr>
              <w:widowControl w:val="0"/>
              <w:wordWrap/>
              <w:overflowPunct w:val="0"/>
              <w:autoSpaceDE w:val="0"/>
              <w:autoSpaceDN w:val="0"/>
              <w:adjustRightInd w:val="0"/>
              <w:snapToGrid w:val="0"/>
              <w:spacing w:line="440" w:lineRule="exact"/>
              <w:ind w:left="0" w:leftChars="0" w:firstLine="480" w:firstLineChars="200"/>
              <w:jc w:val="both"/>
              <w:textAlignment w:val="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 xml:space="preserve">2)卸载区应配备必要的消防设备和设施，并设置明显的指示标志。 </w:t>
            </w:r>
          </w:p>
          <w:p>
            <w:pPr>
              <w:widowControl w:val="0"/>
              <w:wordWrap/>
              <w:overflowPunct w:val="0"/>
              <w:autoSpaceDE w:val="0"/>
              <w:autoSpaceDN w:val="0"/>
              <w:adjustRightInd w:val="0"/>
              <w:snapToGrid w:val="0"/>
              <w:spacing w:line="440" w:lineRule="exact"/>
              <w:ind w:left="0" w:leftChars="0" w:firstLine="480" w:firstLineChars="200"/>
              <w:jc w:val="both"/>
              <w:textAlignment w:val="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 xml:space="preserve">3)危险废物装卸区应设置隔离设施，液态废物卸载区应设置收集槽和缓冲罐。 </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b.对承运人或者接受人的主体资格和技术能力进行核实，依法签订书面合同，并在合同中约定运输、贮存、利用、处置危险废物的污染防治要求及相关责任；</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t>c.</w:t>
            </w:r>
            <w:r>
              <w:rPr>
                <w:rFonts w:hint="default" w:ascii="Times New Roman" w:hAnsi="Times New Roman" w:eastAsia="宋体" w:cs="Times New Roman"/>
                <w:sz w:val="24"/>
                <w:szCs w:val="24"/>
                <w:highlight w:val="none"/>
                <w:lang w:val="en-US" w:eastAsia="zh-CN" w:bidi="ar-SA"/>
              </w:rPr>
              <w:t>制定危险废物管理计划，明确拟转移危险废物的种类、重量（数量）和流向等信息；</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t>d.</w:t>
            </w:r>
            <w:r>
              <w:rPr>
                <w:rFonts w:hint="default" w:ascii="Times New Roman" w:hAnsi="Times New Roman" w:eastAsia="宋体" w:cs="Times New Roman"/>
                <w:sz w:val="24"/>
                <w:szCs w:val="24"/>
                <w:highlight w:val="none"/>
                <w:lang w:val="en-US" w:eastAsia="zh-CN" w:bidi="ar-SA"/>
              </w:rPr>
              <w:t>建立危险废物管理台账，对转移的危险废物进行计量称重，如实记录、妥善保管转移危险废物的种类、重量（数量）和接受人等相关信息；</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t>e.</w:t>
            </w:r>
            <w:r>
              <w:rPr>
                <w:rFonts w:hint="default" w:ascii="Times New Roman" w:hAnsi="Times New Roman" w:eastAsia="宋体" w:cs="Times New Roman"/>
                <w:sz w:val="24"/>
                <w:szCs w:val="24"/>
                <w:highlight w:val="none"/>
                <w:lang w:val="en-US" w:eastAsia="zh-CN" w:bidi="ar-SA"/>
              </w:rPr>
              <w:t>填写、运行危险废物转移联单，在危险废物转移联单中如实填写移出人、承运人、接受人信息，转移危险废物的种类、重量（数量）、危险特性等信息，以及突发环境事件的防范措施等；</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t>f.</w:t>
            </w:r>
            <w:r>
              <w:rPr>
                <w:rFonts w:hint="default" w:ascii="Times New Roman" w:hAnsi="Times New Roman" w:eastAsia="宋体" w:cs="Times New Roman"/>
                <w:sz w:val="24"/>
                <w:szCs w:val="24"/>
                <w:highlight w:val="none"/>
                <w:lang w:val="en-US" w:eastAsia="zh-CN" w:bidi="ar-SA"/>
              </w:rPr>
              <w:t>及时核实接受人贮存、利用或者处置相关危险废物情况；</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sz w:val="24"/>
                <w:szCs w:val="24"/>
                <w:highlight w:val="yellow"/>
                <w:lang w:val="en-US" w:eastAsia="zh-CN" w:bidi="ar-SA"/>
              </w:rPr>
            </w:pPr>
            <w:r>
              <w:rPr>
                <w:rFonts w:hint="eastAsia" w:ascii="Times New Roman" w:hAnsi="Times New Roman" w:eastAsia="宋体" w:cs="Times New Roman"/>
                <w:sz w:val="24"/>
                <w:szCs w:val="24"/>
                <w:highlight w:val="none"/>
                <w:lang w:val="en-US" w:eastAsia="zh-CN" w:bidi="ar-SA"/>
              </w:rPr>
              <w:t>g.</w:t>
            </w:r>
            <w:r>
              <w:rPr>
                <w:rFonts w:hint="default" w:ascii="Times New Roman" w:hAnsi="Times New Roman" w:eastAsia="宋体" w:cs="Times New Roman"/>
                <w:sz w:val="24"/>
                <w:szCs w:val="24"/>
                <w:highlight w:val="none"/>
                <w:lang w:val="en-US" w:eastAsia="zh-CN" w:bidi="ar-SA"/>
              </w:rPr>
              <w:t>移出人应当按照国家有关要求开展危险废物鉴别。禁止将危险废物以副产品等名义提供或者委托给无危险废物经营许可证的单位或者其他生产经营者从事收集、贮存、利用、处置活动。</w:t>
            </w:r>
          </w:p>
          <w:p>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sz w:val="24"/>
                <w:szCs w:val="24"/>
                <w:highlight w:val="yellow"/>
                <w:lang w:val="en-US" w:eastAsia="zh-CN" w:bidi="ar-SA"/>
              </w:rPr>
            </w:pPr>
            <w:r>
              <w:rPr>
                <w:rFonts w:hint="default" w:ascii="Times New Roman" w:hAnsi="Times New Roman" w:eastAsia="宋体" w:cs="Times New Roman"/>
                <w:sz w:val="24"/>
                <w:szCs w:val="24"/>
                <w:highlight w:val="none"/>
                <w:lang w:val="en-US" w:eastAsia="zh-CN" w:bidi="ar-SA"/>
              </w:rPr>
              <w:t>③危险废物贮存</w:t>
            </w:r>
          </w:p>
          <w:p>
            <w:pPr>
              <w:widowControl/>
              <w:numPr>
                <w:ilvl w:val="0"/>
                <w:numId w:val="0"/>
              </w:numPr>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a.贮存设施应根据危险废物的形态、物理化学性质、包装形式和污染物迁移途径，采取必要的防风、防晒、防雨、防漏、防渗、防腐以及其他环境污染防治措施，不应露天堆放危险废物。</w:t>
            </w:r>
          </w:p>
          <w:p>
            <w:pPr>
              <w:widowControl/>
              <w:numPr>
                <w:ilvl w:val="0"/>
                <w:numId w:val="0"/>
              </w:numPr>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b.贮存设施应根据危险废物的类别、数量、形态、物理化学性质和污染防治等要求设置必要的贮存分区，避免不相容的危险废物接触、混合。</w:t>
            </w:r>
          </w:p>
          <w:p>
            <w:pPr>
              <w:widowControl/>
              <w:numPr>
                <w:ilvl w:val="0"/>
                <w:numId w:val="0"/>
              </w:numPr>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c.贮存设施或贮存分区内地面、墙面裙脚、堵截泄漏的围堰、接触危险废物的隔板和墙体等应采用坚固的材料建造，表面无裂缝。</w:t>
            </w:r>
          </w:p>
          <w:p>
            <w:pPr>
              <w:widowControl/>
              <w:numPr>
                <w:ilvl w:val="0"/>
                <w:numId w:val="0"/>
              </w:numPr>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d.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default" w:ascii="Times New Roman" w:hAnsi="Times New Roman" w:eastAsia="宋体" w:cs="Times New Roman"/>
                <w:color w:val="000000"/>
                <w:kern w:val="0"/>
                <w:sz w:val="24"/>
                <w:szCs w:val="24"/>
                <w:vertAlign w:val="superscript"/>
                <w:lang w:val="en-US" w:eastAsia="zh-CN" w:bidi="ar-SA"/>
              </w:rPr>
              <w:t>-7</w:t>
            </w:r>
            <w:r>
              <w:rPr>
                <w:rFonts w:hint="default" w:ascii="Times New Roman" w:hAnsi="Times New Roman" w:eastAsia="宋体" w:cs="Times New Roman"/>
                <w:color w:val="000000"/>
                <w:kern w:val="0"/>
                <w:sz w:val="24"/>
                <w:szCs w:val="24"/>
                <w:lang w:val="en-US" w:eastAsia="zh-CN" w:bidi="ar-SA"/>
              </w:rPr>
              <w:t>cm/s），或至少2 mm厚高密度聚乙烯膜等人工防渗材料（渗透系数不大于10</w:t>
            </w:r>
            <w:r>
              <w:rPr>
                <w:rFonts w:hint="default" w:ascii="Times New Roman" w:hAnsi="Times New Roman" w:eastAsia="宋体" w:cs="Times New Roman"/>
                <w:color w:val="000000"/>
                <w:kern w:val="0"/>
                <w:sz w:val="24"/>
                <w:szCs w:val="24"/>
                <w:vertAlign w:val="superscript"/>
                <w:lang w:val="en-US" w:eastAsia="zh-CN" w:bidi="ar-SA"/>
              </w:rPr>
              <w:t>-10</w:t>
            </w:r>
            <w:r>
              <w:rPr>
                <w:rFonts w:hint="default" w:ascii="Times New Roman" w:hAnsi="Times New Roman" w:eastAsia="宋体" w:cs="Times New Roman"/>
                <w:color w:val="000000"/>
                <w:kern w:val="0"/>
                <w:sz w:val="24"/>
                <w:szCs w:val="24"/>
                <w:lang w:val="en-US" w:eastAsia="zh-CN" w:bidi="ar-SA"/>
              </w:rPr>
              <w:t>cm/s），或其他防渗性能等效的材料。</w:t>
            </w:r>
          </w:p>
          <w:p>
            <w:pPr>
              <w:widowControl/>
              <w:numPr>
                <w:ilvl w:val="0"/>
                <w:numId w:val="0"/>
              </w:numPr>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 xml:space="preserve">e.同一贮存设施宜采用相同的防渗、防腐工艺（包括防渗、防腐结构或材料），防渗、防腐材料应覆盖所有可能与废物及其渗滤液、渗漏液等接触的构筑物表面；采用不同防渗、防腐工艺应分别建设贮存分区。 </w:t>
            </w:r>
          </w:p>
          <w:p>
            <w:pPr>
              <w:widowControl/>
              <w:numPr>
                <w:ilvl w:val="0"/>
                <w:numId w:val="0"/>
              </w:numPr>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f.贮存设施应采取技术和管理措施防止无关人员进入。</w:t>
            </w:r>
          </w:p>
          <w:p>
            <w:pPr>
              <w:widowControl/>
              <w:numPr>
                <w:ilvl w:val="0"/>
                <w:numId w:val="0"/>
              </w:numPr>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2)危险废物贮存容器</w:t>
            </w:r>
          </w:p>
          <w:p>
            <w:pPr>
              <w:widowControl/>
              <w:numPr>
                <w:ilvl w:val="0"/>
                <w:numId w:val="0"/>
              </w:numPr>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 xml:space="preserve">a.容器和包装物材质、内衬应与盛装的危险废物相容。 </w:t>
            </w:r>
          </w:p>
          <w:p>
            <w:pPr>
              <w:widowControl/>
              <w:numPr>
                <w:ilvl w:val="0"/>
                <w:numId w:val="0"/>
              </w:numPr>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b.针对不同类别、形态、物理化学性质的危险废物，其容器和包装物应满足相应的防渗、防漏、防腐和强度等要求。</w:t>
            </w:r>
          </w:p>
          <w:p>
            <w:pPr>
              <w:widowControl/>
              <w:numPr>
                <w:ilvl w:val="0"/>
                <w:numId w:val="0"/>
              </w:numPr>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 xml:space="preserve">c.硬质容器和包装物及其支护结构堆叠码放时不应有明显变形，无破损泄漏。 </w:t>
            </w:r>
          </w:p>
          <w:p>
            <w:pPr>
              <w:widowControl/>
              <w:numPr>
                <w:ilvl w:val="0"/>
                <w:numId w:val="0"/>
              </w:numPr>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 xml:space="preserve">d.柔性容器和包装物堆叠码放时应封口严密，无破损泄漏。 </w:t>
            </w:r>
          </w:p>
          <w:p>
            <w:pPr>
              <w:widowControl/>
              <w:numPr>
                <w:ilvl w:val="0"/>
                <w:numId w:val="0"/>
              </w:numPr>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 xml:space="preserve">e.使用容器盛装液态、半固态危险废物时，容器内部应留有适当的空间，以适应因温度变化等可能引发的收缩和膨胀，防止其导致容器渗漏或永久变形。 </w:t>
            </w:r>
          </w:p>
          <w:p>
            <w:pPr>
              <w:widowControl/>
              <w:numPr>
                <w:ilvl w:val="0"/>
                <w:numId w:val="0"/>
              </w:numPr>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f.</w:t>
            </w:r>
            <w:r>
              <w:rPr>
                <w:rFonts w:hint="default" w:ascii="Times New Roman" w:hAnsi="Times New Roman" w:eastAsia="宋体" w:cs="Times New Roman"/>
                <w:color w:val="000000"/>
                <w:kern w:val="0"/>
                <w:sz w:val="24"/>
                <w:szCs w:val="24"/>
                <w:lang w:val="en-US" w:eastAsia="zh-CN" w:bidi="ar-SA"/>
              </w:rPr>
              <w:t>容器和包装物外表面应保持清洁。</w:t>
            </w:r>
          </w:p>
          <w:p>
            <w:pPr>
              <w:widowControl/>
              <w:numPr>
                <w:ilvl w:val="0"/>
                <w:numId w:val="0"/>
              </w:numPr>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3）选址与设计原则</w:t>
            </w:r>
          </w:p>
          <w:p>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贮存设施选址满足生态环境保护法律法规、规划和</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三线一单</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 xml:space="preserve">生态环境分区管控的要求。 </w:t>
            </w:r>
          </w:p>
          <w:p>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集中贮存设施</w:t>
            </w:r>
            <w:r>
              <w:rPr>
                <w:rFonts w:hint="eastAsia" w:ascii="Times New Roman" w:hAnsi="Times New Roman" w:eastAsia="宋体" w:cs="Times New Roman"/>
                <w:color w:val="auto"/>
                <w:kern w:val="0"/>
                <w:sz w:val="24"/>
                <w:szCs w:val="24"/>
                <w:highlight w:val="none"/>
                <w:lang w:val="en-US" w:eastAsia="zh-CN" w:bidi="ar-SA"/>
              </w:rPr>
              <w:t>不</w:t>
            </w:r>
            <w:r>
              <w:rPr>
                <w:rFonts w:hint="default" w:ascii="Times New Roman" w:hAnsi="Times New Roman" w:eastAsia="宋体" w:cs="Times New Roman"/>
                <w:color w:val="auto"/>
                <w:kern w:val="0"/>
                <w:sz w:val="24"/>
                <w:szCs w:val="24"/>
                <w:highlight w:val="none"/>
                <w:lang w:val="en-US" w:eastAsia="zh-CN" w:bidi="ar-SA"/>
              </w:rPr>
              <w:t xml:space="preserve">在生态保护红线区域、永久基本农田和其他需要特别保护的区域内，不在溶洞区或易遭受洪水、滑坡、泥石流、潮汐等严重自然灾害影响的地区。 </w:t>
            </w:r>
          </w:p>
          <w:p>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 xml:space="preserve">贮存设施不在江河、湖泊、运河、渠道、水库及其最高水位线以下的滩地和岸坡，以及法律法规规定禁止贮存危险废物的其他地点。 </w:t>
            </w:r>
          </w:p>
          <w:p>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贮存设施场址的位置</w:t>
            </w:r>
            <w:r>
              <w:rPr>
                <w:rFonts w:hint="eastAsia" w:ascii="Times New Roman" w:hAnsi="Times New Roman" w:eastAsia="宋体" w:cs="Times New Roman"/>
                <w:color w:val="auto"/>
                <w:kern w:val="0"/>
                <w:sz w:val="24"/>
                <w:szCs w:val="24"/>
                <w:highlight w:val="none"/>
                <w:lang w:val="en-US" w:eastAsia="zh-CN" w:bidi="ar-SA"/>
              </w:rPr>
              <w:t>位于</w:t>
            </w:r>
            <w:r>
              <w:rPr>
                <w:rFonts w:hint="default" w:ascii="Times New Roman" w:hAnsi="Times New Roman" w:eastAsia="宋体" w:cs="Times New Roman"/>
                <w:sz w:val="24"/>
                <w:szCs w:val="24"/>
                <w:lang w:val="en-US" w:eastAsia="zh-CN" w:bidi="ar-SA"/>
              </w:rPr>
              <w:t>苏通小微创业园</w:t>
            </w:r>
            <w:r>
              <w:rPr>
                <w:rFonts w:hint="eastAsia" w:ascii="Times New Roman" w:hAnsi="Times New Roman" w:eastAsia="宋体" w:cs="Times New Roman"/>
                <w:sz w:val="24"/>
                <w:szCs w:val="24"/>
                <w:lang w:val="en-US" w:eastAsia="zh-CN" w:bidi="ar-SA"/>
              </w:rPr>
              <w:t>，周围不存在</w:t>
            </w:r>
            <w:r>
              <w:rPr>
                <w:rFonts w:hint="default" w:ascii="Times New Roman" w:hAnsi="Times New Roman" w:eastAsia="宋体" w:cs="Times New Roman"/>
                <w:color w:val="auto"/>
                <w:kern w:val="0"/>
                <w:sz w:val="24"/>
                <w:szCs w:val="24"/>
                <w:highlight w:val="none"/>
                <w:lang w:val="en-US" w:eastAsia="zh-CN" w:bidi="ar-SA"/>
              </w:rPr>
              <w:t>环境敏感目标。</w:t>
            </w:r>
          </w:p>
          <w:p>
            <w:pPr>
              <w:widowControl w:val="0"/>
              <w:wordWrap/>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④监督与实施 </w:t>
            </w:r>
          </w:p>
          <w:p>
            <w:pPr>
              <w:widowControl w:val="0"/>
              <w:wordWrap/>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a.地方环境保护行政部门可根据本标准所提出的危险废物收集、贮存、运输要求对管辖区域内的危险废物收集、贮存、运输行为进行监管，确保危险废物收集、贮存、运输过程的环境安全。 </w:t>
            </w:r>
          </w:p>
          <w:p>
            <w:pPr>
              <w:widowControl w:val="0"/>
              <w:wordWrap/>
              <w:adjustRightInd/>
              <w:snapToGrid/>
              <w:spacing w:line="360" w:lineRule="auto"/>
              <w:ind w:firstLine="480" w:firstLineChars="200"/>
              <w:textAlignment w:val="auto"/>
              <w:rPr>
                <w:rFonts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auto"/>
                <w:kern w:val="0"/>
                <w:sz w:val="24"/>
                <w:szCs w:val="24"/>
                <w:lang w:val="en-US" w:eastAsia="zh-CN"/>
              </w:rPr>
              <w:t>b.地方环境保护行政主管部门可根据本标准及其它有关管理要求建立地方危险废物收集、贮存、运输管理制度和管理档案。</w:t>
            </w:r>
          </w:p>
          <w:p>
            <w:pPr>
              <w:widowControl w:val="0"/>
              <w:spacing w:line="500" w:lineRule="exact"/>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落实上述固废处置措施后，固废对环境影响很小，固废处置措施可行。</w:t>
            </w:r>
            <w:r>
              <w:rPr>
                <w:rFonts w:ascii="Times New Roman" w:hAnsi="Times New Roman" w:eastAsia="宋体" w:cs="Times New Roman"/>
                <w:color w:val="000000"/>
                <w:kern w:val="2"/>
                <w:sz w:val="24"/>
                <w:szCs w:val="24"/>
                <w:highlight w:val="none"/>
                <w:lang w:val="en-US" w:eastAsia="zh-CN" w:bidi="ar-SA"/>
              </w:rPr>
              <w:t>落实上述固废处置措施后，固废对环境影响很小，固废处置措施可行。</w:t>
            </w:r>
          </w:p>
          <w:p>
            <w:pPr>
              <w:pageBreakBefore w:val="0"/>
              <w:widowControl w:val="0"/>
              <w:kinsoku/>
              <w:wordWrap/>
              <w:overflowPunct/>
              <w:topLinePunct w:val="0"/>
              <w:autoSpaceDE/>
              <w:autoSpaceDN/>
              <w:bidi w:val="0"/>
              <w:adjustRightInd/>
              <w:snapToGrid/>
              <w:spacing w:before="0" w:after="0" w:line="480" w:lineRule="exact"/>
              <w:ind w:left="0" w:right="0" w:firstLine="562" w:firstLineChars="200"/>
              <w:jc w:val="both"/>
              <w:textAlignment w:val="auto"/>
              <w:rPr>
                <w:rFonts w:hint="default" w:ascii="Times New Roman" w:hAnsi="Times New Roman" w:eastAsia="宋体" w:cs="Times New Roman"/>
                <w:color w:val="000000"/>
                <w:kern w:val="2"/>
                <w:sz w:val="28"/>
                <w:szCs w:val="28"/>
                <w:highlight w:val="none"/>
                <w:lang w:val="en-US" w:eastAsia="zh-CN"/>
              </w:rPr>
            </w:pPr>
            <w:r>
              <w:rPr>
                <w:rFonts w:hint="eastAsia" w:ascii="Times New Roman" w:hAnsi="Times New Roman" w:eastAsia="宋体" w:cs="Times New Roman"/>
                <w:b/>
                <w:color w:val="000000"/>
                <w:kern w:val="2"/>
                <w:sz w:val="28"/>
                <w:szCs w:val="28"/>
                <w:highlight w:val="none"/>
                <w:lang w:val="en-US" w:eastAsia="zh-CN" w:bidi="ar-SA"/>
              </w:rPr>
              <w:t>4.9地下水、土壤</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b w:val="0"/>
                <w:bCs w:val="0"/>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本项目位于</w:t>
            </w:r>
            <w:r>
              <w:rPr>
                <w:rFonts w:hint="default" w:ascii="Times New Roman" w:hAnsi="Times New Roman" w:eastAsia="宋体" w:cs="Times New Roman"/>
                <w:lang w:val="en-US" w:eastAsia="zh-CN"/>
              </w:rPr>
              <w:t>苏通小微创业园</w:t>
            </w:r>
            <w:r>
              <w:rPr>
                <w:rFonts w:hint="eastAsia" w:ascii="Times New Roman" w:hAnsi="Times New Roman" w:eastAsia="宋体" w:cs="Times New Roman"/>
                <w:b w:val="0"/>
                <w:bCs w:val="0"/>
                <w:color w:val="000000"/>
                <w:kern w:val="2"/>
                <w:sz w:val="24"/>
                <w:szCs w:val="20"/>
                <w:highlight w:val="none"/>
                <w:lang w:val="en-US" w:eastAsia="zh-CN"/>
              </w:rPr>
              <w:t>，不涉及集中式饮用水水源和热水、矿泉水、温泉等特殊地下水资源保护区。</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b w:val="0"/>
                <w:bCs w:val="0"/>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（1）污染源和污染途径</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①地面防渗等级不足或出现裂痕，导致泄漏物料下渗，污染地下水、土壤环境；</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③固体废物防护措施不足，导致雨水混入，污染地下水、土壤环境；</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b w:val="0"/>
                <w:bCs w:val="0"/>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⑤管理不完善，操作不规范导致物料泄漏。</w:t>
            </w:r>
          </w:p>
          <w:p>
            <w:pPr>
              <w:pageBreakBefore w:val="0"/>
              <w:widowControl w:val="0"/>
              <w:numPr>
                <w:ilvl w:val="0"/>
                <w:numId w:val="0"/>
              </w:numPr>
              <w:kinsoku/>
              <w:wordWrap/>
              <w:overflowPunct/>
              <w:topLinePunct w:val="0"/>
              <w:autoSpaceDE/>
              <w:autoSpaceDN/>
              <w:bidi w:val="0"/>
              <w:adjustRightInd/>
              <w:snapToGrid/>
              <w:spacing w:before="0" w:after="0" w:line="480" w:lineRule="exact"/>
              <w:ind w:leftChars="200" w:right="0" w:rightChars="0"/>
              <w:jc w:val="both"/>
              <w:textAlignment w:val="auto"/>
              <w:rPr>
                <w:rFonts w:hint="eastAsia" w:ascii="Times New Roman" w:hAnsi="Times New Roman" w:eastAsia="宋体" w:cs="Times New Roman"/>
                <w:b w:val="0"/>
                <w:bCs w:val="0"/>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（2）分区防渗控制要求</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①</w:t>
            </w:r>
            <w:r>
              <w:rPr>
                <w:rFonts w:hint="default" w:ascii="Times New Roman" w:hAnsi="Times New Roman" w:eastAsia="宋体" w:cs="Times New Roman"/>
                <w:color w:val="000000"/>
                <w:kern w:val="2"/>
                <w:sz w:val="24"/>
                <w:szCs w:val="20"/>
                <w:highlight w:val="none"/>
                <w:lang w:val="en-US" w:eastAsia="zh-CN"/>
              </w:rPr>
              <w:t>防渗分区</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000000"/>
                <w:kern w:val="2"/>
                <w:sz w:val="24"/>
                <w:szCs w:val="20"/>
                <w:highlight w:val="none"/>
                <w:lang w:val="en-US" w:eastAsia="zh-CN"/>
              </w:rPr>
            </w:pPr>
            <w:r>
              <w:rPr>
                <w:rFonts w:hint="default" w:ascii="Times New Roman" w:hAnsi="Times New Roman" w:eastAsia="宋体" w:cs="Times New Roman"/>
                <w:color w:val="000000"/>
                <w:kern w:val="2"/>
                <w:sz w:val="24"/>
                <w:szCs w:val="20"/>
                <w:highlight w:val="none"/>
                <w:lang w:val="en-US" w:eastAsia="zh-CN"/>
              </w:rPr>
              <w:t>根据装置、单元的特点和所处的区域及部位，</w:t>
            </w:r>
            <w:r>
              <w:rPr>
                <w:rFonts w:hint="eastAsia" w:ascii="Times New Roman" w:hAnsi="Times New Roman" w:eastAsia="宋体" w:cs="Times New Roman"/>
                <w:color w:val="000000"/>
                <w:kern w:val="2"/>
                <w:sz w:val="24"/>
                <w:szCs w:val="20"/>
                <w:highlight w:val="none"/>
                <w:lang w:val="en-US" w:eastAsia="zh-CN"/>
              </w:rPr>
              <w:t>本</w:t>
            </w:r>
            <w:r>
              <w:rPr>
                <w:rFonts w:hint="default" w:ascii="Times New Roman" w:hAnsi="Times New Roman" w:eastAsia="宋体" w:cs="Times New Roman"/>
                <w:color w:val="000000"/>
                <w:kern w:val="2"/>
                <w:sz w:val="24"/>
                <w:szCs w:val="20"/>
                <w:highlight w:val="none"/>
                <w:lang w:val="en-US" w:eastAsia="zh-CN"/>
              </w:rPr>
              <w:t>项目厂区划分为一般污染防治区、重点污染防治区</w:t>
            </w:r>
            <w:r>
              <w:rPr>
                <w:rFonts w:hint="eastAsia" w:ascii="Times New Roman" w:hAnsi="Times New Roman" w:eastAsia="宋体" w:cs="Times New Roman"/>
                <w:color w:val="000000"/>
                <w:kern w:val="2"/>
                <w:sz w:val="24"/>
                <w:szCs w:val="20"/>
                <w:highlight w:val="none"/>
                <w:lang w:val="en-US" w:eastAsia="zh-CN"/>
              </w:rPr>
              <w:t>、简单防渗区</w:t>
            </w:r>
            <w:r>
              <w:rPr>
                <w:rFonts w:hint="default" w:ascii="Times New Roman" w:hAnsi="Times New Roman" w:eastAsia="宋体" w:cs="Times New Roman"/>
                <w:color w:val="000000"/>
                <w:kern w:val="2"/>
                <w:sz w:val="24"/>
                <w:szCs w:val="2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000000"/>
                <w:kern w:val="2"/>
                <w:sz w:val="24"/>
                <w:szCs w:val="20"/>
                <w:highlight w:val="none"/>
                <w:lang w:val="en-US" w:eastAsia="zh-CN"/>
              </w:rPr>
            </w:pPr>
            <w:r>
              <w:rPr>
                <w:rFonts w:hint="default" w:ascii="Times New Roman" w:hAnsi="Times New Roman" w:eastAsia="宋体" w:cs="Times New Roman"/>
                <w:color w:val="000000"/>
                <w:kern w:val="2"/>
                <w:sz w:val="24"/>
                <w:szCs w:val="20"/>
                <w:highlight w:val="none"/>
                <w:lang w:val="en-US" w:eastAsia="zh-CN"/>
              </w:rPr>
              <w:t>重点污染防治区：</w:t>
            </w:r>
            <w:r>
              <w:rPr>
                <w:rFonts w:hint="eastAsia" w:ascii="Times New Roman" w:hAnsi="Times New Roman" w:eastAsia="宋体" w:cs="Times New Roman"/>
                <w:color w:val="000000"/>
                <w:kern w:val="2"/>
                <w:sz w:val="24"/>
                <w:szCs w:val="20"/>
                <w:highlight w:val="none"/>
                <w:lang w:val="en-US" w:eastAsia="zh-CN"/>
              </w:rPr>
              <w:t>危废暂存间</w:t>
            </w:r>
            <w:r>
              <w:rPr>
                <w:rFonts w:hint="default" w:ascii="Times New Roman" w:hAnsi="Times New Roman" w:eastAsia="宋体" w:cs="Times New Roman"/>
                <w:color w:val="000000"/>
                <w:kern w:val="2"/>
                <w:sz w:val="24"/>
                <w:szCs w:val="2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000000"/>
                <w:kern w:val="2"/>
                <w:sz w:val="24"/>
                <w:szCs w:val="20"/>
                <w:highlight w:val="none"/>
                <w:lang w:val="en-US" w:eastAsia="zh-CN"/>
              </w:rPr>
            </w:pPr>
            <w:r>
              <w:rPr>
                <w:rFonts w:hint="default" w:ascii="Times New Roman" w:hAnsi="Times New Roman" w:eastAsia="宋体" w:cs="Times New Roman"/>
                <w:color w:val="000000"/>
                <w:kern w:val="2"/>
                <w:sz w:val="24"/>
                <w:szCs w:val="20"/>
                <w:highlight w:val="none"/>
                <w:lang w:val="en-US" w:eastAsia="zh-CN"/>
              </w:rPr>
              <w:t>一般污染防治区：</w:t>
            </w:r>
            <w:r>
              <w:rPr>
                <w:rFonts w:hint="eastAsia" w:ascii="Times New Roman" w:hAnsi="Times New Roman" w:eastAsia="宋体" w:cs="Times New Roman"/>
                <w:color w:val="000000"/>
                <w:kern w:val="2"/>
                <w:sz w:val="24"/>
                <w:szCs w:val="20"/>
                <w:highlight w:val="none"/>
                <w:lang w:val="en-US" w:eastAsia="zh-CN"/>
              </w:rPr>
              <w:t>生产车间</w:t>
            </w:r>
            <w:r>
              <w:rPr>
                <w:rFonts w:hint="default" w:ascii="Times New Roman" w:hAnsi="Times New Roman" w:eastAsia="宋体" w:cs="Times New Roman"/>
                <w:color w:val="000000"/>
                <w:kern w:val="2"/>
                <w:sz w:val="24"/>
                <w:szCs w:val="2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简单</w:t>
            </w:r>
            <w:r>
              <w:rPr>
                <w:rFonts w:hint="default" w:ascii="Times New Roman" w:hAnsi="Times New Roman" w:eastAsia="宋体" w:cs="Times New Roman"/>
                <w:color w:val="000000"/>
                <w:kern w:val="2"/>
                <w:sz w:val="24"/>
                <w:szCs w:val="20"/>
                <w:highlight w:val="none"/>
                <w:lang w:val="en-US" w:eastAsia="zh-CN"/>
              </w:rPr>
              <w:t>污染防治区：</w:t>
            </w:r>
            <w:r>
              <w:rPr>
                <w:rFonts w:hint="eastAsia" w:ascii="Times New Roman" w:hAnsi="Times New Roman" w:eastAsia="宋体" w:cs="Times New Roman"/>
                <w:color w:val="000000"/>
                <w:kern w:val="2"/>
                <w:sz w:val="24"/>
                <w:szCs w:val="20"/>
                <w:highlight w:val="none"/>
                <w:lang w:val="en-US" w:eastAsia="zh-CN"/>
              </w:rPr>
              <w:t>办公生活</w:t>
            </w:r>
            <w:r>
              <w:rPr>
                <w:rFonts w:hint="eastAsia" w:cs="Times New Roman"/>
                <w:color w:val="000000"/>
                <w:kern w:val="2"/>
                <w:sz w:val="24"/>
                <w:szCs w:val="20"/>
                <w:highlight w:val="none"/>
                <w:lang w:val="en-US" w:eastAsia="zh-CN"/>
              </w:rPr>
              <w:t>楼、门卫室</w:t>
            </w:r>
            <w:r>
              <w:rPr>
                <w:rFonts w:hint="eastAsia" w:ascii="Times New Roman" w:hAnsi="Times New Roman" w:eastAsia="宋体" w:cs="Times New Roman"/>
                <w:color w:val="000000"/>
                <w:kern w:val="2"/>
                <w:sz w:val="24"/>
                <w:szCs w:val="20"/>
                <w:highlight w:val="none"/>
                <w:lang w:val="en-US" w:eastAsia="zh-CN"/>
              </w:rPr>
              <w:t>以及进出场道路。</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②</w:t>
            </w:r>
            <w:r>
              <w:rPr>
                <w:rFonts w:hint="default" w:ascii="Times New Roman" w:hAnsi="Times New Roman" w:eastAsia="宋体" w:cs="Times New Roman"/>
                <w:color w:val="000000"/>
                <w:kern w:val="2"/>
                <w:sz w:val="24"/>
                <w:szCs w:val="20"/>
                <w:highlight w:val="none"/>
                <w:lang w:val="en-US" w:eastAsia="zh-CN"/>
              </w:rPr>
              <w:t>分区防渗处理</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default" w:ascii="Times New Roman" w:hAnsi="Times New Roman" w:eastAsia="宋体" w:cs="Times New Roman"/>
                <w:color w:val="000000"/>
                <w:kern w:val="2"/>
                <w:sz w:val="24"/>
                <w:szCs w:val="20"/>
                <w:highlight w:val="none"/>
                <w:lang w:val="en-US" w:eastAsia="zh-CN"/>
              </w:rPr>
              <w:t>重点防渗区：</w:t>
            </w:r>
            <w:r>
              <w:rPr>
                <w:rFonts w:hint="eastAsia" w:ascii="Times New Roman" w:hAnsi="Times New Roman" w:eastAsia="宋体" w:cs="Times New Roman"/>
                <w:color w:val="000000"/>
                <w:kern w:val="2"/>
                <w:sz w:val="24"/>
                <w:szCs w:val="20"/>
                <w:highlight w:val="none"/>
                <w:lang w:val="en-US" w:eastAsia="zh-CN"/>
              </w:rPr>
              <w:t>本项目危废暂存间</w:t>
            </w:r>
            <w:r>
              <w:rPr>
                <w:rFonts w:hint="default" w:ascii="Times New Roman" w:hAnsi="Times New Roman" w:eastAsia="宋体" w:cs="Times New Roman"/>
                <w:color w:val="000000"/>
                <w:kern w:val="2"/>
                <w:sz w:val="24"/>
                <w:szCs w:val="20"/>
                <w:highlight w:val="none"/>
                <w:lang w:val="en-US" w:eastAsia="zh-CN"/>
              </w:rPr>
              <w:t>，</w:t>
            </w:r>
            <w:r>
              <w:rPr>
                <w:rFonts w:hint="eastAsia" w:ascii="Times New Roman" w:hAnsi="Times New Roman" w:eastAsia="宋体" w:cs="Times New Roman"/>
                <w:color w:val="000000"/>
                <w:kern w:val="2"/>
                <w:sz w:val="24"/>
                <w:szCs w:val="20"/>
                <w:highlight w:val="none"/>
                <w:lang w:val="en-US" w:eastAsia="zh-CN"/>
              </w:rPr>
              <w:t>防渗方案20cm厚P4等级混凝土</w:t>
            </w:r>
            <w:r>
              <w:rPr>
                <w:rFonts w:hint="default" w:ascii="Times New Roman" w:hAnsi="Times New Roman" w:eastAsia="宋体" w:cs="Times New Roman"/>
                <w:color w:val="000000"/>
                <w:kern w:val="2"/>
                <w:sz w:val="24"/>
                <w:szCs w:val="20"/>
                <w:highlight w:val="none"/>
                <w:lang w:val="en-US" w:eastAsia="zh-CN"/>
              </w:rPr>
              <w:t>+2mm厚高密度聚乙烯膜（HDPE）+水泥地面</w:t>
            </w:r>
            <w:r>
              <w:rPr>
                <w:rFonts w:hint="eastAsia" w:ascii="Times New Roman" w:hAnsi="Times New Roman" w:eastAsia="宋体" w:cs="Times New Roman"/>
                <w:color w:val="000000"/>
                <w:kern w:val="2"/>
                <w:sz w:val="24"/>
                <w:szCs w:val="20"/>
                <w:highlight w:val="none"/>
                <w:lang w:val="en-US" w:eastAsia="zh-CN"/>
              </w:rPr>
              <w:t>，设计满足《环境影响评价技术导则 地下水环境》（HJ 610-2016）要求</w:t>
            </w:r>
            <w:r>
              <w:rPr>
                <w:rFonts w:hint="default" w:ascii="Times New Roman" w:hAnsi="Times New Roman" w:eastAsia="宋体" w:cs="Times New Roman"/>
                <w:color w:val="000000"/>
                <w:kern w:val="2"/>
                <w:sz w:val="24"/>
                <w:szCs w:val="20"/>
                <w:highlight w:val="none"/>
                <w:lang w:val="en-US" w:eastAsia="zh-CN"/>
              </w:rPr>
              <w:t>：等效黏土防渗层Mb≥6.0m，K≤1×10</w:t>
            </w:r>
            <w:r>
              <w:rPr>
                <w:rFonts w:hint="eastAsia" w:ascii="Times New Roman" w:hAnsi="Times New Roman" w:eastAsia="宋体" w:cs="Times New Roman"/>
                <w:color w:val="000000"/>
                <w:kern w:val="2"/>
                <w:sz w:val="24"/>
                <w:szCs w:val="20"/>
                <w:highlight w:val="none"/>
                <w:vertAlign w:val="superscript"/>
                <w:lang w:val="en-US" w:eastAsia="zh-CN"/>
              </w:rPr>
              <w:t>-7</w:t>
            </w:r>
            <w:r>
              <w:rPr>
                <w:rFonts w:hint="default" w:ascii="Times New Roman" w:hAnsi="Times New Roman" w:eastAsia="宋体" w:cs="Times New Roman"/>
                <w:color w:val="000000"/>
                <w:kern w:val="2"/>
                <w:sz w:val="24"/>
                <w:szCs w:val="20"/>
                <w:highlight w:val="none"/>
                <w:lang w:val="en-US" w:eastAsia="zh-CN"/>
              </w:rPr>
              <w:t>cm/s</w:t>
            </w:r>
            <w:r>
              <w:rPr>
                <w:rFonts w:hint="eastAsia" w:ascii="Times New Roman" w:hAnsi="Times New Roman" w:eastAsia="宋体" w:cs="Times New Roman"/>
                <w:color w:val="000000"/>
                <w:kern w:val="2"/>
                <w:sz w:val="24"/>
                <w:szCs w:val="20"/>
                <w:highlight w:val="none"/>
                <w:lang w:val="en-US" w:eastAsia="zh-CN"/>
              </w:rPr>
              <w:t>。（目前</w:t>
            </w:r>
            <w:r>
              <w:rPr>
                <w:rFonts w:hint="eastAsia" w:cs="Times New Roman"/>
                <w:color w:val="000000"/>
                <w:kern w:val="2"/>
                <w:sz w:val="24"/>
                <w:szCs w:val="20"/>
                <w:highlight w:val="none"/>
                <w:lang w:val="en-US" w:eastAsia="zh-CN"/>
              </w:rPr>
              <w:t>仅设置硬化地面，</w:t>
            </w:r>
            <w:r>
              <w:rPr>
                <w:rFonts w:hint="eastAsia" w:ascii="Times New Roman" w:hAnsi="Times New Roman" w:eastAsia="宋体" w:cs="Times New Roman"/>
                <w:color w:val="000000"/>
                <w:kern w:val="2"/>
                <w:sz w:val="24"/>
                <w:szCs w:val="20"/>
                <w:highlight w:val="none"/>
                <w:lang w:val="en-US" w:eastAsia="zh-CN"/>
              </w:rPr>
              <w:t>已由新疆伟康高科管业有限公司</w:t>
            </w:r>
            <w:r>
              <w:rPr>
                <w:rFonts w:hint="eastAsia" w:ascii="Times New Roman" w:hAnsi="Times New Roman" w:eastAsia="宋体" w:cs="Times New Roman"/>
                <w:kern w:val="2"/>
                <w:szCs w:val="24"/>
                <w:lang w:val="en-US" w:eastAsia="zh-CN"/>
              </w:rPr>
              <w:t>建设完成</w:t>
            </w:r>
            <w:r>
              <w:rPr>
                <w:rFonts w:hint="eastAsia" w:cs="Times New Roman"/>
                <w:kern w:val="2"/>
                <w:szCs w:val="24"/>
                <w:lang w:val="en-US" w:eastAsia="zh-CN"/>
              </w:rPr>
              <w:t>，需补充建设</w:t>
            </w:r>
            <w:r>
              <w:rPr>
                <w:rFonts w:hint="eastAsia" w:ascii="Times New Roman" w:hAnsi="Times New Roman" w:eastAsia="宋体" w:cs="Times New Roman"/>
                <w:color w:val="000000"/>
                <w:kern w:val="2"/>
                <w:sz w:val="24"/>
                <w:szCs w:val="20"/>
                <w:highlight w:val="none"/>
                <w:lang w:val="en-US" w:eastAsia="zh-CN"/>
              </w:rPr>
              <w:t>20cm厚P4等级混凝土</w:t>
            </w:r>
            <w:r>
              <w:rPr>
                <w:rFonts w:hint="default" w:ascii="Times New Roman" w:hAnsi="Times New Roman" w:eastAsia="宋体" w:cs="Times New Roman"/>
                <w:color w:val="000000"/>
                <w:kern w:val="2"/>
                <w:sz w:val="24"/>
                <w:szCs w:val="20"/>
                <w:highlight w:val="none"/>
                <w:lang w:val="en-US" w:eastAsia="zh-CN"/>
              </w:rPr>
              <w:t>+2mm厚高密度聚乙烯膜（HDPE）+水泥地面</w:t>
            </w:r>
            <w:r>
              <w:rPr>
                <w:rFonts w:hint="eastAsia" w:cs="Times New Roman"/>
                <w:color w:val="000000"/>
                <w:kern w:val="2"/>
                <w:sz w:val="24"/>
                <w:szCs w:val="20"/>
                <w:highlight w:val="none"/>
                <w:lang w:val="en-US" w:eastAsia="zh-CN"/>
              </w:rPr>
              <w:t>，责任主体为新疆圣威线缆科技有限公司</w:t>
            </w:r>
            <w:r>
              <w:rPr>
                <w:rFonts w:hint="eastAsia" w:ascii="Times New Roman" w:hAnsi="Times New Roman" w:eastAsia="宋体" w:cs="Times New Roman"/>
                <w:color w:val="000000"/>
                <w:kern w:val="2"/>
                <w:sz w:val="24"/>
                <w:szCs w:val="20"/>
                <w:highlight w:val="none"/>
                <w:lang w:val="en-US" w:eastAsia="zh-CN"/>
              </w:rPr>
              <w:t>。</w:t>
            </w:r>
            <w:r>
              <w:rPr>
                <w:rFonts w:hint="eastAsia" w:cs="Times New Roman"/>
                <w:color w:val="000000"/>
                <w:kern w:val="2"/>
                <w:sz w:val="24"/>
                <w:szCs w:val="2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default" w:ascii="Times New Roman" w:hAnsi="Times New Roman" w:eastAsia="宋体" w:cs="Times New Roman"/>
                <w:color w:val="000000"/>
                <w:kern w:val="2"/>
                <w:sz w:val="24"/>
                <w:szCs w:val="20"/>
                <w:highlight w:val="none"/>
                <w:lang w:val="en-US" w:eastAsia="zh-CN"/>
              </w:rPr>
              <w:t>一般防渗区：生产车间采用厚度Mb=1.5m，渗透系数K≤10</w:t>
            </w:r>
            <w:r>
              <w:rPr>
                <w:rFonts w:hint="default" w:ascii="Times New Roman" w:hAnsi="Times New Roman" w:eastAsia="宋体" w:cs="Times New Roman"/>
                <w:color w:val="000000"/>
                <w:kern w:val="2"/>
                <w:sz w:val="24"/>
                <w:szCs w:val="20"/>
                <w:highlight w:val="none"/>
                <w:vertAlign w:val="superscript"/>
                <w:lang w:val="en-US" w:eastAsia="zh-CN"/>
              </w:rPr>
              <w:t>-7</w:t>
            </w:r>
            <w:r>
              <w:rPr>
                <w:rFonts w:hint="default" w:ascii="Times New Roman" w:hAnsi="Times New Roman" w:eastAsia="宋体" w:cs="Times New Roman"/>
                <w:color w:val="000000"/>
                <w:kern w:val="2"/>
                <w:sz w:val="24"/>
                <w:szCs w:val="20"/>
                <w:highlight w:val="none"/>
                <w:lang w:val="en-US" w:eastAsia="zh-CN"/>
              </w:rPr>
              <w:t>cm/s防渗等效的20cm厚P4等级混凝土进行防渗。防渗技术</w:t>
            </w:r>
            <w:r>
              <w:rPr>
                <w:rFonts w:hint="eastAsia" w:ascii="Times New Roman" w:hAnsi="Times New Roman" w:eastAsia="宋体" w:cs="Times New Roman"/>
                <w:color w:val="000000"/>
                <w:kern w:val="2"/>
                <w:sz w:val="24"/>
                <w:szCs w:val="20"/>
                <w:highlight w:val="none"/>
                <w:lang w:val="en-US" w:eastAsia="zh-CN"/>
              </w:rPr>
              <w:t>满足</w:t>
            </w:r>
            <w:r>
              <w:rPr>
                <w:rFonts w:hint="default" w:ascii="Times New Roman" w:hAnsi="Times New Roman" w:eastAsia="宋体" w:cs="Times New Roman"/>
                <w:color w:val="000000"/>
                <w:kern w:val="2"/>
                <w:sz w:val="24"/>
                <w:szCs w:val="20"/>
                <w:highlight w:val="none"/>
                <w:lang w:val="en-US" w:eastAsia="zh-CN"/>
              </w:rPr>
              <w:t>：等效黏土防渗层Mb≥1.5m，K≤1×10</w:t>
            </w:r>
            <w:r>
              <w:rPr>
                <w:rFonts w:hint="default" w:ascii="Times New Roman" w:hAnsi="Times New Roman" w:eastAsia="宋体" w:cs="Times New Roman"/>
                <w:color w:val="000000"/>
                <w:kern w:val="2"/>
                <w:sz w:val="24"/>
                <w:szCs w:val="20"/>
                <w:highlight w:val="none"/>
                <w:vertAlign w:val="superscript"/>
                <w:lang w:val="en-US" w:eastAsia="zh-CN"/>
              </w:rPr>
              <w:t>-7</w:t>
            </w:r>
            <w:r>
              <w:rPr>
                <w:rFonts w:hint="default" w:ascii="Times New Roman" w:hAnsi="Times New Roman" w:eastAsia="宋体" w:cs="Times New Roman"/>
                <w:color w:val="000000"/>
                <w:kern w:val="2"/>
                <w:sz w:val="24"/>
                <w:szCs w:val="20"/>
                <w:highlight w:val="none"/>
                <w:lang w:val="en-US" w:eastAsia="zh-CN"/>
              </w:rPr>
              <w:t>cm/s</w:t>
            </w:r>
            <w:r>
              <w:rPr>
                <w:rFonts w:hint="eastAsia" w:ascii="Times New Roman" w:hAnsi="Times New Roman" w:eastAsia="宋体" w:cs="Times New Roman"/>
                <w:color w:val="000000"/>
                <w:kern w:val="2"/>
                <w:sz w:val="24"/>
                <w:szCs w:val="20"/>
                <w:highlight w:val="none"/>
                <w:lang w:val="en-US" w:eastAsia="zh-CN"/>
              </w:rPr>
              <w:t>。（已由新疆伟康高科管业有限公司</w:t>
            </w:r>
            <w:r>
              <w:rPr>
                <w:rFonts w:hint="eastAsia" w:ascii="Times New Roman" w:hAnsi="Times New Roman" w:eastAsia="宋体" w:cs="Times New Roman"/>
                <w:kern w:val="2"/>
                <w:szCs w:val="24"/>
                <w:lang w:val="en-US" w:eastAsia="zh-CN"/>
              </w:rPr>
              <w:t>建设完成</w:t>
            </w:r>
            <w:r>
              <w:rPr>
                <w:rFonts w:hint="eastAsia" w:ascii="Times New Roman" w:hAnsi="Times New Roman" w:eastAsia="宋体" w:cs="Times New Roman"/>
                <w:color w:val="000000"/>
                <w:kern w:val="2"/>
                <w:sz w:val="24"/>
                <w:szCs w:val="2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简单</w:t>
            </w:r>
            <w:r>
              <w:rPr>
                <w:rFonts w:hint="default" w:ascii="Times New Roman" w:hAnsi="Times New Roman" w:eastAsia="宋体" w:cs="Times New Roman"/>
                <w:color w:val="000000"/>
                <w:kern w:val="2"/>
                <w:sz w:val="24"/>
                <w:szCs w:val="20"/>
                <w:highlight w:val="none"/>
                <w:lang w:val="en-US" w:eastAsia="zh-CN"/>
              </w:rPr>
              <w:t>污染防治区：</w:t>
            </w:r>
            <w:r>
              <w:rPr>
                <w:rFonts w:hint="eastAsia" w:ascii="Times New Roman" w:hAnsi="Times New Roman" w:eastAsia="宋体" w:cs="Times New Roman"/>
                <w:color w:val="000000"/>
                <w:kern w:val="2"/>
                <w:sz w:val="24"/>
                <w:szCs w:val="20"/>
                <w:highlight w:val="none"/>
                <w:lang w:val="en-US" w:eastAsia="zh-CN"/>
              </w:rPr>
              <w:t>硬化地面，办公生活</w:t>
            </w:r>
            <w:r>
              <w:rPr>
                <w:rFonts w:hint="eastAsia" w:cs="Times New Roman"/>
                <w:color w:val="000000"/>
                <w:kern w:val="2"/>
                <w:sz w:val="24"/>
                <w:szCs w:val="20"/>
                <w:highlight w:val="none"/>
                <w:lang w:val="en-US" w:eastAsia="zh-CN"/>
              </w:rPr>
              <w:t>楼、门卫室</w:t>
            </w:r>
            <w:r>
              <w:rPr>
                <w:rFonts w:hint="eastAsia" w:ascii="Times New Roman" w:hAnsi="Times New Roman" w:eastAsia="宋体" w:cs="Times New Roman"/>
                <w:color w:val="000000"/>
                <w:kern w:val="2"/>
                <w:sz w:val="24"/>
                <w:szCs w:val="20"/>
                <w:highlight w:val="none"/>
                <w:lang w:val="en-US" w:eastAsia="zh-CN"/>
              </w:rPr>
              <w:t>以及进出场道路硬化地面已由新疆伟康高科管业有限公司</w:t>
            </w:r>
            <w:r>
              <w:rPr>
                <w:rFonts w:hint="eastAsia" w:ascii="Times New Roman" w:hAnsi="Times New Roman" w:eastAsia="宋体" w:cs="Times New Roman"/>
                <w:kern w:val="2"/>
                <w:szCs w:val="24"/>
                <w:lang w:val="en-US" w:eastAsia="zh-CN"/>
              </w:rPr>
              <w:t>建设完成</w:t>
            </w:r>
            <w:r>
              <w:rPr>
                <w:rFonts w:hint="eastAsia" w:ascii="Times New Roman" w:hAnsi="Times New Roman" w:eastAsia="宋体" w:cs="Times New Roman"/>
                <w:color w:val="000000"/>
                <w:kern w:val="2"/>
                <w:sz w:val="24"/>
                <w:szCs w:val="20"/>
                <w:highlight w:val="none"/>
                <w:lang w:val="en-US" w:eastAsia="zh-CN"/>
              </w:rPr>
              <w:t>。分区防渗图见图4.9-1。</w:t>
            </w:r>
          </w:p>
          <w:p>
            <w:pPr>
              <w:spacing w:line="360" w:lineRule="auto"/>
              <w:jc w:val="center"/>
              <w:rPr>
                <w:rFonts w:ascii="Times New Roman" w:hAnsi="Times New Roman" w:eastAsia="宋体" w:cs="Times New Roman"/>
                <w:b/>
                <w:bCs/>
                <w:kern w:val="2"/>
                <w:sz w:val="24"/>
                <w:szCs w:val="24"/>
                <w:highlight w:val="none"/>
              </w:rPr>
            </w:pPr>
            <w:r>
              <w:rPr>
                <w:rFonts w:hint="eastAsia" w:ascii="Times New Roman" w:hAnsi="Times New Roman" w:eastAsia="宋体" w:cs="Times New Roman"/>
                <w:b/>
                <w:bCs/>
                <w:kern w:val="2"/>
                <w:sz w:val="24"/>
                <w:szCs w:val="24"/>
                <w:highlight w:val="none"/>
              </w:rPr>
              <w:t>表</w:t>
            </w:r>
            <w:r>
              <w:rPr>
                <w:rFonts w:hint="eastAsia" w:ascii="Times New Roman" w:hAnsi="Times New Roman" w:eastAsia="宋体" w:cs="Times New Roman"/>
                <w:b/>
                <w:bCs/>
                <w:kern w:val="2"/>
                <w:sz w:val="24"/>
                <w:szCs w:val="24"/>
                <w:highlight w:val="none"/>
                <w:lang w:val="en-US" w:eastAsia="zh-CN"/>
              </w:rPr>
              <w:t>4.9-1</w:t>
            </w:r>
            <w:r>
              <w:rPr>
                <w:rFonts w:hint="eastAsia" w:ascii="Times New Roman" w:hAnsi="Times New Roman" w:eastAsia="宋体" w:cs="Times New Roman"/>
                <w:b/>
                <w:bCs/>
                <w:kern w:val="2"/>
                <w:sz w:val="24"/>
                <w:szCs w:val="24"/>
                <w:highlight w:val="none"/>
              </w:rPr>
              <w:t>各污染区防渗措施</w:t>
            </w:r>
          </w:p>
          <w:tbl>
            <w:tblPr>
              <w:tblStyle w:val="14"/>
              <w:tblW w:w="506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269"/>
              <w:gridCol w:w="1287"/>
              <w:gridCol w:w="1491"/>
              <w:gridCol w:w="1297"/>
              <w:gridCol w:w="21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tcBorders>
                    <w:tl2br w:val="nil"/>
                    <w:tr2bl w:val="nil"/>
                  </w:tcBorders>
                  <w:vAlign w:val="center"/>
                </w:tcPr>
                <w:p>
                  <w:pPr>
                    <w:spacing w:line="240" w:lineRule="auto"/>
                    <w:jc w:val="center"/>
                    <w:rPr>
                      <w:rFonts w:ascii="Times New Roman" w:hAnsi="Times New Roman" w:eastAsia="宋体" w:cs="Times New Roman"/>
                      <w:b w:val="0"/>
                      <w:bCs w:val="0"/>
                      <w:sz w:val="21"/>
                      <w:szCs w:val="24"/>
                      <w:highlight w:val="none"/>
                    </w:rPr>
                  </w:pPr>
                  <w:r>
                    <w:rPr>
                      <w:rFonts w:hint="eastAsia" w:ascii="Times New Roman" w:hAnsi="Times New Roman" w:eastAsia="宋体" w:cs="Times New Roman"/>
                      <w:b w:val="0"/>
                      <w:bCs w:val="0"/>
                      <w:color w:val="000000"/>
                      <w:sz w:val="21"/>
                      <w:szCs w:val="21"/>
                      <w:highlight w:val="none"/>
                      <w:lang w:val="zh-TW" w:eastAsia="zh-TW"/>
                    </w:rPr>
                    <w:t>场区内建筑物</w:t>
                  </w:r>
                </w:p>
              </w:tc>
              <w:tc>
                <w:tcPr>
                  <w:tcW w:w="746" w:type="pct"/>
                  <w:tcBorders>
                    <w:tl2br w:val="nil"/>
                    <w:tr2bl w:val="nil"/>
                  </w:tcBorders>
                  <w:vAlign w:val="center"/>
                </w:tcPr>
                <w:p>
                  <w:pPr>
                    <w:spacing w:line="240" w:lineRule="auto"/>
                    <w:jc w:val="center"/>
                    <w:rPr>
                      <w:rFonts w:ascii="Times New Roman" w:hAnsi="Times New Roman" w:eastAsia="宋体" w:cs="Times New Roman"/>
                      <w:b w:val="0"/>
                      <w:bCs w:val="0"/>
                      <w:sz w:val="21"/>
                      <w:szCs w:val="24"/>
                      <w:highlight w:val="none"/>
                    </w:rPr>
                  </w:pPr>
                  <w:r>
                    <w:rPr>
                      <w:rFonts w:hint="eastAsia" w:ascii="Times New Roman" w:hAnsi="Times New Roman" w:eastAsia="宋体" w:cs="Times New Roman"/>
                      <w:b w:val="0"/>
                      <w:bCs w:val="0"/>
                      <w:color w:val="000000"/>
                      <w:sz w:val="21"/>
                      <w:szCs w:val="21"/>
                      <w:highlight w:val="none"/>
                      <w:lang w:val="zh-TW" w:eastAsia="zh-TW"/>
                    </w:rPr>
                    <w:t>包气带防污性能</w:t>
                  </w:r>
                </w:p>
              </w:tc>
              <w:tc>
                <w:tcPr>
                  <w:tcW w:w="756" w:type="pct"/>
                  <w:tcBorders>
                    <w:tl2br w:val="nil"/>
                    <w:tr2bl w:val="nil"/>
                  </w:tcBorders>
                  <w:vAlign w:val="center"/>
                </w:tcPr>
                <w:p>
                  <w:pPr>
                    <w:spacing w:line="240" w:lineRule="auto"/>
                    <w:jc w:val="center"/>
                    <w:rPr>
                      <w:rFonts w:ascii="Times New Roman" w:hAnsi="Times New Roman" w:eastAsia="宋体" w:cs="Times New Roman"/>
                      <w:b w:val="0"/>
                      <w:bCs w:val="0"/>
                      <w:sz w:val="21"/>
                      <w:szCs w:val="24"/>
                      <w:highlight w:val="none"/>
                    </w:rPr>
                  </w:pPr>
                  <w:r>
                    <w:rPr>
                      <w:rFonts w:hint="eastAsia" w:ascii="Times New Roman" w:hAnsi="Times New Roman" w:eastAsia="宋体" w:cs="Times New Roman"/>
                      <w:b w:val="0"/>
                      <w:bCs w:val="0"/>
                      <w:color w:val="000000"/>
                      <w:sz w:val="21"/>
                      <w:szCs w:val="21"/>
                      <w:highlight w:val="none"/>
                      <w:lang w:val="zh-TW" w:eastAsia="zh-TW"/>
                    </w:rPr>
                    <w:t>污染控制难易程度</w:t>
                  </w:r>
                </w:p>
              </w:tc>
              <w:tc>
                <w:tcPr>
                  <w:tcW w:w="876" w:type="pct"/>
                  <w:tcBorders>
                    <w:tl2br w:val="nil"/>
                    <w:tr2bl w:val="nil"/>
                  </w:tcBorders>
                  <w:vAlign w:val="center"/>
                </w:tcPr>
                <w:p>
                  <w:pPr>
                    <w:spacing w:line="240" w:lineRule="auto"/>
                    <w:jc w:val="center"/>
                    <w:rPr>
                      <w:rFonts w:ascii="Times New Roman" w:hAnsi="Times New Roman" w:eastAsia="宋体" w:cs="Times New Roman"/>
                      <w:b w:val="0"/>
                      <w:bCs w:val="0"/>
                      <w:color w:val="000000"/>
                      <w:sz w:val="21"/>
                      <w:szCs w:val="21"/>
                      <w:highlight w:val="none"/>
                      <w:lang w:val="zh-TW" w:eastAsia="zh-TW"/>
                    </w:rPr>
                  </w:pPr>
                  <w:r>
                    <w:rPr>
                      <w:rFonts w:hint="eastAsia" w:ascii="Times New Roman" w:hAnsi="Times New Roman" w:eastAsia="宋体" w:cs="Times New Roman"/>
                      <w:b w:val="0"/>
                      <w:bCs w:val="0"/>
                      <w:color w:val="000000"/>
                      <w:sz w:val="21"/>
                      <w:szCs w:val="21"/>
                      <w:highlight w:val="none"/>
                      <w:lang w:val="zh-TW" w:eastAsia="zh-TW"/>
                    </w:rPr>
                    <w:t>污染物类型</w:t>
                  </w:r>
                </w:p>
              </w:tc>
              <w:tc>
                <w:tcPr>
                  <w:tcW w:w="762" w:type="pct"/>
                  <w:tcBorders>
                    <w:tl2br w:val="nil"/>
                    <w:tr2bl w:val="nil"/>
                  </w:tcBorders>
                  <w:vAlign w:val="center"/>
                </w:tcPr>
                <w:p>
                  <w:pPr>
                    <w:spacing w:line="240" w:lineRule="auto"/>
                    <w:jc w:val="center"/>
                    <w:rPr>
                      <w:rFonts w:ascii="Times New Roman" w:hAnsi="Times New Roman" w:eastAsia="宋体" w:cs="Times New Roman"/>
                      <w:b w:val="0"/>
                      <w:bCs w:val="0"/>
                      <w:sz w:val="21"/>
                      <w:szCs w:val="24"/>
                      <w:highlight w:val="none"/>
                    </w:rPr>
                  </w:pPr>
                  <w:r>
                    <w:rPr>
                      <w:rFonts w:hint="eastAsia" w:ascii="Times New Roman" w:hAnsi="Times New Roman" w:eastAsia="宋体" w:cs="Times New Roman"/>
                      <w:b w:val="0"/>
                      <w:bCs w:val="0"/>
                      <w:color w:val="000000"/>
                      <w:sz w:val="21"/>
                      <w:szCs w:val="21"/>
                      <w:highlight w:val="none"/>
                      <w:lang w:val="zh-TW" w:eastAsia="zh-TW"/>
                    </w:rPr>
                    <w:t>防渗分区</w:t>
                  </w:r>
                </w:p>
              </w:tc>
              <w:tc>
                <w:tcPr>
                  <w:tcW w:w="1240" w:type="pct"/>
                  <w:tcBorders>
                    <w:tl2br w:val="nil"/>
                    <w:tr2bl w:val="nil"/>
                  </w:tcBorders>
                  <w:vAlign w:val="center"/>
                </w:tcPr>
                <w:p>
                  <w:pPr>
                    <w:widowControl/>
                    <w:spacing w:line="240" w:lineRule="auto"/>
                    <w:jc w:val="center"/>
                    <w:rPr>
                      <w:rFonts w:ascii="Calibri" w:hAnsi="Calibri" w:eastAsia="宋体" w:cs="Times New Roman"/>
                      <w:b w:val="0"/>
                      <w:bCs w:val="0"/>
                      <w:sz w:val="21"/>
                      <w:szCs w:val="24"/>
                      <w:highlight w:val="none"/>
                    </w:rPr>
                  </w:pPr>
                  <w:r>
                    <w:rPr>
                      <w:rFonts w:hint="eastAsia" w:ascii="宋体" w:hAnsi="宋体" w:eastAsia="宋体" w:cs="宋体"/>
                      <w:b w:val="0"/>
                      <w:bCs w:val="0"/>
                      <w:color w:val="000000"/>
                      <w:sz w:val="21"/>
                      <w:szCs w:val="21"/>
                      <w:highlight w:val="none"/>
                      <w:lang w:bidi="ar"/>
                    </w:rPr>
                    <w:t>防渗处理措施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tcBorders>
                    <w:tl2br w:val="nil"/>
                    <w:tr2bl w:val="nil"/>
                  </w:tcBorders>
                  <w:vAlign w:val="center"/>
                </w:tcPr>
                <w:p>
                  <w:pPr>
                    <w:spacing w:line="240" w:lineRule="auto"/>
                    <w:jc w:val="center"/>
                    <w:rPr>
                      <w:rFonts w:hint="eastAsia" w:ascii="Times New Roman" w:hAnsi="Times New Roman" w:eastAsia="宋体" w:cs="Times New Roman"/>
                      <w:b w:val="0"/>
                      <w:bCs w:val="0"/>
                      <w:sz w:val="21"/>
                      <w:szCs w:val="24"/>
                      <w:highlight w:val="none"/>
                    </w:rPr>
                  </w:pPr>
                  <w:r>
                    <w:rPr>
                      <w:rFonts w:hint="eastAsia" w:ascii="Times New Roman" w:hAnsi="Times New Roman" w:eastAsia="宋体" w:cs="Times New Roman"/>
                      <w:b w:val="0"/>
                      <w:bCs w:val="0"/>
                      <w:sz w:val="21"/>
                      <w:szCs w:val="24"/>
                      <w:highlight w:val="none"/>
                      <w:lang w:val="en-US" w:eastAsia="zh-CN"/>
                    </w:rPr>
                    <w:t>危废暂存间</w:t>
                  </w:r>
                </w:p>
              </w:tc>
              <w:tc>
                <w:tcPr>
                  <w:tcW w:w="746" w:type="pct"/>
                  <w:tcBorders>
                    <w:tl2br w:val="nil"/>
                    <w:tr2bl w:val="nil"/>
                  </w:tcBorders>
                  <w:vAlign w:val="center"/>
                </w:tcPr>
                <w:p>
                  <w:pPr>
                    <w:spacing w:line="240" w:lineRule="auto"/>
                    <w:jc w:val="center"/>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弱</w:t>
                  </w:r>
                </w:p>
              </w:tc>
              <w:tc>
                <w:tcPr>
                  <w:tcW w:w="756" w:type="pct"/>
                  <w:tcBorders>
                    <w:tl2br w:val="nil"/>
                    <w:tr2bl w:val="nil"/>
                  </w:tcBorders>
                  <w:vAlign w:val="center"/>
                </w:tcPr>
                <w:p>
                  <w:pPr>
                    <w:spacing w:line="240" w:lineRule="auto"/>
                    <w:jc w:val="center"/>
                    <w:rPr>
                      <w:rFonts w:hint="eastAsia" w:ascii="Times New Roman" w:hAnsi="Times New Roman" w:eastAsia="宋体" w:cs="Times New Roman"/>
                      <w:b w:val="0"/>
                      <w:bCs w:val="0"/>
                      <w:color w:val="000000"/>
                      <w:sz w:val="21"/>
                      <w:szCs w:val="21"/>
                      <w:highlight w:val="none"/>
                      <w:lang w:val="zh-TW" w:eastAsia="zh-TW"/>
                    </w:rPr>
                  </w:pPr>
                  <w:r>
                    <w:rPr>
                      <w:rFonts w:hint="eastAsia" w:ascii="Times New Roman" w:hAnsi="Times New Roman" w:eastAsia="宋体" w:cs="Times New Roman"/>
                      <w:b w:val="0"/>
                      <w:bCs w:val="0"/>
                      <w:color w:val="000000"/>
                      <w:sz w:val="21"/>
                      <w:szCs w:val="21"/>
                      <w:highlight w:val="none"/>
                      <w:lang w:val="zh-TW" w:eastAsia="zh-TW"/>
                    </w:rPr>
                    <w:t>难</w:t>
                  </w:r>
                </w:p>
              </w:tc>
              <w:tc>
                <w:tcPr>
                  <w:tcW w:w="876" w:type="pct"/>
                  <w:tcBorders>
                    <w:tl2br w:val="nil"/>
                    <w:tr2bl w:val="nil"/>
                  </w:tcBorders>
                  <w:vAlign w:val="center"/>
                </w:tcPr>
                <w:p>
                  <w:pPr>
                    <w:spacing w:line="240" w:lineRule="auto"/>
                    <w:jc w:val="center"/>
                    <w:rPr>
                      <w:rFonts w:hint="eastAsia" w:ascii="Times New Roman" w:hAnsi="Times New Roman" w:eastAsia="宋体" w:cs="Times New Roman"/>
                      <w:b w:val="0"/>
                      <w:bCs w:val="0"/>
                      <w:color w:val="000000"/>
                      <w:sz w:val="21"/>
                      <w:szCs w:val="21"/>
                      <w:highlight w:val="none"/>
                      <w:lang w:val="zh-TW" w:eastAsia="zh-TW"/>
                    </w:rPr>
                  </w:pPr>
                  <w:r>
                    <w:rPr>
                      <w:rFonts w:hint="eastAsia" w:ascii="Times New Roman" w:hAnsi="Times New Roman" w:eastAsia="宋体" w:cs="Times New Roman"/>
                      <w:b w:val="0"/>
                      <w:bCs w:val="0"/>
                      <w:color w:val="000000"/>
                      <w:sz w:val="21"/>
                      <w:szCs w:val="21"/>
                      <w:highlight w:val="none"/>
                      <w:lang w:val="en-US" w:eastAsia="zh-CN"/>
                    </w:rPr>
                    <w:t>非</w:t>
                  </w:r>
                  <w:r>
                    <w:rPr>
                      <w:rFonts w:hint="eastAsia" w:ascii="Times New Roman" w:hAnsi="Times New Roman" w:eastAsia="宋体" w:cs="Times New Roman"/>
                      <w:b w:val="0"/>
                      <w:bCs w:val="0"/>
                      <w:color w:val="000000"/>
                      <w:sz w:val="21"/>
                      <w:szCs w:val="21"/>
                      <w:highlight w:val="none"/>
                      <w:lang w:val="zh-TW" w:eastAsia="zh-TW"/>
                    </w:rPr>
                    <w:t>重金属、持久性有机物</w:t>
                  </w:r>
                </w:p>
                <w:p>
                  <w:pPr>
                    <w:spacing w:line="240" w:lineRule="auto"/>
                    <w:jc w:val="center"/>
                    <w:rPr>
                      <w:rFonts w:hint="eastAsia" w:ascii="Times New Roman" w:hAnsi="Times New Roman" w:eastAsia="宋体" w:cs="Times New Roman"/>
                      <w:b w:val="0"/>
                      <w:bCs w:val="0"/>
                      <w:color w:val="000000"/>
                      <w:sz w:val="21"/>
                      <w:szCs w:val="21"/>
                      <w:highlight w:val="none"/>
                      <w:lang w:val="zh-TW" w:eastAsia="zh-TW"/>
                    </w:rPr>
                  </w:pPr>
                  <w:r>
                    <w:rPr>
                      <w:rFonts w:hint="eastAsia" w:ascii="Times New Roman" w:hAnsi="Times New Roman" w:eastAsia="宋体" w:cs="Times New Roman"/>
                      <w:b w:val="0"/>
                      <w:bCs w:val="0"/>
                      <w:color w:val="000000"/>
                      <w:sz w:val="21"/>
                      <w:szCs w:val="21"/>
                      <w:highlight w:val="none"/>
                      <w:lang w:val="zh-TW" w:eastAsia="zh-TW"/>
                    </w:rPr>
                    <w:t>污染物</w:t>
                  </w:r>
                  <w:r>
                    <w:rPr>
                      <w:rFonts w:hint="eastAsia" w:ascii="Times New Roman" w:hAnsi="Times New Roman" w:eastAsia="宋体" w:cs="Times New Roman"/>
                      <w:b w:val="0"/>
                      <w:bCs w:val="0"/>
                      <w:color w:val="000000"/>
                      <w:sz w:val="21"/>
                      <w:szCs w:val="21"/>
                      <w:highlight w:val="none"/>
                      <w:lang w:val="en-US" w:eastAsia="zh-CN"/>
                    </w:rPr>
                    <w:t>的</w:t>
                  </w:r>
                  <w:r>
                    <w:rPr>
                      <w:rFonts w:hint="eastAsia" w:ascii="Times New Roman" w:hAnsi="Times New Roman" w:eastAsia="宋体" w:cs="Times New Roman"/>
                      <w:b w:val="0"/>
                      <w:bCs w:val="0"/>
                      <w:color w:val="000000"/>
                      <w:sz w:val="21"/>
                      <w:szCs w:val="21"/>
                      <w:highlight w:val="none"/>
                      <w:lang w:val="zh-TW" w:eastAsia="zh-TW"/>
                    </w:rPr>
                    <w:t>其他类型</w:t>
                  </w:r>
                </w:p>
              </w:tc>
              <w:tc>
                <w:tcPr>
                  <w:tcW w:w="762" w:type="pct"/>
                  <w:tcBorders>
                    <w:tl2br w:val="nil"/>
                    <w:tr2bl w:val="nil"/>
                  </w:tcBorders>
                  <w:vAlign w:val="center"/>
                </w:tcPr>
                <w:p>
                  <w:pPr>
                    <w:spacing w:line="240" w:lineRule="auto"/>
                    <w:jc w:val="center"/>
                    <w:rPr>
                      <w:rFonts w:hint="eastAsia" w:ascii="Times New Roman" w:hAnsi="Times New Roman" w:eastAsia="宋体" w:cs="Times New Roman"/>
                      <w:b w:val="0"/>
                      <w:bCs w:val="0"/>
                      <w:sz w:val="21"/>
                      <w:szCs w:val="24"/>
                      <w:highlight w:val="none"/>
                    </w:rPr>
                  </w:pPr>
                  <w:r>
                    <w:rPr>
                      <w:rFonts w:hint="eastAsia" w:ascii="Times New Roman" w:hAnsi="Times New Roman" w:eastAsia="宋体" w:cs="Times New Roman"/>
                      <w:b w:val="0"/>
                      <w:bCs w:val="0"/>
                      <w:sz w:val="21"/>
                      <w:szCs w:val="24"/>
                      <w:highlight w:val="none"/>
                    </w:rPr>
                    <w:t>重点防渗</w:t>
                  </w:r>
                </w:p>
              </w:tc>
              <w:tc>
                <w:tcPr>
                  <w:tcW w:w="1240" w:type="pct"/>
                  <w:tcBorders>
                    <w:tl2br w:val="nil"/>
                    <w:tr2bl w:val="nil"/>
                  </w:tcBorders>
                  <w:vAlign w:val="center"/>
                </w:tcPr>
                <w:p>
                  <w:pPr>
                    <w:spacing w:line="240" w:lineRule="auto"/>
                    <w:jc w:val="center"/>
                    <w:rPr>
                      <w:rFonts w:ascii="Times New Roman" w:hAnsi="Times New Roman" w:eastAsia="宋体" w:cs="Times New Roman"/>
                      <w:b w:val="0"/>
                      <w:bCs w:val="0"/>
                      <w:sz w:val="21"/>
                      <w:szCs w:val="24"/>
                      <w:highlight w:val="none"/>
                    </w:rPr>
                  </w:pPr>
                  <w:r>
                    <w:rPr>
                      <w:rFonts w:ascii="Times New Roman" w:hAnsi="Times New Roman" w:eastAsia="宋体" w:cs="Times New Roman"/>
                      <w:b w:val="0"/>
                      <w:bCs w:val="0"/>
                      <w:sz w:val="21"/>
                      <w:szCs w:val="24"/>
                      <w:highlight w:val="none"/>
                    </w:rPr>
                    <w:t>等效黏土防渗层Mb≥6.0m，K≤1.0×10</w:t>
                  </w:r>
                  <w:r>
                    <w:rPr>
                      <w:rFonts w:hint="eastAsia" w:ascii="Times New Roman" w:hAnsi="Times New Roman" w:eastAsia="宋体" w:cs="Times New Roman"/>
                      <w:b w:val="0"/>
                      <w:bCs w:val="0"/>
                      <w:sz w:val="21"/>
                      <w:szCs w:val="24"/>
                      <w:highlight w:val="none"/>
                      <w:vertAlign w:val="superscript"/>
                      <w:lang w:val="en-US" w:eastAsia="zh-CN"/>
                    </w:rPr>
                    <w:t>-7</w:t>
                  </w:r>
                  <w:r>
                    <w:rPr>
                      <w:rFonts w:ascii="Times New Roman" w:hAnsi="Times New Roman" w:eastAsia="宋体" w:cs="Times New Roman"/>
                      <w:b w:val="0"/>
                      <w:bCs w:val="0"/>
                      <w:sz w:val="21"/>
                      <w:szCs w:val="24"/>
                      <w:highlight w:val="none"/>
                    </w:rPr>
                    <w:t>cm/s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tcBorders>
                    <w:tl2br w:val="nil"/>
                    <w:tr2bl w:val="nil"/>
                  </w:tcBorders>
                  <w:vAlign w:val="center"/>
                </w:tcPr>
                <w:p>
                  <w:pPr>
                    <w:spacing w:line="240" w:lineRule="auto"/>
                    <w:jc w:val="center"/>
                    <w:rPr>
                      <w:rFonts w:hint="eastAsia" w:ascii="Times New Roman" w:hAnsi="Times New Roman" w:eastAsia="宋体" w:cs="Times New Roman"/>
                      <w:b w:val="0"/>
                      <w:bCs w:val="0"/>
                      <w:sz w:val="21"/>
                      <w:szCs w:val="24"/>
                      <w:highlight w:val="none"/>
                      <w:lang w:eastAsia="zh-CN"/>
                    </w:rPr>
                  </w:pPr>
                  <w:r>
                    <w:rPr>
                      <w:rFonts w:hint="eastAsia" w:ascii="Times New Roman" w:hAnsi="Times New Roman" w:eastAsia="宋体" w:cs="Times New Roman"/>
                      <w:b w:val="0"/>
                      <w:bCs w:val="0"/>
                      <w:sz w:val="21"/>
                      <w:szCs w:val="24"/>
                      <w:highlight w:val="none"/>
                      <w:lang w:val="en-US" w:eastAsia="zh-CN"/>
                    </w:rPr>
                    <w:t>生产车间</w:t>
                  </w:r>
                </w:p>
              </w:tc>
              <w:tc>
                <w:tcPr>
                  <w:tcW w:w="746" w:type="pct"/>
                  <w:tcBorders>
                    <w:tl2br w:val="nil"/>
                    <w:tr2bl w:val="nil"/>
                  </w:tcBorders>
                  <w:vAlign w:val="center"/>
                </w:tcPr>
                <w:p>
                  <w:pPr>
                    <w:spacing w:line="240" w:lineRule="auto"/>
                    <w:jc w:val="center"/>
                    <w:rPr>
                      <w:rFonts w:ascii="Times New Roman" w:hAnsi="Times New Roman" w:eastAsia="宋体" w:cs="Times New Roman"/>
                      <w:b w:val="0"/>
                      <w:bCs w:val="0"/>
                      <w:sz w:val="21"/>
                      <w:szCs w:val="24"/>
                      <w:highlight w:val="none"/>
                    </w:rPr>
                  </w:pPr>
                  <w:r>
                    <w:rPr>
                      <w:rFonts w:hint="eastAsia" w:ascii="Times New Roman" w:hAnsi="Times New Roman" w:eastAsia="宋体" w:cs="Times New Roman"/>
                      <w:b w:val="0"/>
                      <w:bCs w:val="0"/>
                      <w:color w:val="000000"/>
                      <w:sz w:val="21"/>
                      <w:szCs w:val="21"/>
                      <w:highlight w:val="none"/>
                      <w:lang w:val="en-US" w:eastAsia="zh-CN"/>
                    </w:rPr>
                    <w:t>弱</w:t>
                  </w:r>
                </w:p>
              </w:tc>
              <w:tc>
                <w:tcPr>
                  <w:tcW w:w="756" w:type="pct"/>
                  <w:tcBorders>
                    <w:tl2br w:val="nil"/>
                    <w:tr2bl w:val="nil"/>
                  </w:tcBorders>
                  <w:vAlign w:val="center"/>
                </w:tcPr>
                <w:p>
                  <w:pPr>
                    <w:spacing w:line="240" w:lineRule="auto"/>
                    <w:jc w:val="center"/>
                    <w:rPr>
                      <w:rFonts w:ascii="Times New Roman" w:hAnsi="Times New Roman" w:eastAsia="宋体" w:cs="Times New Roman"/>
                      <w:b w:val="0"/>
                      <w:bCs w:val="0"/>
                      <w:sz w:val="21"/>
                      <w:szCs w:val="24"/>
                      <w:highlight w:val="none"/>
                    </w:rPr>
                  </w:pPr>
                  <w:r>
                    <w:rPr>
                      <w:rFonts w:hint="eastAsia" w:ascii="Times New Roman" w:hAnsi="Times New Roman" w:eastAsia="宋体" w:cs="Times New Roman"/>
                      <w:b w:val="0"/>
                      <w:bCs w:val="0"/>
                      <w:sz w:val="21"/>
                      <w:szCs w:val="24"/>
                      <w:highlight w:val="none"/>
                    </w:rPr>
                    <w:t>易</w:t>
                  </w:r>
                  <w:r>
                    <w:rPr>
                      <w:rFonts w:hint="eastAsia" w:ascii="Times New Roman" w:hAnsi="Times New Roman" w:eastAsia="宋体" w:cs="Times New Roman"/>
                      <w:b w:val="0"/>
                      <w:bCs w:val="0"/>
                      <w:sz w:val="21"/>
                      <w:szCs w:val="24"/>
                      <w:highlight w:val="none"/>
                      <w:lang w:val="en-US" w:eastAsia="zh-CN"/>
                    </w:rPr>
                    <w:t>--</w:t>
                  </w:r>
                  <w:r>
                    <w:rPr>
                      <w:rFonts w:hint="eastAsia" w:ascii="Times New Roman" w:hAnsi="Times New Roman" w:eastAsia="宋体" w:cs="Times New Roman"/>
                      <w:b w:val="0"/>
                      <w:bCs w:val="0"/>
                      <w:color w:val="000000"/>
                      <w:sz w:val="21"/>
                      <w:szCs w:val="21"/>
                      <w:highlight w:val="none"/>
                      <w:lang w:val="zh-TW" w:eastAsia="zh-TW"/>
                    </w:rPr>
                    <w:t>难</w:t>
                  </w:r>
                </w:p>
              </w:tc>
              <w:tc>
                <w:tcPr>
                  <w:tcW w:w="876" w:type="pct"/>
                  <w:tcBorders>
                    <w:tl2br w:val="nil"/>
                    <w:tr2bl w:val="nil"/>
                  </w:tcBorders>
                  <w:vAlign w:val="center"/>
                </w:tcPr>
                <w:p>
                  <w:pPr>
                    <w:spacing w:line="240" w:lineRule="auto"/>
                    <w:jc w:val="center"/>
                    <w:rPr>
                      <w:rFonts w:ascii="Times New Roman" w:hAnsi="Times New Roman" w:eastAsia="宋体" w:cs="Times New Roman"/>
                      <w:b w:val="0"/>
                      <w:bCs w:val="0"/>
                      <w:color w:val="000000"/>
                      <w:sz w:val="21"/>
                      <w:szCs w:val="21"/>
                      <w:highlight w:val="none"/>
                      <w:lang w:val="zh-TW" w:eastAsia="zh-TW"/>
                    </w:rPr>
                  </w:pPr>
                  <w:r>
                    <w:rPr>
                      <w:rFonts w:hint="eastAsia" w:ascii="Times New Roman" w:hAnsi="Times New Roman" w:eastAsia="宋体" w:cs="Times New Roman"/>
                      <w:b w:val="0"/>
                      <w:bCs w:val="0"/>
                      <w:color w:val="000000"/>
                      <w:sz w:val="21"/>
                      <w:szCs w:val="21"/>
                      <w:highlight w:val="none"/>
                      <w:lang w:val="en-US" w:eastAsia="zh-CN"/>
                    </w:rPr>
                    <w:t>非</w:t>
                  </w:r>
                  <w:r>
                    <w:rPr>
                      <w:rFonts w:hint="eastAsia" w:ascii="Times New Roman" w:hAnsi="Times New Roman" w:eastAsia="宋体" w:cs="Times New Roman"/>
                      <w:b w:val="0"/>
                      <w:bCs w:val="0"/>
                      <w:color w:val="000000"/>
                      <w:sz w:val="21"/>
                      <w:szCs w:val="21"/>
                      <w:highlight w:val="none"/>
                      <w:lang w:val="zh-TW" w:eastAsia="zh-TW"/>
                    </w:rPr>
                    <w:t>重金属、持久性有机物</w:t>
                  </w:r>
                </w:p>
              </w:tc>
              <w:tc>
                <w:tcPr>
                  <w:tcW w:w="762" w:type="pct"/>
                  <w:tcBorders>
                    <w:tl2br w:val="nil"/>
                    <w:tr2bl w:val="nil"/>
                  </w:tcBorders>
                  <w:vAlign w:val="center"/>
                </w:tcPr>
                <w:p>
                  <w:pPr>
                    <w:spacing w:line="240" w:lineRule="auto"/>
                    <w:jc w:val="center"/>
                    <w:rPr>
                      <w:rFonts w:ascii="Times New Roman" w:hAnsi="Times New Roman" w:eastAsia="宋体" w:cs="Times New Roman"/>
                      <w:b w:val="0"/>
                      <w:bCs w:val="0"/>
                      <w:sz w:val="21"/>
                      <w:szCs w:val="24"/>
                      <w:highlight w:val="none"/>
                    </w:rPr>
                  </w:pPr>
                  <w:r>
                    <w:rPr>
                      <w:rFonts w:hint="eastAsia" w:ascii="Times New Roman" w:hAnsi="Times New Roman" w:eastAsia="宋体" w:cs="Times New Roman"/>
                      <w:b w:val="0"/>
                      <w:bCs w:val="0"/>
                      <w:sz w:val="21"/>
                      <w:szCs w:val="24"/>
                      <w:highlight w:val="none"/>
                    </w:rPr>
                    <w:t>一般防渗</w:t>
                  </w:r>
                </w:p>
              </w:tc>
              <w:tc>
                <w:tcPr>
                  <w:tcW w:w="1240" w:type="pct"/>
                  <w:tcBorders>
                    <w:tl2br w:val="nil"/>
                    <w:tr2bl w:val="nil"/>
                  </w:tcBorders>
                  <w:vAlign w:val="center"/>
                </w:tcPr>
                <w:p>
                  <w:pPr>
                    <w:spacing w:line="240" w:lineRule="auto"/>
                    <w:jc w:val="center"/>
                    <w:rPr>
                      <w:rFonts w:ascii="Times New Roman" w:hAnsi="Times New Roman" w:eastAsia="宋体" w:cs="Times New Roman"/>
                      <w:b w:val="0"/>
                      <w:bCs w:val="0"/>
                      <w:sz w:val="21"/>
                      <w:szCs w:val="24"/>
                      <w:highlight w:val="none"/>
                    </w:rPr>
                  </w:pPr>
                  <w:r>
                    <w:rPr>
                      <w:rFonts w:ascii="Times New Roman" w:hAnsi="Times New Roman" w:eastAsia="宋体" w:cs="Times New Roman"/>
                      <w:b w:val="0"/>
                      <w:bCs w:val="0"/>
                      <w:sz w:val="21"/>
                      <w:szCs w:val="24"/>
                      <w:highlight w:val="none"/>
                    </w:rPr>
                    <w:t>等效黏土防渗层Mb≥1.5m，K≤1.0×10</w:t>
                  </w:r>
                  <w:r>
                    <w:rPr>
                      <w:rFonts w:ascii="Times New Roman" w:hAnsi="Times New Roman" w:eastAsia="宋体" w:cs="Times New Roman"/>
                      <w:b w:val="0"/>
                      <w:bCs w:val="0"/>
                      <w:sz w:val="21"/>
                      <w:szCs w:val="24"/>
                      <w:highlight w:val="none"/>
                      <w:vertAlign w:val="superscript"/>
                    </w:rPr>
                    <w:t>-7</w:t>
                  </w:r>
                  <w:r>
                    <w:rPr>
                      <w:rFonts w:ascii="Times New Roman" w:hAnsi="Times New Roman" w:eastAsia="宋体" w:cs="Times New Roman"/>
                      <w:b w:val="0"/>
                      <w:bCs w:val="0"/>
                      <w:sz w:val="21"/>
                      <w:szCs w:val="24"/>
                      <w:highlight w:val="none"/>
                    </w:rPr>
                    <w:t>cm/s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tcBorders>
                    <w:tl2br w:val="nil"/>
                    <w:tr2bl w:val="nil"/>
                  </w:tcBorders>
                  <w:vAlign w:val="center"/>
                </w:tcPr>
                <w:p>
                  <w:pPr>
                    <w:spacing w:line="240" w:lineRule="auto"/>
                    <w:jc w:val="center"/>
                    <w:rPr>
                      <w:rFonts w:ascii="Times New Roman" w:hAnsi="Times New Roman" w:eastAsia="宋体" w:cs="Times New Roman"/>
                      <w:b w:val="0"/>
                      <w:bCs w:val="0"/>
                      <w:sz w:val="21"/>
                      <w:szCs w:val="24"/>
                      <w:highlight w:val="none"/>
                    </w:rPr>
                  </w:pPr>
                  <w:r>
                    <w:rPr>
                      <w:rFonts w:hint="eastAsia" w:ascii="Times New Roman" w:hAnsi="Times New Roman" w:eastAsia="宋体" w:cs="Times New Roman"/>
                      <w:b w:val="0"/>
                      <w:bCs w:val="0"/>
                      <w:sz w:val="21"/>
                      <w:szCs w:val="24"/>
                      <w:highlight w:val="none"/>
                      <w:lang w:val="en-US" w:eastAsia="zh-CN"/>
                    </w:rPr>
                    <w:t>办公生活</w:t>
                  </w:r>
                  <w:r>
                    <w:rPr>
                      <w:rFonts w:hint="eastAsia" w:cs="Times New Roman"/>
                      <w:b w:val="0"/>
                      <w:bCs w:val="0"/>
                      <w:sz w:val="21"/>
                      <w:szCs w:val="24"/>
                      <w:highlight w:val="none"/>
                      <w:lang w:val="en-US" w:eastAsia="zh-CN"/>
                    </w:rPr>
                    <w:t>楼、门卫室</w:t>
                  </w:r>
                  <w:r>
                    <w:rPr>
                      <w:rFonts w:hint="eastAsia" w:ascii="Times New Roman" w:hAnsi="Times New Roman" w:eastAsia="宋体" w:cs="Times New Roman"/>
                      <w:b w:val="0"/>
                      <w:bCs w:val="0"/>
                      <w:sz w:val="21"/>
                      <w:szCs w:val="24"/>
                      <w:highlight w:val="none"/>
                      <w:lang w:val="en-US" w:eastAsia="zh-CN"/>
                    </w:rPr>
                    <w:t>、进出场道路</w:t>
                  </w:r>
                </w:p>
              </w:tc>
              <w:tc>
                <w:tcPr>
                  <w:tcW w:w="746" w:type="pct"/>
                  <w:tcBorders>
                    <w:tl2br w:val="nil"/>
                    <w:tr2bl w:val="nil"/>
                  </w:tcBorders>
                  <w:vAlign w:val="center"/>
                </w:tcPr>
                <w:p>
                  <w:pPr>
                    <w:spacing w:line="240" w:lineRule="auto"/>
                    <w:jc w:val="center"/>
                    <w:rPr>
                      <w:rFonts w:ascii="Times New Roman" w:hAnsi="Times New Roman" w:eastAsia="宋体" w:cs="Times New Roman"/>
                      <w:b w:val="0"/>
                      <w:bCs w:val="0"/>
                      <w:sz w:val="21"/>
                      <w:szCs w:val="24"/>
                      <w:highlight w:val="none"/>
                    </w:rPr>
                  </w:pPr>
                  <w:r>
                    <w:rPr>
                      <w:rFonts w:hint="eastAsia" w:ascii="Times New Roman" w:hAnsi="Times New Roman" w:eastAsia="宋体" w:cs="Times New Roman"/>
                      <w:b w:val="0"/>
                      <w:bCs w:val="0"/>
                      <w:color w:val="000000"/>
                      <w:sz w:val="21"/>
                      <w:szCs w:val="21"/>
                      <w:highlight w:val="none"/>
                      <w:lang w:val="en-US" w:eastAsia="zh-CN"/>
                    </w:rPr>
                    <w:t>弱</w:t>
                  </w:r>
                </w:p>
              </w:tc>
              <w:tc>
                <w:tcPr>
                  <w:tcW w:w="756" w:type="pct"/>
                  <w:tcBorders>
                    <w:tl2br w:val="nil"/>
                    <w:tr2bl w:val="nil"/>
                  </w:tcBorders>
                  <w:vAlign w:val="center"/>
                </w:tcPr>
                <w:p>
                  <w:pPr>
                    <w:spacing w:line="240" w:lineRule="auto"/>
                    <w:jc w:val="center"/>
                    <w:rPr>
                      <w:rFonts w:ascii="Times New Roman" w:hAnsi="Times New Roman" w:eastAsia="宋体" w:cs="Times New Roman"/>
                      <w:b w:val="0"/>
                      <w:bCs w:val="0"/>
                      <w:sz w:val="21"/>
                      <w:szCs w:val="24"/>
                      <w:highlight w:val="none"/>
                    </w:rPr>
                  </w:pPr>
                  <w:r>
                    <w:rPr>
                      <w:rFonts w:hint="eastAsia" w:ascii="Times New Roman" w:hAnsi="Times New Roman" w:eastAsia="宋体" w:cs="Times New Roman"/>
                      <w:b w:val="0"/>
                      <w:bCs w:val="0"/>
                      <w:sz w:val="21"/>
                      <w:szCs w:val="24"/>
                      <w:highlight w:val="none"/>
                    </w:rPr>
                    <w:t>易</w:t>
                  </w:r>
                </w:p>
              </w:tc>
              <w:tc>
                <w:tcPr>
                  <w:tcW w:w="876" w:type="pct"/>
                  <w:tcBorders>
                    <w:tl2br w:val="nil"/>
                    <w:tr2bl w:val="nil"/>
                  </w:tcBorders>
                  <w:vAlign w:val="center"/>
                </w:tcPr>
                <w:p>
                  <w:pPr>
                    <w:spacing w:line="240" w:lineRule="auto"/>
                    <w:jc w:val="center"/>
                    <w:rPr>
                      <w:rFonts w:ascii="Times New Roman" w:hAnsi="Times New Roman" w:eastAsia="宋体" w:cs="Times New Roman"/>
                      <w:b w:val="0"/>
                      <w:bCs w:val="0"/>
                      <w:sz w:val="21"/>
                      <w:szCs w:val="24"/>
                      <w:highlight w:val="none"/>
                    </w:rPr>
                  </w:pPr>
                  <w:r>
                    <w:rPr>
                      <w:rFonts w:hint="eastAsia" w:ascii="Times New Roman" w:hAnsi="Times New Roman" w:eastAsia="宋体" w:cs="Times New Roman"/>
                      <w:b w:val="0"/>
                      <w:bCs w:val="0"/>
                      <w:color w:val="000000"/>
                      <w:sz w:val="21"/>
                      <w:szCs w:val="21"/>
                      <w:highlight w:val="none"/>
                      <w:lang w:val="zh-TW" w:eastAsia="zh-TW"/>
                    </w:rPr>
                    <w:t>污染物</w:t>
                  </w:r>
                  <w:r>
                    <w:rPr>
                      <w:rFonts w:hint="eastAsia" w:ascii="Times New Roman" w:hAnsi="Times New Roman" w:eastAsia="宋体" w:cs="Times New Roman"/>
                      <w:b w:val="0"/>
                      <w:bCs w:val="0"/>
                      <w:color w:val="000000"/>
                      <w:sz w:val="21"/>
                      <w:szCs w:val="21"/>
                      <w:highlight w:val="none"/>
                      <w:lang w:val="en-US" w:eastAsia="zh-CN"/>
                    </w:rPr>
                    <w:t>的</w:t>
                  </w:r>
                  <w:r>
                    <w:rPr>
                      <w:rFonts w:hint="eastAsia" w:ascii="Times New Roman" w:hAnsi="Times New Roman" w:eastAsia="宋体" w:cs="Times New Roman"/>
                      <w:b w:val="0"/>
                      <w:bCs w:val="0"/>
                      <w:color w:val="000000"/>
                      <w:sz w:val="21"/>
                      <w:szCs w:val="21"/>
                      <w:highlight w:val="none"/>
                      <w:lang w:val="zh-TW" w:eastAsia="zh-TW"/>
                    </w:rPr>
                    <w:t>其他类型</w:t>
                  </w:r>
                </w:p>
              </w:tc>
              <w:tc>
                <w:tcPr>
                  <w:tcW w:w="762" w:type="pct"/>
                  <w:tcBorders>
                    <w:tl2br w:val="nil"/>
                    <w:tr2bl w:val="nil"/>
                  </w:tcBorders>
                  <w:vAlign w:val="center"/>
                </w:tcPr>
                <w:p>
                  <w:pPr>
                    <w:spacing w:line="240" w:lineRule="auto"/>
                    <w:jc w:val="center"/>
                    <w:rPr>
                      <w:rFonts w:ascii="Times New Roman" w:hAnsi="Times New Roman" w:eastAsia="宋体" w:cs="Times New Roman"/>
                      <w:b w:val="0"/>
                      <w:bCs w:val="0"/>
                      <w:sz w:val="21"/>
                      <w:szCs w:val="24"/>
                      <w:highlight w:val="none"/>
                    </w:rPr>
                  </w:pPr>
                  <w:r>
                    <w:rPr>
                      <w:rFonts w:hint="eastAsia" w:ascii="Times New Roman" w:hAnsi="Times New Roman" w:eastAsia="宋体" w:cs="Times New Roman"/>
                      <w:b w:val="0"/>
                      <w:bCs w:val="0"/>
                      <w:sz w:val="21"/>
                      <w:szCs w:val="24"/>
                      <w:highlight w:val="none"/>
                    </w:rPr>
                    <w:t>简单防渗</w:t>
                  </w:r>
                </w:p>
              </w:tc>
              <w:tc>
                <w:tcPr>
                  <w:tcW w:w="1240" w:type="pct"/>
                  <w:tcBorders>
                    <w:tl2br w:val="nil"/>
                    <w:tr2bl w:val="nil"/>
                  </w:tcBorders>
                  <w:vAlign w:val="center"/>
                </w:tcPr>
                <w:p>
                  <w:pPr>
                    <w:spacing w:line="240" w:lineRule="auto"/>
                    <w:jc w:val="center"/>
                    <w:rPr>
                      <w:rFonts w:ascii="Times New Roman" w:hAnsi="Times New Roman" w:eastAsia="宋体" w:cs="Times New Roman"/>
                      <w:b w:val="0"/>
                      <w:bCs w:val="0"/>
                      <w:sz w:val="21"/>
                      <w:szCs w:val="24"/>
                      <w:highlight w:val="none"/>
                    </w:rPr>
                  </w:pPr>
                  <w:r>
                    <w:rPr>
                      <w:rFonts w:hint="eastAsia" w:ascii="Times New Roman" w:hAnsi="Times New Roman" w:eastAsia="宋体" w:cs="Times New Roman"/>
                      <w:b w:val="0"/>
                      <w:bCs w:val="0"/>
                      <w:color w:val="000000"/>
                      <w:sz w:val="21"/>
                      <w:szCs w:val="21"/>
                      <w:highlight w:val="none"/>
                      <w:lang w:val="zh-TW" w:eastAsia="zh-TW"/>
                    </w:rPr>
                    <w:t>一般地面硬化</w:t>
                  </w:r>
                </w:p>
              </w:tc>
            </w:tr>
          </w:tbl>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b w:val="0"/>
                <w:bCs w:val="0"/>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（3）环境影响分析</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000000"/>
                <w:kern w:val="2"/>
                <w:sz w:val="24"/>
                <w:szCs w:val="20"/>
                <w:highlight w:val="none"/>
                <w:lang w:val="en-US" w:eastAsia="zh-CN"/>
              </w:rPr>
            </w:pPr>
            <w:r>
              <w:rPr>
                <w:rFonts w:hint="default" w:ascii="Times New Roman" w:hAnsi="Times New Roman" w:eastAsia="宋体" w:cs="Times New Roman"/>
                <w:color w:val="000000"/>
                <w:kern w:val="2"/>
                <w:sz w:val="24"/>
                <w:szCs w:val="20"/>
                <w:highlight w:val="none"/>
                <w:lang w:val="en-US" w:eastAsia="zh-CN"/>
              </w:rPr>
              <w:t>根据项目特点，厂区进行分区并对不同分区采取相应的防渗措施。项目对可能产生地下水</w:t>
            </w:r>
            <w:r>
              <w:rPr>
                <w:rFonts w:hint="eastAsia" w:ascii="Times New Roman" w:hAnsi="Times New Roman" w:eastAsia="宋体" w:cs="Times New Roman"/>
                <w:color w:val="000000"/>
                <w:kern w:val="2"/>
                <w:sz w:val="24"/>
                <w:szCs w:val="20"/>
                <w:highlight w:val="none"/>
                <w:lang w:val="en-US" w:eastAsia="zh-CN"/>
              </w:rPr>
              <w:t>、土壤</w:t>
            </w:r>
            <w:r>
              <w:rPr>
                <w:rFonts w:hint="default" w:ascii="Times New Roman" w:hAnsi="Times New Roman" w:eastAsia="宋体" w:cs="Times New Roman"/>
                <w:color w:val="000000"/>
                <w:kern w:val="2"/>
                <w:sz w:val="24"/>
                <w:szCs w:val="20"/>
                <w:highlight w:val="none"/>
                <w:lang w:val="en-US" w:eastAsia="zh-CN"/>
              </w:rPr>
              <w:t>影响的各项途径均进行有效预防，各项防渗措施可以有效地防止对区域地下水</w:t>
            </w:r>
            <w:r>
              <w:rPr>
                <w:rFonts w:hint="eastAsia" w:ascii="Times New Roman" w:hAnsi="Times New Roman" w:eastAsia="宋体" w:cs="Times New Roman"/>
                <w:color w:val="000000"/>
                <w:kern w:val="2"/>
                <w:sz w:val="24"/>
                <w:szCs w:val="20"/>
                <w:highlight w:val="none"/>
                <w:lang w:val="en-US" w:eastAsia="zh-CN"/>
              </w:rPr>
              <w:t>、土壤</w:t>
            </w:r>
            <w:r>
              <w:rPr>
                <w:rFonts w:hint="default" w:ascii="Times New Roman" w:hAnsi="Times New Roman" w:eastAsia="宋体" w:cs="Times New Roman"/>
                <w:color w:val="000000"/>
                <w:kern w:val="2"/>
                <w:sz w:val="24"/>
                <w:szCs w:val="20"/>
                <w:highlight w:val="none"/>
                <w:lang w:val="en-US" w:eastAsia="zh-CN"/>
              </w:rPr>
              <w:t>造成污染。综上所述，项目不会对</w:t>
            </w:r>
            <w:r>
              <w:rPr>
                <w:rFonts w:hint="eastAsia" w:ascii="Times New Roman" w:hAnsi="Times New Roman" w:eastAsia="宋体" w:cs="Times New Roman"/>
                <w:color w:val="000000"/>
                <w:kern w:val="2"/>
                <w:sz w:val="24"/>
                <w:szCs w:val="20"/>
                <w:highlight w:val="none"/>
                <w:lang w:val="en-US" w:eastAsia="zh-CN"/>
              </w:rPr>
              <w:t>项目区</w:t>
            </w:r>
            <w:r>
              <w:rPr>
                <w:rFonts w:hint="default" w:ascii="Times New Roman" w:hAnsi="Times New Roman" w:eastAsia="宋体" w:cs="Times New Roman"/>
                <w:color w:val="000000"/>
                <w:kern w:val="2"/>
                <w:sz w:val="24"/>
                <w:szCs w:val="20"/>
                <w:highlight w:val="none"/>
                <w:lang w:val="en-US" w:eastAsia="zh-CN"/>
              </w:rPr>
              <w:t>地下水</w:t>
            </w:r>
            <w:r>
              <w:rPr>
                <w:rFonts w:hint="eastAsia" w:ascii="Times New Roman" w:hAnsi="Times New Roman" w:eastAsia="宋体" w:cs="Times New Roman"/>
                <w:color w:val="000000"/>
                <w:kern w:val="2"/>
                <w:sz w:val="24"/>
                <w:szCs w:val="20"/>
                <w:highlight w:val="none"/>
                <w:lang w:val="en-US" w:eastAsia="zh-CN"/>
              </w:rPr>
              <w:t>、土壤</w:t>
            </w:r>
            <w:r>
              <w:rPr>
                <w:rFonts w:hint="default" w:ascii="Times New Roman" w:hAnsi="Times New Roman" w:eastAsia="宋体" w:cs="Times New Roman"/>
                <w:color w:val="000000"/>
                <w:kern w:val="2"/>
                <w:sz w:val="24"/>
                <w:szCs w:val="20"/>
                <w:highlight w:val="none"/>
                <w:lang w:val="en-US" w:eastAsia="zh-CN"/>
              </w:rPr>
              <w:t>环境造成污染影响</w:t>
            </w:r>
            <w:r>
              <w:rPr>
                <w:rFonts w:hint="eastAsia" w:ascii="Times New Roman" w:hAnsi="Times New Roman" w:eastAsia="宋体" w:cs="Times New Roman"/>
                <w:color w:val="000000"/>
                <w:kern w:val="2"/>
                <w:sz w:val="24"/>
                <w:szCs w:val="20"/>
                <w:highlight w:val="none"/>
                <w:lang w:val="en-US" w:eastAsia="zh-CN"/>
              </w:rPr>
              <w:t>。</w:t>
            </w:r>
          </w:p>
          <w:p>
            <w:pPr>
              <w:pageBreakBefore w:val="0"/>
              <w:widowControl w:val="0"/>
              <w:kinsoku/>
              <w:wordWrap/>
              <w:overflowPunct/>
              <w:topLinePunct w:val="0"/>
              <w:autoSpaceDE/>
              <w:autoSpaceDN/>
              <w:bidi w:val="0"/>
              <w:adjustRightInd/>
              <w:snapToGrid/>
              <w:spacing w:before="0" w:after="0" w:line="480" w:lineRule="exact"/>
              <w:ind w:left="0" w:right="0" w:firstLine="562" w:firstLineChars="200"/>
              <w:jc w:val="both"/>
              <w:textAlignment w:val="auto"/>
              <w:rPr>
                <w:rFonts w:hint="eastAsia" w:ascii="Times New Roman" w:hAnsi="Times New Roman" w:eastAsia="宋体" w:cs="Times New Roman"/>
                <w:b/>
                <w:color w:val="000000"/>
                <w:kern w:val="2"/>
                <w:sz w:val="28"/>
                <w:szCs w:val="28"/>
                <w:highlight w:val="none"/>
                <w:lang w:val="en-US" w:eastAsia="zh-CN" w:bidi="ar-SA"/>
              </w:rPr>
            </w:pPr>
            <w:bookmarkStart w:id="86" w:name="_Toc310503802"/>
            <w:bookmarkStart w:id="87" w:name="_Toc299381542"/>
            <w:bookmarkStart w:id="88" w:name="_Toc321043920"/>
            <w:bookmarkStart w:id="89" w:name="_Toc489948729"/>
            <w:bookmarkStart w:id="90" w:name="_Toc299961768"/>
            <w:bookmarkStart w:id="91" w:name="_Toc29336"/>
            <w:bookmarkStart w:id="92" w:name="_Toc52068207"/>
            <w:bookmarkStart w:id="93" w:name="_Toc52004057"/>
            <w:bookmarkStart w:id="94" w:name="_Toc93082890"/>
            <w:bookmarkStart w:id="95" w:name="_Toc56408841"/>
            <w:bookmarkStart w:id="96" w:name="_Toc98474133"/>
            <w:r>
              <w:rPr>
                <w:rFonts w:hint="eastAsia" w:ascii="Times New Roman" w:hAnsi="Times New Roman" w:eastAsia="宋体" w:cs="Times New Roman"/>
                <w:b/>
                <w:color w:val="000000"/>
                <w:kern w:val="2"/>
                <w:sz w:val="28"/>
                <w:szCs w:val="28"/>
                <w:highlight w:val="none"/>
                <w:lang w:val="en-US" w:eastAsia="zh-CN" w:bidi="ar-SA"/>
              </w:rPr>
              <w:t>4.10生态环境影响分析</w:t>
            </w:r>
            <w:bookmarkEnd w:id="86"/>
            <w:bookmarkEnd w:id="87"/>
            <w:bookmarkEnd w:id="88"/>
            <w:bookmarkEnd w:id="89"/>
            <w:bookmarkEnd w:id="90"/>
            <w:bookmarkEnd w:id="91"/>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本项目属于工业用地</w:t>
            </w:r>
            <w:r>
              <w:rPr>
                <w:rFonts w:hint="eastAsia" w:ascii="Times New Roman" w:hAnsi="Times New Roman" w:eastAsia="宋体" w:cs="Times New Roman"/>
                <w:color w:val="000000"/>
                <w:kern w:val="2"/>
                <w:sz w:val="24"/>
                <w:szCs w:val="20"/>
                <w:highlight w:val="none"/>
                <w:lang w:val="en-US" w:eastAsia="zh-CN"/>
              </w:rPr>
              <w:t>，厂区内已进行相应的地面硬化措施，故本项目建设不会导致生态环境质量的降低。项目投入运营后，将加强厂区及其周围的绿化和植被的恢复及补偿工作，项目在生产过程中不存在破化植被的工业活动，运营期不会对植物资源产生不利影响，通过加强施工人员的宣传教育和管理，可减少在建设初期对野生动物的影响，对生态环境的影响有限。</w:t>
            </w:r>
          </w:p>
          <w:bookmarkEnd w:id="92"/>
          <w:bookmarkEnd w:id="93"/>
          <w:bookmarkEnd w:id="94"/>
          <w:bookmarkEnd w:id="95"/>
          <w:bookmarkEnd w:id="96"/>
          <w:p>
            <w:pPr>
              <w:pageBreakBefore w:val="0"/>
              <w:widowControl w:val="0"/>
              <w:kinsoku/>
              <w:wordWrap/>
              <w:overflowPunct/>
              <w:topLinePunct w:val="0"/>
              <w:autoSpaceDE/>
              <w:autoSpaceDN/>
              <w:bidi w:val="0"/>
              <w:adjustRightInd/>
              <w:snapToGrid/>
              <w:spacing w:before="0" w:after="0" w:line="480" w:lineRule="exact"/>
              <w:ind w:left="0" w:right="0" w:firstLine="562" w:firstLineChars="200"/>
              <w:jc w:val="both"/>
              <w:textAlignment w:val="auto"/>
              <w:rPr>
                <w:rFonts w:hint="default" w:ascii="Times New Roman" w:hAnsi="Times New Roman" w:eastAsia="宋体" w:cs="Times New Roman"/>
                <w:color w:val="000000"/>
                <w:kern w:val="2"/>
                <w:sz w:val="28"/>
                <w:szCs w:val="28"/>
                <w:highlight w:val="none"/>
                <w:lang w:val="en-US" w:eastAsia="zh-CN"/>
              </w:rPr>
            </w:pPr>
            <w:r>
              <w:rPr>
                <w:rFonts w:hint="eastAsia" w:ascii="Times New Roman" w:hAnsi="Times New Roman" w:eastAsia="宋体" w:cs="Times New Roman"/>
                <w:b/>
                <w:color w:val="000000"/>
                <w:kern w:val="2"/>
                <w:sz w:val="28"/>
                <w:szCs w:val="28"/>
                <w:highlight w:val="none"/>
                <w:lang w:val="en-US" w:eastAsia="zh-CN" w:bidi="ar-SA"/>
              </w:rPr>
              <w:t>4.11环境风险分析</w:t>
            </w:r>
          </w:p>
          <w:p>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b w:val="0"/>
                <w:bCs w:val="0"/>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（1）评价依据</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①风险调查</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根据《建设项目环境影响报告表编制技术指南污染影响类（试行）》，明确有毒有害和易燃易爆等危险物质和风险源分布情况及可能影响途径，并提出相应环境风险防范措施。本项目生产、使用、储存过程中涉及的有毒有害、易燃物质主要为废机油、拉丝油、</w:t>
            </w:r>
            <w:r>
              <w:rPr>
                <w:rFonts w:hint="eastAsia" w:cs="Times New Roman"/>
                <w:color w:val="000000"/>
                <w:kern w:val="2"/>
                <w:sz w:val="24"/>
                <w:szCs w:val="20"/>
                <w:highlight w:val="none"/>
                <w:lang w:val="en-US" w:eastAsia="zh-CN"/>
              </w:rPr>
              <w:t>油墨（</w:t>
            </w:r>
            <w:r>
              <w:rPr>
                <w:rFonts w:hint="eastAsia" w:ascii="Times New Roman" w:hAnsi="Times New Roman" w:eastAsia="宋体" w:cs="Times New Roman"/>
                <w:color w:val="000000"/>
                <w:kern w:val="2"/>
                <w:sz w:val="24"/>
                <w:szCs w:val="20"/>
                <w:highlight w:val="none"/>
                <w:lang w:val="en-US" w:eastAsia="zh-CN"/>
              </w:rPr>
              <w:t>丁酮</w:t>
            </w:r>
            <w:r>
              <w:rPr>
                <w:rFonts w:hint="eastAsia" w:cs="Times New Roman"/>
                <w:color w:val="000000"/>
                <w:kern w:val="2"/>
                <w:sz w:val="24"/>
                <w:szCs w:val="20"/>
                <w:highlight w:val="none"/>
                <w:lang w:val="en-US" w:eastAsia="zh-CN"/>
              </w:rPr>
              <w:t>）</w:t>
            </w:r>
            <w:r>
              <w:rPr>
                <w:rFonts w:hint="eastAsia" w:ascii="Times New Roman" w:hAnsi="Times New Roman" w:eastAsia="宋体" w:cs="Times New Roman"/>
                <w:color w:val="000000"/>
                <w:kern w:val="2"/>
                <w:sz w:val="24"/>
                <w:szCs w:val="20"/>
                <w:highlight w:val="none"/>
                <w:lang w:val="en-US" w:eastAsia="zh-CN"/>
              </w:rPr>
              <w:t>、氯化氢</w:t>
            </w:r>
            <w:r>
              <w:rPr>
                <w:rFonts w:hint="eastAsia" w:cs="Times New Roman"/>
                <w:color w:val="000000"/>
                <w:kern w:val="2"/>
                <w:sz w:val="24"/>
                <w:szCs w:val="20"/>
                <w:highlight w:val="none"/>
                <w:lang w:val="en-US" w:eastAsia="zh-CN"/>
              </w:rPr>
              <w:t>以及废盐酸</w:t>
            </w:r>
            <w:r>
              <w:rPr>
                <w:rFonts w:hint="eastAsia" w:ascii="Times New Roman" w:hAnsi="Times New Roman" w:eastAsia="宋体" w:cs="Times New Roman"/>
                <w:color w:val="000000"/>
                <w:kern w:val="2"/>
                <w:sz w:val="24"/>
                <w:szCs w:val="20"/>
                <w:highlight w:val="none"/>
                <w:lang w:val="en-US" w:eastAsia="zh-CN"/>
              </w:rPr>
              <w:t>，分布位置为危废暂存间、生产车间，其中氯化氢为生产过程中产生，不在项目区内暂存，影响途径为泄漏、火灾。</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对照《建设项目 环境风险评价技术导则》(HJ169-2018)附录B，根据表B.2其他危险物质临界量推荐值，根据GB30000.18《化学品分类和标签规范第 18 部分：急性毒性》，重大危险源识别见表4.11-1。</w:t>
            </w:r>
          </w:p>
          <w:p>
            <w:pPr>
              <w:keepNext w:val="0"/>
              <w:keepLines w:val="0"/>
              <w:pageBreakBefore w:val="0"/>
              <w:widowControl w:val="0"/>
              <w:kinsoku/>
              <w:wordWrap/>
              <w:overflowPunct w:val="0"/>
              <w:topLinePunct w:val="0"/>
              <w:autoSpaceDE/>
              <w:autoSpaceDN/>
              <w:bidi w:val="0"/>
              <w:adjustRightInd/>
              <w:snapToGrid w:val="0"/>
              <w:spacing w:before="0" w:after="0" w:line="400" w:lineRule="exact"/>
              <w:ind w:left="0" w:right="0" w:firstLine="0" w:firstLineChars="0"/>
              <w:jc w:val="center"/>
              <w:textAlignment w:val="auto"/>
              <w:rPr>
                <w:rFonts w:hint="default" w:ascii="Times New Roman" w:hAnsi="Times New Roman" w:eastAsia="宋体" w:cs="Times New Roman"/>
                <w:b/>
                <w:color w:val="000000"/>
                <w:kern w:val="2"/>
                <w:sz w:val="24"/>
                <w:szCs w:val="24"/>
                <w:highlight w:val="none"/>
                <w:lang w:val="en-US" w:eastAsia="zh-CN" w:bidi="ar-SA"/>
              </w:rPr>
            </w:pPr>
            <w:r>
              <w:rPr>
                <w:rFonts w:hint="default" w:ascii="Times New Roman" w:hAnsi="Times New Roman" w:eastAsia="宋体" w:cs="Times New Roman"/>
                <w:b/>
                <w:color w:val="000000"/>
                <w:kern w:val="2"/>
                <w:sz w:val="24"/>
                <w:szCs w:val="24"/>
                <w:highlight w:val="none"/>
                <w:lang w:val="en-US" w:eastAsia="zh-CN" w:bidi="ar-SA"/>
              </w:rPr>
              <w:t>表</w:t>
            </w:r>
            <w:r>
              <w:rPr>
                <w:rFonts w:hint="eastAsia" w:ascii="Times New Roman" w:hAnsi="Times New Roman" w:eastAsia="宋体" w:cs="Times New Roman"/>
                <w:b/>
                <w:color w:val="000000"/>
                <w:kern w:val="2"/>
                <w:sz w:val="24"/>
                <w:szCs w:val="24"/>
                <w:highlight w:val="none"/>
                <w:lang w:val="en-US" w:eastAsia="zh-CN" w:bidi="ar-SA"/>
              </w:rPr>
              <w:t>4.11-1</w:t>
            </w:r>
            <w:r>
              <w:rPr>
                <w:rFonts w:hint="default" w:ascii="Times New Roman" w:hAnsi="Times New Roman" w:eastAsia="宋体" w:cs="Times New Roman"/>
                <w:b/>
                <w:color w:val="000000"/>
                <w:kern w:val="2"/>
                <w:sz w:val="24"/>
                <w:szCs w:val="24"/>
                <w:highlight w:val="none"/>
                <w:lang w:val="en-US" w:eastAsia="zh-CN" w:bidi="ar-SA"/>
              </w:rPr>
              <w:t>重大危险源识别表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25"/>
              <w:gridCol w:w="1537"/>
              <w:gridCol w:w="1749"/>
              <w:gridCol w:w="2387"/>
              <w:gridCol w:w="22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default" w:ascii="Times New Roman" w:hAnsi="Times New Roman" w:eastAsia="宋体" w:cs="Times New Roman"/>
                      <w:color w:val="000000"/>
                      <w:kern w:val="2"/>
                      <w:sz w:val="21"/>
                      <w:szCs w:val="24"/>
                      <w:lang w:val="en-US" w:eastAsia="zh-CN"/>
                    </w:rPr>
                    <w:t>序号</w:t>
                  </w:r>
                </w:p>
              </w:tc>
              <w:tc>
                <w:tcPr>
                  <w:tcW w:w="9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default" w:ascii="Times New Roman" w:hAnsi="Times New Roman" w:eastAsia="宋体" w:cs="Times New Roman"/>
                      <w:color w:val="000000"/>
                      <w:kern w:val="2"/>
                      <w:sz w:val="21"/>
                      <w:szCs w:val="24"/>
                      <w:lang w:val="en-US" w:eastAsia="zh-CN"/>
                    </w:rPr>
                    <w:t>危险物质名称</w:t>
                  </w:r>
                </w:p>
              </w:tc>
              <w:tc>
                <w:tcPr>
                  <w:tcW w:w="10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default" w:ascii="Times New Roman" w:hAnsi="Times New Roman" w:eastAsia="宋体" w:cs="Times New Roman"/>
                      <w:color w:val="000000"/>
                      <w:kern w:val="2"/>
                      <w:sz w:val="21"/>
                      <w:szCs w:val="24"/>
                      <w:lang w:val="en-US" w:eastAsia="zh-CN"/>
                    </w:rPr>
                    <w:t>临界量Q（t）</w:t>
                  </w:r>
                </w:p>
              </w:tc>
              <w:tc>
                <w:tcPr>
                  <w:tcW w:w="14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default" w:ascii="Times New Roman" w:hAnsi="Times New Roman" w:eastAsia="宋体" w:cs="Times New Roman"/>
                      <w:color w:val="000000"/>
                      <w:kern w:val="2"/>
                      <w:sz w:val="21"/>
                      <w:szCs w:val="24"/>
                      <w:lang w:val="en-US" w:eastAsia="zh-CN"/>
                    </w:rPr>
                    <w:t>项目</w:t>
                  </w:r>
                  <w:r>
                    <w:rPr>
                      <w:rFonts w:hint="eastAsia" w:ascii="Times New Roman" w:hAnsi="Times New Roman" w:eastAsia="宋体" w:cs="Times New Roman"/>
                      <w:color w:val="000000"/>
                      <w:kern w:val="2"/>
                      <w:sz w:val="21"/>
                      <w:szCs w:val="24"/>
                      <w:lang w:val="en-US" w:eastAsia="zh-CN"/>
                    </w:rPr>
                    <w:t>储存量</w:t>
                  </w:r>
                  <w:r>
                    <w:rPr>
                      <w:rFonts w:hint="default" w:ascii="Times New Roman" w:hAnsi="Times New Roman" w:eastAsia="宋体" w:cs="Times New Roman"/>
                      <w:color w:val="000000"/>
                      <w:kern w:val="2"/>
                      <w:sz w:val="21"/>
                      <w:szCs w:val="24"/>
                      <w:lang w:val="en-US" w:eastAsia="zh-CN"/>
                    </w:rPr>
                    <w:t xml:space="preserve"> q（t）</w:t>
                  </w:r>
                </w:p>
              </w:tc>
              <w:tc>
                <w:tcPr>
                  <w:tcW w:w="1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default" w:ascii="Times New Roman" w:hAnsi="Times New Roman" w:eastAsia="宋体" w:cs="Times New Roman"/>
                      <w:color w:val="000000"/>
                      <w:kern w:val="2"/>
                      <w:sz w:val="21"/>
                      <w:szCs w:val="24"/>
                      <w:lang w:val="en-US" w:eastAsia="zh-CN"/>
                    </w:rPr>
                    <w:t>储存位置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1</w:t>
                  </w:r>
                </w:p>
              </w:tc>
              <w:tc>
                <w:tcPr>
                  <w:tcW w:w="9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废机油</w:t>
                  </w:r>
                </w:p>
              </w:tc>
              <w:tc>
                <w:tcPr>
                  <w:tcW w:w="102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矿物油类2500</w:t>
                  </w:r>
                </w:p>
              </w:tc>
              <w:tc>
                <w:tcPr>
                  <w:tcW w:w="14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0.2</w:t>
                  </w:r>
                </w:p>
              </w:tc>
              <w:tc>
                <w:tcPr>
                  <w:tcW w:w="1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危废暂存间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2</w:t>
                  </w:r>
                </w:p>
              </w:tc>
              <w:tc>
                <w:tcPr>
                  <w:tcW w:w="9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拉丝油</w:t>
                  </w:r>
                </w:p>
              </w:tc>
              <w:tc>
                <w:tcPr>
                  <w:tcW w:w="10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rPr>
                  </w:pPr>
                </w:p>
              </w:tc>
              <w:tc>
                <w:tcPr>
                  <w:tcW w:w="14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cs="Times New Roman"/>
                      <w:color w:val="000000"/>
                      <w:kern w:val="2"/>
                      <w:sz w:val="21"/>
                      <w:szCs w:val="24"/>
                      <w:lang w:val="en-US" w:eastAsia="zh-CN"/>
                    </w:rPr>
                    <w:t>12.5</w:t>
                  </w:r>
                </w:p>
              </w:tc>
              <w:tc>
                <w:tcPr>
                  <w:tcW w:w="1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生产车间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3</w:t>
                  </w:r>
                </w:p>
              </w:tc>
              <w:tc>
                <w:tcPr>
                  <w:tcW w:w="9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丁酮</w:t>
                  </w:r>
                </w:p>
              </w:tc>
              <w:tc>
                <w:tcPr>
                  <w:tcW w:w="10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10</w:t>
                  </w:r>
                </w:p>
              </w:tc>
              <w:tc>
                <w:tcPr>
                  <w:tcW w:w="14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0.0</w:t>
                  </w:r>
                  <w:r>
                    <w:rPr>
                      <w:rFonts w:hint="eastAsia" w:cs="Times New Roman"/>
                      <w:color w:val="000000"/>
                      <w:kern w:val="2"/>
                      <w:sz w:val="21"/>
                      <w:szCs w:val="24"/>
                      <w:lang w:val="en-US" w:eastAsia="zh-CN"/>
                    </w:rPr>
                    <w:t>8</w:t>
                  </w:r>
                  <w:r>
                    <w:rPr>
                      <w:rFonts w:hint="eastAsia" w:ascii="Times New Roman" w:hAnsi="Times New Roman" w:eastAsia="宋体" w:cs="Times New Roman"/>
                      <w:color w:val="000000"/>
                      <w:kern w:val="2"/>
                      <w:sz w:val="21"/>
                      <w:szCs w:val="24"/>
                      <w:lang w:val="en-US" w:eastAsia="zh-CN"/>
                    </w:rPr>
                    <w:t>（油墨内含有丁酮最大以65%计）</w:t>
                  </w:r>
                </w:p>
              </w:tc>
              <w:tc>
                <w:tcPr>
                  <w:tcW w:w="1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生产车间、危废暂存间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4</w:t>
                  </w:r>
                </w:p>
              </w:tc>
              <w:tc>
                <w:tcPr>
                  <w:tcW w:w="9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氯化氢</w:t>
                  </w:r>
                </w:p>
              </w:tc>
              <w:tc>
                <w:tcPr>
                  <w:tcW w:w="10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2.5</w:t>
                  </w:r>
                </w:p>
              </w:tc>
              <w:tc>
                <w:tcPr>
                  <w:tcW w:w="14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cs="Times New Roman"/>
                      <w:color w:val="000000"/>
                      <w:kern w:val="2"/>
                      <w:sz w:val="21"/>
                      <w:szCs w:val="24"/>
                      <w:highlight w:val="none"/>
                      <w:lang w:val="en-US" w:eastAsia="zh-CN"/>
                    </w:rPr>
                    <w:t>0.02</w:t>
                  </w:r>
                  <w:r>
                    <w:rPr>
                      <w:rFonts w:hint="eastAsia" w:ascii="Times New Roman" w:hAnsi="Times New Roman" w:eastAsia="宋体" w:cs="Times New Roman"/>
                      <w:color w:val="000000"/>
                      <w:kern w:val="2"/>
                      <w:sz w:val="21"/>
                      <w:szCs w:val="24"/>
                      <w:highlight w:val="none"/>
                      <w:lang w:val="en-US" w:eastAsia="zh-CN"/>
                    </w:rPr>
                    <w:t>kg</w:t>
                  </w:r>
                </w:p>
              </w:tc>
              <w:tc>
                <w:tcPr>
                  <w:tcW w:w="1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不储存，生产车间产生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cs="Times New Roman"/>
                      <w:color w:val="000000"/>
                      <w:kern w:val="2"/>
                      <w:sz w:val="21"/>
                      <w:szCs w:val="24"/>
                      <w:lang w:val="en-US" w:eastAsia="zh-CN"/>
                    </w:rPr>
                    <w:t>5</w:t>
                  </w:r>
                </w:p>
              </w:tc>
              <w:tc>
                <w:tcPr>
                  <w:tcW w:w="9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cs="Times New Roman"/>
                      <w:color w:val="000000"/>
                      <w:kern w:val="2"/>
                      <w:sz w:val="21"/>
                      <w:szCs w:val="24"/>
                      <w:lang w:val="en-US" w:eastAsia="zh-CN"/>
                    </w:rPr>
                    <w:t>废盐酸</w:t>
                  </w:r>
                </w:p>
              </w:tc>
              <w:tc>
                <w:tcPr>
                  <w:tcW w:w="10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盐酸（≥37%）</w:t>
                  </w:r>
                  <w:r>
                    <w:rPr>
                      <w:rFonts w:hint="eastAsia" w:cs="Times New Roman"/>
                      <w:color w:val="000000"/>
                      <w:kern w:val="2"/>
                      <w:sz w:val="21"/>
                      <w:szCs w:val="24"/>
                      <w:lang w:val="en-US" w:eastAsia="zh-CN"/>
                    </w:rPr>
                    <w:t>7.5</w:t>
                  </w:r>
                </w:p>
              </w:tc>
              <w:tc>
                <w:tcPr>
                  <w:tcW w:w="14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cs="Times New Roman"/>
                      <w:color w:val="000000"/>
                      <w:kern w:val="2"/>
                      <w:sz w:val="21"/>
                      <w:szCs w:val="24"/>
                      <w:highlight w:val="none"/>
                      <w:lang w:val="en-US" w:eastAsia="zh-CN"/>
                    </w:rPr>
                  </w:pPr>
                  <w:r>
                    <w:rPr>
                      <w:rFonts w:hint="eastAsia" w:cs="Times New Roman"/>
                      <w:color w:val="000000"/>
                      <w:kern w:val="2"/>
                      <w:sz w:val="21"/>
                      <w:szCs w:val="24"/>
                      <w:highlight w:val="none"/>
                      <w:lang w:val="en-US" w:eastAsia="zh-CN"/>
                    </w:rPr>
                    <w:t>0（本项目废盐酸质量分数约0.0008%）</w:t>
                  </w:r>
                </w:p>
              </w:tc>
              <w:tc>
                <w:tcPr>
                  <w:tcW w:w="1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rPr>
                  </w:pPr>
                  <w:r>
                    <w:rPr>
                      <w:rFonts w:hint="eastAsia" w:ascii="Times New Roman" w:hAnsi="Times New Roman" w:eastAsia="宋体" w:cs="Times New Roman"/>
                      <w:color w:val="000000"/>
                      <w:kern w:val="2"/>
                      <w:sz w:val="21"/>
                      <w:szCs w:val="24"/>
                      <w:lang w:val="en-US" w:eastAsia="zh-CN"/>
                    </w:rPr>
                    <w:t>危废暂存间</w:t>
                  </w:r>
                </w:p>
              </w:tc>
            </w:tr>
          </w:tbl>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②风险潜势初判</w:t>
            </w:r>
          </w:p>
          <w:p>
            <w:pPr>
              <w:spacing w:line="360" w:lineRule="auto"/>
              <w:ind w:firstLine="472" w:firstLineChars="200"/>
              <w:outlineLvl w:val="2"/>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spacing w:val="-2"/>
                <w:szCs w:val="20"/>
                <w:lang w:val="en-US" w:eastAsia="zh-CN"/>
              </w:rPr>
              <w:t>1）</w:t>
            </w:r>
            <w:r>
              <w:rPr>
                <w:rFonts w:ascii="Times New Roman" w:hAnsi="Times New Roman" w:eastAsia="宋体" w:cs="Times New Roman"/>
                <w:color w:val="000000"/>
                <w:spacing w:val="-2"/>
                <w:szCs w:val="20"/>
              </w:rPr>
              <w:t>Q值的确定</w:t>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根据《建设项目环境风险评价技术导则》(HJ169-2018)，项目所涉及的每种危险物质在厂界内的最大存在总量与其对应临界量的比值Q来表征危险性。当只涉及一种危险物质时，计算该物质的总量与其临界值比值，即为Q；当存在多种危险物质时，则按下式计算物质总量与其临界量比值（Q）。</w:t>
            </w:r>
          </w:p>
          <w:p>
            <w:pPr>
              <w:widowControl w:val="0"/>
              <w:overflowPunct w:val="0"/>
              <w:autoSpaceDE w:val="0"/>
              <w:autoSpaceDN w:val="0"/>
              <w:adjustRightInd w:val="0"/>
              <w:snapToGrid w:val="0"/>
              <w:spacing w:before="0" w:after="0" w:line="360" w:lineRule="auto"/>
              <w:ind w:left="0" w:right="0" w:firstLine="480" w:firstLineChars="20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drawing>
                <wp:inline distT="0" distB="0" distL="114300" distR="114300">
                  <wp:extent cx="1630680" cy="552450"/>
                  <wp:effectExtent l="0" t="0" r="7620" b="0"/>
                  <wp:docPr id="17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2"/>
                          <pic:cNvPicPr>
                            <a:picLocks noChangeAspect="1"/>
                          </pic:cNvPicPr>
                        </pic:nvPicPr>
                        <pic:blipFill>
                          <a:blip r:embed="rId21"/>
                          <a:srcRect r="57249"/>
                          <a:stretch>
                            <a:fillRect/>
                          </a:stretch>
                        </pic:blipFill>
                        <pic:spPr>
                          <a:xfrm>
                            <a:off x="0" y="0"/>
                            <a:ext cx="1630680" cy="552450"/>
                          </a:xfrm>
                          <a:prstGeom prst="rect">
                            <a:avLst/>
                          </a:prstGeom>
                          <a:noFill/>
                          <a:ln>
                            <a:noFill/>
                          </a:ln>
                        </pic:spPr>
                      </pic:pic>
                    </a:graphicData>
                  </a:graphic>
                </wp:inline>
              </w:drawing>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式中：q</w:t>
            </w:r>
            <w:r>
              <w:rPr>
                <w:rFonts w:hint="default" w:ascii="Times New Roman" w:hAnsi="Times New Roman" w:eastAsia="宋体" w:cs="Times New Roman"/>
                <w:color w:val="000000"/>
                <w:kern w:val="2"/>
                <w:sz w:val="24"/>
                <w:szCs w:val="24"/>
                <w:highlight w:val="none"/>
                <w:vertAlign w:val="subscript"/>
                <w:lang w:val="en-US" w:eastAsia="zh-CN" w:bidi="ar-SA"/>
              </w:rPr>
              <w:t>1</w:t>
            </w:r>
            <w:r>
              <w:rPr>
                <w:rFonts w:hint="default" w:ascii="Times New Roman" w:hAnsi="Times New Roman" w:eastAsia="宋体" w:cs="Times New Roman"/>
                <w:color w:val="000000"/>
                <w:kern w:val="2"/>
                <w:sz w:val="24"/>
                <w:szCs w:val="24"/>
                <w:highlight w:val="none"/>
                <w:lang w:val="en-US" w:eastAsia="zh-CN" w:bidi="ar-SA"/>
              </w:rPr>
              <w:t>，q</w:t>
            </w:r>
            <w:r>
              <w:rPr>
                <w:rFonts w:hint="default" w:ascii="Times New Roman" w:hAnsi="Times New Roman" w:eastAsia="宋体" w:cs="Times New Roman"/>
                <w:color w:val="000000"/>
                <w:kern w:val="2"/>
                <w:sz w:val="24"/>
                <w:szCs w:val="24"/>
                <w:highlight w:val="none"/>
                <w:vertAlign w:val="subscript"/>
                <w:lang w:val="en-US" w:eastAsia="zh-CN" w:bidi="ar-SA"/>
              </w:rPr>
              <w:t>2</w:t>
            </w:r>
            <w:r>
              <w:rPr>
                <w:rFonts w:hint="default" w:ascii="Times New Roman" w:hAnsi="Times New Roman" w:eastAsia="宋体" w:cs="Times New Roman"/>
                <w:color w:val="000000"/>
                <w:kern w:val="2"/>
                <w:sz w:val="24"/>
                <w:szCs w:val="24"/>
                <w:highlight w:val="none"/>
                <w:lang w:val="en-US" w:eastAsia="zh-CN" w:bidi="ar-SA"/>
              </w:rPr>
              <w:t>…q</w:t>
            </w:r>
            <w:r>
              <w:rPr>
                <w:rFonts w:hint="default" w:ascii="Times New Roman" w:hAnsi="Times New Roman" w:eastAsia="宋体" w:cs="Times New Roman"/>
                <w:color w:val="000000"/>
                <w:kern w:val="2"/>
                <w:sz w:val="24"/>
                <w:szCs w:val="24"/>
                <w:highlight w:val="none"/>
                <w:vertAlign w:val="subscript"/>
                <w:lang w:val="en-US" w:eastAsia="zh-CN" w:bidi="ar-SA"/>
              </w:rPr>
              <w:t>n</w:t>
            </w:r>
            <w:r>
              <w:rPr>
                <w:rFonts w:hint="default" w:ascii="Times New Roman" w:hAnsi="Times New Roman" w:eastAsia="宋体" w:cs="Times New Roman"/>
                <w:color w:val="000000"/>
                <w:kern w:val="2"/>
                <w:sz w:val="24"/>
                <w:szCs w:val="24"/>
                <w:highlight w:val="none"/>
                <w:lang w:val="en-US" w:eastAsia="zh-CN" w:bidi="ar-SA"/>
              </w:rPr>
              <w:t>——每种危险物质实际存在量，t。</w:t>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Q</w:t>
            </w:r>
            <w:r>
              <w:rPr>
                <w:rFonts w:hint="default" w:ascii="Times New Roman" w:hAnsi="Times New Roman" w:eastAsia="宋体" w:cs="Times New Roman"/>
                <w:color w:val="000000"/>
                <w:kern w:val="2"/>
                <w:sz w:val="24"/>
                <w:szCs w:val="24"/>
                <w:highlight w:val="none"/>
                <w:vertAlign w:val="subscript"/>
                <w:lang w:val="en-US" w:eastAsia="zh-CN" w:bidi="ar-SA"/>
              </w:rPr>
              <w:t>1</w:t>
            </w:r>
            <w:r>
              <w:rPr>
                <w:rFonts w:hint="default" w:ascii="Times New Roman" w:hAnsi="Times New Roman" w:eastAsia="宋体" w:cs="Times New Roman"/>
                <w:color w:val="000000"/>
                <w:kern w:val="2"/>
                <w:sz w:val="24"/>
                <w:szCs w:val="24"/>
                <w:highlight w:val="none"/>
                <w:lang w:val="en-US" w:eastAsia="zh-CN" w:bidi="ar-SA"/>
              </w:rPr>
              <w:t>，Q</w:t>
            </w:r>
            <w:r>
              <w:rPr>
                <w:rFonts w:hint="default" w:ascii="Times New Roman" w:hAnsi="Times New Roman" w:eastAsia="宋体" w:cs="Times New Roman"/>
                <w:color w:val="000000"/>
                <w:kern w:val="2"/>
                <w:sz w:val="24"/>
                <w:szCs w:val="24"/>
                <w:highlight w:val="none"/>
                <w:vertAlign w:val="subscript"/>
                <w:lang w:val="en-US" w:eastAsia="zh-CN" w:bidi="ar-SA"/>
              </w:rPr>
              <w:t>2</w:t>
            </w:r>
            <w:r>
              <w:rPr>
                <w:rFonts w:hint="default" w:ascii="Times New Roman" w:hAnsi="Times New Roman" w:eastAsia="宋体" w:cs="Times New Roman"/>
                <w:color w:val="000000"/>
                <w:kern w:val="2"/>
                <w:sz w:val="24"/>
                <w:szCs w:val="24"/>
                <w:highlight w:val="none"/>
                <w:lang w:val="en-US" w:eastAsia="zh-CN" w:bidi="ar-SA"/>
              </w:rPr>
              <w:t>…Q</w:t>
            </w:r>
            <w:r>
              <w:rPr>
                <w:rFonts w:hint="default" w:ascii="Times New Roman" w:hAnsi="Times New Roman" w:eastAsia="宋体" w:cs="Times New Roman"/>
                <w:color w:val="000000"/>
                <w:kern w:val="2"/>
                <w:sz w:val="24"/>
                <w:szCs w:val="24"/>
                <w:highlight w:val="none"/>
                <w:vertAlign w:val="subscript"/>
                <w:lang w:val="en-US" w:eastAsia="zh-CN" w:bidi="ar-SA"/>
              </w:rPr>
              <w:t>n</w:t>
            </w:r>
            <w:r>
              <w:rPr>
                <w:rFonts w:hint="default" w:ascii="Times New Roman" w:hAnsi="Times New Roman" w:eastAsia="宋体" w:cs="Times New Roman"/>
                <w:color w:val="000000"/>
                <w:kern w:val="2"/>
                <w:sz w:val="24"/>
                <w:szCs w:val="24"/>
                <w:highlight w:val="none"/>
                <w:lang w:val="en-US" w:eastAsia="zh-CN" w:bidi="ar-SA"/>
              </w:rPr>
              <w:t>——与各危险物质相对应的生产场所或贮存区的临界量，t。</w:t>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当Q＜1时，该项目环境风险潜势为Ⅰ。</w:t>
            </w:r>
          </w:p>
          <w:p>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当Q≥1时，将Q值划分为：（a）1≤Q＜10；（b）10≤Q＜100；（c）Q≥100。</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kern w:val="2"/>
                <w:sz w:val="24"/>
                <w:szCs w:val="24"/>
                <w:highlight w:val="none"/>
                <w:lang w:eastAsia="zh-CN"/>
              </w:rPr>
            </w:pPr>
            <w:r>
              <w:rPr>
                <w:rFonts w:hint="default" w:ascii="Times New Roman" w:hAnsi="Times New Roman" w:eastAsia="宋体" w:cs="Times New Roman"/>
                <w:color w:val="000000"/>
                <w:kern w:val="2"/>
                <w:sz w:val="24"/>
                <w:szCs w:val="24"/>
                <w:highlight w:val="none"/>
              </w:rPr>
              <w:t>本项目涉及的危险化学品Q=</w:t>
            </w:r>
            <w:r>
              <w:rPr>
                <w:rFonts w:hint="eastAsia" w:ascii="Times New Roman" w:hAnsi="Times New Roman" w:eastAsia="宋体" w:cs="Times New Roman"/>
                <w:color w:val="000000"/>
                <w:kern w:val="2"/>
                <w:sz w:val="24"/>
                <w:szCs w:val="24"/>
                <w:highlight w:val="none"/>
                <w:lang w:val="en-US" w:eastAsia="zh-CN"/>
              </w:rPr>
              <w:t>0.0</w:t>
            </w:r>
            <w:r>
              <w:rPr>
                <w:rFonts w:hint="eastAsia" w:cs="Times New Roman"/>
                <w:color w:val="000000"/>
                <w:kern w:val="2"/>
                <w:sz w:val="24"/>
                <w:szCs w:val="24"/>
                <w:highlight w:val="none"/>
                <w:lang w:val="en-US" w:eastAsia="zh-CN"/>
              </w:rPr>
              <w:t>13088</w:t>
            </w:r>
            <w:r>
              <w:rPr>
                <w:rFonts w:hint="default" w:ascii="Times New Roman" w:hAnsi="Times New Roman" w:eastAsia="宋体" w:cs="Times New Roman"/>
                <w:color w:val="000000"/>
                <w:kern w:val="2"/>
                <w:sz w:val="24"/>
                <w:szCs w:val="24"/>
                <w:highlight w:val="none"/>
              </w:rPr>
              <w:t>＜1。</w:t>
            </w:r>
            <w:r>
              <w:rPr>
                <w:rFonts w:hint="default" w:ascii="Times New Roman" w:hAnsi="Times New Roman" w:eastAsia="宋体" w:cs="Times New Roman"/>
                <w:color w:val="000000"/>
                <w:kern w:val="2"/>
                <w:sz w:val="24"/>
                <w:szCs w:val="24"/>
                <w:highlight w:val="none"/>
                <w:lang w:val="en-US" w:eastAsia="zh-CN"/>
              </w:rPr>
              <w:t>本项目</w:t>
            </w:r>
            <w:r>
              <w:rPr>
                <w:rFonts w:hint="default" w:ascii="Times New Roman" w:hAnsi="Times New Roman" w:eastAsia="宋体" w:cs="Times New Roman"/>
                <w:color w:val="000000"/>
                <w:kern w:val="2"/>
                <w:sz w:val="24"/>
                <w:szCs w:val="24"/>
                <w:highlight w:val="none"/>
              </w:rPr>
              <w:t>环境风险潜势为Ⅰ</w:t>
            </w:r>
            <w:r>
              <w:rPr>
                <w:rFonts w:hint="eastAsia" w:ascii="Times New Roman" w:hAnsi="Times New Roman" w:eastAsia="宋体" w:cs="Times New Roman"/>
                <w:color w:val="000000"/>
                <w:kern w:val="2"/>
                <w:sz w:val="24"/>
                <w:szCs w:val="24"/>
                <w:highlight w:val="none"/>
                <w:lang w:eastAsia="zh-CN"/>
              </w:rPr>
              <w:t>，</w:t>
            </w:r>
            <w:r>
              <w:rPr>
                <w:rFonts w:hint="eastAsia" w:ascii="Times New Roman" w:hAnsi="Times New Roman" w:eastAsia="宋体" w:cs="Times New Roman"/>
                <w:color w:val="000000"/>
                <w:kern w:val="2"/>
                <w:sz w:val="24"/>
                <w:szCs w:val="24"/>
                <w:highlight w:val="none"/>
                <w:lang w:val="en-US" w:eastAsia="zh-CN"/>
              </w:rPr>
              <w:t>危险物质存储量未超过临界量，不开展环境风险专题评价，为环境风险简单分析</w:t>
            </w:r>
            <w:r>
              <w:rPr>
                <w:rFonts w:hint="eastAsia" w:ascii="Times New Roman" w:hAnsi="Times New Roman" w:eastAsia="宋体" w:cs="Times New Roman"/>
                <w:color w:val="000000"/>
                <w:kern w:val="2"/>
                <w:sz w:val="24"/>
                <w:szCs w:val="24"/>
                <w:highlight w:val="none"/>
                <w:lang w:eastAsia="zh-CN"/>
              </w:rPr>
              <w:t>。</w:t>
            </w:r>
          </w:p>
          <w:p>
            <w:pPr>
              <w:spacing w:line="520" w:lineRule="exact"/>
              <w:ind w:firstLine="472" w:firstLineChars="200"/>
              <w:outlineLvl w:val="2"/>
              <w:rPr>
                <w:rFonts w:ascii="Times New Roman" w:hAnsi="Times New Roman" w:eastAsia="宋体" w:cs="Times New Roman"/>
                <w:color w:val="000000"/>
                <w:spacing w:val="-2"/>
                <w:szCs w:val="20"/>
              </w:rPr>
            </w:pPr>
            <w:r>
              <w:rPr>
                <w:rFonts w:hint="eastAsia" w:ascii="Times New Roman" w:hAnsi="Times New Roman" w:eastAsia="宋体" w:cs="Times New Roman"/>
                <w:color w:val="000000"/>
                <w:spacing w:val="-2"/>
                <w:szCs w:val="20"/>
                <w:lang w:val="en-US" w:eastAsia="zh-CN"/>
              </w:rPr>
              <w:t>2</w:t>
            </w:r>
            <w:r>
              <w:rPr>
                <w:rFonts w:ascii="Times New Roman" w:hAnsi="Times New Roman" w:eastAsia="宋体" w:cs="Times New Roman"/>
                <w:color w:val="000000"/>
                <w:spacing w:val="-2"/>
                <w:szCs w:val="20"/>
              </w:rPr>
              <w:t>）评价等级</w:t>
            </w:r>
          </w:p>
          <w:p>
            <w:pPr>
              <w:spacing w:line="520" w:lineRule="exact"/>
              <w:ind w:firstLine="472" w:firstLineChars="200"/>
              <w:rPr>
                <w:rFonts w:ascii="Times New Roman" w:hAnsi="Times New Roman" w:eastAsia="宋体" w:cs="Times New Roman"/>
                <w:color w:val="000000"/>
                <w:spacing w:val="-2"/>
                <w:szCs w:val="20"/>
              </w:rPr>
            </w:pPr>
            <w:r>
              <w:rPr>
                <w:rFonts w:ascii="Times New Roman" w:hAnsi="Times New Roman" w:eastAsia="宋体" w:cs="Times New Roman"/>
                <w:color w:val="000000"/>
                <w:spacing w:val="-2"/>
                <w:szCs w:val="20"/>
              </w:rPr>
              <w:t>根据《建设项目环境风险评价技术导则》（HJ169-2018）规定：</w:t>
            </w:r>
            <w:r>
              <w:rPr>
                <w:rFonts w:hint="eastAsia" w:ascii="Times New Roman" w:hAnsi="Times New Roman" w:eastAsia="宋体" w:cs="Times New Roman"/>
                <w:color w:val="000000"/>
                <w:spacing w:val="-2"/>
                <w:szCs w:val="20"/>
                <w:lang w:eastAsia="zh-CN"/>
              </w:rPr>
              <w:t>“</w:t>
            </w:r>
            <w:r>
              <w:rPr>
                <w:rFonts w:ascii="Times New Roman" w:hAnsi="Times New Roman" w:eastAsia="宋体" w:cs="Times New Roman"/>
                <w:color w:val="000000"/>
                <w:spacing w:val="-2"/>
                <w:szCs w:val="20"/>
              </w:rPr>
              <w:t>环境风险评价工作是依据建设项目涉及的物质及工艺系统危险性和所在地的环境敏感性确定环境风险潜势进行分级，环境影响评价工作等级划分为一级、二级、三级</w:t>
            </w:r>
            <w:r>
              <w:rPr>
                <w:rFonts w:hint="eastAsia" w:ascii="Times New Roman" w:hAnsi="Times New Roman" w:eastAsia="宋体" w:cs="Times New Roman"/>
                <w:color w:val="000000"/>
                <w:spacing w:val="-2"/>
                <w:szCs w:val="20"/>
                <w:lang w:eastAsia="zh-CN"/>
              </w:rPr>
              <w:t>”</w:t>
            </w:r>
            <w:r>
              <w:rPr>
                <w:rFonts w:ascii="Times New Roman" w:hAnsi="Times New Roman" w:eastAsia="宋体" w:cs="Times New Roman"/>
                <w:color w:val="000000"/>
                <w:spacing w:val="-2"/>
                <w:szCs w:val="20"/>
              </w:rPr>
              <w:t>，其具体分级判据见表</w:t>
            </w:r>
            <w:r>
              <w:rPr>
                <w:rFonts w:hint="eastAsia" w:ascii="Times New Roman" w:hAnsi="Times New Roman" w:eastAsia="宋体" w:cs="Times New Roman"/>
                <w:color w:val="000000"/>
                <w:spacing w:val="-2"/>
                <w:szCs w:val="20"/>
                <w:lang w:val="en-US" w:eastAsia="zh-CN"/>
              </w:rPr>
              <w:t>4.11-2</w:t>
            </w:r>
            <w:r>
              <w:rPr>
                <w:rFonts w:ascii="Times New Roman" w:hAnsi="Times New Roman" w:eastAsia="宋体" w:cs="Times New Roman"/>
                <w:color w:val="000000"/>
                <w:spacing w:val="-2"/>
                <w:szCs w:val="20"/>
              </w:rPr>
              <w:t>。</w:t>
            </w:r>
          </w:p>
          <w:p>
            <w:pPr>
              <w:widowControl/>
              <w:spacing w:after="80" w:line="520" w:lineRule="exact"/>
              <w:jc w:val="center"/>
              <w:rPr>
                <w:rFonts w:ascii="Times New Roman" w:hAnsi="Times New Roman" w:eastAsia="宋体" w:cs="Times New Roman"/>
                <w:b/>
                <w:color w:val="000000"/>
                <w:szCs w:val="24"/>
                <w:lang w:bidi="en-US"/>
              </w:rPr>
            </w:pPr>
            <w:r>
              <w:rPr>
                <w:rFonts w:ascii="Times New Roman" w:hAnsi="Times New Roman" w:eastAsia="宋体" w:cs="Times New Roman"/>
                <w:b/>
                <w:color w:val="000000"/>
                <w:szCs w:val="24"/>
                <w:lang w:bidi="en-US"/>
              </w:rPr>
              <w:t>表</w:t>
            </w:r>
            <w:r>
              <w:rPr>
                <w:rFonts w:hint="eastAsia" w:ascii="Times New Roman" w:hAnsi="Times New Roman" w:eastAsia="宋体" w:cs="Times New Roman"/>
                <w:b/>
                <w:color w:val="000000"/>
                <w:szCs w:val="24"/>
                <w:lang w:val="en-US" w:eastAsia="zh-CN" w:bidi="en-US"/>
              </w:rPr>
              <w:t>4.11-2</w:t>
            </w:r>
            <w:r>
              <w:rPr>
                <w:rFonts w:ascii="Times New Roman" w:hAnsi="Times New Roman" w:eastAsia="宋体" w:cs="Times New Roman"/>
                <w:b/>
                <w:color w:val="000000"/>
                <w:szCs w:val="24"/>
                <w:lang w:bidi="en-US"/>
              </w:rPr>
              <w:t>项目环境影响评价等级判据一览表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1407"/>
              <w:gridCol w:w="1701"/>
              <w:gridCol w:w="1701"/>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8"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环境风险潜势</w:t>
                  </w:r>
                </w:p>
              </w:tc>
              <w:tc>
                <w:tcPr>
                  <w:tcW w:w="141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IV、IV+</w:t>
                  </w:r>
                </w:p>
              </w:tc>
              <w:tc>
                <w:tcPr>
                  <w:tcW w:w="1704"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Ⅲ</w:t>
                  </w:r>
                </w:p>
              </w:tc>
              <w:tc>
                <w:tcPr>
                  <w:tcW w:w="1704"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Ⅱ</w:t>
                  </w:r>
                </w:p>
              </w:tc>
              <w:tc>
                <w:tcPr>
                  <w:tcW w:w="1705"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8"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环境风险评价等级</w:t>
                  </w:r>
                </w:p>
              </w:tc>
              <w:tc>
                <w:tcPr>
                  <w:tcW w:w="141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一</w:t>
                  </w:r>
                </w:p>
              </w:tc>
              <w:tc>
                <w:tcPr>
                  <w:tcW w:w="1704"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二</w:t>
                  </w:r>
                </w:p>
              </w:tc>
              <w:tc>
                <w:tcPr>
                  <w:tcW w:w="1704"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三</w:t>
                  </w:r>
                </w:p>
              </w:tc>
              <w:tc>
                <w:tcPr>
                  <w:tcW w:w="1705"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简单分析</w:t>
                  </w:r>
                </w:p>
              </w:tc>
            </w:tr>
          </w:tbl>
          <w:p>
            <w:pPr>
              <w:spacing w:line="520" w:lineRule="exact"/>
              <w:ind w:firstLine="472" w:firstLineChars="200"/>
              <w:rPr>
                <w:rFonts w:hint="eastAsia" w:ascii="Times New Roman" w:hAnsi="Times New Roman" w:eastAsia="宋体" w:cs="Times New Roman"/>
                <w:b w:val="0"/>
                <w:bCs w:val="0"/>
                <w:color w:val="000000"/>
                <w:kern w:val="2"/>
                <w:sz w:val="24"/>
                <w:szCs w:val="20"/>
                <w:highlight w:val="none"/>
                <w:lang w:val="en-US" w:eastAsia="zh-CN"/>
              </w:rPr>
            </w:pPr>
            <w:r>
              <w:rPr>
                <w:rFonts w:ascii="Times New Roman" w:hAnsi="Times New Roman" w:eastAsia="宋体" w:cs="Times New Roman"/>
                <w:color w:val="000000"/>
                <w:spacing w:val="-2"/>
                <w:szCs w:val="20"/>
              </w:rPr>
              <w:t>根据</w:t>
            </w:r>
            <w:r>
              <w:rPr>
                <w:rFonts w:hint="eastAsia" w:ascii="Times New Roman" w:hAnsi="Times New Roman" w:eastAsia="宋体" w:cs="Times New Roman"/>
                <w:color w:val="000000"/>
                <w:spacing w:val="-2"/>
                <w:szCs w:val="20"/>
                <w:lang w:val="en-US" w:eastAsia="zh-CN"/>
              </w:rPr>
              <w:t>Q值计算</w:t>
            </w:r>
            <w:r>
              <w:rPr>
                <w:rFonts w:ascii="Times New Roman" w:hAnsi="Times New Roman" w:eastAsia="宋体" w:cs="Times New Roman"/>
                <w:color w:val="000000"/>
                <w:spacing w:val="-2"/>
                <w:szCs w:val="20"/>
              </w:rPr>
              <w:t>结果显示，本项目的环境风险潜势为Ⅰ级，因此本项目的环境风险评价等级为简单分析。</w:t>
            </w:r>
          </w:p>
          <w:p>
            <w:pPr>
              <w:pageBreakBefore w:val="0"/>
              <w:widowControl w:val="0"/>
              <w:numPr>
                <w:ilvl w:val="0"/>
                <w:numId w:val="7"/>
              </w:numPr>
              <w:kinsoku/>
              <w:wordWrap/>
              <w:overflowPunct/>
              <w:topLinePunct w:val="0"/>
              <w:autoSpaceDE/>
              <w:autoSpaceDN/>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Times New Roman"/>
                <w:b w:val="0"/>
                <w:bCs w:val="0"/>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环境敏感目标概况</w:t>
            </w:r>
            <w:r>
              <w:rPr>
                <w:rFonts w:hint="eastAsia" w:cs="Times New Roman"/>
                <w:b w:val="0"/>
                <w:bCs w:val="0"/>
                <w:color w:val="000000"/>
                <w:kern w:val="2"/>
                <w:sz w:val="24"/>
                <w:szCs w:val="20"/>
                <w:highlight w:val="none"/>
                <w:lang w:val="en-US" w:eastAsia="zh-CN"/>
              </w:rPr>
              <w:t>以及敏感程度调查</w:t>
            </w:r>
          </w:p>
          <w:p>
            <w:pPr>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72" w:firstLineChars="200"/>
              <w:jc w:val="both"/>
              <w:textAlignment w:val="auto"/>
              <w:rPr>
                <w:rFonts w:hint="default" w:ascii="Times New Roman" w:hAnsi="Times New Roman" w:eastAsia="宋体" w:cs="Times New Roman"/>
                <w:color w:val="000000"/>
                <w:spacing w:val="-2"/>
                <w:szCs w:val="20"/>
                <w:lang w:val="en-US" w:eastAsia="zh-CN"/>
              </w:rPr>
            </w:pPr>
            <w:r>
              <w:rPr>
                <w:rFonts w:hint="eastAsia" w:ascii="Times New Roman" w:hAnsi="Times New Roman" w:eastAsia="宋体" w:cs="Times New Roman"/>
                <w:color w:val="000000"/>
                <w:spacing w:val="-2"/>
                <w:szCs w:val="20"/>
                <w:lang w:val="en-US" w:eastAsia="zh-CN"/>
              </w:rPr>
              <w:t>①</w:t>
            </w:r>
            <w:r>
              <w:rPr>
                <w:rFonts w:ascii="Times New Roman" w:hAnsi="Times New Roman" w:eastAsia="宋体" w:cs="Times New Roman"/>
                <w:color w:val="000000"/>
                <w:spacing w:val="-2"/>
                <w:szCs w:val="20"/>
              </w:rPr>
              <w:t>大气环境敏感</w:t>
            </w:r>
            <w:r>
              <w:rPr>
                <w:rFonts w:hint="eastAsia" w:ascii="Times New Roman" w:hAnsi="Times New Roman" w:eastAsia="宋体" w:cs="Times New Roman"/>
                <w:color w:val="000000"/>
                <w:spacing w:val="-2"/>
                <w:szCs w:val="20"/>
                <w:lang w:val="en-US" w:eastAsia="zh-CN"/>
              </w:rPr>
              <w:t>目标调查及敏感程度</w:t>
            </w:r>
          </w:p>
          <w:p>
            <w:pPr>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72" w:firstLineChars="200"/>
              <w:jc w:val="both"/>
              <w:textAlignment w:val="auto"/>
              <w:rPr>
                <w:rFonts w:ascii="Times New Roman" w:hAnsi="Times New Roman" w:eastAsia="宋体" w:cs="Times New Roman"/>
                <w:color w:val="000000"/>
                <w:spacing w:val="-2"/>
                <w:szCs w:val="20"/>
              </w:rPr>
            </w:pPr>
            <w:r>
              <w:rPr>
                <w:rFonts w:ascii="Times New Roman" w:hAnsi="Times New Roman" w:eastAsia="宋体" w:cs="Times New Roman"/>
                <w:color w:val="000000"/>
                <w:spacing w:val="-2"/>
                <w:szCs w:val="20"/>
              </w:rPr>
              <w:t>根据《建设项目环境风险评价技术导则》（HJ169-2018）附录D的规定：项目所在区域大气环境敏感程度是依据环境敏感目标环境敏感性及人口密度划分环境风险受体的敏感性来确定。大气环境敏感程度共分为三种</w:t>
            </w:r>
            <w:r>
              <w:rPr>
                <w:rFonts w:hint="eastAsia" w:ascii="Times New Roman" w:hAnsi="Times New Roman" w:eastAsia="宋体" w:cs="Times New Roman"/>
                <w:color w:val="000000"/>
                <w:spacing w:val="-2"/>
                <w:szCs w:val="20"/>
                <w:lang w:val="en-US" w:eastAsia="zh-CN"/>
              </w:rPr>
              <w:t xml:space="preserve"> </w:t>
            </w:r>
            <w:r>
              <w:rPr>
                <w:rFonts w:ascii="Times New Roman" w:hAnsi="Times New Roman" w:eastAsia="宋体" w:cs="Times New Roman"/>
                <w:color w:val="000000"/>
                <w:spacing w:val="-2"/>
                <w:szCs w:val="20"/>
              </w:rPr>
              <w:t>类型：E1为环境高度敏感区，E2为环境中度敏感区，E3为环境低度敏感区，分级原则见表</w:t>
            </w:r>
            <w:r>
              <w:rPr>
                <w:rFonts w:hint="eastAsia" w:ascii="Times New Roman" w:hAnsi="Times New Roman" w:eastAsia="宋体" w:cs="Times New Roman"/>
                <w:color w:val="000000"/>
                <w:spacing w:val="-2"/>
                <w:szCs w:val="20"/>
                <w:lang w:val="en-US" w:eastAsia="zh-CN"/>
              </w:rPr>
              <w:t>4.11-3</w:t>
            </w:r>
            <w:r>
              <w:rPr>
                <w:rFonts w:ascii="Times New Roman" w:hAnsi="Times New Roman" w:eastAsia="宋体" w:cs="Times New Roman"/>
                <w:color w:val="000000"/>
                <w:spacing w:val="-2"/>
                <w:szCs w:val="20"/>
              </w:rPr>
              <w:t>。</w:t>
            </w:r>
          </w:p>
          <w:p>
            <w:pPr>
              <w:widowControl/>
              <w:spacing w:after="80" w:line="520" w:lineRule="exact"/>
              <w:jc w:val="center"/>
              <w:rPr>
                <w:rFonts w:ascii="Times New Roman" w:hAnsi="Times New Roman" w:eastAsia="宋体" w:cs="Times New Roman"/>
                <w:b/>
                <w:color w:val="000000"/>
                <w:szCs w:val="24"/>
                <w:lang w:bidi="en-US"/>
              </w:rPr>
            </w:pPr>
            <w:r>
              <w:rPr>
                <w:rFonts w:ascii="Times New Roman" w:hAnsi="Times New Roman" w:eastAsia="宋体" w:cs="Times New Roman"/>
                <w:b/>
                <w:color w:val="000000"/>
                <w:szCs w:val="24"/>
                <w:lang w:bidi="en-US"/>
              </w:rPr>
              <w:t>表</w:t>
            </w:r>
            <w:r>
              <w:rPr>
                <w:rFonts w:hint="eastAsia" w:ascii="Times New Roman" w:hAnsi="Times New Roman" w:eastAsia="宋体" w:cs="Times New Roman"/>
                <w:b/>
                <w:color w:val="000000"/>
                <w:szCs w:val="24"/>
                <w:lang w:val="en-US" w:eastAsia="zh-CN" w:bidi="en-US"/>
              </w:rPr>
              <w:t>4.11-3</w:t>
            </w:r>
            <w:r>
              <w:rPr>
                <w:rFonts w:ascii="Times New Roman" w:hAnsi="Times New Roman" w:eastAsia="宋体" w:cs="Times New Roman"/>
                <w:b/>
                <w:color w:val="000000"/>
                <w:szCs w:val="24"/>
                <w:lang w:bidi="en-US"/>
              </w:rPr>
              <w:t>大气环境敏感程度分级原则一览表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74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5" w:type="dxa"/>
                  <w:tcBorders>
                    <w:tl2br w:val="nil"/>
                    <w:tr2bl w:val="nil"/>
                  </w:tcBorders>
                  <w:vAlign w:val="center"/>
                </w:tcPr>
                <w:p>
                  <w:pPr>
                    <w:spacing w:line="240" w:lineRule="auto"/>
                    <w:jc w:val="center"/>
                    <w:rPr>
                      <w:rFonts w:ascii="Times New Roman" w:hAnsi="Times New Roman" w:eastAsia="宋体" w:cs="Times New Roman"/>
                      <w:spacing w:val="-2"/>
                      <w:sz w:val="21"/>
                      <w:szCs w:val="21"/>
                    </w:rPr>
                  </w:pPr>
                  <w:r>
                    <w:rPr>
                      <w:rFonts w:ascii="Times New Roman" w:hAnsi="Times New Roman" w:eastAsia="宋体" w:cs="Times New Roman"/>
                      <w:spacing w:val="-2"/>
                      <w:sz w:val="21"/>
                      <w:szCs w:val="21"/>
                    </w:rPr>
                    <w:t>分级</w:t>
                  </w:r>
                </w:p>
              </w:tc>
              <w:tc>
                <w:tcPr>
                  <w:tcW w:w="7506" w:type="dxa"/>
                  <w:tcBorders>
                    <w:tl2br w:val="nil"/>
                    <w:tr2bl w:val="nil"/>
                  </w:tcBorders>
                  <w:vAlign w:val="center"/>
                </w:tcPr>
                <w:p>
                  <w:pPr>
                    <w:spacing w:line="240" w:lineRule="auto"/>
                    <w:jc w:val="center"/>
                    <w:rPr>
                      <w:rFonts w:ascii="Times New Roman" w:hAnsi="Times New Roman" w:eastAsia="宋体" w:cs="Times New Roman"/>
                      <w:spacing w:val="-2"/>
                      <w:sz w:val="21"/>
                      <w:szCs w:val="21"/>
                    </w:rPr>
                  </w:pPr>
                  <w:r>
                    <w:rPr>
                      <w:rFonts w:ascii="Times New Roman" w:hAnsi="Times New Roman" w:eastAsia="宋体" w:cs="Times New Roman"/>
                      <w:spacing w:val="-2"/>
                      <w:sz w:val="21"/>
                      <w:szCs w:val="21"/>
                    </w:rPr>
                    <w:t>大气环境敏感性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5"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E1</w:t>
                  </w:r>
                </w:p>
              </w:tc>
              <w:tc>
                <w:tcPr>
                  <w:tcW w:w="7506" w:type="dxa"/>
                  <w:tcBorders>
                    <w:tl2br w:val="nil"/>
                    <w:tr2bl w:val="nil"/>
                  </w:tcBorders>
                  <w:vAlign w:val="center"/>
                </w:tcPr>
                <w:p>
                  <w:pPr>
                    <w:spacing w:line="240" w:lineRule="auto"/>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5"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E2</w:t>
                  </w:r>
                </w:p>
              </w:tc>
              <w:tc>
                <w:tcPr>
                  <w:tcW w:w="7506" w:type="dxa"/>
                  <w:tcBorders>
                    <w:tl2br w:val="nil"/>
                    <w:tr2bl w:val="nil"/>
                  </w:tcBorders>
                  <w:vAlign w:val="center"/>
                </w:tcPr>
                <w:p>
                  <w:pPr>
                    <w:spacing w:line="240" w:lineRule="auto"/>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5"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E3</w:t>
                  </w:r>
                </w:p>
              </w:tc>
              <w:tc>
                <w:tcPr>
                  <w:tcW w:w="7506" w:type="dxa"/>
                  <w:tcBorders>
                    <w:tl2br w:val="nil"/>
                    <w:tr2bl w:val="nil"/>
                  </w:tcBorders>
                  <w:vAlign w:val="center"/>
                </w:tcPr>
                <w:p>
                  <w:pPr>
                    <w:spacing w:line="240" w:lineRule="auto"/>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周边5km范围内居住区、医疗卫生、文化教育、科研、行政办公等机构人口总数小于1万人；或周边500m范围内人口总数小于500人；油气、化学品输送管线管段周边200m范围内，每千米管段人口数小于100人。</w:t>
                  </w:r>
                </w:p>
              </w:tc>
            </w:tr>
          </w:tbl>
          <w:p>
            <w:pPr>
              <w:spacing w:line="520" w:lineRule="exact"/>
              <w:ind w:firstLine="472" w:firstLineChars="200"/>
              <w:rPr>
                <w:rFonts w:ascii="Times New Roman" w:hAnsi="Times New Roman" w:eastAsia="宋体" w:cs="Times New Roman"/>
                <w:color w:val="000000"/>
                <w:spacing w:val="-2"/>
                <w:szCs w:val="20"/>
              </w:rPr>
            </w:pPr>
            <w:r>
              <w:rPr>
                <w:rFonts w:hint="eastAsia" w:ascii="Times New Roman" w:hAnsi="Times New Roman" w:eastAsia="宋体" w:cs="Times New Roman"/>
                <w:color w:val="000000"/>
                <w:spacing w:val="-2"/>
                <w:sz w:val="24"/>
                <w:highlight w:val="none"/>
                <w:lang w:val="en-US" w:eastAsia="zh-CN"/>
              </w:rPr>
              <w:t xml:space="preserve"> </w:t>
            </w:r>
            <w:r>
              <w:rPr>
                <w:rFonts w:hint="default" w:ascii="Times New Roman" w:hAnsi="Times New Roman" w:eastAsia="宋体" w:cs="Times New Roman"/>
                <w:color w:val="000000"/>
                <w:spacing w:val="-2"/>
                <w:sz w:val="24"/>
                <w:highlight w:val="none"/>
              </w:rPr>
              <w:t>根据项目涉及的危险物质可能的影响途径和所在区域的实际环境特点</w:t>
            </w:r>
            <w:r>
              <w:rPr>
                <w:rFonts w:hint="eastAsia" w:ascii="Times New Roman" w:hAnsi="Times New Roman" w:eastAsia="宋体" w:cs="Times New Roman"/>
                <w:color w:val="000000"/>
                <w:spacing w:val="-2"/>
                <w:sz w:val="24"/>
                <w:highlight w:val="none"/>
                <w:lang w:eastAsia="zh-CN"/>
              </w:rPr>
              <w:t>，</w:t>
            </w:r>
            <w:r>
              <w:rPr>
                <w:rFonts w:hint="eastAsia" w:ascii="Times New Roman" w:hAnsi="Times New Roman" w:eastAsia="宋体" w:cs="Times New Roman"/>
                <w:color w:val="000000"/>
                <w:spacing w:val="-2"/>
                <w:sz w:val="24"/>
                <w:highlight w:val="none"/>
                <w:lang w:val="en-US" w:eastAsia="zh-CN"/>
              </w:rPr>
              <w:t>本项目周边500m范围内不存在环境保护目标，均为园区工业企业，周边500m范围内人口总数大于1000人，为大气环境高度敏感区</w:t>
            </w:r>
            <w:r>
              <w:rPr>
                <w:rFonts w:hint="eastAsia" w:cs="Times New Roman"/>
                <w:color w:val="000000"/>
                <w:spacing w:val="-2"/>
                <w:sz w:val="24"/>
                <w:highlight w:val="none"/>
                <w:lang w:val="en-US" w:eastAsia="zh-CN"/>
              </w:rPr>
              <w:t>E1</w:t>
            </w:r>
            <w:r>
              <w:rPr>
                <w:rFonts w:hint="eastAsia" w:ascii="Times New Roman" w:hAnsi="Times New Roman" w:eastAsia="宋体" w:cs="Times New Roman"/>
                <w:color w:val="000000"/>
                <w:spacing w:val="-2"/>
                <w:sz w:val="24"/>
                <w:highlight w:val="none"/>
                <w:lang w:val="en-US" w:eastAsia="zh-CN"/>
              </w:rPr>
              <w:t>。</w:t>
            </w:r>
          </w:p>
          <w:p>
            <w:pPr>
              <w:spacing w:line="520" w:lineRule="exact"/>
              <w:ind w:firstLine="472" w:firstLineChars="200"/>
              <w:rPr>
                <w:rFonts w:ascii="Times New Roman" w:hAnsi="Times New Roman" w:eastAsia="宋体" w:cs="Times New Roman"/>
                <w:color w:val="000000"/>
                <w:spacing w:val="-2"/>
                <w:szCs w:val="20"/>
              </w:rPr>
            </w:pPr>
            <w:r>
              <w:rPr>
                <w:rFonts w:hint="eastAsia" w:ascii="Times New Roman" w:hAnsi="Times New Roman" w:eastAsia="宋体" w:cs="Times New Roman"/>
                <w:color w:val="000000"/>
                <w:spacing w:val="-2"/>
                <w:szCs w:val="20"/>
                <w:lang w:val="en-US" w:eastAsia="zh-CN"/>
              </w:rPr>
              <w:t>②</w:t>
            </w:r>
            <w:r>
              <w:rPr>
                <w:rFonts w:ascii="Times New Roman" w:hAnsi="Times New Roman" w:eastAsia="宋体" w:cs="Times New Roman"/>
                <w:color w:val="000000"/>
                <w:spacing w:val="-2"/>
                <w:szCs w:val="20"/>
              </w:rPr>
              <w:t>地表水环境</w:t>
            </w:r>
            <w:r>
              <w:rPr>
                <w:rFonts w:hint="eastAsia" w:ascii="Times New Roman" w:hAnsi="Times New Roman" w:eastAsia="宋体" w:cs="Times New Roman"/>
                <w:color w:val="000000"/>
                <w:spacing w:val="-2"/>
                <w:szCs w:val="20"/>
                <w:lang w:val="en-US" w:eastAsia="zh-CN"/>
              </w:rPr>
              <w:t>敏感目标调查以及</w:t>
            </w:r>
            <w:r>
              <w:rPr>
                <w:rFonts w:ascii="Times New Roman" w:hAnsi="Times New Roman" w:eastAsia="宋体" w:cs="Times New Roman"/>
                <w:color w:val="000000"/>
                <w:spacing w:val="-2"/>
                <w:szCs w:val="20"/>
              </w:rPr>
              <w:t>敏感程度</w:t>
            </w:r>
          </w:p>
          <w:p>
            <w:pPr>
              <w:spacing w:line="520" w:lineRule="exact"/>
              <w:ind w:firstLine="472" w:firstLineChars="200"/>
              <w:rPr>
                <w:rFonts w:ascii="Times New Roman" w:hAnsi="Times New Roman" w:eastAsia="宋体" w:cs="Times New Roman"/>
                <w:color w:val="000000"/>
                <w:spacing w:val="-2"/>
                <w:szCs w:val="20"/>
              </w:rPr>
            </w:pPr>
            <w:r>
              <w:rPr>
                <w:rFonts w:ascii="Times New Roman" w:hAnsi="Times New Roman" w:eastAsia="宋体" w:cs="Times New Roman"/>
                <w:color w:val="000000"/>
                <w:spacing w:val="-2"/>
                <w:szCs w:val="20"/>
              </w:rPr>
              <w:t>根据《建设项目环境风险评价技术导则》（HJ169-2018）附录D的规定：区域地表水环境敏感程度依据事故情况下危险物质泄漏到水体的排放点受纳地表水体功能敏感性与下游环境敏感目标情况确定。区域地表水环境敏感程度共分为三种类型，E1为环境高度敏感区，E2为环境中度敏感区，E3为环境低度敏感区，其分级原则见表</w:t>
            </w:r>
            <w:r>
              <w:rPr>
                <w:rFonts w:hint="eastAsia" w:ascii="Times New Roman" w:hAnsi="Times New Roman" w:eastAsia="宋体" w:cs="Times New Roman"/>
                <w:color w:val="000000"/>
                <w:spacing w:val="-2"/>
                <w:szCs w:val="20"/>
                <w:lang w:val="en-US" w:eastAsia="zh-CN"/>
              </w:rPr>
              <w:t>4.11-4</w:t>
            </w:r>
            <w:r>
              <w:rPr>
                <w:rFonts w:ascii="Times New Roman" w:hAnsi="Times New Roman" w:eastAsia="宋体" w:cs="Times New Roman"/>
                <w:color w:val="000000"/>
                <w:spacing w:val="-2"/>
                <w:szCs w:val="20"/>
              </w:rPr>
              <w:t>。其中地表水功能敏感性分区和环境敏感目标分级原则分别见表</w:t>
            </w:r>
            <w:r>
              <w:rPr>
                <w:rFonts w:hint="eastAsia" w:ascii="Times New Roman" w:hAnsi="Times New Roman" w:eastAsia="宋体" w:cs="Times New Roman"/>
                <w:color w:val="000000"/>
                <w:spacing w:val="-2"/>
                <w:szCs w:val="20"/>
                <w:lang w:val="en-US" w:eastAsia="zh-CN"/>
              </w:rPr>
              <w:t>4.11-5</w:t>
            </w:r>
            <w:r>
              <w:rPr>
                <w:rFonts w:ascii="Times New Roman" w:hAnsi="Times New Roman" w:eastAsia="宋体" w:cs="Times New Roman"/>
                <w:color w:val="000000"/>
                <w:spacing w:val="-2"/>
                <w:szCs w:val="20"/>
              </w:rPr>
              <w:t>和表</w:t>
            </w:r>
            <w:r>
              <w:rPr>
                <w:rFonts w:hint="eastAsia" w:ascii="Times New Roman" w:hAnsi="Times New Roman" w:eastAsia="宋体" w:cs="Times New Roman"/>
                <w:color w:val="000000"/>
                <w:spacing w:val="-2"/>
                <w:szCs w:val="20"/>
                <w:lang w:val="en-US" w:eastAsia="zh-CN"/>
              </w:rPr>
              <w:t>4.11-6</w:t>
            </w:r>
            <w:r>
              <w:rPr>
                <w:rFonts w:ascii="Times New Roman" w:hAnsi="Times New Roman" w:eastAsia="宋体" w:cs="Times New Roman"/>
                <w:color w:val="000000"/>
                <w:spacing w:val="-2"/>
                <w:szCs w:val="20"/>
              </w:rPr>
              <w:t>。</w:t>
            </w:r>
          </w:p>
          <w:p>
            <w:pPr>
              <w:widowControl/>
              <w:spacing w:after="80" w:line="520" w:lineRule="exact"/>
              <w:jc w:val="center"/>
              <w:rPr>
                <w:rFonts w:ascii="Times New Roman" w:hAnsi="Times New Roman" w:eastAsia="宋体" w:cs="Times New Roman"/>
                <w:b/>
                <w:color w:val="000000"/>
                <w:szCs w:val="24"/>
                <w:lang w:bidi="en-US"/>
              </w:rPr>
            </w:pPr>
            <w:r>
              <w:rPr>
                <w:rFonts w:ascii="Times New Roman" w:hAnsi="Times New Roman" w:eastAsia="宋体" w:cs="Times New Roman"/>
                <w:b/>
                <w:color w:val="000000"/>
                <w:szCs w:val="24"/>
                <w:lang w:bidi="en-US"/>
              </w:rPr>
              <w:t>表</w:t>
            </w:r>
            <w:r>
              <w:rPr>
                <w:rFonts w:hint="eastAsia" w:ascii="Times New Roman" w:hAnsi="Times New Roman" w:eastAsia="宋体" w:cs="Times New Roman"/>
                <w:b/>
                <w:color w:val="000000"/>
                <w:szCs w:val="24"/>
                <w:lang w:val="en-US" w:eastAsia="zh-CN" w:bidi="en-US"/>
              </w:rPr>
              <w:t>4.11-4</w:t>
            </w:r>
            <w:r>
              <w:rPr>
                <w:rFonts w:ascii="Times New Roman" w:hAnsi="Times New Roman" w:eastAsia="宋体" w:cs="Times New Roman"/>
                <w:b/>
                <w:color w:val="000000"/>
                <w:szCs w:val="24"/>
                <w:lang w:bidi="en-US"/>
              </w:rPr>
              <w:t>地表水环境敏感程度分级原则一览表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2126"/>
              <w:gridCol w:w="2127"/>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vMerge w:val="restart"/>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环境敏感目标</w:t>
                  </w:r>
                </w:p>
              </w:tc>
              <w:tc>
                <w:tcPr>
                  <w:tcW w:w="6391" w:type="dxa"/>
                  <w:gridSpan w:val="3"/>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地表水功能敏感性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vMerge w:val="continue"/>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F1</w:t>
                  </w:r>
                </w:p>
              </w:tc>
              <w:tc>
                <w:tcPr>
                  <w:tcW w:w="2131"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F2</w:t>
                  </w: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F3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S1</w:t>
                  </w: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E1</w:t>
                  </w:r>
                </w:p>
              </w:tc>
              <w:tc>
                <w:tcPr>
                  <w:tcW w:w="2131"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E2</w:t>
                  </w: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S2</w:t>
                  </w: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E1</w:t>
                  </w:r>
                </w:p>
              </w:tc>
              <w:tc>
                <w:tcPr>
                  <w:tcW w:w="2131"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E2</w:t>
                  </w: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S3</w:t>
                  </w: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E1</w:t>
                  </w:r>
                </w:p>
              </w:tc>
              <w:tc>
                <w:tcPr>
                  <w:tcW w:w="2131"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E2</w:t>
                  </w: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E3</w:t>
                  </w:r>
                </w:p>
              </w:tc>
            </w:tr>
          </w:tbl>
          <w:p>
            <w:pPr>
              <w:widowControl/>
              <w:spacing w:after="80" w:line="520" w:lineRule="exact"/>
              <w:jc w:val="center"/>
              <w:rPr>
                <w:rFonts w:ascii="Times New Roman" w:hAnsi="Times New Roman" w:eastAsia="宋体" w:cs="Times New Roman"/>
                <w:b/>
                <w:color w:val="000000"/>
                <w:szCs w:val="24"/>
                <w:lang w:bidi="en-US"/>
              </w:rPr>
            </w:pPr>
            <w:r>
              <w:rPr>
                <w:rFonts w:ascii="Times New Roman" w:hAnsi="Times New Roman" w:eastAsia="宋体" w:cs="Times New Roman"/>
                <w:b/>
                <w:color w:val="000000"/>
                <w:szCs w:val="24"/>
                <w:lang w:bidi="en-US"/>
              </w:rPr>
              <w:t>表</w:t>
            </w:r>
            <w:r>
              <w:rPr>
                <w:rFonts w:hint="eastAsia" w:ascii="Times New Roman" w:hAnsi="Times New Roman" w:eastAsia="宋体" w:cs="Times New Roman"/>
                <w:b/>
                <w:color w:val="000000"/>
                <w:szCs w:val="24"/>
                <w:lang w:val="en-US" w:eastAsia="zh-CN" w:bidi="en-US"/>
              </w:rPr>
              <w:t>4.11-5</w:t>
            </w:r>
            <w:r>
              <w:rPr>
                <w:rFonts w:ascii="Times New Roman" w:hAnsi="Times New Roman" w:eastAsia="宋体" w:cs="Times New Roman"/>
                <w:b/>
                <w:color w:val="000000"/>
                <w:szCs w:val="24"/>
                <w:lang w:bidi="en-US"/>
              </w:rPr>
              <w:t>地表水功能敏感性分区原则一览表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71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敏感性</w:t>
                  </w:r>
                </w:p>
              </w:tc>
              <w:tc>
                <w:tcPr>
                  <w:tcW w:w="7214"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地表水环境敏感特征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敏感F1</w:t>
                  </w:r>
                </w:p>
              </w:tc>
              <w:tc>
                <w:tcPr>
                  <w:tcW w:w="7214"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排放点进入地表水水域环境功能为Ⅱ类及以上，或海水水质分类第一类；或以发生事故时，危险物质泄漏到水体的排放点算起，排放进入受纳河流最大流速时，24h流经范围内涉跨国界的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较敏感F2</w:t>
                  </w:r>
                </w:p>
              </w:tc>
              <w:tc>
                <w:tcPr>
                  <w:tcW w:w="7214"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排放点进入地表水水域环境功能为Ⅲ类，或海水水质分类第二类；或以发生事故时，危险物质泄漏到水体的排放点算起，排放进入受纳河流最大流速时，24h流经范围内涉跨省界的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低敏感F3</w:t>
                  </w:r>
                </w:p>
              </w:tc>
              <w:tc>
                <w:tcPr>
                  <w:tcW w:w="7214"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上述地区之外的其他地区</w:t>
                  </w:r>
                </w:p>
              </w:tc>
            </w:tr>
          </w:tbl>
          <w:p>
            <w:pPr>
              <w:widowControl/>
              <w:spacing w:line="520" w:lineRule="exact"/>
              <w:jc w:val="center"/>
              <w:rPr>
                <w:rFonts w:ascii="Times New Roman" w:hAnsi="Times New Roman" w:eastAsia="宋体" w:cs="Times New Roman"/>
                <w:b/>
                <w:color w:val="000000"/>
                <w:szCs w:val="24"/>
                <w:lang w:bidi="en-US"/>
              </w:rPr>
            </w:pPr>
            <w:r>
              <w:rPr>
                <w:rFonts w:ascii="Times New Roman" w:hAnsi="Times New Roman" w:eastAsia="宋体" w:cs="Times New Roman"/>
                <w:b/>
                <w:color w:val="000000"/>
                <w:szCs w:val="24"/>
                <w:lang w:bidi="en-US"/>
              </w:rPr>
              <w:t>表</w:t>
            </w:r>
            <w:r>
              <w:rPr>
                <w:rFonts w:hint="eastAsia" w:ascii="Times New Roman" w:hAnsi="Times New Roman" w:eastAsia="宋体" w:cs="Times New Roman"/>
                <w:b/>
                <w:color w:val="000000"/>
                <w:szCs w:val="24"/>
                <w:lang w:val="en-US" w:eastAsia="zh-CN" w:bidi="en-US"/>
              </w:rPr>
              <w:t>4.11-6</w:t>
            </w:r>
            <w:r>
              <w:rPr>
                <w:rFonts w:ascii="Times New Roman" w:hAnsi="Times New Roman" w:eastAsia="宋体" w:cs="Times New Roman"/>
                <w:b/>
                <w:color w:val="000000"/>
                <w:szCs w:val="24"/>
                <w:lang w:bidi="en-US"/>
              </w:rPr>
              <w:t>环境敏感目标分级原则一览表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71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分级</w:t>
                  </w:r>
                </w:p>
              </w:tc>
              <w:tc>
                <w:tcPr>
                  <w:tcW w:w="7214"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环境敏感目标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S1</w:t>
                  </w:r>
                </w:p>
              </w:tc>
              <w:tc>
                <w:tcPr>
                  <w:tcW w:w="7214"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S2</w:t>
                  </w:r>
                </w:p>
              </w:tc>
              <w:tc>
                <w:tcPr>
                  <w:tcW w:w="7214"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S3</w:t>
                  </w:r>
                </w:p>
              </w:tc>
              <w:tc>
                <w:tcPr>
                  <w:tcW w:w="7214"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排放点下游（顺水流向）10km范围、近岸海域一个潮周期水质点可能达到的最大水平距离的两倍范围内无上述类型1和类型2包括的敏感保护目标</w:t>
                  </w:r>
                </w:p>
              </w:tc>
            </w:tr>
          </w:tbl>
          <w:p>
            <w:pPr>
              <w:spacing w:line="520" w:lineRule="exact"/>
              <w:ind w:firstLine="472" w:firstLineChars="200"/>
              <w:rPr>
                <w:rFonts w:ascii="Times New Roman" w:hAnsi="Times New Roman" w:eastAsia="宋体" w:cs="Times New Roman"/>
                <w:color w:val="000000"/>
                <w:spacing w:val="-2"/>
                <w:szCs w:val="20"/>
              </w:rPr>
            </w:pPr>
            <w:r>
              <w:rPr>
                <w:rFonts w:hint="eastAsia" w:ascii="Times New Roman" w:hAnsi="Times New Roman" w:eastAsia="宋体" w:cs="Times New Roman"/>
                <w:color w:val="000000"/>
                <w:spacing w:val="-2"/>
                <w:szCs w:val="20"/>
                <w:lang w:val="en-US" w:eastAsia="zh-CN"/>
              </w:rPr>
              <w:t>本项目周边不存在500m范围不存在地表水饮用水水源保护区等特殊重要保护地表水保护目标</w:t>
            </w:r>
            <w:r>
              <w:rPr>
                <w:rFonts w:ascii="Times New Roman" w:hAnsi="Times New Roman" w:eastAsia="宋体" w:cs="Times New Roman"/>
                <w:color w:val="000000"/>
                <w:spacing w:val="-2"/>
                <w:szCs w:val="20"/>
              </w:rPr>
              <w:t>，</w:t>
            </w:r>
            <w:r>
              <w:rPr>
                <w:rFonts w:hint="eastAsia" w:ascii="Times New Roman" w:hAnsi="Times New Roman" w:eastAsia="宋体" w:cs="Times New Roman"/>
                <w:color w:val="000000"/>
                <w:spacing w:val="-2"/>
                <w:szCs w:val="20"/>
                <w:lang w:val="en-US" w:eastAsia="zh-CN"/>
              </w:rPr>
              <w:t>本项目冷却水循环使用不外排，生活污水排入园区管网</w:t>
            </w:r>
            <w:r>
              <w:rPr>
                <w:rFonts w:hint="eastAsia" w:ascii="Times New Roman" w:hAnsi="Times New Roman" w:eastAsia="宋体" w:cs="Times New Roman"/>
                <w:color w:val="000000"/>
                <w:spacing w:val="-2"/>
                <w:szCs w:val="20"/>
                <w:lang w:eastAsia="zh-CN"/>
              </w:rPr>
              <w:t>，</w:t>
            </w:r>
            <w:r>
              <w:rPr>
                <w:rFonts w:ascii="Times New Roman" w:hAnsi="Times New Roman" w:eastAsia="宋体" w:cs="Times New Roman"/>
                <w:color w:val="000000"/>
                <w:spacing w:val="-2"/>
                <w:szCs w:val="20"/>
              </w:rPr>
              <w:t>不排入地表水体，项目与所在区域无水力联系，不是集中式饮用水水源（包括已建成的在用、备用、应急水源，在建和规划的饮用水水源）准保护区和补给径流区，敏感目标为S</w:t>
            </w:r>
            <w:r>
              <w:rPr>
                <w:rFonts w:hint="eastAsia" w:ascii="Times New Roman" w:hAnsi="Times New Roman" w:eastAsia="宋体" w:cs="Times New Roman"/>
                <w:color w:val="000000"/>
                <w:spacing w:val="-2"/>
                <w:szCs w:val="20"/>
              </w:rPr>
              <w:t>3</w:t>
            </w:r>
            <w:r>
              <w:rPr>
                <w:rFonts w:ascii="Times New Roman" w:hAnsi="Times New Roman" w:eastAsia="宋体" w:cs="Times New Roman"/>
                <w:color w:val="000000"/>
                <w:spacing w:val="-2"/>
                <w:szCs w:val="20"/>
              </w:rPr>
              <w:t xml:space="preserve">，但本项目生活废水不排入地表水体，因此地表水环境敏感特征为低敏感F3。    </w:t>
            </w:r>
          </w:p>
          <w:p>
            <w:pPr>
              <w:spacing w:line="520" w:lineRule="exact"/>
              <w:ind w:firstLine="472" w:firstLineChars="200"/>
              <w:rPr>
                <w:rFonts w:ascii="Times New Roman" w:hAnsi="Times New Roman" w:eastAsia="宋体" w:cs="Times New Roman"/>
                <w:color w:val="000000"/>
                <w:spacing w:val="-2"/>
                <w:szCs w:val="20"/>
              </w:rPr>
            </w:pPr>
            <w:r>
              <w:rPr>
                <w:rFonts w:ascii="Times New Roman" w:hAnsi="Times New Roman" w:eastAsia="宋体" w:cs="Times New Roman"/>
                <w:color w:val="000000"/>
                <w:spacing w:val="-2"/>
                <w:szCs w:val="20"/>
              </w:rPr>
              <w:t>3）地下水环境敏感程度的确定</w:t>
            </w:r>
          </w:p>
          <w:p>
            <w:pPr>
              <w:spacing w:line="520" w:lineRule="exact"/>
              <w:ind w:firstLine="472" w:firstLineChars="200"/>
              <w:rPr>
                <w:rFonts w:ascii="Times New Roman" w:hAnsi="Times New Roman" w:eastAsia="宋体" w:cs="Times New Roman"/>
                <w:color w:val="000000"/>
                <w:spacing w:val="-2"/>
                <w:szCs w:val="20"/>
              </w:rPr>
            </w:pPr>
            <w:r>
              <w:rPr>
                <w:rFonts w:ascii="Times New Roman" w:hAnsi="Times New Roman" w:eastAsia="宋体" w:cs="Times New Roman"/>
                <w:color w:val="000000"/>
                <w:spacing w:val="-2"/>
                <w:szCs w:val="20"/>
              </w:rPr>
              <w:t>根据《建设项目环境风险评价技术导则》（HJ169-2018）附录D的规定：项目所在区域地下水环境敏感程度依据地下水功能敏感性与包气带防污性能确定。区域地下水环境敏感程度共分为三种类型，E1为环境高度敏感区，E2为环境中度敏感区，E3为环境低度敏感区，其分级原则见表</w:t>
            </w:r>
            <w:r>
              <w:rPr>
                <w:rFonts w:hint="eastAsia" w:ascii="Times New Roman" w:hAnsi="Times New Roman" w:eastAsia="宋体" w:cs="Times New Roman"/>
                <w:color w:val="000000"/>
                <w:spacing w:val="-2"/>
                <w:szCs w:val="20"/>
                <w:lang w:val="en-US" w:eastAsia="zh-CN"/>
              </w:rPr>
              <w:t>4.11-7</w:t>
            </w:r>
            <w:r>
              <w:rPr>
                <w:rFonts w:ascii="Times New Roman" w:hAnsi="Times New Roman" w:eastAsia="宋体" w:cs="Times New Roman"/>
                <w:color w:val="000000"/>
                <w:spacing w:val="-2"/>
                <w:szCs w:val="20"/>
              </w:rPr>
              <w:t>。其中地下水功能敏感性分区和包气带防污性能分级分别见表</w:t>
            </w:r>
            <w:r>
              <w:rPr>
                <w:rFonts w:hint="eastAsia" w:ascii="Times New Roman" w:hAnsi="Times New Roman" w:eastAsia="宋体" w:cs="Times New Roman"/>
                <w:color w:val="000000"/>
                <w:spacing w:val="-2"/>
                <w:szCs w:val="20"/>
                <w:lang w:val="en-US" w:eastAsia="zh-CN"/>
              </w:rPr>
              <w:t>4.11-8</w:t>
            </w:r>
            <w:r>
              <w:rPr>
                <w:rFonts w:ascii="Times New Roman" w:hAnsi="Times New Roman" w:eastAsia="宋体" w:cs="Times New Roman"/>
                <w:color w:val="000000"/>
                <w:spacing w:val="-2"/>
                <w:szCs w:val="20"/>
              </w:rPr>
              <w:t>和表</w:t>
            </w:r>
            <w:r>
              <w:rPr>
                <w:rFonts w:hint="eastAsia" w:ascii="Times New Roman" w:hAnsi="Times New Roman" w:eastAsia="宋体" w:cs="Times New Roman"/>
                <w:color w:val="000000"/>
                <w:spacing w:val="-2"/>
                <w:szCs w:val="20"/>
                <w:lang w:val="en-US" w:eastAsia="zh-CN"/>
              </w:rPr>
              <w:t>4.11-9</w:t>
            </w:r>
            <w:r>
              <w:rPr>
                <w:rFonts w:ascii="Times New Roman" w:hAnsi="Times New Roman" w:eastAsia="宋体" w:cs="Times New Roman"/>
                <w:color w:val="000000"/>
                <w:spacing w:val="-2"/>
                <w:szCs w:val="20"/>
              </w:rPr>
              <w:t>。当同一建设项目涉及两个G分区或D分级及以上时，取相对值。</w:t>
            </w:r>
          </w:p>
          <w:p>
            <w:pPr>
              <w:widowControl/>
              <w:spacing w:after="80" w:line="520" w:lineRule="exact"/>
              <w:jc w:val="center"/>
              <w:rPr>
                <w:rFonts w:ascii="Times New Roman" w:hAnsi="Times New Roman" w:eastAsia="宋体" w:cs="Times New Roman"/>
                <w:b/>
                <w:color w:val="000000"/>
                <w:szCs w:val="24"/>
                <w:lang w:bidi="en-US"/>
              </w:rPr>
            </w:pPr>
            <w:r>
              <w:rPr>
                <w:rFonts w:ascii="Times New Roman" w:hAnsi="Times New Roman" w:eastAsia="宋体" w:cs="Times New Roman"/>
                <w:b/>
                <w:color w:val="000000"/>
                <w:szCs w:val="24"/>
                <w:lang w:bidi="en-US"/>
              </w:rPr>
              <w:t>表</w:t>
            </w:r>
            <w:r>
              <w:rPr>
                <w:rFonts w:hint="eastAsia" w:ascii="Times New Roman" w:hAnsi="Times New Roman" w:eastAsia="宋体" w:cs="Times New Roman"/>
                <w:b/>
                <w:color w:val="000000"/>
                <w:szCs w:val="24"/>
                <w:lang w:val="en-US" w:eastAsia="zh-CN" w:bidi="en-US"/>
              </w:rPr>
              <w:t>4.11-7</w:t>
            </w:r>
            <w:r>
              <w:rPr>
                <w:rFonts w:ascii="Times New Roman" w:hAnsi="Times New Roman" w:eastAsia="宋体" w:cs="Times New Roman"/>
                <w:b/>
                <w:color w:val="000000"/>
                <w:szCs w:val="24"/>
                <w:lang w:bidi="en-US"/>
              </w:rPr>
              <w:t>地下水环境敏感程度分级原则一览表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2126"/>
              <w:gridCol w:w="2127"/>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vMerge w:val="restart"/>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包气带防污性能</w:t>
                  </w:r>
                </w:p>
              </w:tc>
              <w:tc>
                <w:tcPr>
                  <w:tcW w:w="6391" w:type="dxa"/>
                  <w:gridSpan w:val="3"/>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地下水功能敏感性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vMerge w:val="continue"/>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G1</w:t>
                  </w:r>
                </w:p>
              </w:tc>
              <w:tc>
                <w:tcPr>
                  <w:tcW w:w="2131"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G2</w:t>
                  </w: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G3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D1</w:t>
                  </w: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E1</w:t>
                  </w:r>
                </w:p>
              </w:tc>
              <w:tc>
                <w:tcPr>
                  <w:tcW w:w="2131"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E1</w:t>
                  </w: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D2</w:t>
                  </w: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E1</w:t>
                  </w:r>
                </w:p>
              </w:tc>
              <w:tc>
                <w:tcPr>
                  <w:tcW w:w="2131"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E2</w:t>
                  </w: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D3</w:t>
                  </w: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E2</w:t>
                  </w:r>
                </w:p>
              </w:tc>
              <w:tc>
                <w:tcPr>
                  <w:tcW w:w="2131"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E3</w:t>
                  </w:r>
                </w:p>
              </w:tc>
              <w:tc>
                <w:tcPr>
                  <w:tcW w:w="2130"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E3</w:t>
                  </w:r>
                </w:p>
              </w:tc>
            </w:tr>
          </w:tbl>
          <w:p>
            <w:pPr>
              <w:widowControl/>
              <w:spacing w:after="80" w:line="520" w:lineRule="exact"/>
              <w:jc w:val="center"/>
              <w:rPr>
                <w:rFonts w:ascii="Times New Roman" w:hAnsi="Times New Roman" w:eastAsia="宋体" w:cs="Times New Roman"/>
                <w:b/>
                <w:color w:val="000000"/>
                <w:szCs w:val="24"/>
                <w:lang w:bidi="en-US"/>
              </w:rPr>
            </w:pPr>
            <w:r>
              <w:rPr>
                <w:rFonts w:ascii="Times New Roman" w:hAnsi="Times New Roman" w:eastAsia="宋体" w:cs="Times New Roman"/>
                <w:b/>
                <w:color w:val="000000"/>
                <w:szCs w:val="24"/>
                <w:lang w:bidi="en-US"/>
              </w:rPr>
              <w:t>表</w:t>
            </w:r>
            <w:r>
              <w:rPr>
                <w:rFonts w:hint="eastAsia" w:ascii="Times New Roman" w:hAnsi="Times New Roman" w:eastAsia="宋体" w:cs="Times New Roman"/>
                <w:b/>
                <w:color w:val="000000"/>
                <w:szCs w:val="24"/>
                <w:lang w:val="en-US" w:eastAsia="zh-CN" w:bidi="en-US"/>
              </w:rPr>
              <w:t>4.11-8</w:t>
            </w:r>
            <w:r>
              <w:rPr>
                <w:rFonts w:ascii="Times New Roman" w:hAnsi="Times New Roman" w:eastAsia="宋体" w:cs="Times New Roman"/>
                <w:b/>
                <w:color w:val="000000"/>
                <w:szCs w:val="24"/>
                <w:lang w:bidi="en-US"/>
              </w:rPr>
              <w:t>地下水功能敏感性分区原则一览表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69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分级</w:t>
                  </w:r>
                </w:p>
              </w:tc>
              <w:tc>
                <w:tcPr>
                  <w:tcW w:w="6923"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分级地下水环境敏感特征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敏感G1</w:t>
                  </w:r>
                </w:p>
              </w:tc>
              <w:tc>
                <w:tcPr>
                  <w:tcW w:w="6923"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较敏感G2</w:t>
                  </w:r>
                </w:p>
              </w:tc>
              <w:tc>
                <w:tcPr>
                  <w:tcW w:w="6923"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不敏感G3</w:t>
                  </w:r>
                </w:p>
              </w:tc>
              <w:tc>
                <w:tcPr>
                  <w:tcW w:w="6923"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上述地区之外的其他地区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1" w:type="dxa"/>
                  <w:gridSpan w:val="2"/>
                  <w:tcBorders>
                    <w:tl2br w:val="nil"/>
                    <w:tr2bl w:val="nil"/>
                  </w:tcBorders>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pacing w:val="-2"/>
                      <w:sz w:val="21"/>
                      <w:szCs w:val="21"/>
                    </w:rPr>
                    <w:t>环境敏感区是指《建设项目环境影响评价分类管理名录》中所界定的涉及地下水的环境敏感区</w:t>
                  </w:r>
                </w:p>
              </w:tc>
            </w:tr>
          </w:tbl>
          <w:p>
            <w:pPr>
              <w:widowControl/>
              <w:spacing w:after="80" w:line="520" w:lineRule="exact"/>
              <w:jc w:val="center"/>
              <w:rPr>
                <w:rFonts w:ascii="Times New Roman" w:hAnsi="Times New Roman" w:eastAsia="宋体" w:cs="Times New Roman"/>
                <w:b/>
                <w:color w:val="000000"/>
                <w:szCs w:val="24"/>
                <w:lang w:bidi="en-US"/>
              </w:rPr>
            </w:pPr>
            <w:r>
              <w:rPr>
                <w:rFonts w:ascii="Times New Roman" w:hAnsi="Times New Roman" w:eastAsia="宋体" w:cs="Times New Roman"/>
                <w:b/>
                <w:color w:val="000000"/>
                <w:szCs w:val="24"/>
                <w:lang w:bidi="en-US"/>
              </w:rPr>
              <w:t>表</w:t>
            </w:r>
            <w:r>
              <w:rPr>
                <w:rFonts w:hint="eastAsia" w:ascii="Times New Roman" w:hAnsi="Times New Roman" w:eastAsia="宋体" w:cs="Times New Roman"/>
                <w:b/>
                <w:color w:val="000000"/>
                <w:szCs w:val="24"/>
                <w:lang w:val="en-US" w:eastAsia="zh-CN" w:bidi="en-US"/>
              </w:rPr>
              <w:t>4.11-9</w:t>
            </w:r>
            <w:r>
              <w:rPr>
                <w:rFonts w:ascii="Times New Roman" w:hAnsi="Times New Roman" w:eastAsia="宋体" w:cs="Times New Roman"/>
                <w:b/>
                <w:color w:val="000000"/>
                <w:szCs w:val="24"/>
                <w:lang w:bidi="en-US"/>
              </w:rPr>
              <w:t>包气带防污性能分级原则一览表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69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分级</w:t>
                  </w:r>
                </w:p>
              </w:tc>
              <w:tc>
                <w:tcPr>
                  <w:tcW w:w="6923"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包气带岩土的渗透性能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D3</w:t>
                  </w:r>
                </w:p>
              </w:tc>
              <w:tc>
                <w:tcPr>
                  <w:tcW w:w="6923"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Mb≥1.0m，K≤1.0×10</w:t>
                  </w:r>
                  <w:r>
                    <w:rPr>
                      <w:rFonts w:ascii="Times New Roman" w:hAnsi="Times New Roman" w:eastAsia="宋体" w:cs="Times New Roman"/>
                      <w:color w:val="000000"/>
                      <w:spacing w:val="-2"/>
                      <w:sz w:val="21"/>
                      <w:szCs w:val="21"/>
                      <w:vertAlign w:val="superscript"/>
                    </w:rPr>
                    <w:t>-6</w:t>
                  </w:r>
                  <w:r>
                    <w:rPr>
                      <w:rFonts w:ascii="Times New Roman" w:hAnsi="Times New Roman" w:eastAsia="宋体" w:cs="Times New Roman"/>
                      <w:color w:val="000000"/>
                      <w:spacing w:val="-2"/>
                      <w:sz w:val="21"/>
                      <w:szCs w:val="21"/>
                    </w:rPr>
                    <w:t>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D2</w:t>
                  </w:r>
                </w:p>
              </w:tc>
              <w:tc>
                <w:tcPr>
                  <w:tcW w:w="6923"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0.5m≤Mb&lt;1.0m，K≤1.0×10</w:t>
                  </w:r>
                  <w:r>
                    <w:rPr>
                      <w:rFonts w:ascii="Times New Roman" w:hAnsi="Times New Roman" w:eastAsia="宋体" w:cs="Times New Roman"/>
                      <w:color w:val="000000"/>
                      <w:spacing w:val="-2"/>
                      <w:sz w:val="21"/>
                      <w:szCs w:val="21"/>
                      <w:vertAlign w:val="superscript"/>
                    </w:rPr>
                    <w:t>-6</w:t>
                  </w:r>
                  <w:r>
                    <w:rPr>
                      <w:rFonts w:ascii="Times New Roman" w:hAnsi="Times New Roman" w:eastAsia="宋体" w:cs="Times New Roman"/>
                      <w:color w:val="000000"/>
                      <w:spacing w:val="-2"/>
                      <w:sz w:val="21"/>
                      <w:szCs w:val="21"/>
                    </w:rPr>
                    <w:t>cm/s，且分布连续、稳定</w:t>
                  </w:r>
                </w:p>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Mb≥1.0m，1.0×10</w:t>
                  </w:r>
                  <w:r>
                    <w:rPr>
                      <w:rFonts w:ascii="Times New Roman" w:hAnsi="Times New Roman" w:eastAsia="宋体" w:cs="Times New Roman"/>
                      <w:color w:val="000000"/>
                      <w:spacing w:val="-2"/>
                      <w:sz w:val="21"/>
                      <w:szCs w:val="21"/>
                      <w:vertAlign w:val="superscript"/>
                    </w:rPr>
                    <w:t>-6</w:t>
                  </w:r>
                  <w:r>
                    <w:rPr>
                      <w:rFonts w:ascii="Times New Roman" w:hAnsi="Times New Roman" w:eastAsia="宋体" w:cs="Times New Roman"/>
                      <w:color w:val="000000"/>
                      <w:spacing w:val="-2"/>
                      <w:sz w:val="21"/>
                      <w:szCs w:val="21"/>
                    </w:rPr>
                    <w:t>cm/s＜K≤1.0×10</w:t>
                  </w:r>
                  <w:r>
                    <w:rPr>
                      <w:rFonts w:ascii="Times New Roman" w:hAnsi="Times New Roman" w:eastAsia="宋体" w:cs="Times New Roman"/>
                      <w:color w:val="000000"/>
                      <w:spacing w:val="-2"/>
                      <w:sz w:val="21"/>
                      <w:szCs w:val="21"/>
                      <w:vertAlign w:val="superscript"/>
                    </w:rPr>
                    <w:t>-4</w:t>
                  </w:r>
                  <w:r>
                    <w:rPr>
                      <w:rFonts w:ascii="Times New Roman" w:hAnsi="Times New Roman" w:eastAsia="宋体" w:cs="Times New Roman"/>
                      <w:color w:val="000000"/>
                      <w:spacing w:val="-2"/>
                      <w:sz w:val="21"/>
                      <w:szCs w:val="21"/>
                    </w:rPr>
                    <w:t>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D1</w:t>
                  </w:r>
                </w:p>
              </w:tc>
              <w:tc>
                <w:tcPr>
                  <w:tcW w:w="6923" w:type="dxa"/>
                  <w:tcBorders>
                    <w:tl2br w:val="nil"/>
                    <w:tr2bl w:val="nil"/>
                  </w:tcBorders>
                  <w:vAlign w:val="center"/>
                </w:tcPr>
                <w:p>
                  <w:pPr>
                    <w:spacing w:line="240" w:lineRule="auto"/>
                    <w:jc w:val="center"/>
                    <w:rPr>
                      <w:rFonts w:ascii="Times New Roman" w:hAnsi="Times New Roman" w:eastAsia="宋体" w:cs="Times New Roman"/>
                      <w:color w:val="000000"/>
                      <w:spacing w:val="-2"/>
                      <w:sz w:val="21"/>
                      <w:szCs w:val="21"/>
                    </w:rPr>
                  </w:pPr>
                  <w:r>
                    <w:rPr>
                      <w:rFonts w:ascii="Times New Roman" w:hAnsi="Times New Roman" w:eastAsia="宋体" w:cs="Times New Roman"/>
                      <w:color w:val="000000"/>
                      <w:spacing w:val="-2"/>
                      <w:sz w:val="21"/>
                      <w:szCs w:val="21"/>
                    </w:rPr>
                    <w:t>岩（土）层不满足上述“D2”和“D3”条件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1" w:type="dxa"/>
                  <w:gridSpan w:val="2"/>
                  <w:tcBorders>
                    <w:tl2br w:val="nil"/>
                    <w:tr2bl w:val="nil"/>
                  </w:tcBorders>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pacing w:val="-2"/>
                      <w:sz w:val="21"/>
                      <w:szCs w:val="21"/>
                    </w:rPr>
                    <w:t>Mb：岩土层单层厚度。K：渗透系数</w:t>
                  </w:r>
                </w:p>
              </w:tc>
            </w:tr>
          </w:tbl>
          <w:p>
            <w:pPr>
              <w:spacing w:line="520" w:lineRule="exact"/>
              <w:ind w:firstLine="472" w:firstLineChars="200"/>
              <w:rPr>
                <w:rFonts w:ascii="Times New Roman" w:hAnsi="Times New Roman" w:eastAsia="宋体" w:cs="Times New Roman"/>
                <w:color w:val="000000"/>
                <w:spacing w:val="-2"/>
                <w:szCs w:val="20"/>
              </w:rPr>
            </w:pPr>
            <w:r>
              <w:rPr>
                <w:rFonts w:ascii="Times New Roman" w:hAnsi="Times New Roman" w:eastAsia="宋体" w:cs="Times New Roman"/>
                <w:color w:val="000000"/>
                <w:spacing w:val="-2"/>
                <w:szCs w:val="20"/>
              </w:rPr>
              <w:t>本项目</w:t>
            </w:r>
            <w:r>
              <w:rPr>
                <w:rFonts w:hint="eastAsia" w:ascii="Times New Roman" w:hAnsi="Times New Roman" w:eastAsia="宋体" w:cs="Times New Roman"/>
                <w:color w:val="000000"/>
                <w:spacing w:val="-2"/>
                <w:szCs w:val="20"/>
                <w:lang w:val="en-US" w:eastAsia="zh-CN"/>
              </w:rPr>
              <w:t>不涉及</w:t>
            </w:r>
            <w:r>
              <w:rPr>
                <w:rFonts w:ascii="Times New Roman" w:hAnsi="Times New Roman" w:eastAsia="宋体" w:cs="Times New Roman"/>
                <w:color w:val="000000"/>
                <w:spacing w:val="-2"/>
                <w:szCs w:val="20"/>
              </w:rPr>
              <w:t>集中式饮用水水源（包括已建成的在用、备用、应急水源，在建和规划的饮用水水源）准保护区和补给径流区，根据表</w:t>
            </w:r>
            <w:r>
              <w:rPr>
                <w:rFonts w:hint="eastAsia" w:ascii="Times New Roman" w:hAnsi="Times New Roman" w:eastAsia="宋体" w:cs="Times New Roman"/>
                <w:color w:val="000000"/>
                <w:spacing w:val="-2"/>
                <w:szCs w:val="20"/>
                <w:lang w:val="en-US" w:eastAsia="zh-CN"/>
              </w:rPr>
              <w:t>4.11-8</w:t>
            </w:r>
            <w:r>
              <w:rPr>
                <w:rFonts w:ascii="Times New Roman" w:hAnsi="Times New Roman" w:eastAsia="宋体" w:cs="Times New Roman"/>
                <w:color w:val="000000"/>
                <w:spacing w:val="-2"/>
                <w:szCs w:val="20"/>
              </w:rPr>
              <w:t>的判定依据，本项目所在区域地下水功能敏感性为不敏感G3。</w:t>
            </w:r>
          </w:p>
          <w:p>
            <w:pPr>
              <w:spacing w:line="520" w:lineRule="exact"/>
              <w:ind w:firstLine="480" w:firstLineChars="200"/>
              <w:rPr>
                <w:rFonts w:hint="default" w:ascii="Times New Roman" w:hAnsi="Times New Roman" w:eastAsia="宋体" w:cs="宋体"/>
                <w:b/>
                <w:color w:val="000000"/>
                <w:sz w:val="24"/>
                <w:szCs w:val="24"/>
                <w:lang w:val="en-US" w:eastAsia="zh-CN" w:bidi="ar-SA"/>
              </w:rPr>
            </w:pPr>
            <w:r>
              <w:rPr>
                <w:rFonts w:hint="eastAsia" w:ascii="Times New Roman" w:hAnsi="Times New Roman" w:eastAsia="宋体" w:cs="Times New Roman"/>
                <w:kern w:val="2"/>
                <w:sz w:val="24"/>
                <w:szCs w:val="24"/>
                <w:lang w:val="en-US" w:eastAsia="zh-CN" w:bidi="ar-SA"/>
              </w:rPr>
              <w:t>根据</w:t>
            </w:r>
            <w:r>
              <w:rPr>
                <w:rFonts w:hint="default" w:ascii="Times New Roman" w:hAnsi="Times New Roman" w:eastAsia="宋体" w:cs="Times New Roman"/>
                <w:kern w:val="2"/>
                <w:sz w:val="24"/>
                <w:szCs w:val="24"/>
                <w:lang w:val="zh-TW" w:eastAsia="zh-CN"/>
              </w:rPr>
              <w:t>项目区及周围水文地质条件</w:t>
            </w:r>
            <w:r>
              <w:rPr>
                <w:rFonts w:hint="eastAsia" w:ascii="Times New Roman" w:hAnsi="Times New Roman" w:eastAsia="宋体" w:cs="Times New Roman"/>
                <w:kern w:val="2"/>
                <w:sz w:val="24"/>
                <w:szCs w:val="24"/>
                <w:lang w:val="zh-TW" w:eastAsia="zh-CN"/>
              </w:rPr>
              <w:t>，</w:t>
            </w:r>
            <w:r>
              <w:rPr>
                <w:rFonts w:hint="default" w:ascii="Times New Roman" w:hAnsi="Times New Roman" w:eastAsia="宋体" w:cs="Times New Roman"/>
                <w:kern w:val="2"/>
                <w:sz w:val="24"/>
                <w:szCs w:val="24"/>
                <w:lang w:val="zh-TW" w:eastAsia="zh-CN"/>
              </w:rPr>
              <w:t>上层为低液限粉土夹低液粘土，厚度 2.4~3.0m，局部夹有薄层粉细砂透镜体，粉细砂厚度为0.2~0.3m，渗透系数在 5.79×10</w:t>
            </w:r>
            <w:r>
              <w:rPr>
                <w:rFonts w:hint="default" w:ascii="Times New Roman" w:hAnsi="Times New Roman" w:eastAsia="宋体" w:cs="Times New Roman"/>
                <w:kern w:val="2"/>
                <w:sz w:val="24"/>
                <w:szCs w:val="24"/>
                <w:vertAlign w:val="superscript"/>
                <w:lang w:val="zh-TW" w:eastAsia="zh-CN"/>
              </w:rPr>
              <w:t>-4</w:t>
            </w:r>
            <w:r>
              <w:rPr>
                <w:rFonts w:hint="default" w:ascii="Times New Roman" w:hAnsi="Times New Roman" w:eastAsia="宋体" w:cs="Times New Roman"/>
                <w:kern w:val="2"/>
                <w:sz w:val="24"/>
                <w:szCs w:val="24"/>
                <w:lang w:val="zh-TW" w:eastAsia="zh-CN"/>
              </w:rPr>
              <w:t>cm/s；下部低液限粉土和粉细砂厚度分别为1.0~1.2m和0.8~1.0m，渗透系数为1.16×10</w:t>
            </w:r>
            <w:r>
              <w:rPr>
                <w:rFonts w:hint="default" w:ascii="Times New Roman" w:hAnsi="Times New Roman" w:eastAsia="宋体" w:cs="Times New Roman"/>
                <w:kern w:val="2"/>
                <w:sz w:val="24"/>
                <w:szCs w:val="24"/>
                <w:vertAlign w:val="superscript"/>
                <w:lang w:val="zh-TW" w:eastAsia="zh-CN"/>
              </w:rPr>
              <w:t>-4</w:t>
            </w:r>
            <w:r>
              <w:rPr>
                <w:rFonts w:hint="default" w:ascii="Times New Roman" w:hAnsi="Times New Roman" w:eastAsia="宋体" w:cs="Times New Roman"/>
                <w:kern w:val="2"/>
                <w:sz w:val="24"/>
                <w:szCs w:val="24"/>
                <w:lang w:val="zh-TW" w:eastAsia="zh-CN"/>
              </w:rPr>
              <w:t>cm/s</w:t>
            </w:r>
            <w:r>
              <w:rPr>
                <w:rFonts w:ascii="Times New Roman" w:hAnsi="Times New Roman" w:eastAsia="宋体" w:cs="Times New Roman"/>
                <w:color w:val="000000"/>
                <w:spacing w:val="-2"/>
                <w:szCs w:val="20"/>
              </w:rPr>
              <w:t>，根据表</w:t>
            </w:r>
            <w:r>
              <w:rPr>
                <w:rFonts w:hint="eastAsia" w:ascii="Times New Roman" w:hAnsi="Times New Roman" w:eastAsia="宋体" w:cs="Times New Roman"/>
                <w:color w:val="000000"/>
                <w:spacing w:val="-2"/>
                <w:szCs w:val="20"/>
                <w:lang w:val="en-US" w:eastAsia="zh-CN"/>
              </w:rPr>
              <w:t>4.11-9</w:t>
            </w:r>
            <w:r>
              <w:rPr>
                <w:rFonts w:ascii="Times New Roman" w:hAnsi="Times New Roman" w:eastAsia="宋体" w:cs="Times New Roman"/>
                <w:color w:val="000000"/>
                <w:spacing w:val="-2"/>
                <w:szCs w:val="20"/>
              </w:rPr>
              <w:t>的判定依据，本项目所在区域包气带防污性能分级为D</w:t>
            </w:r>
            <w:r>
              <w:rPr>
                <w:rFonts w:hint="eastAsia" w:ascii="Times New Roman" w:hAnsi="Times New Roman" w:eastAsia="宋体" w:cs="Times New Roman"/>
                <w:color w:val="000000"/>
                <w:spacing w:val="-2"/>
                <w:szCs w:val="20"/>
                <w:lang w:val="en-US" w:eastAsia="zh-CN"/>
              </w:rPr>
              <w:t>1</w:t>
            </w:r>
            <w:r>
              <w:rPr>
                <w:rFonts w:ascii="Times New Roman" w:hAnsi="Times New Roman" w:eastAsia="宋体" w:cs="Times New Roman"/>
                <w:color w:val="000000"/>
                <w:spacing w:val="-2"/>
                <w:szCs w:val="20"/>
              </w:rPr>
              <w:t>。项目所在区域的地下水环境敏感程度分级为E</w:t>
            </w:r>
            <w:r>
              <w:rPr>
                <w:rFonts w:hint="eastAsia" w:ascii="Times New Roman" w:hAnsi="Times New Roman" w:eastAsia="宋体" w:cs="Times New Roman"/>
                <w:color w:val="000000"/>
                <w:spacing w:val="-2"/>
                <w:szCs w:val="20"/>
                <w:lang w:val="en-US" w:eastAsia="zh-CN"/>
              </w:rPr>
              <w:t>2</w:t>
            </w:r>
            <w:r>
              <w:rPr>
                <w:rFonts w:ascii="Times New Roman" w:hAnsi="Times New Roman" w:eastAsia="宋体" w:cs="Times New Roman"/>
                <w:color w:val="000000"/>
                <w:spacing w:val="-2"/>
                <w:szCs w:val="20"/>
              </w:rPr>
              <w:t>。</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（3）环境风险识别</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bCs w:val="0"/>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风险影响途径</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①火灾</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矿物油类、油墨泄漏在遇明火或高热发生火灾时，除热辐射伤害之外，火灾过程中还会产生大量烟雾。烟雾的成分和数量取决于可燃物的化学组成和燃烧反应条件（如温度、压力、助燃物数量等）。在低温时，即明燃阶段，烟雾中以液滴粒子为主，烟气呈青白色。当温度上升至260℃以上时，因发生脱水反应，产生大量游离的炭粒子，烟气呈黑色或灰黑色，当火点温度上升至500℃以上时，炭粒子逐渐减少，烟雾呈灰色。</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②矿物油类、油墨、</w:t>
            </w:r>
            <w:r>
              <w:rPr>
                <w:rFonts w:hint="eastAsia" w:ascii="Times New Roman" w:hAnsi="Times New Roman" w:eastAsia="宋体" w:cs="Times New Roman"/>
                <w:b w:val="0"/>
                <w:bCs w:val="0"/>
                <w:color w:val="000000"/>
                <w:kern w:val="2"/>
                <w:sz w:val="24"/>
                <w:szCs w:val="20"/>
                <w:highlight w:val="none"/>
                <w:lang w:val="en-US" w:eastAsia="zh-CN"/>
              </w:rPr>
              <w:t>氯化氢</w:t>
            </w:r>
            <w:r>
              <w:rPr>
                <w:rFonts w:hint="eastAsia" w:cs="Times New Roman"/>
                <w:b w:val="0"/>
                <w:bCs w:val="0"/>
                <w:color w:val="000000"/>
                <w:kern w:val="2"/>
                <w:sz w:val="24"/>
                <w:szCs w:val="20"/>
                <w:highlight w:val="none"/>
                <w:lang w:val="en-US" w:eastAsia="zh-CN"/>
              </w:rPr>
              <w:t>、废盐酸</w:t>
            </w:r>
            <w:r>
              <w:rPr>
                <w:rFonts w:hint="eastAsia" w:ascii="Times New Roman" w:hAnsi="Times New Roman" w:eastAsia="宋体" w:cs="Times New Roman"/>
                <w:color w:val="auto"/>
                <w:kern w:val="2"/>
                <w:sz w:val="24"/>
                <w:szCs w:val="20"/>
                <w:highlight w:val="none"/>
                <w:lang w:val="en-US" w:eastAsia="zh-CN"/>
              </w:rPr>
              <w:t>泄漏</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通过对风险识别并结合本工程实际情况，本项目风险主要是废机油、油墨盒残留少量油墨</w:t>
            </w:r>
            <w:r>
              <w:rPr>
                <w:rFonts w:hint="eastAsia" w:cs="Times New Roman"/>
                <w:color w:val="auto"/>
                <w:kern w:val="2"/>
                <w:sz w:val="24"/>
                <w:szCs w:val="20"/>
                <w:highlight w:val="none"/>
                <w:lang w:val="en-US" w:eastAsia="zh-CN"/>
              </w:rPr>
              <w:t>以及废盐酸</w:t>
            </w:r>
            <w:r>
              <w:rPr>
                <w:rFonts w:hint="eastAsia" w:ascii="Times New Roman" w:hAnsi="Times New Roman" w:eastAsia="宋体" w:cs="Times New Roman"/>
                <w:color w:val="auto"/>
                <w:kern w:val="2"/>
                <w:sz w:val="24"/>
                <w:szCs w:val="20"/>
                <w:highlight w:val="none"/>
                <w:lang w:val="en-US" w:eastAsia="zh-CN"/>
              </w:rPr>
              <w:t>在危废暂存间暂存过程中、拉丝油在生产车间暂存以及使用过程、油墨在生产车间暂存以及使用过程，因外力影响、腐蚀、材料各环节存在的缺陷和失误，导致泄漏。同时存在废气事故排放，造成氯化氢泄漏。</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b w:val="0"/>
                <w:bCs w:val="0"/>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 xml:space="preserve">（4）环境风险分析 </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①</w:t>
            </w:r>
            <w:r>
              <w:rPr>
                <w:rFonts w:hint="default" w:ascii="Times New Roman" w:hAnsi="Times New Roman" w:eastAsia="宋体" w:cs="Times New Roman"/>
                <w:color w:val="000000"/>
                <w:kern w:val="2"/>
                <w:sz w:val="24"/>
                <w:szCs w:val="20"/>
                <w:highlight w:val="none"/>
                <w:lang w:val="en-US" w:eastAsia="zh-CN"/>
              </w:rPr>
              <w:t>大气环境</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本项目在</w:t>
            </w:r>
            <w:r>
              <w:rPr>
                <w:rFonts w:hint="default" w:ascii="Times New Roman" w:hAnsi="Times New Roman" w:eastAsia="宋体" w:cs="Times New Roman"/>
                <w:color w:val="000000"/>
                <w:sz w:val="24"/>
                <w:szCs w:val="24"/>
                <w:highlight w:val="none"/>
                <w:lang w:val="en-US" w:eastAsia="zh-CN"/>
              </w:rPr>
              <w:t>矿物油类</w:t>
            </w:r>
            <w:r>
              <w:rPr>
                <w:rFonts w:hint="eastAsia" w:ascii="Times New Roman" w:hAnsi="Times New Roman" w:eastAsia="宋体" w:cs="Times New Roman"/>
                <w:color w:val="auto"/>
                <w:kern w:val="2"/>
                <w:sz w:val="24"/>
                <w:szCs w:val="20"/>
                <w:highlight w:val="none"/>
                <w:lang w:val="en-US" w:eastAsia="zh-CN"/>
              </w:rPr>
              <w:t>、油墨、氯化氢</w:t>
            </w:r>
            <w:r>
              <w:rPr>
                <w:rFonts w:hint="eastAsia" w:cs="Times New Roman"/>
                <w:color w:val="auto"/>
                <w:kern w:val="2"/>
                <w:sz w:val="24"/>
                <w:szCs w:val="20"/>
                <w:highlight w:val="none"/>
                <w:lang w:val="en-US" w:eastAsia="zh-CN"/>
              </w:rPr>
              <w:t>、废盐酸</w:t>
            </w:r>
            <w:r>
              <w:rPr>
                <w:rFonts w:hint="eastAsia" w:ascii="Times New Roman" w:hAnsi="Times New Roman" w:eastAsia="宋体" w:cs="Times New Roman"/>
                <w:color w:val="auto"/>
                <w:kern w:val="2"/>
                <w:sz w:val="24"/>
                <w:szCs w:val="20"/>
                <w:highlight w:val="none"/>
                <w:lang w:val="en-US" w:eastAsia="zh-CN"/>
              </w:rPr>
              <w:t>在厂区内的存在总量</w:t>
            </w:r>
            <w:r>
              <w:rPr>
                <w:rFonts w:hint="eastAsia" w:ascii="Times New Roman" w:hAnsi="Times New Roman" w:eastAsia="宋体" w:cs="Times New Roman"/>
                <w:color w:val="000000"/>
                <w:sz w:val="24"/>
                <w:szCs w:val="24"/>
                <w:highlight w:val="none"/>
                <w:lang w:val="en-US" w:eastAsia="zh-CN"/>
              </w:rPr>
              <w:t>较小，</w:t>
            </w:r>
            <w:r>
              <w:rPr>
                <w:rFonts w:hint="default" w:ascii="Times New Roman" w:hAnsi="Times New Roman" w:eastAsia="宋体" w:cs="Times New Roman"/>
                <w:color w:val="000000"/>
                <w:sz w:val="24"/>
                <w:szCs w:val="24"/>
                <w:highlight w:val="none"/>
              </w:rPr>
              <w:t>仅对厂区内的工作人员产生影响，对厂界外人员基本没有影响。本项目事故情况下，事故情况最不利气象条件下，对周围环境</w:t>
            </w:r>
            <w:r>
              <w:rPr>
                <w:rFonts w:hint="eastAsia" w:ascii="Times New Roman" w:hAnsi="Times New Roman" w:eastAsia="宋体" w:cs="Times New Roman"/>
                <w:color w:val="000000"/>
                <w:sz w:val="24"/>
                <w:szCs w:val="24"/>
                <w:highlight w:val="none"/>
                <w:lang w:val="en-US" w:eastAsia="zh-CN"/>
              </w:rPr>
              <w:t>影响</w:t>
            </w:r>
            <w:r>
              <w:rPr>
                <w:rFonts w:hint="default" w:ascii="Times New Roman" w:hAnsi="Times New Roman" w:eastAsia="宋体" w:cs="Times New Roman"/>
                <w:color w:val="000000"/>
                <w:sz w:val="24"/>
                <w:szCs w:val="24"/>
                <w:highlight w:val="none"/>
              </w:rPr>
              <w:t>在可控范围内。</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②水</w:t>
            </w:r>
            <w:r>
              <w:rPr>
                <w:rFonts w:hint="default" w:ascii="Times New Roman" w:hAnsi="Times New Roman" w:eastAsia="宋体" w:cs="Times New Roman"/>
                <w:color w:val="000000"/>
                <w:kern w:val="2"/>
                <w:sz w:val="24"/>
                <w:szCs w:val="20"/>
                <w:highlight w:val="none"/>
                <w:lang w:val="en-US" w:eastAsia="zh-CN"/>
              </w:rPr>
              <w:t>环境</w:t>
            </w:r>
          </w:p>
          <w:p>
            <w:pPr>
              <w:spacing w:line="360" w:lineRule="auto"/>
              <w:ind w:firstLine="480" w:firstLineChars="200"/>
              <w:rPr>
                <w:rFonts w:hint="eastAsia"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rPr>
              <w:t>本项目与地表水体不发生水力联系</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事故情况下，</w:t>
            </w:r>
            <w:r>
              <w:rPr>
                <w:rFonts w:hint="eastAsia" w:ascii="Times New Roman" w:hAnsi="Times New Roman" w:eastAsia="宋体" w:cs="Times New Roman"/>
                <w:color w:val="000000"/>
                <w:sz w:val="24"/>
                <w:szCs w:val="24"/>
                <w:highlight w:val="none"/>
                <w:lang w:eastAsia="zh-CN"/>
              </w:rPr>
              <w:t>泄漏</w:t>
            </w:r>
            <w:r>
              <w:rPr>
                <w:rFonts w:hint="default" w:ascii="Times New Roman" w:hAnsi="Times New Roman" w:eastAsia="宋体" w:cs="Times New Roman"/>
                <w:color w:val="000000"/>
                <w:sz w:val="24"/>
                <w:szCs w:val="24"/>
                <w:highlight w:val="none"/>
              </w:rPr>
              <w:t>的物料均</w:t>
            </w:r>
            <w:r>
              <w:rPr>
                <w:rFonts w:hint="eastAsia" w:ascii="Times New Roman" w:hAnsi="Times New Roman" w:eastAsia="宋体" w:cs="Times New Roman"/>
                <w:color w:val="000000"/>
                <w:sz w:val="24"/>
                <w:szCs w:val="24"/>
                <w:highlight w:val="none"/>
                <w:lang w:eastAsia="zh-CN"/>
              </w:rPr>
              <w:t>泄漏</w:t>
            </w:r>
            <w:r>
              <w:rPr>
                <w:rFonts w:hint="default" w:ascii="Times New Roman" w:hAnsi="Times New Roman" w:eastAsia="宋体" w:cs="Times New Roman"/>
                <w:color w:val="000000"/>
                <w:sz w:val="24"/>
                <w:szCs w:val="24"/>
                <w:highlight w:val="none"/>
              </w:rPr>
              <w:t>于</w:t>
            </w:r>
            <w:r>
              <w:rPr>
                <w:rFonts w:hint="eastAsia" w:ascii="Times New Roman" w:hAnsi="Times New Roman" w:eastAsia="宋体" w:cs="Times New Roman"/>
                <w:color w:val="000000"/>
                <w:sz w:val="24"/>
                <w:szCs w:val="24"/>
                <w:highlight w:val="none"/>
                <w:lang w:val="en-US" w:eastAsia="zh-CN"/>
              </w:rPr>
              <w:t>硬化地面，危废暂存间为重点防渗，生产车间为一般防渗</w:t>
            </w:r>
            <w:r>
              <w:rPr>
                <w:rFonts w:hint="default" w:ascii="Times New Roman" w:hAnsi="Times New Roman" w:eastAsia="宋体" w:cs="Times New Roman"/>
                <w:color w:val="000000"/>
                <w:sz w:val="24"/>
                <w:szCs w:val="24"/>
                <w:highlight w:val="none"/>
              </w:rPr>
              <w:t>。因此，事故情况下，</w:t>
            </w:r>
            <w:r>
              <w:rPr>
                <w:rFonts w:hint="eastAsia" w:ascii="Times New Roman" w:hAnsi="Times New Roman" w:eastAsia="宋体" w:cs="Times New Roman"/>
                <w:color w:val="000000"/>
                <w:sz w:val="24"/>
                <w:szCs w:val="24"/>
                <w:highlight w:val="none"/>
                <w:lang w:eastAsia="zh-CN"/>
              </w:rPr>
              <w:t>泄漏</w:t>
            </w:r>
            <w:r>
              <w:rPr>
                <w:rFonts w:hint="default" w:ascii="Times New Roman" w:hAnsi="Times New Roman" w:eastAsia="宋体" w:cs="Times New Roman"/>
                <w:color w:val="000000"/>
                <w:sz w:val="24"/>
                <w:szCs w:val="24"/>
                <w:highlight w:val="none"/>
              </w:rPr>
              <w:t>的物料对</w:t>
            </w:r>
            <w:r>
              <w:rPr>
                <w:rFonts w:hint="eastAsia" w:ascii="Times New Roman" w:hAnsi="Times New Roman" w:eastAsia="宋体" w:cs="Times New Roman"/>
                <w:color w:val="000000"/>
                <w:sz w:val="24"/>
                <w:szCs w:val="24"/>
                <w:highlight w:val="none"/>
                <w:lang w:val="en-US" w:eastAsia="zh-CN"/>
              </w:rPr>
              <w:t>周边水</w:t>
            </w:r>
            <w:r>
              <w:rPr>
                <w:rFonts w:hint="default" w:ascii="Times New Roman" w:hAnsi="Times New Roman" w:eastAsia="宋体" w:cs="Times New Roman"/>
                <w:color w:val="000000"/>
                <w:sz w:val="24"/>
                <w:szCs w:val="24"/>
                <w:highlight w:val="none"/>
              </w:rPr>
              <w:t>环境无影响。</w:t>
            </w:r>
          </w:p>
          <w:p>
            <w:pPr>
              <w:widowControl w:val="0"/>
              <w:autoSpaceDE w:val="0"/>
              <w:autoSpaceDN w:val="0"/>
              <w:adjustRightInd w:val="0"/>
              <w:spacing w:line="360" w:lineRule="auto"/>
              <w:rPr>
                <w:rFonts w:hint="default" w:ascii="宋体" w:hAnsi="Times New Roman" w:eastAsia="宋体" w:cs="宋体"/>
                <w:color w:val="000000"/>
                <w:sz w:val="24"/>
                <w:szCs w:val="24"/>
                <w:lang w:val="en-US" w:eastAsia="zh-CN" w:bidi="ar-SA"/>
              </w:rPr>
            </w:pPr>
            <w:r>
              <w:rPr>
                <w:rFonts w:hint="eastAsia" w:ascii="Times New Roman" w:hAnsi="Times New Roman" w:eastAsia="宋体" w:cs="Times New Roman"/>
                <w:color w:val="000000"/>
                <w:sz w:val="24"/>
                <w:szCs w:val="24"/>
                <w:highlight w:val="none"/>
                <w:lang w:val="en-US" w:eastAsia="zh-CN" w:bidi="ar-SA"/>
              </w:rPr>
              <w:t xml:space="preserve">    ③土壤环境</w:t>
            </w:r>
          </w:p>
          <w:p>
            <w:pPr>
              <w:spacing w:line="360" w:lineRule="auto"/>
              <w:ind w:firstLine="480" w:firstLineChars="200"/>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bidi="ar-SA"/>
              </w:rPr>
              <w:t>营运期内</w:t>
            </w:r>
            <w:r>
              <w:rPr>
                <w:rFonts w:hint="eastAsia" w:ascii="Times New Roman" w:hAnsi="Times New Roman" w:eastAsia="宋体" w:cs="Times New Roman"/>
                <w:color w:val="000000"/>
                <w:sz w:val="24"/>
                <w:szCs w:val="24"/>
                <w:highlight w:val="none"/>
                <w:lang w:val="en-US" w:eastAsia="zh-CN" w:bidi="ar-SA"/>
              </w:rPr>
              <w:t>物料</w:t>
            </w:r>
            <w:r>
              <w:rPr>
                <w:rFonts w:hint="default" w:ascii="Times New Roman" w:hAnsi="Times New Roman" w:eastAsia="宋体" w:cs="Times New Roman"/>
                <w:color w:val="000000"/>
                <w:sz w:val="24"/>
                <w:szCs w:val="24"/>
                <w:highlight w:val="none"/>
                <w:lang w:val="en-US" w:eastAsia="zh-CN" w:bidi="ar-SA"/>
              </w:rPr>
              <w:t>若发生泄漏（在不发生爆炸及火灾情况下），泄漏的物料会蔓延至</w:t>
            </w:r>
            <w:r>
              <w:rPr>
                <w:rFonts w:hint="eastAsia" w:ascii="Times New Roman" w:hAnsi="Times New Roman" w:eastAsia="宋体" w:cs="Times New Roman"/>
                <w:color w:val="000000"/>
                <w:sz w:val="24"/>
                <w:szCs w:val="24"/>
                <w:highlight w:val="none"/>
                <w:lang w:val="en-US" w:eastAsia="zh-CN" w:bidi="ar-SA"/>
              </w:rPr>
              <w:t>危废暂存间、生产车间内</w:t>
            </w:r>
            <w:r>
              <w:rPr>
                <w:rFonts w:hint="default" w:ascii="Times New Roman" w:hAnsi="Times New Roman" w:eastAsia="宋体" w:cs="Times New Roman"/>
                <w:color w:val="000000"/>
                <w:sz w:val="24"/>
                <w:szCs w:val="24"/>
                <w:highlight w:val="none"/>
                <w:lang w:val="en-US" w:eastAsia="zh-CN" w:bidi="ar-SA"/>
              </w:rPr>
              <w:t>地面</w:t>
            </w:r>
            <w:r>
              <w:rPr>
                <w:rFonts w:hint="eastAsia" w:ascii="Times New Roman" w:hAnsi="Times New Roman" w:eastAsia="宋体" w:cs="Times New Roman"/>
                <w:color w:val="000000"/>
                <w:sz w:val="24"/>
                <w:szCs w:val="24"/>
                <w:highlight w:val="none"/>
                <w:lang w:val="en-US" w:eastAsia="zh-CN" w:bidi="ar-SA"/>
              </w:rPr>
              <w:t>，</w:t>
            </w:r>
            <w:r>
              <w:rPr>
                <w:rFonts w:hint="default" w:ascii="Times New Roman" w:hAnsi="Times New Roman" w:eastAsia="宋体" w:cs="Times New Roman"/>
                <w:color w:val="000000"/>
                <w:sz w:val="24"/>
                <w:szCs w:val="24"/>
                <w:highlight w:val="none"/>
                <w:lang w:val="en-US" w:eastAsia="zh-CN" w:bidi="ar-SA"/>
              </w:rPr>
              <w:t>地面采取</w:t>
            </w:r>
            <w:r>
              <w:rPr>
                <w:rFonts w:hint="eastAsia" w:ascii="Times New Roman" w:hAnsi="Times New Roman" w:eastAsia="宋体" w:cs="Times New Roman"/>
                <w:color w:val="000000"/>
                <w:sz w:val="24"/>
                <w:szCs w:val="24"/>
                <w:highlight w:val="none"/>
                <w:lang w:val="en-US" w:eastAsia="zh-CN" w:bidi="ar-SA"/>
              </w:rPr>
              <w:t>重点防渗措施</w:t>
            </w:r>
            <w:r>
              <w:rPr>
                <w:rFonts w:hint="default" w:ascii="Times New Roman" w:hAnsi="Times New Roman" w:eastAsia="宋体" w:cs="Times New Roman"/>
                <w:color w:val="000000"/>
                <w:sz w:val="24"/>
                <w:szCs w:val="24"/>
                <w:highlight w:val="none"/>
                <w:lang w:val="en-US" w:eastAsia="zh-CN" w:bidi="ar-SA"/>
              </w:rPr>
              <w:t>进行防护，</w:t>
            </w:r>
            <w:r>
              <w:rPr>
                <w:rFonts w:hint="eastAsia" w:ascii="Times New Roman" w:hAnsi="Times New Roman" w:eastAsia="宋体" w:cs="Times New Roman"/>
                <w:color w:val="000000"/>
                <w:sz w:val="24"/>
                <w:szCs w:val="24"/>
                <w:highlight w:val="none"/>
                <w:lang w:val="en-US" w:eastAsia="zh-CN" w:bidi="ar-SA"/>
              </w:rPr>
              <w:t>厂区内地面均做硬化处理</w:t>
            </w:r>
            <w:r>
              <w:rPr>
                <w:rFonts w:hint="default" w:ascii="Times New Roman" w:hAnsi="Times New Roman" w:eastAsia="宋体" w:cs="Times New Roman"/>
                <w:color w:val="000000"/>
                <w:sz w:val="24"/>
                <w:szCs w:val="24"/>
                <w:highlight w:val="none"/>
                <w:lang w:val="en-US" w:eastAsia="zh-CN" w:bidi="ar-SA"/>
              </w:rPr>
              <w:t>，因此，泄漏后不会大面积逸散，在发生泄漏后，厂内工作人员将及时清理，因此，若发生泄漏等事故不会对</w:t>
            </w:r>
            <w:r>
              <w:rPr>
                <w:rFonts w:hint="eastAsia" w:ascii="Times New Roman" w:hAnsi="Times New Roman" w:eastAsia="宋体" w:cs="Times New Roman"/>
                <w:color w:val="000000"/>
                <w:sz w:val="24"/>
                <w:szCs w:val="24"/>
                <w:highlight w:val="none"/>
                <w:lang w:val="en-US" w:eastAsia="zh-CN" w:bidi="ar-SA"/>
              </w:rPr>
              <w:t>土壤环境</w:t>
            </w:r>
            <w:r>
              <w:rPr>
                <w:rFonts w:hint="default" w:ascii="Times New Roman" w:hAnsi="Times New Roman" w:eastAsia="宋体" w:cs="Times New Roman"/>
                <w:color w:val="000000"/>
                <w:sz w:val="24"/>
                <w:szCs w:val="24"/>
                <w:highlight w:val="none"/>
                <w:lang w:val="en-US" w:eastAsia="zh-CN"/>
              </w:rPr>
              <w:t>造成影响。</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bCs w:val="0"/>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（5）环境风险防范措施</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企业设置安全环保管理机构，配备管理人员，通过技能培训，承担该公司运行中的环保安全工作。</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安全环保机构将根据相关的环境管理要求，结合具体情况，制定企业的各项安全生产管理制度、严格的生产操作规则和完善的事故应急计划及相应的应急处理手段和设施，同时加强安全教育，以提高职工的安全意识和安全防范能力。</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1、总图布置和建筑安全防范措施</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①总图布置</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在总平面布置方面，严格执行相关规范要求，所有建、构筑物之间或与其</w:t>
            </w:r>
            <w:r>
              <w:rPr>
                <w:rFonts w:hint="eastAsia" w:cs="Times New Roman"/>
                <w:color w:val="auto"/>
                <w:kern w:val="2"/>
                <w:sz w:val="24"/>
                <w:szCs w:val="20"/>
                <w:highlight w:val="none"/>
                <w:lang w:val="en-US" w:eastAsia="zh-CN"/>
              </w:rPr>
              <w:t>他</w:t>
            </w:r>
            <w:r>
              <w:rPr>
                <w:rFonts w:hint="eastAsia" w:ascii="Times New Roman" w:hAnsi="Times New Roman" w:eastAsia="宋体" w:cs="Times New Roman"/>
                <w:color w:val="auto"/>
                <w:kern w:val="2"/>
                <w:sz w:val="24"/>
                <w:szCs w:val="20"/>
                <w:highlight w:val="none"/>
                <w:lang w:val="en-US" w:eastAsia="zh-CN"/>
              </w:rPr>
              <w:t>场所之间留有足够的防火间距，防止在火灾或爆炸时相互影响；严格按工艺处理物料特性，对厂区进行危险区划分。</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道路实行人、货流分开(划分人行区域和车辆行驶区域、不重叠)，划出专用车辆行驶路线、严禁烟火标志等并严格执行；在总平面布置中配套建设应急救援设施、救援通道、应急疏散避难所等防护设施。按《安全标志》规定在装置区设置有关的安全标志。道路形成环状，建筑间距符合要求，设置大门，将厂前区和人流、物流分开。</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②建筑安全防范</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根据火灾危险性等级和防火要求，建筑物的防火等级均采用国家现行规范要求的耐火等级设计，满足建筑防火要求。凡禁火区均设置明显标志牌。各种易燃物料均储存在阴凉、通风处，远离火源。安全出口及安全疏散距离应符合《建筑设计防火规范》(GB50016-2006)的要求。</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根据生产工序的特点，在生产设施按物料性质和人身可能意外接触到的有害物质而引起烧伤、刺激或伤害皮肤的区域内，均设置紧急淋浴和洗眼器，并加以明显标记。并在生产区设置救护箱。工作人员配备必要的个人防护用品。</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1)污染治理系统事故预防措施</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项目的废气治理设施在设计、施工时，应严格按照工程设计规范要求进行，选用标准管材，并做必要的防腐防渗处理。锅炉房、危废暂存间设置相应的灭火器。项目金属设备、设施均采用保护接地措施，如发生火灾时火灾面积亦能得到一定程度控制，对火灾向更大范围扩大起到抑制作用。</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2、环境风险事故应急处置措施</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A.废气事故应急处理</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严格控制和管理，加强事故防范措施和事故应急处理的技能，将“预防为主、安全第一”的理念作为减少事故发生、降低污染事故损害的主要保障。</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事故发生后积极组织力量维修，环境监测人员迅速赶到事故现场监测，并详细记录好监测数据，以备应急领导小组参考。事故排除后，环境监测人员持续监测环境状况，机械设备抢修人员负责对设备进行全面的维修保养，确保环境与设备全部安全后方可恢复生产；善后处理对要负责进行事故原因调查和全面的设备安全检查，询问事故发现人有关情况，包括电力设备运行情况、故障部位等。</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B.火灾的应急处理</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本项目发生火灾，应根据应急预案分级响应条件，启动响应的分级措施。</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①立即向调度室和应急指挥办公室报告。</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②切断火势蔓延的途径，冷却和疏散受火势威胁的密闭容器和可燃物，控制燃烧范围，并积极抢救受伤和被困人员。</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③通知环保、安全等相关部门人员，启动应急救护程序。</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④组织救援小组，封锁现场，疏散人员。</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⑤灭火工作结束后，对现场进行恢复清理，对环境可能受到污染范围内的空气、水样、土壤进行取样监测，判定污染影响程度和采取必要的处理。</w:t>
            </w:r>
          </w:p>
          <w:p>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0"/>
                <w:highlight w:val="none"/>
                <w:lang w:val="en-US" w:eastAsia="zh-CN"/>
              </w:rPr>
              <w:t>⑥调查和鉴定事故原因，提出事故评估报告，补充和修改事故防范措施和应急方案。</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Chars="200" w:right="0" w:rightChars="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C.泄漏处置</w:t>
            </w:r>
          </w:p>
          <w:p>
            <w:pPr>
              <w:spacing w:line="520" w:lineRule="exact"/>
              <w:ind w:firstLine="480" w:firstLineChars="200"/>
              <w:rPr>
                <w:rFonts w:hint="default" w:ascii="Times New Roman" w:hAnsi="Times New Roman" w:eastAsia="宋体" w:cs="宋体"/>
                <w:color w:val="auto"/>
                <w:highlight w:val="none"/>
                <w:lang w:val="en-US" w:eastAsia="zh-CN"/>
              </w:rPr>
            </w:pPr>
            <w:r>
              <w:rPr>
                <w:rFonts w:hint="default" w:ascii="Times New Roman" w:hAnsi="Times New Roman" w:eastAsia="宋体" w:cs="Times New Roman"/>
                <w:color w:val="auto"/>
                <w:sz w:val="24"/>
                <w:szCs w:val="24"/>
                <w:highlight w:val="none"/>
                <w:lang w:val="en-US" w:eastAsia="zh-CN" w:bidi="ar-SA"/>
              </w:rPr>
              <w:t>营运期内</w:t>
            </w:r>
            <w:r>
              <w:rPr>
                <w:rFonts w:hint="eastAsia" w:ascii="Times New Roman" w:hAnsi="Times New Roman" w:eastAsia="宋体" w:cs="Times New Roman"/>
                <w:color w:val="auto"/>
                <w:sz w:val="24"/>
                <w:szCs w:val="24"/>
                <w:highlight w:val="none"/>
                <w:lang w:val="en-US" w:eastAsia="zh-CN" w:bidi="ar-SA"/>
              </w:rPr>
              <w:t>物料</w:t>
            </w:r>
            <w:r>
              <w:rPr>
                <w:rFonts w:hint="default" w:ascii="Times New Roman" w:hAnsi="Times New Roman" w:eastAsia="宋体" w:cs="Times New Roman"/>
                <w:color w:val="auto"/>
                <w:sz w:val="24"/>
                <w:szCs w:val="24"/>
                <w:highlight w:val="none"/>
                <w:lang w:val="en-US" w:eastAsia="zh-CN" w:bidi="ar-SA"/>
              </w:rPr>
              <w:t>若发生泄漏（在不发生爆炸及火灾情况下），</w:t>
            </w:r>
            <w:r>
              <w:rPr>
                <w:rFonts w:hint="eastAsia" w:ascii="Times New Roman" w:hAnsi="Times New Roman" w:eastAsia="宋体" w:cs="Times New Roman"/>
                <w:color w:val="auto"/>
                <w:sz w:val="24"/>
                <w:szCs w:val="24"/>
                <w:highlight w:val="none"/>
                <w:lang w:val="en-US" w:eastAsia="zh-CN" w:bidi="ar-SA"/>
              </w:rPr>
              <w:t>危废暂存间设置重点防渗，</w:t>
            </w:r>
            <w:r>
              <w:rPr>
                <w:rFonts w:hint="default" w:ascii="Times New Roman" w:hAnsi="Times New Roman" w:eastAsia="宋体" w:cs="Times New Roman"/>
                <w:color w:val="auto"/>
                <w:sz w:val="24"/>
                <w:szCs w:val="24"/>
                <w:highlight w:val="none"/>
                <w:lang w:val="en-US" w:eastAsia="zh-CN" w:bidi="ar-SA"/>
              </w:rPr>
              <w:t>采取渗透系数不小于10</w:t>
            </w:r>
            <w:r>
              <w:rPr>
                <w:rFonts w:hint="default" w:ascii="Times New Roman" w:hAnsi="Times New Roman" w:eastAsia="宋体" w:cs="Times New Roman"/>
                <w:color w:val="auto"/>
                <w:sz w:val="24"/>
                <w:szCs w:val="24"/>
                <w:highlight w:val="none"/>
                <w:vertAlign w:val="superscript"/>
                <w:lang w:val="en-US" w:eastAsia="zh-CN" w:bidi="ar-SA"/>
              </w:rPr>
              <w:t>-</w:t>
            </w:r>
            <w:r>
              <w:rPr>
                <w:rFonts w:hint="eastAsia" w:ascii="Times New Roman" w:hAnsi="Times New Roman" w:eastAsia="宋体" w:cs="Times New Roman"/>
                <w:color w:val="auto"/>
                <w:sz w:val="24"/>
                <w:szCs w:val="24"/>
                <w:highlight w:val="none"/>
                <w:vertAlign w:val="superscript"/>
                <w:lang w:val="en-US" w:eastAsia="zh-CN" w:bidi="ar-SA"/>
              </w:rPr>
              <w:t>7</w:t>
            </w:r>
            <w:r>
              <w:rPr>
                <w:rFonts w:hint="default" w:ascii="Times New Roman" w:hAnsi="Times New Roman" w:eastAsia="宋体" w:cs="Times New Roman"/>
                <w:color w:val="auto"/>
                <w:sz w:val="24"/>
                <w:szCs w:val="24"/>
                <w:highlight w:val="none"/>
                <w:lang w:val="en-US" w:eastAsia="zh-CN" w:bidi="ar-SA"/>
              </w:rPr>
              <w:t>cm/s的防渗措施进行防护</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000000"/>
                <w:kern w:val="2"/>
                <w:sz w:val="24"/>
                <w:szCs w:val="20"/>
                <w:highlight w:val="none"/>
                <w:lang w:val="en-US" w:eastAsia="zh-CN"/>
              </w:rPr>
              <w:t>生产车间采用厚度Mb=1.5m，渗透系数K≤10</w:t>
            </w:r>
            <w:r>
              <w:rPr>
                <w:rFonts w:hint="default" w:ascii="Times New Roman" w:hAnsi="Times New Roman" w:eastAsia="宋体" w:cs="Times New Roman"/>
                <w:color w:val="000000"/>
                <w:kern w:val="2"/>
                <w:sz w:val="24"/>
                <w:szCs w:val="20"/>
                <w:highlight w:val="none"/>
                <w:vertAlign w:val="superscript"/>
                <w:lang w:val="en-US" w:eastAsia="zh-CN"/>
              </w:rPr>
              <w:t>-7</w:t>
            </w:r>
            <w:r>
              <w:rPr>
                <w:rFonts w:hint="default" w:ascii="Times New Roman" w:hAnsi="Times New Roman" w:eastAsia="宋体" w:cs="Times New Roman"/>
                <w:color w:val="000000"/>
                <w:kern w:val="2"/>
                <w:sz w:val="24"/>
                <w:szCs w:val="20"/>
                <w:highlight w:val="none"/>
                <w:lang w:val="en-US" w:eastAsia="zh-CN"/>
              </w:rPr>
              <w:t>cm/s防渗等效的20cm厚P4等级混凝土进行防渗。防渗技术</w:t>
            </w:r>
            <w:r>
              <w:rPr>
                <w:rFonts w:hint="eastAsia" w:ascii="Times New Roman" w:hAnsi="Times New Roman" w:eastAsia="宋体" w:cs="Times New Roman"/>
                <w:color w:val="000000"/>
                <w:kern w:val="2"/>
                <w:sz w:val="24"/>
                <w:szCs w:val="20"/>
                <w:highlight w:val="none"/>
                <w:lang w:val="en-US" w:eastAsia="zh-CN"/>
              </w:rPr>
              <w:t>满足</w:t>
            </w:r>
            <w:r>
              <w:rPr>
                <w:rFonts w:hint="default" w:ascii="Times New Roman" w:hAnsi="Times New Roman" w:eastAsia="宋体" w:cs="Times New Roman"/>
                <w:color w:val="000000"/>
                <w:kern w:val="2"/>
                <w:sz w:val="24"/>
                <w:szCs w:val="20"/>
                <w:highlight w:val="none"/>
                <w:lang w:val="en-US" w:eastAsia="zh-CN"/>
              </w:rPr>
              <w:t>：等效黏土防渗层Mb≥1.5m，K≤1×10</w:t>
            </w:r>
            <w:r>
              <w:rPr>
                <w:rFonts w:hint="default" w:ascii="Times New Roman" w:hAnsi="Times New Roman" w:eastAsia="宋体" w:cs="Times New Roman"/>
                <w:color w:val="000000"/>
                <w:kern w:val="2"/>
                <w:sz w:val="24"/>
                <w:szCs w:val="20"/>
                <w:highlight w:val="none"/>
                <w:vertAlign w:val="superscript"/>
                <w:lang w:val="en-US" w:eastAsia="zh-CN"/>
              </w:rPr>
              <w:t>-7</w:t>
            </w:r>
            <w:r>
              <w:rPr>
                <w:rFonts w:hint="default" w:ascii="Times New Roman" w:hAnsi="Times New Roman" w:eastAsia="宋体" w:cs="Times New Roman"/>
                <w:color w:val="000000"/>
                <w:kern w:val="2"/>
                <w:sz w:val="24"/>
                <w:szCs w:val="20"/>
                <w:highlight w:val="none"/>
                <w:lang w:val="en-US" w:eastAsia="zh-CN"/>
              </w:rPr>
              <w:t>cm/s</w:t>
            </w:r>
            <w:r>
              <w:rPr>
                <w:rFonts w:hint="eastAsia" w:ascii="Times New Roman" w:hAnsi="Times New Roman" w:eastAsia="宋体" w:cs="Times New Roman"/>
                <w:color w:val="000000"/>
                <w:kern w:val="2"/>
                <w:sz w:val="24"/>
                <w:szCs w:val="20"/>
                <w:highlight w:val="none"/>
                <w:lang w:val="en-US" w:eastAsia="zh-CN"/>
              </w:rPr>
              <w:t>；</w:t>
            </w:r>
            <w:r>
              <w:rPr>
                <w:rFonts w:hint="eastAsia" w:ascii="Times New Roman" w:hAnsi="Times New Roman" w:eastAsia="宋体" w:cs="Times New Roman"/>
                <w:color w:val="auto"/>
                <w:sz w:val="24"/>
                <w:szCs w:val="24"/>
                <w:highlight w:val="none"/>
                <w:lang w:val="en-US" w:eastAsia="zh-CN" w:bidi="ar-SA"/>
              </w:rPr>
              <w:t>厂区内地面均做硬化处理</w:t>
            </w:r>
            <w:r>
              <w:rPr>
                <w:rFonts w:hint="default" w:ascii="Times New Roman" w:hAnsi="Times New Roman" w:eastAsia="宋体" w:cs="Times New Roman"/>
                <w:color w:val="auto"/>
                <w:sz w:val="24"/>
                <w:szCs w:val="24"/>
                <w:highlight w:val="none"/>
                <w:lang w:val="en-US" w:eastAsia="zh-CN" w:bidi="ar-SA"/>
              </w:rPr>
              <w:t>，因此，泄漏后不会大面积逸散，在发生泄漏后，厂内工作人员将及时清理，因此，若发生泄漏等事故不会对</w:t>
            </w:r>
            <w:r>
              <w:rPr>
                <w:rFonts w:hint="eastAsia" w:ascii="Times New Roman" w:hAnsi="Times New Roman" w:eastAsia="宋体" w:cs="Times New Roman"/>
                <w:color w:val="auto"/>
                <w:sz w:val="24"/>
                <w:szCs w:val="24"/>
                <w:highlight w:val="none"/>
                <w:lang w:val="en-US" w:eastAsia="zh-CN" w:bidi="ar-SA"/>
              </w:rPr>
              <w:t>土壤、地下水环境</w:t>
            </w:r>
            <w:r>
              <w:rPr>
                <w:rFonts w:hint="default" w:ascii="Times New Roman" w:hAnsi="Times New Roman" w:eastAsia="宋体" w:cs="Times New Roman"/>
                <w:color w:val="auto"/>
                <w:sz w:val="24"/>
                <w:szCs w:val="24"/>
                <w:highlight w:val="none"/>
                <w:lang w:val="en-US" w:eastAsia="zh-CN"/>
              </w:rPr>
              <w:t>造成影响。</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4）风险应急监测</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①监测项目</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环境空气：非甲烷总烃、氯化氢</w:t>
            </w:r>
            <w:r>
              <w:rPr>
                <w:rFonts w:hint="eastAsia" w:cs="Times New Roman"/>
                <w:color w:val="000000"/>
                <w:kern w:val="2"/>
                <w:sz w:val="24"/>
                <w:szCs w:val="20"/>
                <w:highlight w:val="none"/>
                <w:lang w:val="en-US" w:eastAsia="zh-CN"/>
              </w:rPr>
              <w:t>、颗粒物</w:t>
            </w:r>
            <w:r>
              <w:rPr>
                <w:rFonts w:hint="eastAsia" w:ascii="Times New Roman" w:hAnsi="Times New Roman" w:eastAsia="宋体" w:cs="Times New Roman"/>
                <w:color w:val="000000"/>
                <w:kern w:val="2"/>
                <w:sz w:val="24"/>
                <w:szCs w:val="20"/>
                <w:highlight w:val="none"/>
                <w:lang w:val="en-US" w:eastAsia="zh-CN"/>
              </w:rPr>
              <w:t>、臭气浓度；</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地下水：pH、COD、BOD、SS、氨氮、动植物油、石油类；</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②监测区域</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大气环境：本项目周边区域（根据事故排放量定监测范围）；</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水环境：本项目周边地下水环境</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5）按照要求，制定本项目环境风险事故应急预案。</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color w:val="000000"/>
                <w:kern w:val="2"/>
                <w:sz w:val="24"/>
                <w:szCs w:val="20"/>
                <w:highlight w:val="none"/>
                <w:lang w:val="en-US" w:eastAsia="zh-CN"/>
              </w:rPr>
            </w:pPr>
            <w:r>
              <w:rPr>
                <w:rFonts w:hint="eastAsia" w:ascii="Times New Roman" w:hAnsi="Times New Roman" w:eastAsia="宋体" w:cs="Times New Roman"/>
                <w:b w:val="0"/>
                <w:bCs w:val="0"/>
                <w:color w:val="000000"/>
                <w:kern w:val="2"/>
                <w:sz w:val="24"/>
                <w:szCs w:val="20"/>
                <w:highlight w:val="none"/>
                <w:lang w:val="en-US" w:eastAsia="zh-CN"/>
              </w:rPr>
              <w:t>（4）风险小结</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项目运行过程中存在火灾、泄漏风险，必须严格执行国家的技术规范和操作规程要求，落实各项安全规章制度，避免事故的发生。</w:t>
            </w:r>
          </w:p>
          <w:p>
            <w:pPr>
              <w:widowControl w:val="0"/>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Times New Roman"/>
                <w:color w:val="000000"/>
                <w:kern w:val="2"/>
                <w:sz w:val="24"/>
                <w:szCs w:val="20"/>
                <w:highlight w:val="none"/>
                <w:lang w:val="en-US" w:eastAsia="zh-CN"/>
              </w:rPr>
              <w:t>在认真落实项目拟采取的安全措施及评价所提出的安全措施及安全对策后，项目的事故对周围的影响是可以接受的。</w:t>
            </w:r>
          </w:p>
          <w:p>
            <w:pPr>
              <w:widowControl w:val="0"/>
              <w:overflowPunct w:val="0"/>
              <w:autoSpaceDE w:val="0"/>
              <w:autoSpaceDN w:val="0"/>
              <w:adjustRightInd w:val="0"/>
              <w:snapToGrid w:val="0"/>
              <w:spacing w:before="0" w:after="0" w:line="360" w:lineRule="auto"/>
              <w:ind w:left="0" w:right="0" w:firstLine="482" w:firstLineChars="200"/>
              <w:jc w:val="center"/>
              <w:rPr>
                <w:rFonts w:hint="default" w:ascii="Times New Roman" w:hAnsi="Times New Roman" w:eastAsia="宋体" w:cs="Times New Roman"/>
                <w:b/>
                <w:bCs/>
                <w:snapToGrid w:val="0"/>
                <w:color w:val="000000"/>
                <w:kern w:val="2"/>
                <w:sz w:val="24"/>
                <w:szCs w:val="24"/>
                <w:highlight w:val="none"/>
                <w:lang w:val="en-US" w:eastAsia="zh-CN" w:bidi="ar-SA"/>
              </w:rPr>
            </w:pPr>
            <w:r>
              <w:rPr>
                <w:rFonts w:hint="default" w:ascii="Times New Roman" w:hAnsi="Times New Roman" w:eastAsia="宋体" w:cs="Times New Roman"/>
                <w:b/>
                <w:bCs/>
                <w:snapToGrid w:val="0"/>
                <w:color w:val="000000"/>
                <w:kern w:val="2"/>
                <w:sz w:val="24"/>
                <w:szCs w:val="24"/>
                <w:highlight w:val="none"/>
                <w:lang w:val="en-US" w:eastAsia="zh-CN" w:bidi="ar-SA"/>
              </w:rPr>
              <w:t>表</w:t>
            </w:r>
            <w:r>
              <w:rPr>
                <w:rFonts w:hint="eastAsia" w:ascii="Times New Roman" w:hAnsi="Times New Roman" w:eastAsia="宋体" w:cs="Times New Roman"/>
                <w:b/>
                <w:bCs/>
                <w:snapToGrid w:val="0"/>
                <w:color w:val="000000"/>
                <w:kern w:val="2"/>
                <w:sz w:val="24"/>
                <w:szCs w:val="24"/>
                <w:highlight w:val="none"/>
                <w:lang w:val="en-US" w:eastAsia="zh-CN" w:bidi="ar-SA"/>
              </w:rPr>
              <w:t xml:space="preserve">4.11-4  </w:t>
            </w:r>
            <w:r>
              <w:rPr>
                <w:rFonts w:hint="default" w:ascii="Times New Roman" w:hAnsi="Times New Roman" w:eastAsia="宋体" w:cs="Times New Roman"/>
                <w:b/>
                <w:bCs/>
                <w:snapToGrid w:val="0"/>
                <w:color w:val="000000"/>
                <w:kern w:val="2"/>
                <w:sz w:val="24"/>
                <w:szCs w:val="24"/>
                <w:highlight w:val="none"/>
                <w:lang w:val="en-US" w:eastAsia="zh-CN" w:bidi="ar-SA"/>
              </w:rPr>
              <w:t>建设项目环境风险简单分析内容表</w:t>
            </w:r>
          </w:p>
          <w:tbl>
            <w:tblPr>
              <w:tblStyle w:val="14"/>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910"/>
              <w:gridCol w:w="1238"/>
              <w:gridCol w:w="1931"/>
              <w:gridCol w:w="1666"/>
              <w:gridCol w:w="1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建设项目名称</w:t>
                  </w:r>
                </w:p>
              </w:tc>
              <w:tc>
                <w:tcPr>
                  <w:tcW w:w="6594" w:type="dxa"/>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新疆圣威线缆科技有限公司建设年产2000千米电线电缆项目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建设地点</w:t>
                  </w:r>
                </w:p>
              </w:tc>
              <w:tc>
                <w:tcPr>
                  <w:tcW w:w="6594"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阜康市苏通小微创业园2-14地块新疆伟康高科管业有限公司院内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地理坐标</w:t>
                  </w:r>
                </w:p>
              </w:tc>
              <w:tc>
                <w:tcPr>
                  <w:tcW w:w="12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纬度</w:t>
                  </w:r>
                </w:p>
              </w:tc>
              <w:tc>
                <w:tcPr>
                  <w:tcW w:w="1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eastAsia="zh-CN"/>
                    </w:rPr>
                  </w:pPr>
                  <w:r>
                    <w:rPr>
                      <w:rFonts w:hint="default" w:ascii="Times New Roman" w:hAnsi="Times New Roman" w:eastAsia="宋体" w:cs="Times New Roman"/>
                      <w:color w:val="auto"/>
                      <w:kern w:val="2"/>
                      <w:sz w:val="21"/>
                      <w:szCs w:val="24"/>
                      <w:highlight w:val="none"/>
                      <w:lang w:eastAsia="zh-CN"/>
                    </w:rPr>
                    <w:t>44°9′37.219″</w:t>
                  </w:r>
                </w:p>
              </w:tc>
              <w:tc>
                <w:tcPr>
                  <w:tcW w:w="16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经度</w:t>
                  </w:r>
                </w:p>
              </w:tc>
              <w:tc>
                <w:tcPr>
                  <w:tcW w:w="17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87°50′27.520″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主要危险物质及分布</w:t>
                  </w:r>
                </w:p>
              </w:tc>
              <w:tc>
                <w:tcPr>
                  <w:tcW w:w="6594"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废机油：危废暂存间；</w:t>
                  </w:r>
                </w:p>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拉丝油：生产车间；</w:t>
                  </w:r>
                </w:p>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油墨：生产车间、危废暂存间；</w:t>
                  </w:r>
                </w:p>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氯化氢：不储存，在生产车间产生。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环境影响途径及危害后果（大气、地表水和地下水等）</w:t>
                  </w:r>
                </w:p>
              </w:tc>
              <w:tc>
                <w:tcPr>
                  <w:tcW w:w="6594"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主要影响途径：</w:t>
                  </w:r>
                  <w:r>
                    <w:rPr>
                      <w:rFonts w:hint="eastAsia" w:ascii="Times New Roman" w:hAnsi="Times New Roman" w:eastAsia="宋体" w:cs="Times New Roman"/>
                      <w:color w:val="auto"/>
                      <w:kern w:val="2"/>
                      <w:sz w:val="21"/>
                      <w:szCs w:val="24"/>
                      <w:highlight w:val="none"/>
                      <w:lang w:val="en-US" w:eastAsia="zh-CN"/>
                    </w:rPr>
                    <w:t>废气事故排放、废矿物油泄漏、火灾、爆炸</w:t>
                  </w:r>
                  <w:r>
                    <w:rPr>
                      <w:rFonts w:hint="default" w:ascii="Times New Roman" w:hAnsi="Times New Roman" w:eastAsia="宋体" w:cs="Times New Roman"/>
                      <w:color w:val="auto"/>
                      <w:kern w:val="2"/>
                      <w:sz w:val="21"/>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危害后果：</w:t>
                  </w:r>
                  <w:r>
                    <w:rPr>
                      <w:rFonts w:hint="eastAsia" w:ascii="Times New Roman" w:hAnsi="Times New Roman" w:eastAsia="宋体" w:cs="Times New Roman"/>
                      <w:color w:val="auto"/>
                      <w:kern w:val="2"/>
                      <w:sz w:val="21"/>
                      <w:szCs w:val="24"/>
                      <w:highlight w:val="none"/>
                      <w:lang w:val="en-US" w:eastAsia="zh-CN"/>
                    </w:rPr>
                    <w:t>废矿物油、油墨泄漏引起火灾、爆炸；废气事故排放引起氯化氢泄漏导致环境空气、水环境和土壤污染，及时采取应急措施，</w:t>
                  </w:r>
                  <w:r>
                    <w:rPr>
                      <w:rFonts w:hint="default" w:ascii="Times New Roman" w:hAnsi="Times New Roman" w:eastAsia="宋体" w:cs="Times New Roman"/>
                      <w:color w:val="auto"/>
                      <w:kern w:val="2"/>
                      <w:sz w:val="21"/>
                      <w:szCs w:val="24"/>
                      <w:highlight w:val="none"/>
                      <w:lang w:val="en-US" w:eastAsia="zh-CN"/>
                    </w:rPr>
                    <w:t>不会对</w:t>
                  </w:r>
                  <w:r>
                    <w:rPr>
                      <w:rFonts w:hint="eastAsia" w:ascii="Times New Roman" w:hAnsi="Times New Roman" w:eastAsia="宋体" w:cs="Times New Roman"/>
                      <w:color w:val="auto"/>
                      <w:kern w:val="2"/>
                      <w:sz w:val="21"/>
                      <w:szCs w:val="24"/>
                      <w:highlight w:val="none"/>
                      <w:lang w:val="en-US" w:eastAsia="zh-CN"/>
                    </w:rPr>
                    <w:t>环境</w:t>
                  </w:r>
                  <w:r>
                    <w:rPr>
                      <w:rFonts w:hint="default" w:ascii="Times New Roman" w:hAnsi="Times New Roman" w:eastAsia="宋体" w:cs="Times New Roman"/>
                      <w:color w:val="auto"/>
                      <w:kern w:val="2"/>
                      <w:sz w:val="21"/>
                      <w:szCs w:val="24"/>
                      <w:highlight w:val="none"/>
                      <w:lang w:val="en-US" w:eastAsia="zh-CN"/>
                    </w:rPr>
                    <w:t>产生</w:t>
                  </w:r>
                  <w:r>
                    <w:rPr>
                      <w:rFonts w:hint="eastAsia" w:ascii="Times New Roman" w:hAnsi="Times New Roman" w:eastAsia="宋体" w:cs="Times New Roman"/>
                      <w:color w:val="auto"/>
                      <w:kern w:val="2"/>
                      <w:sz w:val="21"/>
                      <w:szCs w:val="24"/>
                      <w:highlight w:val="none"/>
                      <w:lang w:val="en-US" w:eastAsia="zh-CN"/>
                    </w:rPr>
                    <w:t>显著不利</w:t>
                  </w:r>
                  <w:r>
                    <w:rPr>
                      <w:rFonts w:hint="default" w:ascii="Times New Roman" w:hAnsi="Times New Roman" w:eastAsia="宋体" w:cs="Times New Roman"/>
                      <w:color w:val="auto"/>
                      <w:kern w:val="2"/>
                      <w:sz w:val="21"/>
                      <w:szCs w:val="24"/>
                      <w:highlight w:val="none"/>
                      <w:lang w:val="en-US" w:eastAsia="zh-CN"/>
                    </w:rPr>
                    <w:t>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风险防范措施要求</w:t>
                  </w:r>
                </w:p>
              </w:tc>
              <w:tc>
                <w:tcPr>
                  <w:tcW w:w="6594"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①</w:t>
                  </w:r>
                  <w:r>
                    <w:rPr>
                      <w:rFonts w:hint="eastAsia" w:ascii="Times New Roman" w:hAnsi="Times New Roman" w:eastAsia="宋体" w:cs="Times New Roman"/>
                      <w:color w:val="auto"/>
                      <w:kern w:val="2"/>
                      <w:sz w:val="21"/>
                      <w:szCs w:val="24"/>
                      <w:highlight w:val="none"/>
                      <w:lang w:val="en-US" w:eastAsia="zh-CN"/>
                    </w:rPr>
                    <w:t>编制</w:t>
                  </w:r>
                  <w:r>
                    <w:rPr>
                      <w:rFonts w:hint="default" w:ascii="Times New Roman" w:hAnsi="Times New Roman" w:eastAsia="宋体" w:cs="Times New Roman"/>
                      <w:color w:val="auto"/>
                      <w:kern w:val="2"/>
                      <w:sz w:val="21"/>
                      <w:szCs w:val="24"/>
                      <w:highlight w:val="none"/>
                      <w:lang w:val="en-US" w:eastAsia="zh-CN"/>
                    </w:rPr>
                    <w:t>突发事件环境应急预案并定期演练；</w:t>
                  </w:r>
                </w:p>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rPr>
                  </w:pPr>
                  <w:r>
                    <w:rPr>
                      <w:rFonts w:hint="default" w:ascii="Times New Roman" w:hAnsi="Times New Roman" w:eastAsia="宋体" w:cs="Times New Roman"/>
                      <w:color w:val="auto"/>
                      <w:kern w:val="2"/>
                      <w:sz w:val="21"/>
                      <w:szCs w:val="24"/>
                      <w:highlight w:val="none"/>
                    </w:rPr>
                    <w:t>②建设单位从总图布置、电器安全措施、制定应急预案等方面完善了环境风险防范措施；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填表说明（列出项目相关信息及评价说明）</w:t>
                  </w:r>
                </w:p>
              </w:tc>
              <w:tc>
                <w:tcPr>
                  <w:tcW w:w="6594"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根据物质危险性识别确定各环境要素环境风险潜势等级均为Ⅰ，根据《建设项目环境风险评价技术导则》（HJ/T169-2018），环境风险评价工作等级为简单分析，评价深度以定性说明为主，环境风险评价对其进行了简要定性分析。最终确定环境风险可控，处于可接受水平。</w:t>
                  </w:r>
                </w:p>
              </w:tc>
            </w:tr>
          </w:tbl>
          <w:p>
            <w:pPr>
              <w:pageBreakBefore w:val="0"/>
              <w:widowControl w:val="0"/>
              <w:kinsoku/>
              <w:wordWrap/>
              <w:overflowPunct/>
              <w:topLinePunct w:val="0"/>
              <w:autoSpaceDE/>
              <w:autoSpaceDN/>
              <w:bidi w:val="0"/>
              <w:adjustRightInd/>
              <w:snapToGrid/>
              <w:spacing w:before="0" w:after="0" w:line="480" w:lineRule="exact"/>
              <w:ind w:left="0" w:right="0" w:firstLine="562" w:firstLineChars="200"/>
              <w:jc w:val="both"/>
              <w:textAlignment w:val="auto"/>
              <w:rPr>
                <w:rFonts w:hint="default" w:ascii="Times New Roman" w:hAnsi="Times New Roman" w:eastAsia="宋体" w:cs="Times New Roman"/>
                <w:b/>
                <w:color w:val="000000"/>
                <w:kern w:val="2"/>
                <w:sz w:val="28"/>
                <w:szCs w:val="28"/>
                <w:highlight w:val="none"/>
                <w:lang w:val="en-US" w:eastAsia="zh-CN" w:bidi="ar-SA"/>
              </w:rPr>
            </w:pPr>
            <w:r>
              <w:rPr>
                <w:rFonts w:hint="eastAsia" w:ascii="Times New Roman" w:hAnsi="Times New Roman" w:eastAsia="宋体" w:cs="Times New Roman"/>
                <w:b/>
                <w:color w:val="000000"/>
                <w:kern w:val="2"/>
                <w:sz w:val="28"/>
                <w:szCs w:val="28"/>
                <w:highlight w:val="none"/>
                <w:lang w:val="en-US" w:eastAsia="zh-CN" w:bidi="ar-SA"/>
              </w:rPr>
              <w:t>4.12“三同时”验收</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b w:val="0"/>
                <w:bCs w:val="0"/>
                <w:color w:val="000000"/>
                <w:kern w:val="0"/>
                <w:sz w:val="24"/>
                <w:szCs w:val="24"/>
                <w:highlight w:val="none"/>
                <w:lang w:val="en-US" w:eastAsia="zh-CN" w:bidi="ar-SA"/>
              </w:rPr>
            </w:pPr>
            <w:r>
              <w:rPr>
                <w:rFonts w:hint="default" w:ascii="Times New Roman" w:hAnsi="Times New Roman" w:eastAsia="宋体" w:cs="Times New Roman"/>
                <w:b w:val="0"/>
                <w:bCs w:val="0"/>
                <w:color w:val="000000"/>
                <w:kern w:val="0"/>
                <w:sz w:val="24"/>
                <w:szCs w:val="24"/>
                <w:highlight w:val="none"/>
                <w:lang w:val="en-US" w:eastAsia="zh-CN" w:bidi="ar-SA"/>
              </w:rPr>
              <w:t>本项目环境保护设施</w:t>
            </w:r>
            <w:r>
              <w:rPr>
                <w:rFonts w:hint="eastAsia" w:ascii="Times New Roman" w:hAnsi="Times New Roman" w:eastAsia="宋体" w:cs="Times New Roman"/>
                <w:b w:val="0"/>
                <w:bCs w:val="0"/>
                <w:color w:val="000000"/>
                <w:kern w:val="0"/>
                <w:sz w:val="24"/>
                <w:szCs w:val="24"/>
                <w:highlight w:val="none"/>
                <w:lang w:val="en-US" w:eastAsia="zh-CN" w:bidi="ar-SA"/>
              </w:rPr>
              <w:t>“</w:t>
            </w:r>
            <w:r>
              <w:rPr>
                <w:rFonts w:hint="default" w:ascii="Times New Roman" w:hAnsi="Times New Roman" w:eastAsia="宋体" w:cs="Times New Roman"/>
                <w:b w:val="0"/>
                <w:bCs w:val="0"/>
                <w:color w:val="000000"/>
                <w:kern w:val="0"/>
                <w:sz w:val="24"/>
                <w:szCs w:val="24"/>
                <w:highlight w:val="none"/>
                <w:lang w:val="en-US" w:eastAsia="zh-CN" w:bidi="ar-SA"/>
              </w:rPr>
              <w:t>三同时</w:t>
            </w:r>
            <w:r>
              <w:rPr>
                <w:rFonts w:hint="eastAsia" w:ascii="Times New Roman" w:hAnsi="Times New Roman" w:eastAsia="宋体" w:cs="Times New Roman"/>
                <w:b w:val="0"/>
                <w:bCs w:val="0"/>
                <w:color w:val="000000"/>
                <w:kern w:val="0"/>
                <w:sz w:val="24"/>
                <w:szCs w:val="24"/>
                <w:highlight w:val="none"/>
                <w:lang w:val="en-US" w:eastAsia="zh-CN" w:bidi="ar-SA"/>
              </w:rPr>
              <w:t>”</w:t>
            </w:r>
            <w:r>
              <w:rPr>
                <w:rFonts w:hint="default" w:ascii="Times New Roman" w:hAnsi="Times New Roman" w:eastAsia="宋体" w:cs="Times New Roman"/>
                <w:b w:val="0"/>
                <w:bCs w:val="0"/>
                <w:color w:val="000000"/>
                <w:kern w:val="0"/>
                <w:sz w:val="24"/>
                <w:szCs w:val="24"/>
                <w:highlight w:val="none"/>
                <w:lang w:val="en-US" w:eastAsia="zh-CN" w:bidi="ar-SA"/>
              </w:rPr>
              <w:t>验收一览表见表</w:t>
            </w:r>
            <w:r>
              <w:rPr>
                <w:rFonts w:hint="eastAsia" w:ascii="Times New Roman" w:hAnsi="Times New Roman" w:eastAsia="宋体" w:cs="Times New Roman"/>
                <w:b w:val="0"/>
                <w:bCs w:val="0"/>
                <w:color w:val="000000"/>
                <w:kern w:val="0"/>
                <w:sz w:val="24"/>
                <w:szCs w:val="24"/>
                <w:highlight w:val="none"/>
                <w:lang w:val="en-US" w:eastAsia="zh-CN" w:bidi="ar-SA"/>
              </w:rPr>
              <w:t>4.12-1。</w:t>
            </w:r>
          </w:p>
          <w:p>
            <w:pPr>
              <w:spacing w:line="360" w:lineRule="auto"/>
              <w:jc w:val="center"/>
              <w:rPr>
                <w:rFonts w:hint="default" w:ascii="Times New Roman" w:hAnsi="Times New Roman" w:eastAsia="宋体" w:cs="Times New Roman"/>
                <w:b/>
                <w:bCs/>
                <w:color w:val="000000"/>
                <w:kern w:val="2"/>
                <w:sz w:val="24"/>
                <w:szCs w:val="24"/>
                <w:highlight w:val="none"/>
                <w:lang w:val="en-US" w:eastAsia="zh-CN"/>
              </w:rPr>
            </w:pPr>
            <w:r>
              <w:rPr>
                <w:rFonts w:hint="default" w:ascii="Times New Roman" w:hAnsi="Times New Roman" w:eastAsia="宋体" w:cs="Times New Roman"/>
                <w:b/>
                <w:bCs/>
                <w:color w:val="000000"/>
                <w:kern w:val="2"/>
                <w:sz w:val="24"/>
                <w:szCs w:val="24"/>
                <w:highlight w:val="none"/>
                <w:lang w:val="en-US" w:eastAsia="zh-CN"/>
              </w:rPr>
              <w:t>表</w:t>
            </w:r>
            <w:r>
              <w:rPr>
                <w:rFonts w:hint="eastAsia" w:ascii="Times New Roman" w:hAnsi="Times New Roman" w:eastAsia="宋体" w:cs="Times New Roman"/>
                <w:b/>
                <w:bCs/>
                <w:color w:val="000000"/>
                <w:kern w:val="2"/>
                <w:sz w:val="24"/>
                <w:szCs w:val="24"/>
                <w:highlight w:val="none"/>
                <w:lang w:val="en-US" w:eastAsia="zh-CN"/>
              </w:rPr>
              <w:t>4.12-1</w:t>
            </w:r>
            <w:r>
              <w:rPr>
                <w:rFonts w:hint="default" w:ascii="Times New Roman" w:hAnsi="Times New Roman" w:eastAsia="宋体" w:cs="Times New Roman"/>
                <w:b/>
                <w:bCs/>
                <w:color w:val="000000"/>
                <w:kern w:val="2"/>
                <w:sz w:val="24"/>
                <w:szCs w:val="24"/>
                <w:highlight w:val="none"/>
                <w:lang w:val="en-US" w:eastAsia="zh-CN"/>
              </w:rPr>
              <w:t>环保设施</w:t>
            </w:r>
            <w:r>
              <w:rPr>
                <w:rFonts w:hint="eastAsia" w:ascii="Times New Roman" w:hAnsi="Times New Roman" w:eastAsia="宋体" w:cs="Times New Roman"/>
                <w:b/>
                <w:bCs/>
                <w:color w:val="000000"/>
                <w:kern w:val="2"/>
                <w:sz w:val="24"/>
                <w:szCs w:val="24"/>
                <w:highlight w:val="none"/>
                <w:lang w:val="en-US" w:eastAsia="zh-CN"/>
              </w:rPr>
              <w:t>“</w:t>
            </w:r>
            <w:r>
              <w:rPr>
                <w:rFonts w:hint="default" w:ascii="Times New Roman" w:hAnsi="Times New Roman" w:eastAsia="宋体" w:cs="Times New Roman"/>
                <w:b/>
                <w:bCs/>
                <w:color w:val="000000"/>
                <w:kern w:val="2"/>
                <w:sz w:val="24"/>
                <w:szCs w:val="24"/>
                <w:highlight w:val="none"/>
                <w:lang w:val="en-US" w:eastAsia="zh-CN"/>
              </w:rPr>
              <w:t>三同时</w:t>
            </w:r>
            <w:r>
              <w:rPr>
                <w:rFonts w:hint="eastAsia" w:ascii="Times New Roman" w:hAnsi="Times New Roman" w:eastAsia="宋体" w:cs="Times New Roman"/>
                <w:b/>
                <w:bCs/>
                <w:color w:val="000000"/>
                <w:kern w:val="2"/>
                <w:sz w:val="24"/>
                <w:szCs w:val="24"/>
                <w:highlight w:val="none"/>
                <w:lang w:val="en-US" w:eastAsia="zh-CN"/>
              </w:rPr>
              <w:t>”</w:t>
            </w:r>
            <w:r>
              <w:rPr>
                <w:rFonts w:hint="default" w:ascii="Times New Roman" w:hAnsi="Times New Roman" w:eastAsia="宋体" w:cs="Times New Roman"/>
                <w:b/>
                <w:bCs/>
                <w:color w:val="000000"/>
                <w:kern w:val="2"/>
                <w:sz w:val="24"/>
                <w:szCs w:val="24"/>
                <w:highlight w:val="none"/>
                <w:lang w:val="en-US" w:eastAsia="zh-CN"/>
              </w:rPr>
              <w:t>验收一览表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90"/>
              <w:gridCol w:w="711"/>
              <w:gridCol w:w="525"/>
              <w:gridCol w:w="884"/>
              <w:gridCol w:w="1594"/>
              <w:gridCol w:w="840"/>
              <w:gridCol w:w="2175"/>
              <w:gridCol w:w="12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9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类别</w:t>
                  </w:r>
                </w:p>
              </w:tc>
              <w:tc>
                <w:tcPr>
                  <w:tcW w:w="711"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监测点位</w:t>
                  </w:r>
                </w:p>
              </w:tc>
              <w:tc>
                <w:tcPr>
                  <w:tcW w:w="52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治理项目</w:t>
                  </w:r>
                </w:p>
              </w:tc>
              <w:tc>
                <w:tcPr>
                  <w:tcW w:w="884"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污染因子</w:t>
                  </w:r>
                </w:p>
              </w:tc>
              <w:tc>
                <w:tcPr>
                  <w:tcW w:w="1594"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主要环保措施</w:t>
                  </w:r>
                </w:p>
              </w:tc>
              <w:tc>
                <w:tcPr>
                  <w:tcW w:w="84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数量</w:t>
                  </w:r>
                </w:p>
              </w:tc>
              <w:tc>
                <w:tcPr>
                  <w:tcW w:w="217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验收标准</w:t>
                  </w:r>
                </w:p>
              </w:tc>
              <w:tc>
                <w:tcPr>
                  <w:tcW w:w="128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490"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废气</w:t>
                  </w:r>
                </w:p>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处理</w:t>
                  </w:r>
                </w:p>
              </w:tc>
              <w:tc>
                <w:tcPr>
                  <w:tcW w:w="711"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DA00</w:t>
                  </w:r>
                  <w:r>
                    <w:rPr>
                      <w:rFonts w:hint="eastAsia" w:cs="Times New Roman"/>
                      <w:color w:val="000000"/>
                      <w:kern w:val="0"/>
                      <w:sz w:val="21"/>
                      <w:szCs w:val="21"/>
                      <w:highlight w:val="none"/>
                      <w:lang w:val="en-US" w:eastAsia="zh-CN" w:bidi="ar-SA"/>
                    </w:rPr>
                    <w:t>1</w:t>
                  </w:r>
                </w:p>
              </w:tc>
              <w:tc>
                <w:tcPr>
                  <w:tcW w:w="525"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有组织</w:t>
                  </w:r>
                </w:p>
              </w:tc>
              <w:tc>
                <w:tcPr>
                  <w:tcW w:w="884" w:type="dxa"/>
                  <w:tcBorders>
                    <w:tl2br w:val="nil"/>
                    <w:tr2bl w:val="nil"/>
                  </w:tcBorders>
                  <w:noWrap w:val="0"/>
                  <w:vAlign w:val="center"/>
                </w:tcPr>
                <w:p>
                  <w:pPr>
                    <w:widowControl w:val="0"/>
                    <w:spacing w:line="320" w:lineRule="exact"/>
                    <w:jc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非甲烷总烃</w:t>
                  </w:r>
                </w:p>
              </w:tc>
              <w:tc>
                <w:tcPr>
                  <w:tcW w:w="1594"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水洗填料塔+活性炭吸附+脱附+催化燃烧装置+20m排气筒</w:t>
                  </w:r>
                </w:p>
              </w:tc>
              <w:tc>
                <w:tcPr>
                  <w:tcW w:w="840"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1套</w:t>
                  </w:r>
                </w:p>
              </w:tc>
              <w:tc>
                <w:tcPr>
                  <w:tcW w:w="217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《合成树脂工业污染物排放标准》（GB31572-2015）（含2024年修改单）表5 大气污染物特别排放限值</w:t>
                  </w:r>
                </w:p>
              </w:tc>
              <w:tc>
                <w:tcPr>
                  <w:tcW w:w="1285" w:type="dxa"/>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000000"/>
                      <w:kern w:val="2"/>
                      <w:sz w:val="21"/>
                      <w:szCs w:val="21"/>
                      <w:highlight w:val="none"/>
                    </w:rPr>
                  </w:pPr>
                  <w:r>
                    <w:rPr>
                      <w:rFonts w:hint="eastAsia" w:ascii="Times New Roman" w:hAnsi="Times New Roman" w:eastAsia="宋体" w:cs="Times New Roman"/>
                      <w:snapToGrid w:val="0"/>
                      <w:color w:val="000000"/>
                      <w:kern w:val="2"/>
                      <w:sz w:val="21"/>
                      <w:szCs w:val="21"/>
                      <w:highlight w:val="none"/>
                      <w:lang w:val="en-US" w:eastAsia="zh-CN"/>
                    </w:rPr>
                    <w:t>60</w:t>
                  </w:r>
                  <w:r>
                    <w:rPr>
                      <w:rFonts w:hint="default" w:ascii="Times New Roman" w:hAnsi="Times New Roman" w:eastAsia="宋体" w:cs="Times New Roman"/>
                      <w:snapToGrid w:val="0"/>
                      <w:color w:val="000000"/>
                      <w:kern w:val="2"/>
                      <w:sz w:val="21"/>
                      <w:szCs w:val="21"/>
                      <w:highlight w:val="none"/>
                    </w:rPr>
                    <w:t>mg/m</w:t>
                  </w:r>
                  <w:r>
                    <w:rPr>
                      <w:rFonts w:hint="default" w:ascii="Times New Roman" w:hAnsi="Times New Roman" w:eastAsia="宋体" w:cs="Times New Roman"/>
                      <w:snapToGrid w:val="0"/>
                      <w:color w:val="000000"/>
                      <w:kern w:val="2"/>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6" w:hRule="atLeast"/>
                <w:jc w:val="center"/>
              </w:trPr>
              <w:tc>
                <w:tcPr>
                  <w:tcW w:w="490"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711"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525" w:type="dxa"/>
                  <w:vMerge w:val="continue"/>
                  <w:tcBorders>
                    <w:tl2br w:val="nil"/>
                    <w:tr2bl w:val="nil"/>
                  </w:tcBorders>
                  <w:noWrap w:val="0"/>
                  <w:vAlign w:val="center"/>
                </w:tcPr>
                <w:p>
                  <w:pPr>
                    <w:widowControl w:val="0"/>
                    <w:spacing w:line="320" w:lineRule="exact"/>
                    <w:jc w:val="center"/>
                    <w:rPr>
                      <w:rFonts w:hint="eastAsia" w:ascii="Times New Roman" w:hAnsi="Times New Roman" w:eastAsia="宋体" w:cs="Times New Roman"/>
                      <w:color w:val="000000"/>
                      <w:kern w:val="0"/>
                      <w:sz w:val="21"/>
                      <w:szCs w:val="21"/>
                      <w:highlight w:val="none"/>
                      <w:lang w:val="en-US" w:eastAsia="zh-CN" w:bidi="ar-SA"/>
                    </w:rPr>
                  </w:pPr>
                </w:p>
              </w:tc>
              <w:tc>
                <w:tcPr>
                  <w:tcW w:w="884" w:type="dxa"/>
                  <w:tcBorders>
                    <w:tl2br w:val="nil"/>
                    <w:tr2bl w:val="nil"/>
                  </w:tcBorders>
                  <w:noWrap w:val="0"/>
                  <w:vAlign w:val="center"/>
                </w:tcPr>
                <w:p>
                  <w:pPr>
                    <w:widowControl w:val="0"/>
                    <w:spacing w:line="320" w:lineRule="exact"/>
                    <w:jc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氯化氢</w:t>
                  </w:r>
                </w:p>
              </w:tc>
              <w:tc>
                <w:tcPr>
                  <w:tcW w:w="1594"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840"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217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kern w:val="2"/>
                      <w:sz w:val="21"/>
                      <w:szCs w:val="21"/>
                      <w:lang w:val="en-US" w:eastAsia="zh-CN" w:bidi="ar-SA"/>
                    </w:rPr>
                    <w:t>《大气污染物综合排放标准》（GB 16297-1996）表2 新污染源大气污染物排放限值</w:t>
                  </w:r>
                </w:p>
              </w:tc>
              <w:tc>
                <w:tcPr>
                  <w:tcW w:w="1285" w:type="dxa"/>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000000"/>
                      <w:kern w:val="2"/>
                      <w:sz w:val="21"/>
                      <w:szCs w:val="21"/>
                      <w:highlight w:val="none"/>
                      <w:vertAlign w:val="baseline"/>
                      <w:lang w:val="en-US" w:eastAsia="zh-CN"/>
                    </w:rPr>
                  </w:pPr>
                  <w:r>
                    <w:rPr>
                      <w:rFonts w:hint="eastAsia" w:ascii="Times New Roman" w:hAnsi="Times New Roman" w:eastAsia="宋体" w:cs="Times New Roman"/>
                      <w:snapToGrid w:val="0"/>
                      <w:color w:val="000000"/>
                      <w:kern w:val="2"/>
                      <w:sz w:val="21"/>
                      <w:szCs w:val="21"/>
                      <w:highlight w:val="none"/>
                      <w:lang w:val="en-US" w:eastAsia="zh-CN"/>
                    </w:rPr>
                    <w:t>100</w:t>
                  </w:r>
                  <w:r>
                    <w:rPr>
                      <w:rFonts w:hint="default" w:ascii="Times New Roman" w:hAnsi="Times New Roman" w:eastAsia="宋体" w:cs="Times New Roman"/>
                      <w:snapToGrid w:val="0"/>
                      <w:color w:val="000000"/>
                      <w:kern w:val="2"/>
                      <w:sz w:val="21"/>
                      <w:szCs w:val="21"/>
                      <w:highlight w:val="none"/>
                    </w:rPr>
                    <w:t>mg/m</w:t>
                  </w:r>
                  <w:r>
                    <w:rPr>
                      <w:rFonts w:hint="default" w:ascii="Times New Roman" w:hAnsi="Times New Roman" w:eastAsia="宋体" w:cs="Times New Roman"/>
                      <w:snapToGrid w:val="0"/>
                      <w:color w:val="000000"/>
                      <w:kern w:val="2"/>
                      <w:sz w:val="21"/>
                      <w:szCs w:val="21"/>
                      <w:highlight w:val="none"/>
                      <w:vertAlign w:val="superscript"/>
                    </w:rPr>
                    <w:t>3</w:t>
                  </w:r>
                  <w:r>
                    <w:rPr>
                      <w:rFonts w:hint="eastAsia" w:ascii="Times New Roman" w:hAnsi="Times New Roman" w:eastAsia="宋体" w:cs="Times New Roman"/>
                      <w:snapToGrid w:val="0"/>
                      <w:color w:val="000000"/>
                      <w:kern w:val="2"/>
                      <w:sz w:val="21"/>
                      <w:szCs w:val="21"/>
                      <w:highlight w:val="none"/>
                      <w:vertAlign w:val="baseline"/>
                      <w:lang w:eastAsia="zh-CN"/>
                    </w:rPr>
                    <w:t>；</w:t>
                  </w:r>
                  <w:r>
                    <w:rPr>
                      <w:rFonts w:hint="eastAsia" w:cs="Times New Roman"/>
                      <w:snapToGrid w:val="0"/>
                      <w:color w:val="000000"/>
                      <w:kern w:val="2"/>
                      <w:sz w:val="21"/>
                      <w:szCs w:val="21"/>
                      <w:highlight w:val="none"/>
                      <w:vertAlign w:val="baseline"/>
                      <w:lang w:val="en-US" w:eastAsia="zh-CN"/>
                    </w:rPr>
                    <w:t>0.43</w:t>
                  </w:r>
                  <w:r>
                    <w:rPr>
                      <w:rFonts w:hint="eastAsia" w:ascii="Times New Roman" w:hAnsi="Times New Roman" w:eastAsia="宋体" w:cs="Times New Roman"/>
                      <w:snapToGrid w:val="0"/>
                      <w:color w:val="000000"/>
                      <w:kern w:val="2"/>
                      <w:sz w:val="21"/>
                      <w:szCs w:val="21"/>
                      <w:highlight w:val="none"/>
                      <w:vertAlign w:val="baseline"/>
                      <w:lang w:val="en-US" w:eastAsia="zh-CN"/>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490"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711"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525" w:type="dxa"/>
                  <w:vMerge w:val="continue"/>
                  <w:tcBorders>
                    <w:tl2br w:val="nil"/>
                    <w:tr2bl w:val="nil"/>
                  </w:tcBorders>
                  <w:noWrap w:val="0"/>
                  <w:vAlign w:val="center"/>
                </w:tcPr>
                <w:p>
                  <w:pPr>
                    <w:widowControl w:val="0"/>
                    <w:spacing w:line="320" w:lineRule="exact"/>
                    <w:jc w:val="center"/>
                    <w:rPr>
                      <w:rFonts w:hint="eastAsia" w:ascii="Times New Roman" w:hAnsi="Times New Roman" w:eastAsia="宋体" w:cs="Times New Roman"/>
                      <w:color w:val="000000"/>
                      <w:kern w:val="0"/>
                      <w:sz w:val="21"/>
                      <w:szCs w:val="21"/>
                      <w:highlight w:val="none"/>
                      <w:lang w:val="en-US" w:eastAsia="zh-CN" w:bidi="ar-SA"/>
                    </w:rPr>
                  </w:pPr>
                </w:p>
              </w:tc>
              <w:tc>
                <w:tcPr>
                  <w:tcW w:w="884" w:type="dxa"/>
                  <w:tcBorders>
                    <w:tl2br w:val="nil"/>
                    <w:tr2bl w:val="nil"/>
                  </w:tcBorders>
                  <w:noWrap w:val="0"/>
                  <w:vAlign w:val="center"/>
                </w:tcPr>
                <w:p>
                  <w:pPr>
                    <w:widowControl w:val="0"/>
                    <w:spacing w:line="320" w:lineRule="exact"/>
                    <w:jc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臭气浓度</w:t>
                  </w:r>
                </w:p>
              </w:tc>
              <w:tc>
                <w:tcPr>
                  <w:tcW w:w="1594"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840"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217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highlight w:val="none"/>
                      <w:lang w:val="en-US" w:eastAsia="zh-CN" w:bidi="ar-SA"/>
                    </w:rPr>
                    <w:t>《恶臭污染物排放标准》（GB14554-93）表2 恶臭污染物排放标准值</w:t>
                  </w:r>
                </w:p>
              </w:tc>
              <w:tc>
                <w:tcPr>
                  <w:tcW w:w="1285" w:type="dxa"/>
                  <w:tcBorders>
                    <w:tl2br w:val="nil"/>
                    <w:tr2bl w:val="nil"/>
                  </w:tcBorders>
                  <w:noWrap w:val="0"/>
                  <w:vAlign w:val="center"/>
                </w:tcPr>
                <w:p>
                  <w:pPr>
                    <w:spacing w:line="240" w:lineRule="auto"/>
                    <w:jc w:val="center"/>
                    <w:rPr>
                      <w:rFonts w:hint="eastAsia" w:ascii="Times New Roman" w:hAnsi="Times New Roman" w:eastAsia="宋体" w:cs="Times New Roman"/>
                      <w:snapToGrid w:val="0"/>
                      <w:color w:val="000000"/>
                      <w:kern w:val="2"/>
                      <w:sz w:val="21"/>
                      <w:szCs w:val="21"/>
                      <w:highlight w:val="none"/>
                      <w:lang w:val="en-US" w:eastAsia="zh-CN"/>
                    </w:rPr>
                  </w:pPr>
                  <w:r>
                    <w:rPr>
                      <w:rFonts w:hint="eastAsia" w:ascii="Times New Roman" w:hAnsi="Times New Roman" w:eastAsia="宋体" w:cs="Times New Roman"/>
                      <w:snapToGrid w:val="0"/>
                      <w:color w:val="000000"/>
                      <w:kern w:val="2"/>
                      <w:sz w:val="21"/>
                      <w:szCs w:val="21"/>
                      <w:highlight w:val="none"/>
                      <w:lang w:val="en-US" w:eastAsia="zh-CN"/>
                    </w:rPr>
                    <w:t>2000（无量纲）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5" w:hRule="atLeast"/>
                <w:jc w:val="center"/>
              </w:trPr>
              <w:tc>
                <w:tcPr>
                  <w:tcW w:w="490"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711"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厂界上风向1个监测点，下风向3个监测点</w:t>
                  </w:r>
                </w:p>
              </w:tc>
              <w:tc>
                <w:tcPr>
                  <w:tcW w:w="525"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无组织</w:t>
                  </w:r>
                </w:p>
              </w:tc>
              <w:tc>
                <w:tcPr>
                  <w:tcW w:w="884"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非甲烷总烃</w:t>
                  </w:r>
                </w:p>
              </w:tc>
              <w:tc>
                <w:tcPr>
                  <w:tcW w:w="1594"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宋体"/>
                      <w:sz w:val="21"/>
                      <w:szCs w:val="22"/>
                      <w:lang w:val="en-US" w:eastAsia="zh-CN" w:bidi="ar-SA"/>
                    </w:rPr>
                    <w:t>封闭式作业</w:t>
                  </w:r>
                </w:p>
              </w:tc>
              <w:tc>
                <w:tcPr>
                  <w:tcW w:w="84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w:t>
                  </w:r>
                </w:p>
              </w:tc>
              <w:tc>
                <w:tcPr>
                  <w:tcW w:w="217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《合成树脂工业污染物排放标准》（GB31572-2015）（含2024年修改单）</w:t>
                  </w:r>
                  <w:r>
                    <w:rPr>
                      <w:rFonts w:hint="default" w:ascii="Times New Roman" w:hAnsi="Times New Roman" w:eastAsia="宋体" w:cs="Times New Roman"/>
                      <w:color w:val="000000"/>
                      <w:kern w:val="2"/>
                      <w:sz w:val="21"/>
                      <w:szCs w:val="21"/>
                      <w:highlight w:val="none"/>
                      <w:lang w:val="en-US" w:eastAsia="zh-CN" w:bidi="ar-SA"/>
                    </w:rPr>
                    <w:t>表9 企业边界大气污染物浓度限值</w:t>
                  </w:r>
                </w:p>
              </w:tc>
              <w:tc>
                <w:tcPr>
                  <w:tcW w:w="128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snapToGrid w:val="0"/>
                      <w:color w:val="000000"/>
                      <w:kern w:val="0"/>
                      <w:sz w:val="21"/>
                      <w:szCs w:val="21"/>
                      <w:highlight w:val="none"/>
                      <w:lang w:val="en-US" w:eastAsia="zh-CN" w:bidi="ar-SA"/>
                    </w:rPr>
                  </w:pPr>
                  <w:r>
                    <w:rPr>
                      <w:rFonts w:hint="eastAsia" w:ascii="Times New Roman" w:hAnsi="Times New Roman" w:eastAsia="宋体" w:cs="Times New Roman"/>
                      <w:kern w:val="2"/>
                      <w:sz w:val="21"/>
                      <w:szCs w:val="21"/>
                      <w:lang w:val="en-US" w:eastAsia="zh-CN" w:bidi="ar-SA"/>
                    </w:rPr>
                    <w:t>4.0</w:t>
                  </w:r>
                  <w:r>
                    <w:rPr>
                      <w:rFonts w:hint="default" w:ascii="Times New Roman" w:hAnsi="Times New Roman" w:eastAsia="宋体" w:cs="Times New Roman"/>
                      <w:snapToGrid w:val="0"/>
                      <w:color w:val="000000"/>
                      <w:kern w:val="2"/>
                      <w:sz w:val="21"/>
                      <w:szCs w:val="21"/>
                      <w:highlight w:val="none"/>
                    </w:rPr>
                    <w:t>mg/m</w:t>
                  </w:r>
                  <w:r>
                    <w:rPr>
                      <w:rFonts w:hint="default" w:ascii="Times New Roman" w:hAnsi="Times New Roman" w:eastAsia="宋体" w:cs="Times New Roman"/>
                      <w:snapToGrid w:val="0"/>
                      <w:color w:val="000000"/>
                      <w:kern w:val="2"/>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5" w:hRule="atLeast"/>
                <w:jc w:val="center"/>
              </w:trPr>
              <w:tc>
                <w:tcPr>
                  <w:tcW w:w="490"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711" w:type="dxa"/>
                  <w:vMerge w:val="continue"/>
                  <w:tcBorders>
                    <w:tl2br w:val="nil"/>
                    <w:tr2bl w:val="nil"/>
                  </w:tcBorders>
                  <w:noWrap w:val="0"/>
                  <w:vAlign w:val="center"/>
                </w:tcPr>
                <w:p>
                  <w:pPr>
                    <w:widowControl w:val="0"/>
                    <w:spacing w:line="320" w:lineRule="exact"/>
                    <w:jc w:val="center"/>
                    <w:rPr>
                      <w:rFonts w:hint="eastAsia" w:ascii="Times New Roman" w:hAnsi="Times New Roman" w:eastAsia="宋体" w:cs="Times New Roman"/>
                      <w:color w:val="000000"/>
                      <w:kern w:val="0"/>
                      <w:sz w:val="21"/>
                      <w:szCs w:val="21"/>
                      <w:highlight w:val="none"/>
                      <w:lang w:val="en-US" w:eastAsia="zh-CN" w:bidi="ar-SA"/>
                    </w:rPr>
                  </w:pPr>
                </w:p>
              </w:tc>
              <w:tc>
                <w:tcPr>
                  <w:tcW w:w="525"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884" w:type="dxa"/>
                  <w:tcBorders>
                    <w:tl2br w:val="nil"/>
                    <w:tr2bl w:val="nil"/>
                  </w:tcBorders>
                  <w:noWrap w:val="0"/>
                  <w:vAlign w:val="center"/>
                </w:tcPr>
                <w:p>
                  <w:pPr>
                    <w:widowControl w:val="0"/>
                    <w:spacing w:line="320" w:lineRule="exact"/>
                    <w:jc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氯化氢</w:t>
                  </w:r>
                </w:p>
              </w:tc>
              <w:tc>
                <w:tcPr>
                  <w:tcW w:w="1594" w:type="dxa"/>
                  <w:vMerge w:val="continue"/>
                  <w:tcBorders>
                    <w:tl2br w:val="nil"/>
                    <w:tr2bl w:val="nil"/>
                  </w:tcBorders>
                  <w:noWrap w:val="0"/>
                  <w:vAlign w:val="center"/>
                </w:tcPr>
                <w:p>
                  <w:pPr>
                    <w:widowControl w:val="0"/>
                    <w:spacing w:line="320" w:lineRule="exact"/>
                    <w:jc w:val="center"/>
                    <w:rPr>
                      <w:rFonts w:hint="eastAsia" w:ascii="Times New Roman" w:hAnsi="Times New Roman" w:eastAsia="宋体" w:cs="宋体"/>
                      <w:sz w:val="21"/>
                      <w:szCs w:val="22"/>
                      <w:lang w:val="en-US" w:eastAsia="zh-CN" w:bidi="ar-SA"/>
                    </w:rPr>
                  </w:pPr>
                </w:p>
              </w:tc>
              <w:tc>
                <w:tcPr>
                  <w:tcW w:w="84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w:t>
                  </w:r>
                </w:p>
              </w:tc>
              <w:tc>
                <w:tcPr>
                  <w:tcW w:w="2175" w:type="dxa"/>
                  <w:vMerge w:val="restart"/>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kern w:val="2"/>
                      <w:sz w:val="21"/>
                      <w:szCs w:val="21"/>
                      <w:lang w:val="en-US" w:eastAsia="zh-CN" w:bidi="ar-SA"/>
                    </w:rPr>
                    <w:t>《大气污染物综合排放标准》（GB 16297-1996）表2 新污染源大气污染物排放限值</w:t>
                  </w:r>
                </w:p>
              </w:tc>
              <w:tc>
                <w:tcPr>
                  <w:tcW w:w="128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5" w:hRule="atLeast"/>
                <w:jc w:val="center"/>
              </w:trPr>
              <w:tc>
                <w:tcPr>
                  <w:tcW w:w="490"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711" w:type="dxa"/>
                  <w:vMerge w:val="continue"/>
                  <w:tcBorders>
                    <w:tl2br w:val="nil"/>
                    <w:tr2bl w:val="nil"/>
                  </w:tcBorders>
                  <w:noWrap w:val="0"/>
                  <w:vAlign w:val="center"/>
                </w:tcPr>
                <w:p>
                  <w:pPr>
                    <w:widowControl w:val="0"/>
                    <w:spacing w:line="320" w:lineRule="exact"/>
                    <w:jc w:val="center"/>
                    <w:rPr>
                      <w:rFonts w:hint="eastAsia" w:ascii="Times New Roman" w:hAnsi="Times New Roman" w:eastAsia="宋体" w:cs="Times New Roman"/>
                      <w:color w:val="000000"/>
                      <w:kern w:val="0"/>
                      <w:sz w:val="21"/>
                      <w:szCs w:val="21"/>
                      <w:highlight w:val="none"/>
                      <w:lang w:val="en-US" w:eastAsia="zh-CN" w:bidi="ar-SA"/>
                    </w:rPr>
                  </w:pPr>
                </w:p>
              </w:tc>
              <w:tc>
                <w:tcPr>
                  <w:tcW w:w="525"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884"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颗粒物</w:t>
                  </w:r>
                </w:p>
              </w:tc>
              <w:tc>
                <w:tcPr>
                  <w:tcW w:w="1594" w:type="dxa"/>
                  <w:tcBorders>
                    <w:tl2br w:val="nil"/>
                    <w:tr2bl w:val="nil"/>
                  </w:tcBorders>
                  <w:noWrap w:val="0"/>
                  <w:vAlign w:val="center"/>
                </w:tcPr>
                <w:p>
                  <w:pPr>
                    <w:widowControl w:val="0"/>
                    <w:spacing w:line="320" w:lineRule="exact"/>
                    <w:jc w:val="center"/>
                    <w:rPr>
                      <w:rFonts w:hint="eastAsia"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移动式焊烟净化器</w:t>
                  </w:r>
                </w:p>
              </w:tc>
              <w:tc>
                <w:tcPr>
                  <w:tcW w:w="84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w:t>
                  </w:r>
                </w:p>
              </w:tc>
              <w:tc>
                <w:tcPr>
                  <w:tcW w:w="2175" w:type="dxa"/>
                  <w:vMerge w:val="continue"/>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p>
              </w:tc>
              <w:tc>
                <w:tcPr>
                  <w:tcW w:w="128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5" w:hRule="atLeast"/>
                <w:jc w:val="center"/>
              </w:trPr>
              <w:tc>
                <w:tcPr>
                  <w:tcW w:w="490"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711" w:type="dxa"/>
                  <w:vMerge w:val="continue"/>
                  <w:tcBorders>
                    <w:tl2br w:val="nil"/>
                    <w:tr2bl w:val="nil"/>
                  </w:tcBorders>
                  <w:noWrap w:val="0"/>
                  <w:vAlign w:val="center"/>
                </w:tcPr>
                <w:p>
                  <w:pPr>
                    <w:widowControl w:val="0"/>
                    <w:spacing w:line="320" w:lineRule="exact"/>
                    <w:jc w:val="center"/>
                    <w:rPr>
                      <w:rFonts w:hint="eastAsia" w:ascii="Times New Roman" w:hAnsi="Times New Roman" w:eastAsia="宋体" w:cs="Times New Roman"/>
                      <w:color w:val="000000"/>
                      <w:kern w:val="0"/>
                      <w:sz w:val="21"/>
                      <w:szCs w:val="21"/>
                      <w:highlight w:val="none"/>
                      <w:lang w:val="en-US" w:eastAsia="zh-CN" w:bidi="ar-SA"/>
                    </w:rPr>
                  </w:pPr>
                </w:p>
              </w:tc>
              <w:tc>
                <w:tcPr>
                  <w:tcW w:w="525"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884"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臭气浓度</w:t>
                  </w:r>
                </w:p>
              </w:tc>
              <w:tc>
                <w:tcPr>
                  <w:tcW w:w="1594" w:type="dxa"/>
                  <w:tcBorders>
                    <w:tl2br w:val="nil"/>
                    <w:tr2bl w:val="nil"/>
                  </w:tcBorders>
                  <w:noWrap w:val="0"/>
                  <w:vAlign w:val="center"/>
                </w:tcPr>
                <w:p>
                  <w:pPr>
                    <w:widowControl w:val="0"/>
                    <w:spacing w:line="320" w:lineRule="exact"/>
                    <w:jc w:val="center"/>
                    <w:rPr>
                      <w:rFonts w:hint="eastAsia"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封闭式作业</w:t>
                  </w:r>
                </w:p>
              </w:tc>
              <w:tc>
                <w:tcPr>
                  <w:tcW w:w="84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w:t>
                  </w:r>
                </w:p>
              </w:tc>
              <w:tc>
                <w:tcPr>
                  <w:tcW w:w="217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kern w:val="2"/>
                      <w:sz w:val="21"/>
                      <w:szCs w:val="21"/>
                      <w:lang w:val="en-US" w:eastAsia="zh-CN" w:bidi="ar-SA"/>
                    </w:rPr>
                    <w:t>《恶臭污染物排放标准》（GB14554-93）表1 恶臭污染物厂界标准值中二级标准限值</w:t>
                  </w:r>
                </w:p>
              </w:tc>
              <w:tc>
                <w:tcPr>
                  <w:tcW w:w="128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15" w:hRule="atLeast"/>
                <w:jc w:val="center"/>
              </w:trPr>
              <w:tc>
                <w:tcPr>
                  <w:tcW w:w="490"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711" w:type="dxa"/>
                  <w:vMerge w:val="restart"/>
                  <w:tcBorders>
                    <w:tl2br w:val="nil"/>
                    <w:tr2bl w:val="nil"/>
                  </w:tcBorders>
                  <w:noWrap w:val="0"/>
                  <w:vAlign w:val="center"/>
                </w:tcPr>
                <w:p>
                  <w:pPr>
                    <w:widowControl w:val="0"/>
                    <w:spacing w:line="320" w:lineRule="exact"/>
                    <w:jc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在生产车间门窗或通风口 等排放口外1 m，</w:t>
                  </w:r>
                </w:p>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距离地面 1.5 m以上位置设置1个监测点</w:t>
                  </w:r>
                </w:p>
              </w:tc>
              <w:tc>
                <w:tcPr>
                  <w:tcW w:w="525"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无组织</w:t>
                  </w:r>
                </w:p>
              </w:tc>
              <w:tc>
                <w:tcPr>
                  <w:tcW w:w="884"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非甲烷总烃</w:t>
                  </w:r>
                </w:p>
              </w:tc>
              <w:tc>
                <w:tcPr>
                  <w:tcW w:w="1594"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宋体"/>
                      <w:sz w:val="21"/>
                      <w:szCs w:val="22"/>
                      <w:lang w:val="en-US" w:eastAsia="zh-CN" w:bidi="ar-SA"/>
                    </w:rPr>
                    <w:t>封闭式作业</w:t>
                  </w:r>
                </w:p>
              </w:tc>
              <w:tc>
                <w:tcPr>
                  <w:tcW w:w="840"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w:t>
                  </w:r>
                </w:p>
              </w:tc>
              <w:tc>
                <w:tcPr>
                  <w:tcW w:w="2175" w:type="dxa"/>
                  <w:vMerge w:val="restart"/>
                  <w:tcBorders>
                    <w:tl2br w:val="nil"/>
                    <w:tr2bl w:val="nil"/>
                  </w:tcBorders>
                  <w:noWrap w:val="0"/>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 xml:space="preserve">《挥发性有机物无组织排放控制标准》（GB37822-2019）表A.1厂区内VOCs无组织特别排放限值 </w:t>
                  </w:r>
                </w:p>
              </w:tc>
              <w:tc>
                <w:tcPr>
                  <w:tcW w:w="128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snapToGrid w:val="0"/>
                      <w:color w:val="000000"/>
                      <w:kern w:val="0"/>
                      <w:sz w:val="21"/>
                      <w:szCs w:val="21"/>
                      <w:highlight w:val="none"/>
                      <w:lang w:val="en-US" w:eastAsia="zh-CN" w:bidi="ar-SA"/>
                    </w:rPr>
                  </w:pPr>
                  <w:r>
                    <w:rPr>
                      <w:rFonts w:hint="eastAsia" w:ascii="Times New Roman" w:hAnsi="Times New Roman" w:eastAsia="宋体" w:cs="Times New Roman"/>
                      <w:kern w:val="2"/>
                      <w:sz w:val="21"/>
                      <w:szCs w:val="21"/>
                      <w:lang w:val="en-US" w:eastAsia="zh-CN" w:bidi="ar-SA"/>
                    </w:rPr>
                    <w:t>6</w:t>
                  </w:r>
                  <w:r>
                    <w:rPr>
                      <w:rFonts w:hint="default" w:ascii="Times New Roman" w:hAnsi="Times New Roman" w:eastAsia="宋体" w:cs="Times New Roman"/>
                      <w:snapToGrid w:val="0"/>
                      <w:color w:val="000000"/>
                      <w:kern w:val="2"/>
                      <w:sz w:val="21"/>
                      <w:szCs w:val="21"/>
                      <w:highlight w:val="none"/>
                    </w:rPr>
                    <w:t>mg/m</w:t>
                  </w:r>
                  <w:r>
                    <w:rPr>
                      <w:rFonts w:hint="default" w:ascii="Times New Roman" w:hAnsi="Times New Roman" w:eastAsia="宋体" w:cs="Times New Roman"/>
                      <w:snapToGrid w:val="0"/>
                      <w:color w:val="000000"/>
                      <w:kern w:val="2"/>
                      <w:sz w:val="21"/>
                      <w:szCs w:val="21"/>
                      <w:highlight w:val="none"/>
                      <w:vertAlign w:val="superscript"/>
                    </w:rPr>
                    <w:t>3</w:t>
                  </w:r>
                  <w:r>
                    <w:rPr>
                      <w:rFonts w:hint="eastAsia" w:ascii="Times New Roman" w:hAnsi="Times New Roman" w:eastAsia="宋体" w:cs="Times New Roman"/>
                      <w:kern w:val="2"/>
                      <w:sz w:val="21"/>
                      <w:szCs w:val="21"/>
                      <w:lang w:val="en-US" w:eastAsia="zh-CN" w:bidi="ar-SA"/>
                    </w:rPr>
                    <w:t>监控点处1 h平均浓度值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15" w:hRule="atLeast"/>
                <w:jc w:val="center"/>
              </w:trPr>
              <w:tc>
                <w:tcPr>
                  <w:tcW w:w="490" w:type="dxa"/>
                  <w:vMerge w:val="continue"/>
                  <w:tcBorders>
                    <w:tl2br w:val="nil"/>
                    <w:tr2bl w:val="nil"/>
                  </w:tcBorders>
                  <w:noWrap w:val="0"/>
                  <w:vAlign w:val="center"/>
                </w:tcPr>
                <w:p>
                  <w:pPr>
                    <w:widowControl w:val="0"/>
                    <w:spacing w:line="320" w:lineRule="exact"/>
                    <w:jc w:val="center"/>
                    <w:rPr>
                      <w:rFonts w:ascii="Times New Roman" w:hAnsi="Times New Roman" w:eastAsia="宋体" w:cs="宋体"/>
                    </w:rPr>
                  </w:pPr>
                </w:p>
              </w:tc>
              <w:tc>
                <w:tcPr>
                  <w:tcW w:w="711" w:type="dxa"/>
                  <w:vMerge w:val="continue"/>
                  <w:tcBorders>
                    <w:tl2br w:val="nil"/>
                    <w:tr2bl w:val="nil"/>
                  </w:tcBorders>
                  <w:noWrap w:val="0"/>
                  <w:vAlign w:val="center"/>
                </w:tcPr>
                <w:p>
                  <w:pPr>
                    <w:widowControl w:val="0"/>
                    <w:spacing w:line="320" w:lineRule="exact"/>
                    <w:jc w:val="center"/>
                    <w:rPr>
                      <w:rFonts w:ascii="Times New Roman" w:hAnsi="Times New Roman" w:eastAsia="宋体" w:cs="宋体"/>
                    </w:rPr>
                  </w:pPr>
                </w:p>
              </w:tc>
              <w:tc>
                <w:tcPr>
                  <w:tcW w:w="525" w:type="dxa"/>
                  <w:vMerge w:val="continue"/>
                  <w:tcBorders>
                    <w:tl2br w:val="nil"/>
                    <w:tr2bl w:val="nil"/>
                  </w:tcBorders>
                  <w:noWrap w:val="0"/>
                  <w:vAlign w:val="center"/>
                </w:tcPr>
                <w:p>
                  <w:pPr>
                    <w:widowControl w:val="0"/>
                    <w:spacing w:line="320" w:lineRule="exact"/>
                    <w:jc w:val="center"/>
                    <w:rPr>
                      <w:rFonts w:ascii="Times New Roman" w:hAnsi="Times New Roman" w:eastAsia="宋体" w:cs="宋体"/>
                    </w:rPr>
                  </w:pPr>
                </w:p>
              </w:tc>
              <w:tc>
                <w:tcPr>
                  <w:tcW w:w="884" w:type="dxa"/>
                  <w:vMerge w:val="continue"/>
                  <w:tcBorders>
                    <w:tl2br w:val="nil"/>
                    <w:tr2bl w:val="nil"/>
                  </w:tcBorders>
                  <w:noWrap w:val="0"/>
                  <w:vAlign w:val="center"/>
                </w:tcPr>
                <w:p>
                  <w:pPr>
                    <w:widowControl w:val="0"/>
                    <w:spacing w:line="320" w:lineRule="exact"/>
                    <w:jc w:val="center"/>
                    <w:rPr>
                      <w:rFonts w:ascii="Times New Roman" w:hAnsi="Times New Roman" w:eastAsia="宋体" w:cs="宋体"/>
                    </w:rPr>
                  </w:pPr>
                </w:p>
              </w:tc>
              <w:tc>
                <w:tcPr>
                  <w:tcW w:w="1594" w:type="dxa"/>
                  <w:vMerge w:val="continue"/>
                  <w:tcBorders>
                    <w:tl2br w:val="nil"/>
                    <w:tr2bl w:val="nil"/>
                  </w:tcBorders>
                  <w:noWrap w:val="0"/>
                  <w:vAlign w:val="center"/>
                </w:tcPr>
                <w:p>
                  <w:pPr>
                    <w:widowControl w:val="0"/>
                    <w:spacing w:line="320" w:lineRule="exact"/>
                    <w:jc w:val="center"/>
                    <w:rPr>
                      <w:rFonts w:ascii="Times New Roman" w:hAnsi="Times New Roman" w:eastAsia="宋体" w:cs="宋体"/>
                    </w:rPr>
                  </w:pPr>
                </w:p>
              </w:tc>
              <w:tc>
                <w:tcPr>
                  <w:tcW w:w="840" w:type="dxa"/>
                  <w:vMerge w:val="continue"/>
                  <w:tcBorders>
                    <w:tl2br w:val="nil"/>
                    <w:tr2bl w:val="nil"/>
                  </w:tcBorders>
                  <w:noWrap w:val="0"/>
                  <w:vAlign w:val="center"/>
                </w:tcPr>
                <w:p>
                  <w:pPr>
                    <w:widowControl w:val="0"/>
                    <w:spacing w:line="320" w:lineRule="exact"/>
                    <w:jc w:val="center"/>
                    <w:rPr>
                      <w:rFonts w:ascii="Times New Roman" w:hAnsi="Times New Roman" w:eastAsia="宋体" w:cs="宋体"/>
                    </w:rPr>
                  </w:pPr>
                </w:p>
              </w:tc>
              <w:tc>
                <w:tcPr>
                  <w:tcW w:w="2175" w:type="dxa"/>
                  <w:vMerge w:val="continue"/>
                  <w:tcBorders>
                    <w:tl2br w:val="nil"/>
                    <w:tr2bl w:val="nil"/>
                  </w:tcBorders>
                  <w:noWrap w:val="0"/>
                  <w:vAlign w:val="center"/>
                </w:tcPr>
                <w:p>
                  <w:pPr>
                    <w:widowControl w:val="0"/>
                    <w:spacing w:line="320" w:lineRule="exact"/>
                    <w:jc w:val="center"/>
                    <w:rPr>
                      <w:rFonts w:ascii="Times New Roman" w:hAnsi="Times New Roman" w:eastAsia="宋体" w:cs="宋体"/>
                    </w:rPr>
                  </w:pPr>
                </w:p>
              </w:tc>
              <w:tc>
                <w:tcPr>
                  <w:tcW w:w="1285" w:type="dxa"/>
                  <w:tcBorders>
                    <w:tl2br w:val="nil"/>
                    <w:tr2bl w:val="nil"/>
                  </w:tcBorders>
                  <w:noWrap w:val="0"/>
                  <w:vAlign w:val="center"/>
                </w:tcPr>
                <w:p>
                  <w:pPr>
                    <w:widowControl w:val="0"/>
                    <w:overflow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snapToGrid w:val="0"/>
                      <w:color w:val="000000"/>
                      <w:kern w:val="0"/>
                      <w:sz w:val="21"/>
                      <w:szCs w:val="21"/>
                      <w:highlight w:val="none"/>
                      <w:lang w:val="en-US" w:eastAsia="zh-CN" w:bidi="ar-SA"/>
                    </w:rPr>
                  </w:pPr>
                  <w:r>
                    <w:rPr>
                      <w:rFonts w:hint="eastAsia" w:ascii="Times New Roman" w:hAnsi="Times New Roman" w:eastAsia="宋体" w:cs="Times New Roman"/>
                      <w:kern w:val="2"/>
                      <w:sz w:val="21"/>
                      <w:szCs w:val="21"/>
                      <w:lang w:val="en-US" w:eastAsia="zh-CN" w:bidi="ar-SA"/>
                    </w:rPr>
                    <w:t>20</w:t>
                  </w:r>
                  <w:r>
                    <w:rPr>
                      <w:rFonts w:hint="default" w:ascii="Times New Roman" w:hAnsi="Times New Roman" w:eastAsia="宋体" w:cs="Times New Roman"/>
                      <w:snapToGrid w:val="0"/>
                      <w:color w:val="000000"/>
                      <w:kern w:val="2"/>
                      <w:sz w:val="21"/>
                      <w:szCs w:val="21"/>
                      <w:highlight w:val="none"/>
                    </w:rPr>
                    <w:t>mg/m</w:t>
                  </w:r>
                  <w:r>
                    <w:rPr>
                      <w:rFonts w:hint="default" w:ascii="Times New Roman" w:hAnsi="Times New Roman" w:eastAsia="宋体" w:cs="Times New Roman"/>
                      <w:snapToGrid w:val="0"/>
                      <w:color w:val="000000"/>
                      <w:kern w:val="2"/>
                      <w:sz w:val="21"/>
                      <w:szCs w:val="21"/>
                      <w:highlight w:val="none"/>
                      <w:vertAlign w:val="superscript"/>
                    </w:rPr>
                    <w:t>3</w:t>
                  </w:r>
                  <w:r>
                    <w:rPr>
                      <w:rFonts w:hint="eastAsia" w:ascii="Times New Roman" w:hAnsi="Times New Roman" w:eastAsia="宋体" w:cs="Times New Roman"/>
                      <w:kern w:val="2"/>
                      <w:sz w:val="21"/>
                      <w:szCs w:val="21"/>
                      <w:lang w:val="en-US" w:eastAsia="zh-CN" w:bidi="ar-SA"/>
                    </w:rPr>
                    <w:t>监控点处任意一次浓度值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49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水污染防治</w:t>
                  </w:r>
                </w:p>
              </w:tc>
              <w:tc>
                <w:tcPr>
                  <w:tcW w:w="711"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废水总排口</w:t>
                  </w:r>
                </w:p>
              </w:tc>
              <w:tc>
                <w:tcPr>
                  <w:tcW w:w="525" w:type="dxa"/>
                  <w:tcBorders>
                    <w:tl2br w:val="nil"/>
                    <w:tr2bl w:val="nil"/>
                  </w:tcBorders>
                  <w:noWrap w:val="0"/>
                  <w:vAlign w:val="center"/>
                </w:tcPr>
                <w:p>
                  <w:pPr>
                    <w:widowControl w:val="0"/>
                    <w:spacing w:line="320" w:lineRule="exact"/>
                    <w:jc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生活污水</w:t>
                  </w:r>
                </w:p>
              </w:tc>
              <w:tc>
                <w:tcPr>
                  <w:tcW w:w="884"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宋体"/>
                      <w:sz w:val="21"/>
                      <w:szCs w:val="21"/>
                      <w:lang w:val="en-US" w:eastAsia="zh-CN"/>
                    </w:rPr>
                    <w:t>pH、COD、BOD</w:t>
                  </w:r>
                  <w:r>
                    <w:rPr>
                      <w:rFonts w:hint="eastAsia" w:ascii="Times New Roman" w:hAnsi="Times New Roman" w:eastAsia="宋体" w:cs="宋体"/>
                      <w:sz w:val="21"/>
                      <w:szCs w:val="21"/>
                      <w:vertAlign w:val="subscript"/>
                      <w:lang w:val="en-US" w:eastAsia="zh-CN"/>
                    </w:rPr>
                    <w:t>5</w:t>
                  </w:r>
                  <w:r>
                    <w:rPr>
                      <w:rFonts w:hint="eastAsia" w:ascii="Times New Roman" w:hAnsi="Times New Roman" w:eastAsia="宋体" w:cs="宋体"/>
                      <w:sz w:val="21"/>
                      <w:szCs w:val="21"/>
                      <w:lang w:val="en-US" w:eastAsia="zh-CN"/>
                    </w:rPr>
                    <w:t>、SS、氨氮、动植物油</w:t>
                  </w:r>
                </w:p>
              </w:tc>
              <w:tc>
                <w:tcPr>
                  <w:tcW w:w="1594"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排入园区管网</w:t>
                  </w:r>
                </w:p>
              </w:tc>
              <w:tc>
                <w:tcPr>
                  <w:tcW w:w="84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w:t>
                  </w:r>
                </w:p>
              </w:tc>
              <w:tc>
                <w:tcPr>
                  <w:tcW w:w="2175" w:type="dxa"/>
                  <w:tcBorders>
                    <w:tl2br w:val="nil"/>
                    <w:tr2bl w:val="nil"/>
                  </w:tcBorders>
                  <w:noWrap w:val="0"/>
                  <w:vAlign w:val="center"/>
                </w:tcPr>
                <w:p>
                  <w:pPr>
                    <w:widowControl w:val="0"/>
                    <w:spacing w:line="320" w:lineRule="exact"/>
                    <w:jc w:val="center"/>
                    <w:rPr>
                      <w:rFonts w:hint="default" w:ascii="Times New Roman" w:hAnsi="Times New Roman" w:eastAsia="Calibri" w:cs="Times New Roman"/>
                      <w:color w:val="000000"/>
                      <w:kern w:val="0"/>
                      <w:sz w:val="21"/>
                      <w:szCs w:val="21"/>
                      <w:highlight w:val="none"/>
                      <w:lang w:val="en-US" w:eastAsia="zh-CN" w:bidi="ar-SA"/>
                    </w:rPr>
                  </w:pPr>
                  <w:r>
                    <w:rPr>
                      <w:rFonts w:hint="default" w:ascii="Times New Roman" w:hAnsi="Times New Roman" w:eastAsia="Calibri" w:cs="Times New Roman"/>
                      <w:color w:val="000000"/>
                      <w:kern w:val="0"/>
                      <w:sz w:val="21"/>
                      <w:szCs w:val="21"/>
                      <w:highlight w:val="none"/>
                      <w:lang w:val="en-US" w:eastAsia="zh-CN" w:bidi="ar-SA"/>
                    </w:rPr>
                    <w:t>《污水排入城镇下水道水质标准》（GB/T 31962-2015）表1 污水排入城镇下水道水质控制项目限值B级标准</w:t>
                  </w:r>
                </w:p>
              </w:tc>
              <w:tc>
                <w:tcPr>
                  <w:tcW w:w="128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snapToGrid w:val="0"/>
                      <w:color w:val="000000"/>
                      <w:kern w:val="0"/>
                      <w:sz w:val="21"/>
                      <w:szCs w:val="21"/>
                      <w:highlight w:val="none"/>
                      <w:lang w:val="en-US" w:eastAsia="zh-CN" w:bidi="ar-SA"/>
                    </w:rPr>
                  </w:pPr>
                  <w:r>
                    <w:rPr>
                      <w:rFonts w:hint="eastAsia" w:ascii="Times New Roman" w:hAnsi="Times New Roman" w:eastAsia="宋体" w:cs="Times New Roman"/>
                      <w:snapToGrid w:val="0"/>
                      <w:color w:val="000000"/>
                      <w:kern w:val="0"/>
                      <w:sz w:val="21"/>
                      <w:szCs w:val="21"/>
                      <w:highlight w:val="none"/>
                      <w:lang w:val="en-US" w:eastAsia="zh-CN" w:bidi="ar-SA"/>
                    </w:rPr>
                    <w:t>pH</w:t>
                  </w:r>
                  <w:r>
                    <w:rPr>
                      <w:rFonts w:hint="eastAsia" w:cs="Times New Roman"/>
                      <w:snapToGrid w:val="0"/>
                      <w:color w:val="000000"/>
                      <w:kern w:val="0"/>
                      <w:sz w:val="21"/>
                      <w:szCs w:val="21"/>
                      <w:highlight w:val="none"/>
                      <w:lang w:val="en-US" w:eastAsia="zh-CN" w:bidi="ar-SA"/>
                    </w:rPr>
                    <w:t>6.5-9.5</w:t>
                  </w:r>
                  <w:r>
                    <w:rPr>
                      <w:rFonts w:hint="eastAsia" w:ascii="Times New Roman" w:hAnsi="Times New Roman" w:eastAsia="宋体" w:cs="Times New Roman"/>
                      <w:snapToGrid w:val="0"/>
                      <w:color w:val="000000"/>
                      <w:kern w:val="0"/>
                      <w:sz w:val="21"/>
                      <w:szCs w:val="21"/>
                      <w:highlight w:val="none"/>
                      <w:lang w:val="en-US" w:eastAsia="zh-CN" w:bidi="ar-SA"/>
                    </w:rPr>
                    <w:t>；</w:t>
                  </w:r>
                  <w:r>
                    <w:rPr>
                      <w:rFonts w:hint="default" w:ascii="Times New Roman" w:hAnsi="Times New Roman" w:eastAsia="宋体" w:cs="Times New Roman"/>
                      <w:snapToGrid w:val="0"/>
                      <w:color w:val="000000"/>
                      <w:kern w:val="0"/>
                      <w:sz w:val="21"/>
                      <w:szCs w:val="21"/>
                      <w:highlight w:val="none"/>
                      <w:lang w:val="en-US" w:eastAsia="zh-CN" w:bidi="ar-SA"/>
                    </w:rPr>
                    <w:t>CODcr500mg/L；BOD</w:t>
                  </w:r>
                  <w:r>
                    <w:rPr>
                      <w:rFonts w:hint="eastAsia" w:cs="Times New Roman"/>
                      <w:snapToGrid w:val="0"/>
                      <w:color w:val="000000"/>
                      <w:kern w:val="0"/>
                      <w:sz w:val="21"/>
                      <w:szCs w:val="21"/>
                      <w:highlight w:val="none"/>
                      <w:lang w:val="en-US" w:eastAsia="zh-CN" w:bidi="ar-SA"/>
                    </w:rPr>
                    <w:t>35</w:t>
                  </w:r>
                  <w:r>
                    <w:rPr>
                      <w:rFonts w:hint="default" w:ascii="Times New Roman" w:hAnsi="Times New Roman" w:eastAsia="宋体" w:cs="Times New Roman"/>
                      <w:snapToGrid w:val="0"/>
                      <w:color w:val="000000"/>
                      <w:kern w:val="0"/>
                      <w:sz w:val="21"/>
                      <w:szCs w:val="21"/>
                      <w:highlight w:val="none"/>
                      <w:lang w:val="en-US" w:eastAsia="zh-CN" w:bidi="ar-SA"/>
                    </w:rPr>
                    <w:t>0mg/L；SS400mg/L</w:t>
                  </w:r>
                  <w:r>
                    <w:rPr>
                      <w:rFonts w:hint="eastAsia" w:ascii="Times New Roman" w:hAnsi="Times New Roman" w:eastAsia="宋体" w:cs="Times New Roman"/>
                      <w:snapToGrid w:val="0"/>
                      <w:color w:val="000000"/>
                      <w:kern w:val="0"/>
                      <w:sz w:val="21"/>
                      <w:szCs w:val="21"/>
                      <w:highlight w:val="none"/>
                      <w:lang w:val="en-US" w:eastAsia="zh-CN" w:bidi="ar-SA"/>
                    </w:rPr>
                    <w:t>；氨氮</w:t>
                  </w:r>
                  <w:r>
                    <w:rPr>
                      <w:rFonts w:hint="eastAsia" w:cs="Times New Roman"/>
                      <w:snapToGrid w:val="0"/>
                      <w:color w:val="000000"/>
                      <w:kern w:val="0"/>
                      <w:sz w:val="21"/>
                      <w:szCs w:val="21"/>
                      <w:highlight w:val="none"/>
                      <w:lang w:val="en-US" w:eastAsia="zh-CN" w:bidi="ar-SA"/>
                    </w:rPr>
                    <w:t>45</w:t>
                  </w:r>
                  <w:r>
                    <w:rPr>
                      <w:rFonts w:hint="default" w:ascii="Times New Roman" w:hAnsi="Times New Roman" w:eastAsia="宋体" w:cs="Times New Roman"/>
                      <w:snapToGrid w:val="0"/>
                      <w:color w:val="000000"/>
                      <w:kern w:val="0"/>
                      <w:sz w:val="21"/>
                      <w:szCs w:val="21"/>
                      <w:highlight w:val="none"/>
                      <w:lang w:val="en-US" w:eastAsia="zh-CN" w:bidi="ar-SA"/>
                    </w:rPr>
                    <w:t>mg/L</w:t>
                  </w:r>
                  <w:r>
                    <w:rPr>
                      <w:rFonts w:hint="eastAsia" w:ascii="Times New Roman" w:hAnsi="Times New Roman" w:eastAsia="宋体" w:cs="Times New Roman"/>
                      <w:snapToGrid w:val="0"/>
                      <w:color w:val="000000"/>
                      <w:kern w:val="0"/>
                      <w:sz w:val="21"/>
                      <w:szCs w:val="21"/>
                      <w:highlight w:val="none"/>
                      <w:lang w:val="en-US" w:eastAsia="zh-CN" w:bidi="ar-SA"/>
                    </w:rPr>
                    <w:t>；动植物油100mg/L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9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噪声</w:t>
                  </w:r>
                </w:p>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控制</w:t>
                  </w:r>
                </w:p>
              </w:tc>
              <w:tc>
                <w:tcPr>
                  <w:tcW w:w="711"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厂界4个监测点</w:t>
                  </w:r>
                </w:p>
              </w:tc>
              <w:tc>
                <w:tcPr>
                  <w:tcW w:w="52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生产设备</w:t>
                  </w:r>
                </w:p>
              </w:tc>
              <w:tc>
                <w:tcPr>
                  <w:tcW w:w="884"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机械噪声</w:t>
                  </w:r>
                </w:p>
              </w:tc>
              <w:tc>
                <w:tcPr>
                  <w:tcW w:w="1594"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选用具有减震、降噪、隔声、消声设计的设备</w:t>
                  </w:r>
                </w:p>
              </w:tc>
              <w:tc>
                <w:tcPr>
                  <w:tcW w:w="84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若干</w:t>
                  </w:r>
                </w:p>
              </w:tc>
              <w:tc>
                <w:tcPr>
                  <w:tcW w:w="217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《工业企业厂界环境噪声排放标准》（GB12348-2008）中</w:t>
                  </w:r>
                  <w:r>
                    <w:rPr>
                      <w:rFonts w:hint="eastAsia" w:ascii="Times New Roman" w:hAnsi="Times New Roman" w:eastAsia="宋体" w:cs="Times New Roman"/>
                      <w:color w:val="000000"/>
                      <w:kern w:val="0"/>
                      <w:sz w:val="21"/>
                      <w:szCs w:val="21"/>
                      <w:highlight w:val="none"/>
                      <w:lang w:val="en-US" w:eastAsia="zh-CN" w:bidi="ar-SA"/>
                    </w:rPr>
                    <w:t>3</w:t>
                  </w:r>
                  <w:r>
                    <w:rPr>
                      <w:rFonts w:hint="default" w:ascii="Times New Roman" w:hAnsi="Times New Roman" w:eastAsia="宋体" w:cs="Times New Roman"/>
                      <w:color w:val="000000"/>
                      <w:kern w:val="0"/>
                      <w:sz w:val="21"/>
                      <w:szCs w:val="21"/>
                      <w:highlight w:val="none"/>
                      <w:lang w:val="en-US" w:eastAsia="zh-CN" w:bidi="ar-SA"/>
                    </w:rPr>
                    <w:t>类标准</w:t>
                  </w:r>
                </w:p>
              </w:tc>
              <w:tc>
                <w:tcPr>
                  <w:tcW w:w="128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昼间≤</w:t>
                  </w:r>
                  <w:r>
                    <w:rPr>
                      <w:rFonts w:hint="eastAsia" w:ascii="Times New Roman" w:hAnsi="Times New Roman" w:eastAsia="宋体" w:cs="Times New Roman"/>
                      <w:color w:val="000000"/>
                      <w:kern w:val="0"/>
                      <w:sz w:val="21"/>
                      <w:szCs w:val="21"/>
                      <w:highlight w:val="none"/>
                      <w:lang w:val="en-US" w:eastAsia="zh-CN" w:bidi="ar-SA"/>
                    </w:rPr>
                    <w:t>65</w:t>
                  </w:r>
                  <w:r>
                    <w:rPr>
                      <w:rFonts w:hint="default" w:ascii="Times New Roman" w:hAnsi="Times New Roman" w:eastAsia="宋体" w:cs="Times New Roman"/>
                      <w:color w:val="000000"/>
                      <w:kern w:val="2"/>
                      <w:sz w:val="21"/>
                      <w:szCs w:val="21"/>
                      <w:highlight w:val="none"/>
                      <w:lang w:val="en-US" w:eastAsia="zh-CN" w:bidi="ar-SA"/>
                    </w:rPr>
                    <w:t>dB(A)，夜间≤</w:t>
                  </w:r>
                  <w:r>
                    <w:rPr>
                      <w:rFonts w:hint="eastAsia" w:ascii="Times New Roman" w:hAnsi="Times New Roman" w:eastAsia="宋体" w:cs="Times New Roman"/>
                      <w:color w:val="000000"/>
                      <w:kern w:val="2"/>
                      <w:sz w:val="21"/>
                      <w:szCs w:val="21"/>
                      <w:highlight w:val="none"/>
                      <w:lang w:val="en-US" w:eastAsia="zh-CN" w:bidi="ar-SA"/>
                    </w:rPr>
                    <w:t>55</w:t>
                  </w:r>
                  <w:r>
                    <w:rPr>
                      <w:rFonts w:hint="default" w:ascii="Times New Roman" w:hAnsi="Times New Roman" w:eastAsia="宋体" w:cs="Times New Roman"/>
                      <w:color w:val="000000"/>
                      <w:kern w:val="2"/>
                      <w:sz w:val="21"/>
                      <w:szCs w:val="21"/>
                      <w:highlight w:val="none"/>
                      <w:lang w:val="en-US" w:eastAsia="zh-CN" w:bidi="ar-SA"/>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490"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固体废物</w:t>
                  </w:r>
                </w:p>
              </w:tc>
              <w:tc>
                <w:tcPr>
                  <w:tcW w:w="711"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52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生活垃圾</w:t>
                  </w:r>
                </w:p>
              </w:tc>
              <w:tc>
                <w:tcPr>
                  <w:tcW w:w="884"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生活垃圾</w:t>
                  </w:r>
                </w:p>
              </w:tc>
              <w:tc>
                <w:tcPr>
                  <w:tcW w:w="1594"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可密封生活垃圾收集点</w:t>
                  </w:r>
                </w:p>
              </w:tc>
              <w:tc>
                <w:tcPr>
                  <w:tcW w:w="84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1个</w:t>
                  </w:r>
                </w:p>
              </w:tc>
              <w:tc>
                <w:tcPr>
                  <w:tcW w:w="2175"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《一般工业固体废物贮存和填埋污染控制标准》（GB 18599-2020）</w:t>
                  </w:r>
                </w:p>
              </w:tc>
              <w:tc>
                <w:tcPr>
                  <w:tcW w:w="1285"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490"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711"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52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一般固废</w:t>
                  </w:r>
                </w:p>
              </w:tc>
              <w:tc>
                <w:tcPr>
                  <w:tcW w:w="884"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不合格品、废包装材料、废金属线、废塑料</w:t>
                  </w:r>
                  <w:r>
                    <w:rPr>
                      <w:rFonts w:hint="eastAsia" w:cs="Times New Roman"/>
                      <w:color w:val="000000"/>
                      <w:kern w:val="0"/>
                      <w:sz w:val="21"/>
                      <w:szCs w:val="21"/>
                      <w:highlight w:val="none"/>
                      <w:lang w:val="en-US" w:eastAsia="zh-CN" w:bidi="ar-SA"/>
                    </w:rPr>
                    <w:t>、除尘灰</w:t>
                  </w:r>
                </w:p>
              </w:tc>
              <w:tc>
                <w:tcPr>
                  <w:tcW w:w="1594"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84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2175"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1285"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90"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711"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52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危险废物</w:t>
                  </w:r>
                </w:p>
              </w:tc>
              <w:tc>
                <w:tcPr>
                  <w:tcW w:w="884"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废机油、废油墨盒</w:t>
                  </w:r>
                  <w:r>
                    <w:rPr>
                      <w:rFonts w:hint="eastAsia" w:cs="Times New Roman"/>
                      <w:color w:val="000000"/>
                      <w:kern w:val="0"/>
                      <w:sz w:val="21"/>
                      <w:szCs w:val="21"/>
                      <w:highlight w:val="none"/>
                      <w:lang w:val="en-US" w:eastAsia="zh-CN" w:bidi="ar-SA"/>
                    </w:rPr>
                    <w:t>、废活性炭、废催化剂、废盐酸、废填料</w:t>
                  </w:r>
                </w:p>
              </w:tc>
              <w:tc>
                <w:tcPr>
                  <w:tcW w:w="1594"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4</w:t>
                  </w:r>
                  <w:r>
                    <w:rPr>
                      <w:rFonts w:hint="eastAsia" w:ascii="Times New Roman" w:hAnsi="Times New Roman" w:eastAsia="宋体" w:cs="Times New Roman"/>
                      <w:color w:val="000000"/>
                      <w:kern w:val="0"/>
                      <w:sz w:val="21"/>
                      <w:szCs w:val="21"/>
                      <w:highlight w:val="none"/>
                      <w:lang w:val="en-US" w:eastAsia="zh-CN" w:bidi="ar-SA"/>
                    </w:rPr>
                    <w:t>0m</w:t>
                  </w:r>
                  <w:r>
                    <w:rPr>
                      <w:rFonts w:hint="eastAsia" w:ascii="Times New Roman" w:hAnsi="Times New Roman" w:eastAsia="宋体" w:cs="Times New Roman"/>
                      <w:color w:val="000000"/>
                      <w:kern w:val="0"/>
                      <w:sz w:val="21"/>
                      <w:szCs w:val="21"/>
                      <w:highlight w:val="none"/>
                      <w:vertAlign w:val="superscript"/>
                      <w:lang w:val="en-US" w:eastAsia="zh-CN" w:bidi="ar-SA"/>
                    </w:rPr>
                    <w:t>2</w:t>
                  </w:r>
                  <w:r>
                    <w:rPr>
                      <w:rFonts w:hint="default" w:ascii="Times New Roman" w:hAnsi="Times New Roman" w:eastAsia="宋体" w:cs="Times New Roman"/>
                      <w:color w:val="000000"/>
                      <w:kern w:val="0"/>
                      <w:sz w:val="21"/>
                      <w:szCs w:val="21"/>
                      <w:highlight w:val="none"/>
                      <w:lang w:val="en-US" w:eastAsia="zh-CN" w:bidi="ar-SA"/>
                    </w:rPr>
                    <w:t>危废暂存间</w:t>
                  </w:r>
                </w:p>
              </w:tc>
              <w:tc>
                <w:tcPr>
                  <w:tcW w:w="84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1个</w:t>
                  </w:r>
                </w:p>
              </w:tc>
              <w:tc>
                <w:tcPr>
                  <w:tcW w:w="217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《危险废物贮存污染控制标准》（GB18597-2023）</w:t>
                  </w:r>
                </w:p>
              </w:tc>
              <w:tc>
                <w:tcPr>
                  <w:tcW w:w="128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90"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其他</w:t>
                  </w:r>
                </w:p>
              </w:tc>
              <w:tc>
                <w:tcPr>
                  <w:tcW w:w="711"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52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消防</w:t>
                  </w:r>
                </w:p>
              </w:tc>
              <w:tc>
                <w:tcPr>
                  <w:tcW w:w="2478" w:type="dxa"/>
                  <w:gridSpan w:val="2"/>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消防设施</w:t>
                  </w:r>
                </w:p>
              </w:tc>
              <w:tc>
                <w:tcPr>
                  <w:tcW w:w="84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若干</w:t>
                  </w:r>
                </w:p>
              </w:tc>
              <w:tc>
                <w:tcPr>
                  <w:tcW w:w="2175"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满足规范要求</w:t>
                  </w:r>
                </w:p>
              </w:tc>
              <w:tc>
                <w:tcPr>
                  <w:tcW w:w="1285" w:type="dxa"/>
                  <w:vMerge w:val="restart"/>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90"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711"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52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绿化</w:t>
                  </w:r>
                </w:p>
              </w:tc>
              <w:tc>
                <w:tcPr>
                  <w:tcW w:w="2478" w:type="dxa"/>
                  <w:gridSpan w:val="2"/>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种植草坪等</w:t>
                  </w:r>
                  <w:r>
                    <w:rPr>
                      <w:rFonts w:hint="eastAsia" w:ascii="Times New Roman" w:hAnsi="Times New Roman" w:eastAsia="宋体" w:cs="Times New Roman"/>
                      <w:color w:val="000000"/>
                      <w:kern w:val="0"/>
                      <w:sz w:val="21"/>
                      <w:szCs w:val="21"/>
                      <w:highlight w:val="none"/>
                      <w:lang w:val="en-US" w:eastAsia="zh-CN" w:bidi="ar-SA"/>
                    </w:rPr>
                    <w:t>、土地复垦</w:t>
                  </w:r>
                </w:p>
              </w:tc>
              <w:tc>
                <w:tcPr>
                  <w:tcW w:w="84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w:t>
                  </w:r>
                </w:p>
              </w:tc>
              <w:tc>
                <w:tcPr>
                  <w:tcW w:w="2175"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1285"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90"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711"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525"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职工防护</w:t>
                  </w:r>
                </w:p>
              </w:tc>
              <w:tc>
                <w:tcPr>
                  <w:tcW w:w="2478" w:type="dxa"/>
                  <w:gridSpan w:val="2"/>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职工防护用具</w:t>
                  </w:r>
                </w:p>
              </w:tc>
              <w:tc>
                <w:tcPr>
                  <w:tcW w:w="840" w:type="dxa"/>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若干</w:t>
                  </w:r>
                </w:p>
              </w:tc>
              <w:tc>
                <w:tcPr>
                  <w:tcW w:w="2175"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c>
                <w:tcPr>
                  <w:tcW w:w="1285" w:type="dxa"/>
                  <w:vMerge w:val="continue"/>
                  <w:tcBorders>
                    <w:tl2br w:val="nil"/>
                    <w:tr2bl w:val="nil"/>
                  </w:tcBorders>
                  <w:noWrap w:val="0"/>
                  <w:vAlign w:val="center"/>
                </w:tcPr>
                <w:p>
                  <w:pPr>
                    <w:widowControl w:val="0"/>
                    <w:spacing w:line="320" w:lineRule="exact"/>
                    <w:jc w:val="center"/>
                    <w:rPr>
                      <w:rFonts w:hint="default" w:ascii="Times New Roman" w:hAnsi="Times New Roman" w:eastAsia="宋体" w:cs="Times New Roman"/>
                      <w:color w:val="000000"/>
                      <w:kern w:val="0"/>
                      <w:sz w:val="21"/>
                      <w:szCs w:val="21"/>
                      <w:highlight w:val="none"/>
                      <w:lang w:val="en-US" w:eastAsia="zh-CN" w:bidi="ar-SA"/>
                    </w:rPr>
                  </w:pPr>
                </w:p>
              </w:tc>
            </w:tr>
          </w:tbl>
          <w:p>
            <w:pPr>
              <w:widowControl w:val="0"/>
              <w:overflowPunct w:val="0"/>
              <w:autoSpaceDE w:val="0"/>
              <w:autoSpaceDN w:val="0"/>
              <w:adjustRightInd w:val="0"/>
              <w:snapToGrid w:val="0"/>
              <w:spacing w:before="0" w:after="0" w:line="360" w:lineRule="auto"/>
              <w:ind w:right="0" w:firstLine="380" w:firstLineChars="200"/>
              <w:jc w:val="both"/>
              <w:rPr>
                <w:rFonts w:ascii="Times New Roman" w:hAnsi="Times New Roman" w:eastAsia="宋体" w:cs="宋体"/>
                <w:bCs/>
                <w:snapToGrid w:val="0"/>
                <w:color w:val="000000"/>
                <w:spacing w:val="-10"/>
                <w:kern w:val="2"/>
                <w:sz w:val="21"/>
                <w:szCs w:val="21"/>
                <w:highlight w:val="none"/>
                <w:lang w:val="en-US" w:eastAsia="zh-CN" w:bidi="ar-SA"/>
              </w:rPr>
            </w:pPr>
          </w:p>
        </w:tc>
      </w:tr>
    </w:tbl>
    <w:p>
      <w:pPr>
        <w:rPr>
          <w:rFonts w:hint="eastAsia" w:ascii="Times New Roman" w:hAnsi="Times New Roman" w:eastAsia="宋体" w:cs="宋体"/>
          <w:color w:val="auto"/>
          <w:sz w:val="24"/>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val="0"/>
        <w:overflowPunct w:val="0"/>
        <w:autoSpaceDE w:val="0"/>
        <w:autoSpaceDN w:val="0"/>
        <w:bidi w:val="0"/>
        <w:adjustRightInd w:val="0"/>
        <w:snapToGrid w:val="0"/>
        <w:spacing w:before="0" w:after="0" w:line="560" w:lineRule="exact"/>
        <w:ind w:left="0" w:right="0" w:firstLine="0" w:firstLineChars="0"/>
        <w:jc w:val="center"/>
        <w:outlineLvl w:val="0"/>
        <w:rPr>
          <w:rFonts w:ascii="Times New Roman" w:hAnsi="Times New Roman" w:eastAsia="宋体" w:cs="宋体"/>
          <w:b/>
          <w:kern w:val="44"/>
          <w:sz w:val="28"/>
          <w:szCs w:val="22"/>
          <w:lang w:val="en-US" w:eastAsia="zh-CN" w:bidi="ar-SA"/>
        </w:rPr>
      </w:pPr>
      <w:bookmarkStart w:id="97" w:name="_Toc1901"/>
      <w:bookmarkStart w:id="98" w:name="_Toc24501"/>
      <w:bookmarkStart w:id="99" w:name="_Toc21082"/>
      <w:bookmarkStart w:id="100" w:name="_Toc2125"/>
      <w:bookmarkStart w:id="101" w:name="_Toc32613"/>
      <w:r>
        <w:rPr>
          <w:rFonts w:ascii="Times New Roman" w:hAnsi="Times New Roman" w:eastAsia="宋体" w:cs="宋体"/>
          <w:b/>
          <w:kern w:val="44"/>
          <w:sz w:val="28"/>
          <w:szCs w:val="22"/>
          <w:lang w:val="en-US" w:eastAsia="zh-CN" w:bidi="ar-SA"/>
        </w:rPr>
        <w:t>五、环境保护措施监督检查清单</w:t>
      </w:r>
      <w:bookmarkEnd w:id="97"/>
      <w:bookmarkEnd w:id="98"/>
      <w:bookmarkEnd w:id="99"/>
      <w:bookmarkEnd w:id="100"/>
      <w:bookmarkEnd w:id="101"/>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667"/>
        <w:gridCol w:w="1487"/>
        <w:gridCol w:w="1335"/>
        <w:gridCol w:w="1649"/>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pPr>
              <w:widowControl w:val="0"/>
              <w:overflowPunct w:val="0"/>
              <w:autoSpaceDE w:val="0"/>
              <w:autoSpaceDN w:val="0"/>
              <w:bidi w:val="0"/>
              <w:adjustRightInd w:val="0"/>
              <w:snapToGrid w:val="0"/>
              <w:spacing w:before="0" w:after="0" w:line="400" w:lineRule="exact"/>
              <w:ind w:left="0" w:right="0" w:firstLine="0" w:firstLineChars="0"/>
              <w:jc w:val="right"/>
              <w:rPr>
                <w:rFonts w:hint="eastAsia"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mc:AlternateContent>
                <mc:Choice Requires="wps">
                  <w:drawing>
                    <wp:anchor distT="0" distB="0" distL="114300" distR="114300" simplePos="0" relativeHeight="251663360" behindDoc="1" locked="0" layoutInCell="1" allowOverlap="1">
                      <wp:simplePos x="0" y="0"/>
                      <wp:positionH relativeFrom="page">
                        <wp:posOffset>-13970</wp:posOffset>
                      </wp:positionH>
                      <wp:positionV relativeFrom="paragraph">
                        <wp:posOffset>-12065</wp:posOffset>
                      </wp:positionV>
                      <wp:extent cx="827405" cy="523240"/>
                      <wp:effectExtent l="2540" t="3810" r="8255" b="6350"/>
                      <wp:wrapNone/>
                      <wp:docPr id="185" name="直线 93"/>
                      <wp:cNvGraphicFramePr/>
                      <a:graphic xmlns:a="http://schemas.openxmlformats.org/drawingml/2006/main">
                        <a:graphicData uri="http://schemas.microsoft.com/office/word/2010/wordprocessingShape">
                          <wps:wsp>
                            <wps:cNvCnPr/>
                            <wps:spPr>
                              <a:xfrm>
                                <a:off x="0" y="0"/>
                                <a:ext cx="827405" cy="52324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93" o:spid="_x0000_s1026" o:spt="20" style="position:absolute;left:0pt;margin-left:-1.1pt;margin-top:-0.95pt;height:41.2pt;width:65.15pt;mso-position-horizontal-relative:page;z-index:-251653120;mso-width-relative:page;mso-height-relative:page;" filled="f" stroked="t" coordsize="21600,21600" o:gfxdata="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mY6arVAAAACAEAAA8AAAAAAAAAAQAgAAAAIgAAAGRycy9kb3ducmV2LnhtbFBLAQIUABQAAAAI&#10;AIdO4kD6Lwtx8AEAAOIDAAAOAAAAAAAAAAEAIAAAACQBAABkcnMvZTJvRG9jLnhtbFBLBQYAAAAA&#10;BgAGAFkBAACGBQAAAAA=&#10;">
                      <v:fill on="f" focussize="0,0"/>
                      <v:stroke weight="0.5pt" color="#000000" joinstyle="round"/>
                      <v:imagedata o:title=""/>
                      <o:lock v:ext="edit" aspectratio="f"/>
                    </v:line>
                  </w:pict>
                </mc:Fallback>
              </mc:AlternateContent>
            </w:r>
            <w:r>
              <w:rPr>
                <w:rFonts w:hint="eastAsia" w:ascii="Times New Roman" w:hAnsi="Times New Roman" w:eastAsia="宋体" w:cs="宋体"/>
                <w:sz w:val="21"/>
                <w:szCs w:val="22"/>
                <w:lang w:val="en-US" w:eastAsia="zh-CN" w:bidi="ar-SA"/>
              </w:rPr>
              <w:t>内容</w:t>
            </w:r>
          </w:p>
          <w:p>
            <w:pPr>
              <w:widowControl w:val="0"/>
              <w:overflowPunct w:val="0"/>
              <w:autoSpaceDE w:val="0"/>
              <w:autoSpaceDN w:val="0"/>
              <w:bidi w:val="0"/>
              <w:adjustRightInd w:val="0"/>
              <w:snapToGrid w:val="0"/>
              <w:spacing w:before="0" w:after="0" w:line="400" w:lineRule="exact"/>
              <w:ind w:left="0" w:right="0" w:firstLine="0" w:firstLineChars="0"/>
              <w:jc w:val="left"/>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要素</w:t>
            </w:r>
          </w:p>
        </w:tc>
        <w:tc>
          <w:tcPr>
            <w:tcW w:w="1487" w:type="dxa"/>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ascii="Times New Roman" w:hAnsi="Times New Roman" w:eastAsia="宋体" w:cs="宋体"/>
                <w:sz w:val="21"/>
                <w:szCs w:val="22"/>
                <w:lang w:val="en-US" w:eastAsia="zh-CN" w:bidi="ar-SA"/>
              </w:rPr>
              <w:t>排放口(编号、名称)/污染源</w:t>
            </w:r>
          </w:p>
        </w:tc>
        <w:tc>
          <w:tcPr>
            <w:tcW w:w="1335" w:type="dxa"/>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ascii="Times New Roman" w:hAnsi="Times New Roman" w:eastAsia="宋体" w:cs="宋体"/>
                <w:sz w:val="21"/>
                <w:szCs w:val="22"/>
                <w:lang w:val="en-US" w:eastAsia="zh-CN" w:bidi="ar-SA"/>
              </w:rPr>
            </w:pPr>
            <w:r>
              <w:rPr>
                <w:rFonts w:ascii="Times New Roman" w:hAnsi="Times New Roman" w:eastAsia="宋体" w:cs="宋体"/>
                <w:sz w:val="21"/>
                <w:szCs w:val="22"/>
                <w:lang w:val="en-US" w:eastAsia="zh-CN" w:bidi="ar-SA"/>
              </w:rPr>
              <w:t>污染物</w:t>
            </w:r>
          </w:p>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ascii="Times New Roman" w:hAnsi="Times New Roman" w:eastAsia="宋体" w:cs="宋体"/>
                <w:sz w:val="21"/>
                <w:szCs w:val="22"/>
                <w:lang w:val="en-US" w:eastAsia="zh-CN" w:bidi="ar-SA"/>
              </w:rPr>
              <w:t>项目</w:t>
            </w:r>
          </w:p>
        </w:tc>
        <w:tc>
          <w:tcPr>
            <w:tcW w:w="1649" w:type="dxa"/>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ascii="Times New Roman" w:hAnsi="Times New Roman" w:eastAsia="宋体" w:cs="宋体"/>
                <w:sz w:val="21"/>
                <w:szCs w:val="22"/>
                <w:lang w:val="en-US" w:eastAsia="zh-CN" w:bidi="ar-SA"/>
              </w:rPr>
              <w:t>环境保护措施</w:t>
            </w:r>
          </w:p>
        </w:tc>
        <w:tc>
          <w:tcPr>
            <w:tcW w:w="3321" w:type="dxa"/>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ascii="Times New Roman" w:hAnsi="Times New Roman" w:eastAsia="宋体" w:cs="宋体"/>
                <w:sz w:val="21"/>
                <w:szCs w:val="22"/>
                <w:lang w:val="en-US" w:eastAsia="zh-CN" w:bidi="ar-S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dxa"/>
            <w:vMerge w:val="restart"/>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大气环境</w:t>
            </w:r>
          </w:p>
        </w:tc>
        <w:tc>
          <w:tcPr>
            <w:tcW w:w="667" w:type="dxa"/>
            <w:vMerge w:val="restart"/>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有组织</w:t>
            </w:r>
          </w:p>
        </w:tc>
        <w:tc>
          <w:tcPr>
            <w:tcW w:w="1487" w:type="dxa"/>
            <w:vMerge w:val="restart"/>
            <w:vAlign w:val="center"/>
          </w:tcPr>
          <w:p>
            <w:pPr>
              <w:widowControl w:val="0"/>
              <w:autoSpaceDE w:val="0"/>
              <w:autoSpaceDN w:val="0"/>
              <w:spacing w:line="240" w:lineRule="auto"/>
              <w:ind w:left="0" w:lef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DA001</w:t>
            </w:r>
          </w:p>
          <w:p>
            <w:pPr>
              <w:widowControl w:val="0"/>
              <w:autoSpaceDE w:val="0"/>
              <w:autoSpaceDN w:val="0"/>
              <w:spacing w:line="240" w:lineRule="auto"/>
              <w:ind w:left="0" w:leftChars="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Times New Roman"/>
                <w:color w:val="000000"/>
                <w:kern w:val="2"/>
                <w:sz w:val="21"/>
                <w:szCs w:val="21"/>
                <w:lang w:val="en-US" w:eastAsia="zh-CN" w:bidi="ar-SA"/>
              </w:rPr>
              <w:t>（</w:t>
            </w:r>
            <w:r>
              <w:rPr>
                <w:rFonts w:hint="eastAsia" w:ascii="Times New Roman" w:hAnsi="Times New Roman" w:eastAsia="宋体" w:cs="宋体"/>
                <w:color w:val="auto"/>
                <w:sz w:val="21"/>
                <w:szCs w:val="22"/>
                <w:lang w:val="en-US" w:eastAsia="zh-CN" w:bidi="ar-SA"/>
              </w:rPr>
              <w:t>生产车间排放口</w:t>
            </w:r>
            <w:r>
              <w:rPr>
                <w:rFonts w:hint="eastAsia" w:ascii="Times New Roman" w:hAnsi="Times New Roman" w:eastAsia="宋体" w:cs="Times New Roman"/>
                <w:color w:val="000000"/>
                <w:kern w:val="2"/>
                <w:sz w:val="21"/>
                <w:szCs w:val="21"/>
                <w:lang w:val="en-US" w:eastAsia="zh-CN" w:bidi="ar-SA"/>
              </w:rPr>
              <w:t>）</w:t>
            </w:r>
          </w:p>
        </w:tc>
        <w:tc>
          <w:tcPr>
            <w:tcW w:w="1335"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非甲烷总烃</w:t>
            </w:r>
          </w:p>
        </w:tc>
        <w:tc>
          <w:tcPr>
            <w:tcW w:w="1649" w:type="dxa"/>
            <w:vMerge w:val="restart"/>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集气罩+</w:t>
            </w:r>
            <w:r>
              <w:rPr>
                <w:rFonts w:hint="eastAsia" w:cs="宋体"/>
                <w:sz w:val="21"/>
                <w:szCs w:val="22"/>
                <w:lang w:val="en-US" w:eastAsia="zh-CN" w:bidi="ar-SA"/>
              </w:rPr>
              <w:t>水洗填料塔+活性炭吸附+脱附+催化燃烧装置+20m排气筒</w:t>
            </w:r>
          </w:p>
        </w:tc>
        <w:tc>
          <w:tcPr>
            <w:tcW w:w="3321" w:type="dxa"/>
            <w:vAlign w:val="center"/>
          </w:tcPr>
          <w:p>
            <w:pPr>
              <w:overflowPunct w:val="0"/>
              <w:autoSpaceDE w:val="0"/>
              <w:autoSpaceDN w:val="0"/>
              <w:bidi w:val="0"/>
              <w:adjustRightInd w:val="0"/>
              <w:snapToGrid w:val="0"/>
              <w:spacing w:before="0" w:after="0" w:line="500" w:lineRule="exact"/>
              <w:ind w:left="0" w:leftChars="0" w:right="0" w:rightChars="0" w:firstLine="0" w:firstLineChars="0"/>
              <w:jc w:val="center"/>
              <w:rPr>
                <w:rFonts w:hint="eastAsia" w:ascii="Times New Roman" w:hAnsi="Times New Roman" w:eastAsia="宋体" w:cs="宋体"/>
                <w:sz w:val="21"/>
                <w:szCs w:val="21"/>
                <w:lang w:val="zh-CN" w:eastAsia="zh-CN"/>
              </w:rPr>
            </w:pPr>
            <w:r>
              <w:rPr>
                <w:rFonts w:hint="eastAsia" w:ascii="Times New Roman" w:hAnsi="Times New Roman" w:eastAsia="宋体" w:cs="宋体"/>
                <w:sz w:val="21"/>
                <w:szCs w:val="21"/>
                <w:lang w:val="zh-CN" w:eastAsia="zh-CN"/>
              </w:rPr>
              <w:t>《合成树脂工业污染物排放标准》（GB31572-2015）（含2024年修改单）表5 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667"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p>
        </w:tc>
        <w:tc>
          <w:tcPr>
            <w:tcW w:w="1487" w:type="dxa"/>
            <w:vMerge w:val="continue"/>
            <w:vAlign w:val="center"/>
          </w:tcPr>
          <w:p>
            <w:pPr>
              <w:widowControl w:val="0"/>
              <w:autoSpaceDE w:val="0"/>
              <w:autoSpaceDN w:val="0"/>
              <w:spacing w:line="240" w:lineRule="auto"/>
              <w:ind w:left="0" w:leftChars="0" w:firstLine="0" w:firstLineChars="0"/>
              <w:jc w:val="center"/>
              <w:rPr>
                <w:rFonts w:hint="eastAsia" w:ascii="Times New Roman" w:hAnsi="Times New Roman" w:eastAsia="宋体" w:cs="Times New Roman"/>
                <w:color w:val="000000"/>
                <w:kern w:val="2"/>
                <w:sz w:val="21"/>
                <w:szCs w:val="21"/>
                <w:lang w:val="en-US" w:eastAsia="zh-CN" w:bidi="ar-SA"/>
              </w:rPr>
            </w:pPr>
          </w:p>
        </w:tc>
        <w:tc>
          <w:tcPr>
            <w:tcW w:w="1335"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氯化氢</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p>
        </w:tc>
        <w:tc>
          <w:tcPr>
            <w:tcW w:w="3321" w:type="dxa"/>
            <w:vAlign w:val="center"/>
          </w:tcPr>
          <w:p>
            <w:pPr>
              <w:overflowPunct w:val="0"/>
              <w:autoSpaceDE w:val="0"/>
              <w:autoSpaceDN w:val="0"/>
              <w:bidi w:val="0"/>
              <w:adjustRightInd w:val="0"/>
              <w:snapToGrid w:val="0"/>
              <w:spacing w:before="0" w:after="0" w:line="500" w:lineRule="exact"/>
              <w:ind w:left="0" w:leftChars="0" w:right="0" w:rightChars="0"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kern w:val="2"/>
                <w:sz w:val="21"/>
                <w:szCs w:val="21"/>
                <w:lang w:val="en-US" w:eastAsia="zh-CN" w:bidi="ar-SA"/>
              </w:rPr>
              <w:t>《大气污染物综合排放标准》（GB 16297-1996）表2 新污染源大气污染物排放限值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667"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p>
        </w:tc>
        <w:tc>
          <w:tcPr>
            <w:tcW w:w="1487" w:type="dxa"/>
            <w:vMerge w:val="continue"/>
            <w:vAlign w:val="center"/>
          </w:tcPr>
          <w:p>
            <w:pPr>
              <w:widowControl w:val="0"/>
              <w:autoSpaceDE w:val="0"/>
              <w:autoSpaceDN w:val="0"/>
              <w:spacing w:line="240" w:lineRule="auto"/>
              <w:ind w:left="0" w:leftChars="0" w:firstLine="0" w:firstLineChars="0"/>
              <w:jc w:val="center"/>
              <w:rPr>
                <w:rFonts w:hint="eastAsia" w:ascii="Times New Roman" w:hAnsi="Times New Roman" w:eastAsia="宋体" w:cs="Times New Roman"/>
                <w:color w:val="000000"/>
                <w:kern w:val="2"/>
                <w:sz w:val="21"/>
                <w:szCs w:val="21"/>
                <w:lang w:val="en-US" w:eastAsia="zh-CN" w:bidi="ar-SA"/>
              </w:rPr>
            </w:pPr>
          </w:p>
        </w:tc>
        <w:tc>
          <w:tcPr>
            <w:tcW w:w="1335"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臭气浓度</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p>
        </w:tc>
        <w:tc>
          <w:tcPr>
            <w:tcW w:w="3321" w:type="dxa"/>
            <w:vAlign w:val="center"/>
          </w:tcPr>
          <w:p>
            <w:pPr>
              <w:overflowPunct w:val="0"/>
              <w:autoSpaceDE w:val="0"/>
              <w:autoSpaceDN w:val="0"/>
              <w:bidi w:val="0"/>
              <w:adjustRightInd w:val="0"/>
              <w:snapToGrid w:val="0"/>
              <w:spacing w:before="0" w:after="0" w:line="500" w:lineRule="exact"/>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《恶臭污染物排放标准》（GB14554-93）表2 恶臭污染物排放标准值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667" w:type="dxa"/>
            <w:vMerge w:val="restart"/>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无组织</w:t>
            </w:r>
          </w:p>
        </w:tc>
        <w:tc>
          <w:tcPr>
            <w:tcW w:w="1487" w:type="dxa"/>
            <w:vMerge w:val="restart"/>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厂界</w:t>
            </w:r>
          </w:p>
        </w:tc>
        <w:tc>
          <w:tcPr>
            <w:tcW w:w="1335"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eastAsia" w:cs="宋体"/>
                <w:sz w:val="21"/>
                <w:szCs w:val="22"/>
                <w:lang w:val="en-US" w:eastAsia="zh-CN" w:bidi="ar-SA"/>
              </w:rPr>
              <w:t>颗粒物</w:t>
            </w:r>
          </w:p>
        </w:tc>
        <w:tc>
          <w:tcPr>
            <w:tcW w:w="1649"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eastAsia" w:cs="宋体"/>
                <w:sz w:val="21"/>
                <w:szCs w:val="22"/>
                <w:lang w:val="en-US" w:eastAsia="zh-CN" w:bidi="ar-SA"/>
              </w:rPr>
              <w:t>移动式焊烟净化器</w:t>
            </w:r>
          </w:p>
        </w:tc>
        <w:tc>
          <w:tcPr>
            <w:tcW w:w="3321" w:type="dxa"/>
            <w:vMerge w:val="restart"/>
            <w:vAlign w:val="center"/>
          </w:tcPr>
          <w:p>
            <w:pPr>
              <w:overflowPunct w:val="0"/>
              <w:autoSpaceDE w:val="0"/>
              <w:autoSpaceDN w:val="0"/>
              <w:bidi w:val="0"/>
              <w:adjustRightInd w:val="0"/>
              <w:snapToGrid w:val="0"/>
              <w:spacing w:before="0" w:after="0" w:line="500" w:lineRule="exact"/>
              <w:ind w:left="0" w:leftChars="0" w:right="0" w:rightChars="0"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kern w:val="2"/>
                <w:sz w:val="21"/>
                <w:szCs w:val="21"/>
                <w:lang w:val="en-US" w:eastAsia="zh-CN" w:bidi="ar-SA"/>
              </w:rPr>
              <w:t>《大气污染物综合排放标准》（GB 16297-1996）表2 新污染源大气污染物排放限值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667"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1487"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p>
        </w:tc>
        <w:tc>
          <w:tcPr>
            <w:tcW w:w="1335"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氯化氢</w:t>
            </w:r>
          </w:p>
        </w:tc>
        <w:tc>
          <w:tcPr>
            <w:tcW w:w="1649" w:type="dxa"/>
            <w:vMerge w:val="restart"/>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封闭式作业，</w:t>
            </w:r>
            <w:r>
              <w:rPr>
                <w:rFonts w:ascii="Times New Roman" w:hAnsi="Times New Roman" w:eastAsia="宋体" w:cs="宋体"/>
                <w:sz w:val="21"/>
                <w:szCs w:val="22"/>
                <w:lang w:val="en-US" w:eastAsia="zh-CN" w:bidi="ar-SA"/>
              </w:rPr>
              <w:t>减少无组织排放</w:t>
            </w:r>
          </w:p>
        </w:tc>
        <w:tc>
          <w:tcPr>
            <w:tcW w:w="3321" w:type="dxa"/>
            <w:vMerge w:val="continue"/>
            <w:vAlign w:val="center"/>
          </w:tcPr>
          <w:p>
            <w:pPr>
              <w:overflowPunct w:val="0"/>
              <w:autoSpaceDE w:val="0"/>
              <w:autoSpaceDN w:val="0"/>
              <w:bidi w:val="0"/>
              <w:adjustRightInd w:val="0"/>
              <w:snapToGrid w:val="0"/>
              <w:spacing w:before="0" w:after="0" w:line="500" w:lineRule="exact"/>
              <w:ind w:left="0" w:leftChars="0" w:right="0" w:rightChars="0"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667"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1487"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p>
        </w:tc>
        <w:tc>
          <w:tcPr>
            <w:tcW w:w="1335"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eastAsia" w:cs="宋体"/>
                <w:sz w:val="21"/>
                <w:szCs w:val="22"/>
                <w:lang w:val="en-US" w:eastAsia="zh-CN" w:bidi="ar-SA"/>
              </w:rPr>
              <w:t>臭气浓度</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p>
        </w:tc>
        <w:tc>
          <w:tcPr>
            <w:tcW w:w="3321" w:type="dxa"/>
            <w:vAlign w:val="center"/>
          </w:tcPr>
          <w:p>
            <w:pPr>
              <w:overflowPunct w:val="0"/>
              <w:autoSpaceDE w:val="0"/>
              <w:autoSpaceDN w:val="0"/>
              <w:bidi w:val="0"/>
              <w:adjustRightInd w:val="0"/>
              <w:snapToGrid w:val="0"/>
              <w:spacing w:before="0" w:after="0" w:line="500" w:lineRule="exact"/>
              <w:ind w:left="0" w:leftChars="0" w:right="0" w:rightChars="0"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kern w:val="2"/>
                <w:sz w:val="21"/>
                <w:szCs w:val="21"/>
                <w:lang w:val="en-US" w:eastAsia="zh-CN" w:bidi="ar-SA"/>
              </w:rPr>
              <w:t>《恶臭污染物排放标准》（GB14554-93）表1 恶臭污染物厂界标准值中二级标准限值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667"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1487"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p>
        </w:tc>
        <w:tc>
          <w:tcPr>
            <w:tcW w:w="1335" w:type="dxa"/>
            <w:vMerge w:val="restart"/>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非甲烷总烃</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p>
        </w:tc>
        <w:tc>
          <w:tcPr>
            <w:tcW w:w="3321" w:type="dxa"/>
            <w:vAlign w:val="center"/>
          </w:tcPr>
          <w:p>
            <w:pPr>
              <w:overflowPunct w:val="0"/>
              <w:autoSpaceDE w:val="0"/>
              <w:autoSpaceDN w:val="0"/>
              <w:bidi w:val="0"/>
              <w:adjustRightInd w:val="0"/>
              <w:snapToGrid w:val="0"/>
              <w:spacing w:before="0" w:after="0" w:line="5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《合成树脂工业污染物排放标准》（GB31572-2015）（含2024年修改单）表9 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612"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p>
        </w:tc>
        <w:tc>
          <w:tcPr>
            <w:tcW w:w="667"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p>
        </w:tc>
        <w:tc>
          <w:tcPr>
            <w:tcW w:w="1487"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非甲烷总烃（厂区内）</w:t>
            </w:r>
          </w:p>
        </w:tc>
        <w:tc>
          <w:tcPr>
            <w:tcW w:w="1335"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p>
        </w:tc>
        <w:tc>
          <w:tcPr>
            <w:tcW w:w="3321" w:type="dxa"/>
            <w:vAlign w:val="center"/>
          </w:tcPr>
          <w:p>
            <w:pPr>
              <w:overflowPunct w:val="0"/>
              <w:autoSpaceDE w:val="0"/>
              <w:autoSpaceDN w:val="0"/>
              <w:bidi w:val="0"/>
              <w:adjustRightInd w:val="0"/>
              <w:snapToGrid w:val="0"/>
              <w:spacing w:before="0" w:after="0" w:line="500" w:lineRule="exact"/>
              <w:ind w:left="0" w:leftChars="0" w:right="0" w:rightChars="0" w:firstLine="0" w:firstLineChars="0"/>
              <w:jc w:val="center"/>
              <w:rPr>
                <w:rFonts w:hint="eastAsia" w:ascii="Times New Roman" w:hAnsi="Times New Roman" w:eastAsia="宋体" w:cs="宋体"/>
                <w:sz w:val="21"/>
                <w:szCs w:val="21"/>
                <w:lang w:val="zh-CN" w:eastAsia="zh-CN"/>
              </w:rPr>
            </w:pPr>
            <w:r>
              <w:rPr>
                <w:rFonts w:hint="eastAsia" w:ascii="Times New Roman" w:hAnsi="Times New Roman" w:eastAsia="宋体" w:cs="Times New Roman"/>
                <w:kern w:val="2"/>
                <w:sz w:val="21"/>
                <w:szCs w:val="21"/>
                <w:lang w:val="en-US" w:eastAsia="zh-CN" w:bidi="ar-SA"/>
              </w:rPr>
              <w:t xml:space="preserve">《挥发性有机物无组织排放控制标准》（GB37822-2019）表A.1厂区内VOCs无组织排放限值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restart"/>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水环境</w:t>
            </w:r>
          </w:p>
        </w:tc>
        <w:tc>
          <w:tcPr>
            <w:tcW w:w="1487" w:type="dxa"/>
            <w:vMerge w:val="restart"/>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生活污水</w:t>
            </w:r>
          </w:p>
        </w:tc>
        <w:tc>
          <w:tcPr>
            <w:tcW w:w="1335" w:type="dxa"/>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pH</w:t>
            </w:r>
          </w:p>
        </w:tc>
        <w:tc>
          <w:tcPr>
            <w:tcW w:w="1649" w:type="dxa"/>
            <w:vMerge w:val="restart"/>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color w:val="auto"/>
                <w:sz w:val="21"/>
                <w:szCs w:val="22"/>
                <w:highlight w:val="none"/>
                <w:lang w:val="en-US" w:eastAsia="zh-CN" w:bidi="ar-SA"/>
              </w:rPr>
              <w:t>排入园区管网</w:t>
            </w:r>
          </w:p>
        </w:tc>
        <w:tc>
          <w:tcPr>
            <w:tcW w:w="3321" w:type="dxa"/>
            <w:vMerge w:val="restart"/>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default" w:ascii="Times New Roman" w:hAnsi="Times New Roman" w:eastAsia="宋体" w:cs="宋体"/>
                <w:sz w:val="21"/>
                <w:szCs w:val="22"/>
                <w:lang w:val="en-US" w:eastAsia="zh-CN" w:bidi="ar-SA"/>
              </w:rPr>
              <w:t>《污水排入城镇下水道水质标准》（GB/T 31962-2015）表1 污水排入城镇下水道水质控制项目限值B级标准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1487"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1335"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ascii="Times New Roman" w:hAnsi="Times New Roman" w:eastAsia="宋体" w:cs="宋体"/>
                <w:sz w:val="21"/>
                <w:szCs w:val="22"/>
                <w:lang w:val="en-US" w:eastAsia="zh-CN" w:bidi="ar-SA"/>
              </w:rPr>
              <w:t>COD</w:t>
            </w:r>
            <w:r>
              <w:rPr>
                <w:rFonts w:hint="eastAsia" w:ascii="Times New Roman" w:hAnsi="Times New Roman" w:eastAsia="宋体" w:cs="宋体"/>
                <w:sz w:val="21"/>
                <w:szCs w:val="22"/>
                <w:lang w:val="en-US" w:eastAsia="zh-CN" w:bidi="ar-SA"/>
              </w:rPr>
              <w:t>cr</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3321"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1487"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1335"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ascii="Times New Roman" w:hAnsi="Times New Roman" w:eastAsia="宋体" w:cs="宋体"/>
                <w:sz w:val="21"/>
                <w:szCs w:val="22"/>
                <w:lang w:val="en-US" w:eastAsia="zh-CN" w:bidi="ar-SA"/>
              </w:rPr>
            </w:pPr>
            <w:r>
              <w:rPr>
                <w:rFonts w:ascii="Times New Roman" w:hAnsi="Times New Roman" w:eastAsia="宋体" w:cs="宋体"/>
                <w:sz w:val="21"/>
                <w:szCs w:val="22"/>
                <w:lang w:val="en-US" w:eastAsia="zh-CN" w:bidi="ar-SA"/>
              </w:rPr>
              <w:t>SS</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3321"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1487"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1335" w:type="dxa"/>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ascii="Times New Roman" w:hAnsi="Times New Roman" w:eastAsia="宋体" w:cs="宋体"/>
                <w:sz w:val="21"/>
                <w:szCs w:val="22"/>
                <w:lang w:val="en-US" w:eastAsia="zh-CN" w:bidi="ar-SA"/>
              </w:rPr>
              <w:t>NH</w:t>
            </w:r>
            <w:r>
              <w:rPr>
                <w:rFonts w:ascii="Times New Roman" w:hAnsi="Times New Roman" w:eastAsia="宋体" w:cs="宋体"/>
                <w:sz w:val="21"/>
                <w:szCs w:val="22"/>
                <w:vertAlign w:val="subscript"/>
                <w:lang w:val="en-US" w:eastAsia="zh-CN" w:bidi="ar-SA"/>
              </w:rPr>
              <w:t>3</w:t>
            </w:r>
            <w:r>
              <w:rPr>
                <w:rFonts w:ascii="Times New Roman" w:hAnsi="Times New Roman" w:eastAsia="宋体" w:cs="宋体"/>
                <w:sz w:val="21"/>
                <w:szCs w:val="22"/>
                <w:lang w:val="en-US" w:eastAsia="zh-CN" w:bidi="ar-SA"/>
              </w:rPr>
              <w:t>-N</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3321"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1487"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1335" w:type="dxa"/>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BOD</w:t>
            </w:r>
            <w:r>
              <w:rPr>
                <w:rFonts w:hint="eastAsia" w:ascii="Times New Roman" w:hAnsi="Times New Roman" w:eastAsia="宋体" w:cs="宋体"/>
                <w:sz w:val="21"/>
                <w:szCs w:val="22"/>
                <w:vertAlign w:val="subscript"/>
                <w:lang w:val="en-US" w:eastAsia="zh-CN" w:bidi="ar-SA"/>
              </w:rPr>
              <w:t>5</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3321"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1487"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1335" w:type="dxa"/>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动植物油</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c>
          <w:tcPr>
            <w:tcW w:w="3321"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restart"/>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固废</w:t>
            </w:r>
          </w:p>
        </w:tc>
        <w:tc>
          <w:tcPr>
            <w:tcW w:w="1487" w:type="dxa"/>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生活区</w:t>
            </w:r>
          </w:p>
        </w:tc>
        <w:tc>
          <w:tcPr>
            <w:tcW w:w="1335" w:type="dxa"/>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生活垃圾</w:t>
            </w:r>
          </w:p>
        </w:tc>
        <w:tc>
          <w:tcPr>
            <w:tcW w:w="1649" w:type="dxa"/>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集中收集，委托环卫部门清运</w:t>
            </w:r>
          </w:p>
        </w:tc>
        <w:tc>
          <w:tcPr>
            <w:tcW w:w="3321" w:type="dxa"/>
            <w:vMerge w:val="restart"/>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default" w:ascii="Times New Roman" w:hAnsi="Times New Roman" w:eastAsia="宋体" w:cs="宋体"/>
                <w:sz w:val="21"/>
                <w:szCs w:val="22"/>
                <w:lang w:val="en-US" w:eastAsia="zh-CN" w:bidi="ar-SA"/>
              </w:rPr>
              <w:t>《一般工业固体废物贮存和填埋场污染控制标准》（GB18599-2020）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p>
        </w:tc>
        <w:tc>
          <w:tcPr>
            <w:tcW w:w="1487"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宋体"/>
                <w:sz w:val="21"/>
                <w:szCs w:val="22"/>
                <w:lang w:val="en-US" w:eastAsia="zh-CN" w:bidi="ar-SA"/>
              </w:rPr>
            </w:pPr>
            <w:r>
              <w:rPr>
                <w:rFonts w:hint="eastAsia" w:ascii="Times New Roman" w:hAnsi="Times New Roman" w:eastAsia="宋体" w:cs="Times New Roman"/>
                <w:color w:val="000000"/>
                <w:kern w:val="0"/>
                <w:sz w:val="21"/>
                <w:szCs w:val="21"/>
                <w:highlight w:val="none"/>
                <w:lang w:val="en-US" w:eastAsia="zh-CN" w:bidi="ar"/>
              </w:rPr>
              <w:t>原料运输、包装</w:t>
            </w:r>
          </w:p>
        </w:tc>
        <w:tc>
          <w:tcPr>
            <w:tcW w:w="1335"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宋体"/>
                <w:sz w:val="21"/>
                <w:szCs w:val="22"/>
                <w:lang w:val="en-US" w:eastAsia="zh-CN" w:bidi="ar-SA"/>
              </w:rPr>
            </w:pPr>
            <w:r>
              <w:rPr>
                <w:rFonts w:hint="eastAsia" w:ascii="Times New Roman" w:hAnsi="Times New Roman" w:eastAsia="宋体" w:cs="Times New Roman"/>
                <w:color w:val="000000"/>
                <w:kern w:val="0"/>
                <w:sz w:val="21"/>
                <w:szCs w:val="21"/>
                <w:highlight w:val="none"/>
                <w:lang w:val="en-US" w:eastAsia="zh-CN" w:bidi="ar"/>
              </w:rPr>
              <w:t>废包装材料</w:t>
            </w:r>
          </w:p>
        </w:tc>
        <w:tc>
          <w:tcPr>
            <w:tcW w:w="1649" w:type="dxa"/>
            <w:vMerge w:val="restart"/>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暂存于生产车间内，外售综合利用</w:t>
            </w:r>
          </w:p>
        </w:tc>
        <w:tc>
          <w:tcPr>
            <w:tcW w:w="3321"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p>
        </w:tc>
        <w:tc>
          <w:tcPr>
            <w:tcW w:w="1487"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绞丝</w:t>
            </w:r>
          </w:p>
        </w:tc>
        <w:tc>
          <w:tcPr>
            <w:tcW w:w="1335"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宋体"/>
                <w:sz w:val="21"/>
                <w:szCs w:val="22"/>
                <w:lang w:val="en-US" w:eastAsia="zh-CN" w:bidi="ar-SA"/>
              </w:rPr>
            </w:pPr>
            <w:r>
              <w:rPr>
                <w:rFonts w:hint="default" w:ascii="Times New Roman" w:hAnsi="Times New Roman" w:eastAsia="宋体" w:cs="Times New Roman"/>
                <w:color w:val="auto"/>
                <w:kern w:val="0"/>
                <w:sz w:val="21"/>
                <w:szCs w:val="21"/>
                <w:highlight w:val="none"/>
                <w:lang w:val="en-US" w:eastAsia="zh-CN" w:bidi="ar"/>
              </w:rPr>
              <w:t>废</w:t>
            </w:r>
            <w:r>
              <w:rPr>
                <w:rFonts w:hint="eastAsia" w:ascii="Times New Roman" w:hAnsi="Times New Roman" w:eastAsia="宋体" w:cs="Times New Roman"/>
                <w:color w:val="auto"/>
                <w:kern w:val="0"/>
                <w:sz w:val="21"/>
                <w:szCs w:val="21"/>
                <w:highlight w:val="none"/>
                <w:lang w:val="en-US" w:eastAsia="zh-CN" w:bidi="ar"/>
              </w:rPr>
              <w:t>金属线</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p>
        </w:tc>
        <w:tc>
          <w:tcPr>
            <w:tcW w:w="3321"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p>
        </w:tc>
        <w:tc>
          <w:tcPr>
            <w:tcW w:w="1487"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挤塑、挤护外套</w:t>
            </w:r>
          </w:p>
        </w:tc>
        <w:tc>
          <w:tcPr>
            <w:tcW w:w="1335"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废塑料</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p>
        </w:tc>
        <w:tc>
          <w:tcPr>
            <w:tcW w:w="3321"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p>
        </w:tc>
        <w:tc>
          <w:tcPr>
            <w:tcW w:w="1487"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宋体"/>
                <w:sz w:val="21"/>
                <w:szCs w:val="22"/>
                <w:lang w:val="en-US" w:eastAsia="zh-CN" w:bidi="ar-SA"/>
              </w:rPr>
            </w:pPr>
            <w:r>
              <w:rPr>
                <w:rFonts w:hint="eastAsia" w:ascii="Times New Roman" w:hAnsi="Times New Roman" w:eastAsia="宋体" w:cs="Times New Roman"/>
                <w:color w:val="000000"/>
                <w:kern w:val="0"/>
                <w:sz w:val="21"/>
                <w:szCs w:val="21"/>
                <w:highlight w:val="none"/>
                <w:lang w:val="en-US" w:eastAsia="zh-CN" w:bidi="ar"/>
              </w:rPr>
              <w:t>检验</w:t>
            </w:r>
          </w:p>
        </w:tc>
        <w:tc>
          <w:tcPr>
            <w:tcW w:w="1335"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宋体"/>
                <w:b/>
                <w:bCs/>
                <w:sz w:val="21"/>
                <w:szCs w:val="22"/>
                <w:lang w:val="en-US" w:eastAsia="zh-CN" w:bidi="ar-SA"/>
              </w:rPr>
            </w:pPr>
            <w:r>
              <w:rPr>
                <w:rFonts w:hint="eastAsia" w:ascii="Times New Roman" w:hAnsi="Times New Roman" w:eastAsia="宋体" w:cs="Times New Roman"/>
                <w:color w:val="000000"/>
                <w:kern w:val="0"/>
                <w:sz w:val="21"/>
                <w:szCs w:val="21"/>
                <w:highlight w:val="none"/>
                <w:lang w:val="en-US" w:eastAsia="zh-CN" w:bidi="ar"/>
              </w:rPr>
              <w:t>不合格品</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p>
        </w:tc>
        <w:tc>
          <w:tcPr>
            <w:tcW w:w="3321"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p>
        </w:tc>
        <w:tc>
          <w:tcPr>
            <w:tcW w:w="1487"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废气治理</w:t>
            </w:r>
          </w:p>
        </w:tc>
        <w:tc>
          <w:tcPr>
            <w:tcW w:w="1335"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除尘灰</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p>
        </w:tc>
        <w:tc>
          <w:tcPr>
            <w:tcW w:w="3321" w:type="dxa"/>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p>
        </w:tc>
        <w:tc>
          <w:tcPr>
            <w:tcW w:w="1487"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喷码</w:t>
            </w:r>
          </w:p>
        </w:tc>
        <w:tc>
          <w:tcPr>
            <w:tcW w:w="1335"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废油墨盒</w:t>
            </w:r>
          </w:p>
        </w:tc>
        <w:tc>
          <w:tcPr>
            <w:tcW w:w="1649" w:type="dxa"/>
            <w:vMerge w:val="restart"/>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分类暂存危险废物暂存间，委托有资质单位定期处置</w:t>
            </w:r>
          </w:p>
        </w:tc>
        <w:tc>
          <w:tcPr>
            <w:tcW w:w="3321" w:type="dxa"/>
            <w:vMerge w:val="restart"/>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default" w:ascii="Times New Roman" w:hAnsi="Times New Roman" w:eastAsia="宋体" w:cs="宋体"/>
                <w:sz w:val="21"/>
                <w:szCs w:val="22"/>
                <w:lang w:val="en-US" w:eastAsia="zh-CN" w:bidi="ar-SA"/>
              </w:rPr>
              <w:t>《危险废物贮存污染控制标准》（GB18597-2023）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p>
        </w:tc>
        <w:tc>
          <w:tcPr>
            <w:tcW w:w="1487"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设备维修</w:t>
            </w:r>
          </w:p>
        </w:tc>
        <w:tc>
          <w:tcPr>
            <w:tcW w:w="1335"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废机油</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p>
        </w:tc>
        <w:tc>
          <w:tcPr>
            <w:tcW w:w="3321"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p>
        </w:tc>
        <w:tc>
          <w:tcPr>
            <w:tcW w:w="1487" w:type="dxa"/>
            <w:vMerge w:val="restart"/>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r>
              <w:rPr>
                <w:rFonts w:hint="eastAsia" w:ascii="Times New Roman" w:hAnsi="Times New Roman" w:eastAsia="宋体" w:cs="Times New Roman"/>
                <w:color w:val="000000"/>
                <w:kern w:val="0"/>
                <w:sz w:val="21"/>
                <w:szCs w:val="21"/>
                <w:highlight w:val="none"/>
                <w:lang w:val="en-US" w:eastAsia="zh-CN" w:bidi="ar"/>
              </w:rPr>
              <w:t>废气治理</w:t>
            </w:r>
          </w:p>
        </w:tc>
        <w:tc>
          <w:tcPr>
            <w:tcW w:w="1335"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eastAsia" w:cs="宋体"/>
                <w:sz w:val="21"/>
                <w:szCs w:val="22"/>
                <w:lang w:val="en-US" w:eastAsia="zh-CN" w:bidi="ar-SA"/>
              </w:rPr>
              <w:t>废活性炭</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p>
        </w:tc>
        <w:tc>
          <w:tcPr>
            <w:tcW w:w="3321"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p>
        </w:tc>
        <w:tc>
          <w:tcPr>
            <w:tcW w:w="1487"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p>
        </w:tc>
        <w:tc>
          <w:tcPr>
            <w:tcW w:w="1335"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r>
              <w:rPr>
                <w:rFonts w:hint="eastAsia" w:cs="宋体"/>
                <w:sz w:val="21"/>
                <w:szCs w:val="22"/>
                <w:lang w:val="en-US" w:eastAsia="zh-CN" w:bidi="ar-SA"/>
              </w:rPr>
              <w:t>废催化剂</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p>
        </w:tc>
        <w:tc>
          <w:tcPr>
            <w:tcW w:w="3321"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p>
        </w:tc>
        <w:tc>
          <w:tcPr>
            <w:tcW w:w="1487"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p>
        </w:tc>
        <w:tc>
          <w:tcPr>
            <w:tcW w:w="1335"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cs="宋体"/>
                <w:sz w:val="21"/>
                <w:szCs w:val="22"/>
                <w:lang w:val="en-US" w:eastAsia="zh-CN" w:bidi="ar-SA"/>
              </w:rPr>
            </w:pPr>
            <w:r>
              <w:rPr>
                <w:rFonts w:hint="eastAsia" w:cs="宋体"/>
                <w:sz w:val="21"/>
                <w:szCs w:val="22"/>
                <w:lang w:val="en-US" w:eastAsia="zh-CN" w:bidi="ar-SA"/>
              </w:rPr>
              <w:t>废盐酸</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p>
        </w:tc>
        <w:tc>
          <w:tcPr>
            <w:tcW w:w="3321"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p>
        </w:tc>
        <w:tc>
          <w:tcPr>
            <w:tcW w:w="1487"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p>
        </w:tc>
        <w:tc>
          <w:tcPr>
            <w:tcW w:w="1335" w:type="dxa"/>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cs="宋体"/>
                <w:sz w:val="21"/>
                <w:szCs w:val="22"/>
                <w:lang w:val="en-US" w:eastAsia="zh-CN" w:bidi="ar-SA"/>
              </w:rPr>
            </w:pPr>
            <w:r>
              <w:rPr>
                <w:rFonts w:hint="eastAsia" w:cs="宋体"/>
                <w:sz w:val="21"/>
                <w:szCs w:val="22"/>
                <w:lang w:val="en-US" w:eastAsia="zh-CN" w:bidi="ar-SA"/>
              </w:rPr>
              <w:t>废填料</w:t>
            </w:r>
          </w:p>
        </w:tc>
        <w:tc>
          <w:tcPr>
            <w:tcW w:w="1649"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sz w:val="21"/>
                <w:szCs w:val="22"/>
                <w:lang w:val="en-US" w:eastAsia="zh-CN" w:bidi="ar-SA"/>
              </w:rPr>
            </w:pPr>
          </w:p>
        </w:tc>
        <w:tc>
          <w:tcPr>
            <w:tcW w:w="3321" w:type="dxa"/>
            <w:vMerge w:val="continue"/>
            <w:vAlign w:val="center"/>
          </w:tcPr>
          <w:p>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噪声</w:t>
            </w:r>
          </w:p>
        </w:tc>
        <w:tc>
          <w:tcPr>
            <w:tcW w:w="1487" w:type="dxa"/>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Hans" w:bidi="ar-SA"/>
              </w:rPr>
              <w:t>生产车间</w:t>
            </w:r>
          </w:p>
        </w:tc>
        <w:tc>
          <w:tcPr>
            <w:tcW w:w="1335" w:type="dxa"/>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设备运营噪声</w:t>
            </w:r>
          </w:p>
        </w:tc>
        <w:tc>
          <w:tcPr>
            <w:tcW w:w="1649" w:type="dxa"/>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选用具有减震、降噪、隔声、消声设计的设备</w:t>
            </w:r>
          </w:p>
        </w:tc>
        <w:tc>
          <w:tcPr>
            <w:tcW w:w="3321" w:type="dxa"/>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sz w:val="21"/>
                <w:szCs w:val="22"/>
                <w:lang w:val="en-US" w:eastAsia="zh-CN" w:bidi="ar-SA"/>
              </w:rPr>
            </w:pPr>
            <w:r>
              <w:rPr>
                <w:rFonts w:hint="eastAsia" w:ascii="Times New Roman" w:hAnsi="Times New Roman" w:eastAsia="宋体" w:cs="宋体"/>
                <w:sz w:val="21"/>
                <w:szCs w:val="22"/>
                <w:lang w:val="en-US" w:eastAsia="zh-CN" w:bidi="ar-SA"/>
              </w:rPr>
              <w:t>《工业企业厂界环境噪声排放标准》（GB12348-2008）中的3类标准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r>
              <w:rPr>
                <w:rFonts w:ascii="Times New Roman" w:hAnsi="Times New Roman" w:eastAsia="宋体" w:cs="宋体"/>
                <w:sz w:val="21"/>
                <w:szCs w:val="22"/>
                <w:lang w:val="en-US" w:eastAsia="zh-CN" w:bidi="ar-SA"/>
              </w:rPr>
              <w:t>电磁辐射</w:t>
            </w:r>
          </w:p>
        </w:tc>
        <w:tc>
          <w:tcPr>
            <w:tcW w:w="7792" w:type="dxa"/>
            <w:gridSpan w:val="4"/>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left"/>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r>
              <w:rPr>
                <w:rFonts w:ascii="Times New Roman" w:hAnsi="Times New Roman" w:eastAsia="宋体" w:cs="宋体"/>
                <w:sz w:val="21"/>
                <w:szCs w:val="22"/>
                <w:lang w:val="en-US" w:eastAsia="zh-CN" w:bidi="ar-SA"/>
              </w:rPr>
              <w:t>土壤及地下水污染防治措施</w:t>
            </w:r>
          </w:p>
        </w:tc>
        <w:tc>
          <w:tcPr>
            <w:tcW w:w="7792" w:type="dxa"/>
            <w:gridSpan w:val="4"/>
            <w:vAlign w:val="center"/>
          </w:tcPr>
          <w:p>
            <w:pPr>
              <w:keepNext w:val="0"/>
              <w:keepLines w:val="0"/>
              <w:pageBreakBefore w:val="0"/>
              <w:widowControl w:val="0"/>
              <w:kinsoku/>
              <w:wordWrap/>
              <w:overflowPunct/>
              <w:topLinePunct w:val="0"/>
              <w:autoSpaceDE/>
              <w:autoSpaceDN/>
              <w:bidi w:val="0"/>
              <w:adjustRightInd w:val="0"/>
              <w:snapToGrid w:val="0"/>
              <w:spacing w:before="0" w:after="0" w:line="400" w:lineRule="exact"/>
              <w:ind w:left="0" w:right="0" w:firstLine="0" w:firstLineChars="0"/>
              <w:jc w:val="left"/>
              <w:textAlignment w:val="auto"/>
              <w:rPr>
                <w:rFonts w:hint="default" w:ascii="Times New Roman" w:hAnsi="Times New Roman" w:eastAsia="宋体" w:cs="宋体"/>
                <w:color w:val="000000"/>
                <w:sz w:val="21"/>
                <w:szCs w:val="21"/>
                <w:highlight w:val="none"/>
                <w:lang w:val="en-US" w:eastAsia="zh-CN"/>
              </w:rPr>
            </w:pPr>
            <w:r>
              <w:rPr>
                <w:rFonts w:hint="default" w:ascii="Times New Roman" w:hAnsi="Times New Roman" w:eastAsia="宋体" w:cs="宋体"/>
                <w:color w:val="000000"/>
                <w:sz w:val="21"/>
                <w:szCs w:val="21"/>
                <w:highlight w:val="none"/>
                <w:lang w:val="en-US" w:eastAsia="zh-CN"/>
              </w:rPr>
              <w:t>（1）防渗措施：</w:t>
            </w:r>
            <w:r>
              <w:rPr>
                <w:rFonts w:hint="eastAsia" w:ascii="Times New Roman" w:hAnsi="Times New Roman" w:eastAsia="宋体" w:cs="宋体"/>
                <w:color w:val="000000"/>
                <w:sz w:val="21"/>
                <w:szCs w:val="21"/>
                <w:highlight w:val="none"/>
                <w:lang w:val="en-US" w:eastAsia="zh-CN"/>
              </w:rPr>
              <w:t>采取分区防渗，其中危废暂存间</w:t>
            </w:r>
            <w:r>
              <w:rPr>
                <w:rFonts w:hint="default" w:ascii="Times New Roman" w:hAnsi="Times New Roman" w:eastAsia="宋体" w:cs="宋体"/>
                <w:color w:val="000000"/>
                <w:sz w:val="21"/>
                <w:szCs w:val="21"/>
                <w:highlight w:val="none"/>
                <w:lang w:val="en-US" w:eastAsia="zh-CN"/>
              </w:rPr>
              <w:t>设置重点防渗</w:t>
            </w:r>
            <w:r>
              <w:rPr>
                <w:rFonts w:hint="eastAsia" w:ascii="Times New Roman" w:hAnsi="Times New Roman" w:eastAsia="宋体" w:cs="宋体"/>
                <w:color w:val="000000"/>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0" w:firstLineChars="0"/>
              <w:jc w:val="left"/>
              <w:textAlignment w:val="auto"/>
              <w:rPr>
                <w:rFonts w:hint="default" w:ascii="Times New Roman" w:hAnsi="Times New Roman" w:eastAsia="宋体" w:cs="宋体"/>
                <w:sz w:val="21"/>
                <w:szCs w:val="21"/>
                <w:lang w:val="en-US" w:eastAsia="zh-CN"/>
              </w:rPr>
            </w:pPr>
            <w:r>
              <w:rPr>
                <w:rFonts w:hint="default" w:ascii="Times New Roman" w:hAnsi="Times New Roman" w:eastAsia="宋体" w:cs="宋体"/>
                <w:color w:val="000000"/>
                <w:sz w:val="21"/>
                <w:szCs w:val="21"/>
                <w:highlight w:val="none"/>
                <w:lang w:val="en-US" w:eastAsia="zh-CN"/>
              </w:rPr>
              <w:t>（</w:t>
            </w:r>
            <w:r>
              <w:rPr>
                <w:rFonts w:hint="eastAsia" w:ascii="Times New Roman" w:hAnsi="Times New Roman" w:eastAsia="宋体" w:cs="宋体"/>
                <w:color w:val="000000"/>
                <w:sz w:val="21"/>
                <w:szCs w:val="21"/>
                <w:highlight w:val="none"/>
                <w:lang w:val="en-US" w:eastAsia="zh-CN"/>
              </w:rPr>
              <w:t>2</w:t>
            </w:r>
            <w:r>
              <w:rPr>
                <w:rFonts w:hint="default" w:ascii="Times New Roman" w:hAnsi="Times New Roman" w:eastAsia="宋体" w:cs="宋体"/>
                <w:color w:val="000000"/>
                <w:sz w:val="21"/>
                <w:szCs w:val="21"/>
                <w:highlight w:val="none"/>
                <w:lang w:val="en-US" w:eastAsia="zh-CN"/>
              </w:rPr>
              <w:t>）加强日常巡检，及时发现隐患。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r>
              <w:rPr>
                <w:rFonts w:ascii="Times New Roman" w:hAnsi="Times New Roman" w:eastAsia="宋体" w:cs="宋体"/>
                <w:sz w:val="21"/>
                <w:szCs w:val="22"/>
                <w:lang w:val="en-US" w:eastAsia="zh-CN" w:bidi="ar-SA"/>
              </w:rPr>
              <w:t>生态保护措施</w:t>
            </w:r>
          </w:p>
        </w:tc>
        <w:tc>
          <w:tcPr>
            <w:tcW w:w="7792" w:type="dxa"/>
            <w:gridSpan w:val="4"/>
            <w:vAlign w:val="center"/>
          </w:tcPr>
          <w:p>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0" w:firstLineChars="0"/>
              <w:jc w:val="left"/>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color w:val="000000"/>
                <w:sz w:val="21"/>
                <w:szCs w:val="21"/>
                <w:highlight w:val="none"/>
                <w:lang w:val="en-US" w:eastAsia="zh-CN"/>
              </w:rPr>
              <w:t>本项目建设完成后会进行相应的绿化措施。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r>
              <w:rPr>
                <w:rFonts w:ascii="Times New Roman" w:hAnsi="Times New Roman" w:eastAsia="宋体" w:cs="宋体"/>
                <w:sz w:val="21"/>
                <w:szCs w:val="22"/>
                <w:lang w:val="en-US" w:eastAsia="zh-CN" w:bidi="ar-SA"/>
              </w:rPr>
              <w:t>环境风险防范措施</w:t>
            </w:r>
          </w:p>
        </w:tc>
        <w:tc>
          <w:tcPr>
            <w:tcW w:w="7792" w:type="dxa"/>
            <w:gridSpan w:val="4"/>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right="0" w:firstLine="0" w:firstLineChars="0"/>
              <w:jc w:val="left"/>
              <w:textAlignment w:val="auto"/>
              <w:rPr>
                <w:rFonts w:hint="default"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（1）</w:t>
            </w:r>
            <w:r>
              <w:rPr>
                <w:rFonts w:hint="default" w:ascii="Times New Roman" w:hAnsi="Times New Roman" w:eastAsia="宋体" w:cs="宋体"/>
                <w:color w:val="000000"/>
                <w:sz w:val="21"/>
                <w:szCs w:val="21"/>
                <w:highlight w:val="none"/>
                <w:lang w:val="en-US" w:eastAsia="zh-CN"/>
              </w:rPr>
              <w:t>严格按照规章制度标准设计建设。</w:t>
            </w:r>
          </w:p>
          <w:p>
            <w:pPr>
              <w:keepNext w:val="0"/>
              <w:keepLines w:val="0"/>
              <w:pageBreakBefore w:val="0"/>
              <w:widowControl w:val="0"/>
              <w:kinsoku/>
              <w:wordWrap/>
              <w:overflowPunct/>
              <w:topLinePunct w:val="0"/>
              <w:autoSpaceDE/>
              <w:autoSpaceDN/>
              <w:bidi w:val="0"/>
              <w:adjustRightInd w:val="0"/>
              <w:snapToGrid/>
              <w:spacing w:before="0" w:after="0" w:line="400" w:lineRule="exact"/>
              <w:ind w:left="0" w:right="0" w:firstLine="0" w:firstLineChars="0"/>
              <w:jc w:val="left"/>
              <w:textAlignment w:val="auto"/>
              <w:rPr>
                <w:rFonts w:hint="default"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（2）厂区采取分区防渗措施，</w:t>
            </w:r>
            <w:r>
              <w:rPr>
                <w:rFonts w:hint="default" w:ascii="Times New Roman" w:hAnsi="Times New Roman" w:eastAsia="宋体" w:cs="宋体"/>
                <w:color w:val="000000"/>
                <w:sz w:val="21"/>
                <w:szCs w:val="21"/>
                <w:highlight w:val="none"/>
                <w:lang w:val="en-US" w:eastAsia="zh-CN"/>
              </w:rPr>
              <w:t>地面全部采用耐腐蚀防渗硬化地面。</w:t>
            </w:r>
          </w:p>
          <w:p>
            <w:pPr>
              <w:keepNext w:val="0"/>
              <w:keepLines w:val="0"/>
              <w:pageBreakBefore w:val="0"/>
              <w:widowControl w:val="0"/>
              <w:kinsoku/>
              <w:wordWrap/>
              <w:overflowPunct/>
              <w:topLinePunct w:val="0"/>
              <w:autoSpaceDE/>
              <w:autoSpaceDN/>
              <w:bidi w:val="0"/>
              <w:adjustRightInd w:val="0"/>
              <w:snapToGrid/>
              <w:spacing w:before="0" w:after="0" w:line="400" w:lineRule="exact"/>
              <w:ind w:left="0" w:right="0" w:firstLine="0" w:firstLineChars="0"/>
              <w:jc w:val="left"/>
              <w:textAlignment w:val="auto"/>
              <w:rPr>
                <w:rFonts w:hint="default"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（3）</w:t>
            </w:r>
            <w:r>
              <w:rPr>
                <w:rFonts w:hint="default" w:ascii="Times New Roman" w:hAnsi="Times New Roman" w:eastAsia="宋体" w:cs="宋体"/>
                <w:color w:val="000000"/>
                <w:sz w:val="21"/>
                <w:szCs w:val="21"/>
                <w:highlight w:val="none"/>
                <w:lang w:val="en-US" w:eastAsia="zh-CN"/>
              </w:rPr>
              <w:t>设置防爆、防雷、防静电接地装置；设有通风换气设施。</w:t>
            </w:r>
          </w:p>
          <w:p>
            <w:pPr>
              <w:keepNext w:val="0"/>
              <w:keepLines w:val="0"/>
              <w:pageBreakBefore w:val="0"/>
              <w:widowControl w:val="0"/>
              <w:kinsoku/>
              <w:wordWrap/>
              <w:overflowPunct/>
              <w:topLinePunct w:val="0"/>
              <w:autoSpaceDE/>
              <w:autoSpaceDN/>
              <w:bidi w:val="0"/>
              <w:adjustRightInd w:val="0"/>
              <w:snapToGrid/>
              <w:spacing w:before="0" w:after="0" w:line="400" w:lineRule="exact"/>
              <w:ind w:left="0" w:right="0" w:firstLine="0" w:firstLineChars="0"/>
              <w:jc w:val="left"/>
              <w:textAlignment w:val="auto"/>
              <w:rPr>
                <w:rFonts w:hint="default"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（4）</w:t>
            </w:r>
            <w:r>
              <w:rPr>
                <w:rFonts w:hint="default" w:ascii="Times New Roman" w:hAnsi="Times New Roman" w:eastAsia="宋体" w:cs="宋体"/>
                <w:color w:val="000000"/>
                <w:sz w:val="21"/>
                <w:szCs w:val="21"/>
                <w:highlight w:val="none"/>
                <w:lang w:val="en-US" w:eastAsia="zh-CN"/>
              </w:rPr>
              <w:t>建立严格的</w:t>
            </w:r>
            <w:r>
              <w:rPr>
                <w:rFonts w:hint="eastAsia" w:ascii="Times New Roman" w:hAnsi="Times New Roman" w:eastAsia="宋体" w:cs="宋体"/>
                <w:color w:val="000000"/>
                <w:sz w:val="21"/>
                <w:szCs w:val="21"/>
                <w:highlight w:val="none"/>
                <w:lang w:val="en-US" w:eastAsia="zh-CN"/>
              </w:rPr>
              <w:t>管理</w:t>
            </w:r>
            <w:r>
              <w:rPr>
                <w:rFonts w:hint="default" w:ascii="Times New Roman" w:hAnsi="Times New Roman" w:eastAsia="宋体" w:cs="宋体"/>
                <w:color w:val="000000"/>
                <w:sz w:val="21"/>
                <w:szCs w:val="21"/>
                <w:highlight w:val="none"/>
                <w:lang w:val="en-US" w:eastAsia="zh-CN"/>
              </w:rPr>
              <w:t>制度</w:t>
            </w:r>
            <w:r>
              <w:rPr>
                <w:rFonts w:hint="eastAsia" w:ascii="Times New Roman" w:hAnsi="Times New Roman" w:eastAsia="宋体" w:cs="宋体"/>
                <w:color w:val="000000"/>
                <w:sz w:val="21"/>
                <w:szCs w:val="21"/>
                <w:highlight w:val="none"/>
                <w:lang w:val="en-US" w:eastAsia="zh-CN"/>
              </w:rPr>
              <w:t>和修编应急预案，并开展应急演练</w:t>
            </w:r>
            <w:r>
              <w:rPr>
                <w:rFonts w:hint="default" w:ascii="Times New Roman" w:hAnsi="Times New Roman" w:eastAsia="宋体" w:cs="宋体"/>
                <w:color w:val="000000"/>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left"/>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color w:val="000000"/>
                <w:sz w:val="21"/>
                <w:szCs w:val="21"/>
                <w:highlight w:val="none"/>
                <w:lang w:val="en-US" w:eastAsia="zh-CN"/>
              </w:rPr>
              <w:t>（5）</w:t>
            </w:r>
            <w:r>
              <w:rPr>
                <w:rFonts w:hint="default" w:ascii="Times New Roman" w:hAnsi="Times New Roman" w:eastAsia="宋体" w:cs="宋体"/>
                <w:color w:val="000000"/>
                <w:sz w:val="21"/>
                <w:szCs w:val="21"/>
                <w:highlight w:val="none"/>
                <w:lang w:val="en-US" w:eastAsia="zh-CN"/>
              </w:rPr>
              <w:t>应配备足量泄漏、火灾、爆炸事故的应急物资和医药应急药品等</w:t>
            </w:r>
            <w:r>
              <w:rPr>
                <w:rFonts w:hint="eastAsia" w:ascii="Times New Roman" w:hAnsi="Times New Roman" w:eastAsia="宋体" w:cs="宋体"/>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0" w:hRule="atLeast"/>
          <w:jc w:val="center"/>
        </w:trPr>
        <w:tc>
          <w:tcPr>
            <w:tcW w:w="1279" w:type="dxa"/>
            <w:gridSpan w:val="2"/>
            <w:vAlign w:val="center"/>
          </w:tcPr>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sz w:val="21"/>
                <w:szCs w:val="22"/>
                <w:lang w:val="en-US" w:eastAsia="zh-CN" w:bidi="ar-SA"/>
              </w:rPr>
            </w:pPr>
            <w:r>
              <w:rPr>
                <w:rFonts w:ascii="Times New Roman" w:hAnsi="Times New Roman" w:eastAsia="宋体" w:cs="宋体"/>
                <w:sz w:val="21"/>
                <w:szCs w:val="22"/>
                <w:lang w:val="en-US" w:eastAsia="zh-CN" w:bidi="ar-SA"/>
              </w:rPr>
              <w:t>其他环境管理要求</w:t>
            </w:r>
          </w:p>
        </w:tc>
        <w:tc>
          <w:tcPr>
            <w:tcW w:w="7792" w:type="dxa"/>
            <w:gridSpan w:val="4"/>
            <w:vAlign w:val="center"/>
          </w:tcPr>
          <w:p>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一、</w:t>
            </w:r>
            <w:r>
              <w:rPr>
                <w:rFonts w:hint="eastAsia" w:ascii="Times New Roman" w:hAnsi="Times New Roman" w:eastAsia="宋体" w:cs="宋体"/>
                <w:sz w:val="21"/>
                <w:szCs w:val="21"/>
              </w:rPr>
              <w:t>工程环保投资概算</w:t>
            </w:r>
          </w:p>
          <w:p>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sz w:val="21"/>
                <w:szCs w:val="21"/>
              </w:rPr>
            </w:pPr>
            <w:r>
              <w:rPr>
                <w:rFonts w:hint="eastAsia" w:ascii="Times New Roman" w:hAnsi="Times New Roman" w:eastAsia="宋体" w:cs="宋体"/>
                <w:sz w:val="21"/>
                <w:szCs w:val="21"/>
                <w:highlight w:val="none"/>
              </w:rPr>
              <w:t>本项目总投资</w:t>
            </w:r>
            <w:r>
              <w:rPr>
                <w:rFonts w:hint="eastAsia" w:ascii="Times New Roman" w:hAnsi="Times New Roman" w:eastAsia="宋体" w:cs="宋体"/>
                <w:sz w:val="21"/>
                <w:szCs w:val="21"/>
                <w:highlight w:val="none"/>
                <w:lang w:val="en-US" w:eastAsia="zh-CN"/>
              </w:rPr>
              <w:t>1000</w:t>
            </w:r>
            <w:r>
              <w:rPr>
                <w:rFonts w:hint="eastAsia" w:ascii="Times New Roman" w:hAnsi="Times New Roman" w:eastAsia="宋体" w:cs="宋体"/>
                <w:sz w:val="21"/>
                <w:szCs w:val="21"/>
                <w:highlight w:val="none"/>
              </w:rPr>
              <w:t>万</w:t>
            </w:r>
            <w:r>
              <w:rPr>
                <w:rFonts w:hint="eastAsia" w:ascii="Times New Roman" w:hAnsi="Times New Roman" w:eastAsia="宋体" w:cs="宋体"/>
                <w:sz w:val="21"/>
                <w:szCs w:val="21"/>
                <w:highlight w:val="none"/>
                <w:lang w:val="en-US" w:eastAsia="zh-CN"/>
              </w:rPr>
              <w:t>元</w:t>
            </w:r>
            <w:r>
              <w:rPr>
                <w:rFonts w:hint="eastAsia" w:ascii="Times New Roman" w:hAnsi="Times New Roman" w:eastAsia="宋体" w:cs="宋体"/>
                <w:sz w:val="21"/>
                <w:szCs w:val="21"/>
                <w:highlight w:val="none"/>
              </w:rPr>
              <w:t>，</w:t>
            </w:r>
            <w:r>
              <w:rPr>
                <w:rFonts w:hint="eastAsia" w:ascii="Times New Roman" w:hAnsi="Times New Roman" w:eastAsia="宋体" w:cs="宋体"/>
                <w:sz w:val="21"/>
                <w:szCs w:val="21"/>
              </w:rPr>
              <w:t>其中环保投资</w:t>
            </w:r>
            <w:r>
              <w:rPr>
                <w:rFonts w:hint="eastAsia" w:cs="宋体"/>
                <w:sz w:val="21"/>
                <w:szCs w:val="21"/>
                <w:lang w:val="en-US" w:eastAsia="zh-CN"/>
              </w:rPr>
              <w:t>65</w:t>
            </w:r>
            <w:r>
              <w:rPr>
                <w:rFonts w:hint="eastAsia" w:ascii="Times New Roman" w:hAnsi="Times New Roman" w:eastAsia="宋体" w:cs="宋体"/>
                <w:sz w:val="21"/>
                <w:szCs w:val="21"/>
                <w:lang w:val="en-US" w:eastAsia="zh-CN"/>
              </w:rPr>
              <w:t>万</w:t>
            </w:r>
            <w:r>
              <w:rPr>
                <w:rFonts w:hint="eastAsia" w:ascii="Times New Roman" w:hAnsi="Times New Roman" w:eastAsia="宋体" w:cs="宋体"/>
                <w:sz w:val="21"/>
                <w:szCs w:val="21"/>
              </w:rPr>
              <w:t>元，占总投资额的</w:t>
            </w:r>
            <w:r>
              <w:rPr>
                <w:rFonts w:hint="eastAsia" w:cs="宋体"/>
                <w:sz w:val="21"/>
                <w:szCs w:val="21"/>
                <w:lang w:val="en-US" w:eastAsia="zh-CN"/>
              </w:rPr>
              <w:t>6.5</w:t>
            </w:r>
            <w:r>
              <w:rPr>
                <w:rFonts w:hint="eastAsia" w:ascii="Times New Roman" w:hAnsi="Times New Roman" w:eastAsia="宋体" w:cs="宋体"/>
                <w:sz w:val="21"/>
                <w:szCs w:val="21"/>
              </w:rPr>
              <w:t>%。详见表</w:t>
            </w:r>
            <w:r>
              <w:rPr>
                <w:rFonts w:hint="eastAsia" w:ascii="Times New Roman" w:hAnsi="Times New Roman" w:eastAsia="宋体" w:cs="宋体"/>
                <w:sz w:val="21"/>
                <w:szCs w:val="21"/>
                <w:lang w:val="en-US" w:eastAsia="zh-CN"/>
              </w:rPr>
              <w:t>5.1-1</w:t>
            </w:r>
            <w:r>
              <w:rPr>
                <w:rFonts w:hint="eastAsia" w:ascii="Times New Roman" w:hAnsi="Times New Roman" w:eastAsia="宋体" w:cs="宋体"/>
                <w:sz w:val="21"/>
                <w:szCs w:val="21"/>
              </w:rPr>
              <w:t>。</w:t>
            </w:r>
          </w:p>
          <w:p>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b/>
                <w:color w:val="000000"/>
                <w:sz w:val="24"/>
                <w:szCs w:val="24"/>
                <w:lang w:val="en-US" w:eastAsia="zh-CN" w:bidi="ar-SA"/>
              </w:rPr>
            </w:pPr>
            <w:r>
              <w:rPr>
                <w:rFonts w:hint="eastAsia" w:ascii="Times New Roman" w:hAnsi="Times New Roman" w:eastAsia="宋体" w:cs="宋体"/>
                <w:b/>
                <w:color w:val="000000"/>
                <w:sz w:val="21"/>
                <w:szCs w:val="21"/>
                <w:lang w:val="en-US" w:eastAsia="zh-CN" w:bidi="ar-SA"/>
              </w:rPr>
              <w:t>表5.1-1环保投资概算一览表</w:t>
            </w:r>
          </w:p>
          <w:tbl>
            <w:tblPr>
              <w:tblStyle w:val="13"/>
              <w:tblW w:w="76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96"/>
              <w:gridCol w:w="1154"/>
              <w:gridCol w:w="3461"/>
              <w:gridCol w:w="491"/>
              <w:gridCol w:w="14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07" w:hRule="atLeast"/>
                <w:tblHeader/>
                <w:jc w:val="center"/>
              </w:trPr>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项  目</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污染源</w:t>
                  </w:r>
                </w:p>
              </w:tc>
              <w:tc>
                <w:tcPr>
                  <w:tcW w:w="3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内容</w:t>
                  </w:r>
                </w:p>
              </w:tc>
              <w:tc>
                <w:tcPr>
                  <w:tcW w:w="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数量</w:t>
                  </w:r>
                </w:p>
              </w:tc>
              <w:tc>
                <w:tcPr>
                  <w:tcW w:w="14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5" w:hRule="atLeast"/>
                <w:jc w:val="center"/>
              </w:trPr>
              <w:tc>
                <w:tcPr>
                  <w:tcW w:w="10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废气处理</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有组织废气</w:t>
                  </w:r>
                </w:p>
              </w:tc>
              <w:tc>
                <w:tcPr>
                  <w:tcW w:w="3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000000"/>
                      <w:sz w:val="21"/>
                      <w:szCs w:val="21"/>
                      <w:highlight w:val="none"/>
                      <w:lang w:val="en-US" w:eastAsia="zh-CN"/>
                    </w:rPr>
                  </w:pPr>
                  <w:r>
                    <w:rPr>
                      <w:rFonts w:hint="default" w:ascii="Times New Roman" w:hAnsi="Times New Roman" w:eastAsia="宋体" w:cs="宋体"/>
                      <w:color w:val="000000"/>
                      <w:sz w:val="21"/>
                      <w:szCs w:val="21"/>
                      <w:highlight w:val="none"/>
                      <w:lang w:val="en-US" w:eastAsia="zh-CN"/>
                    </w:rPr>
                    <w:t>集气罩+</w:t>
                  </w:r>
                  <w:r>
                    <w:rPr>
                      <w:rFonts w:hint="eastAsia" w:cs="宋体"/>
                      <w:color w:val="000000"/>
                      <w:sz w:val="21"/>
                      <w:szCs w:val="21"/>
                      <w:highlight w:val="none"/>
                      <w:lang w:val="en-US" w:eastAsia="zh-CN"/>
                    </w:rPr>
                    <w:t>水洗填料塔+活性炭吸附+脱附+催化燃烧装置+20m排气筒</w:t>
                  </w:r>
                </w:p>
              </w:tc>
              <w:tc>
                <w:tcPr>
                  <w:tcW w:w="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000000"/>
                      <w:sz w:val="21"/>
                      <w:szCs w:val="21"/>
                      <w:highlight w:val="none"/>
                      <w:lang w:val="en-US" w:eastAsia="zh-CN"/>
                    </w:rPr>
                  </w:pPr>
                  <w:r>
                    <w:rPr>
                      <w:rFonts w:hint="eastAsia" w:cs="宋体"/>
                      <w:color w:val="000000"/>
                      <w:sz w:val="21"/>
                      <w:szCs w:val="21"/>
                      <w:highlight w:val="none"/>
                      <w:lang w:val="en-US" w:eastAsia="zh-CN"/>
                    </w:rPr>
                    <w:t>1</w:t>
                  </w:r>
                </w:p>
              </w:tc>
              <w:tc>
                <w:tcPr>
                  <w:tcW w:w="14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000000"/>
                      <w:sz w:val="21"/>
                      <w:szCs w:val="21"/>
                      <w:highlight w:val="none"/>
                      <w:lang w:val="en-US" w:eastAsia="zh-CN"/>
                    </w:rPr>
                  </w:pPr>
                  <w:r>
                    <w:rPr>
                      <w:rFonts w:hint="eastAsia" w:cs="宋体"/>
                      <w:color w:val="000000"/>
                      <w:sz w:val="21"/>
                      <w:szCs w:val="21"/>
                      <w:highlight w:val="none"/>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74" w:hRule="atLeast"/>
                <w:jc w:val="center"/>
              </w:trPr>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无组织废气</w:t>
                  </w:r>
                </w:p>
              </w:tc>
              <w:tc>
                <w:tcPr>
                  <w:tcW w:w="3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封闭式作业</w:t>
                  </w:r>
                  <w:r>
                    <w:rPr>
                      <w:rFonts w:hint="eastAsia" w:cs="宋体"/>
                      <w:color w:val="000000"/>
                      <w:sz w:val="21"/>
                      <w:szCs w:val="21"/>
                      <w:highlight w:val="none"/>
                      <w:lang w:val="en-US" w:eastAsia="zh-CN"/>
                    </w:rPr>
                    <w:t>、移动式焊烟净化器</w:t>
                  </w:r>
                  <w:r>
                    <w:rPr>
                      <w:rFonts w:hint="eastAsia" w:ascii="Times New Roman" w:hAnsi="Times New Roman" w:eastAsia="宋体" w:cs="宋体"/>
                      <w:color w:val="000000"/>
                      <w:sz w:val="21"/>
                      <w:szCs w:val="21"/>
                      <w:highlight w:val="none"/>
                      <w:lang w:val="en-US" w:eastAsia="zh-CN"/>
                    </w:rPr>
                    <w:t>；定期对生产设备进行检修，防止“跑冒滴漏”</w:t>
                  </w:r>
                </w:p>
              </w:tc>
              <w:tc>
                <w:tcPr>
                  <w:tcW w:w="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w:t>
                  </w:r>
                </w:p>
              </w:tc>
              <w:tc>
                <w:tcPr>
                  <w:tcW w:w="14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000000"/>
                      <w:sz w:val="21"/>
                      <w:szCs w:val="21"/>
                      <w:highlight w:val="none"/>
                      <w:lang w:val="en-US" w:eastAsia="zh-CN"/>
                    </w:rPr>
                  </w:pPr>
                  <w:r>
                    <w:rPr>
                      <w:rFonts w:hint="eastAsia" w:cs="宋体"/>
                      <w:color w:val="000000"/>
                      <w:sz w:val="21"/>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废水处理</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地下水</w:t>
                  </w:r>
                </w:p>
              </w:tc>
              <w:tc>
                <w:tcPr>
                  <w:tcW w:w="3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000000"/>
                      <w:sz w:val="21"/>
                      <w:szCs w:val="21"/>
                      <w:highlight w:val="none"/>
                      <w:lang w:val="en-US" w:eastAsia="zh-CN"/>
                    </w:rPr>
                  </w:pPr>
                  <w:r>
                    <w:rPr>
                      <w:rFonts w:hint="eastAsia" w:cs="宋体"/>
                      <w:color w:val="000000"/>
                      <w:sz w:val="21"/>
                      <w:szCs w:val="21"/>
                      <w:highlight w:val="none"/>
                      <w:lang w:val="en-US" w:eastAsia="zh-CN"/>
                    </w:rPr>
                    <w:t>危废暂存间补充防渗</w:t>
                  </w:r>
                </w:p>
              </w:tc>
              <w:tc>
                <w:tcPr>
                  <w:tcW w:w="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1</w:t>
                  </w:r>
                </w:p>
              </w:tc>
              <w:tc>
                <w:tcPr>
                  <w:tcW w:w="14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000000"/>
                      <w:sz w:val="21"/>
                      <w:szCs w:val="21"/>
                      <w:highlight w:val="none"/>
                      <w:lang w:val="en-US" w:eastAsia="zh-CN"/>
                    </w:rPr>
                  </w:pPr>
                  <w:r>
                    <w:rPr>
                      <w:rFonts w:hint="eastAsia" w:cs="宋体"/>
                      <w:color w:val="000000"/>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77" w:hRule="atLeast"/>
                <w:jc w:val="center"/>
              </w:trPr>
              <w:tc>
                <w:tcPr>
                  <w:tcW w:w="10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固废治理</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生活垃圾</w:t>
                  </w:r>
                </w:p>
              </w:tc>
              <w:tc>
                <w:tcPr>
                  <w:tcW w:w="3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生活垃圾收集箱</w:t>
                  </w:r>
                </w:p>
              </w:tc>
              <w:tc>
                <w:tcPr>
                  <w:tcW w:w="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w:t>
                  </w:r>
                </w:p>
              </w:tc>
              <w:tc>
                <w:tcPr>
                  <w:tcW w:w="14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77" w:hRule="atLeast"/>
                <w:jc w:val="center"/>
              </w:trPr>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危险废物</w:t>
                  </w:r>
                </w:p>
              </w:tc>
              <w:tc>
                <w:tcPr>
                  <w:tcW w:w="3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危废暂存间</w:t>
                  </w:r>
                </w:p>
              </w:tc>
              <w:tc>
                <w:tcPr>
                  <w:tcW w:w="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1</w:t>
                  </w:r>
                </w:p>
              </w:tc>
              <w:tc>
                <w:tcPr>
                  <w:tcW w:w="14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77" w:hRule="atLeast"/>
                <w:jc w:val="center"/>
              </w:trPr>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噪声治理</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机械噪声</w:t>
                  </w:r>
                </w:p>
              </w:tc>
              <w:tc>
                <w:tcPr>
                  <w:tcW w:w="3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隔声降噪、绿化措施</w:t>
                  </w:r>
                </w:p>
              </w:tc>
              <w:tc>
                <w:tcPr>
                  <w:tcW w:w="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w:t>
                  </w:r>
                </w:p>
              </w:tc>
              <w:tc>
                <w:tcPr>
                  <w:tcW w:w="14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77" w:hRule="atLeast"/>
                <w:jc w:val="center"/>
              </w:trPr>
              <w:tc>
                <w:tcPr>
                  <w:tcW w:w="225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环境风险</w:t>
                  </w:r>
                </w:p>
              </w:tc>
              <w:tc>
                <w:tcPr>
                  <w:tcW w:w="3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环境风险防范及应急措施</w:t>
                  </w:r>
                </w:p>
              </w:tc>
              <w:tc>
                <w:tcPr>
                  <w:tcW w:w="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w:t>
                  </w:r>
                </w:p>
              </w:tc>
              <w:tc>
                <w:tcPr>
                  <w:tcW w:w="14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cs="宋体"/>
                      <w:color w:val="000000"/>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77" w:hRule="atLeast"/>
                <w:jc w:val="center"/>
              </w:trPr>
              <w:tc>
                <w:tcPr>
                  <w:tcW w:w="225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其他</w:t>
                  </w:r>
                </w:p>
              </w:tc>
              <w:tc>
                <w:tcPr>
                  <w:tcW w:w="3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水土保持、厂区绿化、环境管理与监控、消防系统、排污口规范化</w:t>
                  </w:r>
                </w:p>
              </w:tc>
              <w:tc>
                <w:tcPr>
                  <w:tcW w:w="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w:t>
                  </w:r>
                </w:p>
              </w:tc>
              <w:tc>
                <w:tcPr>
                  <w:tcW w:w="14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17" w:hRule="atLeast"/>
                <w:jc w:val="center"/>
              </w:trPr>
              <w:tc>
                <w:tcPr>
                  <w:tcW w:w="571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r>
                    <w:rPr>
                      <w:rFonts w:hint="eastAsia" w:ascii="Times New Roman" w:hAnsi="Times New Roman" w:eastAsia="宋体" w:cs="宋体"/>
                      <w:color w:val="000000"/>
                      <w:sz w:val="21"/>
                      <w:szCs w:val="21"/>
                      <w:highlight w:val="none"/>
                      <w:lang w:val="en-US" w:eastAsia="zh-CN"/>
                    </w:rPr>
                    <w:t>合  计</w:t>
                  </w:r>
                </w:p>
              </w:tc>
              <w:tc>
                <w:tcPr>
                  <w:tcW w:w="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000000"/>
                      <w:sz w:val="21"/>
                      <w:szCs w:val="21"/>
                      <w:highlight w:val="none"/>
                      <w:lang w:val="en-US" w:eastAsia="zh-CN"/>
                    </w:rPr>
                  </w:pPr>
                </w:p>
              </w:tc>
              <w:tc>
                <w:tcPr>
                  <w:tcW w:w="14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000000"/>
                      <w:sz w:val="21"/>
                      <w:szCs w:val="21"/>
                      <w:highlight w:val="none"/>
                      <w:lang w:val="en-US" w:eastAsia="zh-CN"/>
                    </w:rPr>
                  </w:pPr>
                  <w:r>
                    <w:rPr>
                      <w:rFonts w:hint="eastAsia" w:cs="宋体"/>
                      <w:color w:val="000000"/>
                      <w:sz w:val="21"/>
                      <w:szCs w:val="21"/>
                      <w:highlight w:val="none"/>
                      <w:lang w:val="en-US" w:eastAsia="zh-CN"/>
                    </w:rPr>
                    <w:t>65</w:t>
                  </w:r>
                </w:p>
              </w:tc>
            </w:tr>
          </w:tbl>
          <w:p>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二、环境管理要求</w:t>
            </w:r>
          </w:p>
          <w:p>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为了落实各项污染防治措施，应当根据实际特点，制定各种类型的环保制度。</w:t>
            </w:r>
          </w:p>
          <w:p>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（1）环保设施的建设、运行及维护费用保障制度</w:t>
            </w:r>
          </w:p>
          <w:p>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在项目的建设、运行、维护的过程中，要设立专项的环保资金，所有环保投支出该专项资金投入，并定时、定量对该环保资金进行补充，以保证环保设施的正常建设、运行和维护。</w:t>
            </w:r>
          </w:p>
          <w:p>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（2）排污定期报告制度</w:t>
            </w:r>
          </w:p>
          <w:p>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要定期向当地环保部门报告污染治理设施运行情况、污染物排放情况以及污染事故、污染纠纷等情况。</w:t>
            </w:r>
          </w:p>
          <w:p>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（3）污染处理设施的管理制度</w:t>
            </w:r>
          </w:p>
          <w:p>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对污染治理设施的管理必须与生产经营活动一起纳入企业的日常管理中，要建立岗位责任制，制定操作规程，建立环境管理</w:t>
            </w:r>
            <w:r>
              <w:rPr>
                <w:rFonts w:hint="eastAsia" w:ascii="Times New Roman" w:hAnsi="Times New Roman" w:eastAsia="宋体" w:cs="宋体"/>
                <w:sz w:val="21"/>
                <w:szCs w:val="21"/>
                <w:lang w:val="en-US" w:eastAsia="zh-CN"/>
              </w:rPr>
              <w:t>台账</w:t>
            </w:r>
            <w:r>
              <w:rPr>
                <w:rFonts w:hint="default" w:ascii="Times New Roman" w:hAnsi="Times New Roman" w:eastAsia="宋体" w:cs="宋体"/>
                <w:sz w:val="21"/>
                <w:szCs w:val="21"/>
                <w:lang w:val="en-US" w:eastAsia="zh-CN"/>
              </w:rPr>
              <w:t>。</w:t>
            </w:r>
          </w:p>
          <w:p>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（4）奖惩制度</w:t>
            </w:r>
          </w:p>
          <w:p>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企业应设置环境保护奖惩制度，对爱护环保设施，节能降耗、改善环境者实行奖励；对不按环保要求管理，造成环保设施损坏、环境污染和资源、能源浪费者予以处罚。</w:t>
            </w:r>
          </w:p>
          <w:p>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（5）规范排污口</w:t>
            </w:r>
          </w:p>
          <w:p>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本项目应按《环境保护图形标志—排放口（源）》（GB15562.1-1995）规定的图形，在各气、水、声排污口（源）挂牌标识，做到各排污口（源）的环保标志明显，便于企业管理和公众监督。</w:t>
            </w:r>
          </w:p>
          <w:p>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列入总量控制污染物的排污口为管理的重点，排污口应便于采样与计量监测，便于日常现场监督检查。排污口位置必须合理确定，按环监[1996]470号文件要求进行规范化管理。</w:t>
            </w:r>
          </w:p>
          <w:p>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污染物排放口的环保图形标志牌应设置在靠近采样点的醒目位置处，标志牌设置高度为其上缘距地面约2m。</w:t>
            </w:r>
          </w:p>
          <w:p>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一般排污单位的污染物排放口或固体废物贮存处置场地可以根据情况设置立式或平面固定式标志牌。一般污染物排放口或固体废物贮存堆放场地设置提示性环境保护图形标志牌。</w:t>
            </w:r>
          </w:p>
          <w:p>
            <w:pPr>
              <w:spacing w:line="360" w:lineRule="auto"/>
              <w:ind w:firstLine="480"/>
              <w:jc w:val="center"/>
              <w:rPr>
                <w:rFonts w:hint="default" w:ascii="Times New Roman" w:hAnsi="Times New Roman" w:eastAsia="宋体" w:cs="Times New Roman"/>
                <w:kern w:val="2"/>
                <w:sz w:val="21"/>
                <w:szCs w:val="24"/>
              </w:rPr>
            </w:pPr>
            <w:r>
              <w:rPr>
                <w:rFonts w:hint="default" w:ascii="Times New Roman" w:hAnsi="Times New Roman" w:eastAsia="宋体" w:cs="Times New Roman"/>
                <w:b/>
                <w:kern w:val="2"/>
                <w:sz w:val="24"/>
                <w:szCs w:val="24"/>
              </w:rPr>
              <w:t>图</w:t>
            </w:r>
            <w:r>
              <w:rPr>
                <w:rFonts w:hint="eastAsia" w:ascii="Times New Roman" w:hAnsi="Times New Roman" w:eastAsia="宋体" w:cs="Times New Roman"/>
                <w:b/>
                <w:kern w:val="2"/>
                <w:sz w:val="24"/>
                <w:szCs w:val="24"/>
                <w:lang w:val="en-US" w:eastAsia="zh-CN"/>
              </w:rPr>
              <w:t>5</w:t>
            </w:r>
            <w:r>
              <w:rPr>
                <w:rFonts w:hint="default" w:ascii="Times New Roman" w:hAnsi="Times New Roman" w:eastAsia="宋体" w:cs="Times New Roman"/>
                <w:b/>
                <w:kern w:val="2"/>
                <w:sz w:val="24"/>
                <w:szCs w:val="24"/>
                <w:lang w:val="en-US" w:eastAsia="zh-CN"/>
              </w:rPr>
              <w:t>.1-</w:t>
            </w:r>
            <w:r>
              <w:rPr>
                <w:rFonts w:hint="eastAsia" w:ascii="Times New Roman" w:hAnsi="Times New Roman" w:eastAsia="宋体" w:cs="Times New Roman"/>
                <w:b/>
                <w:kern w:val="2"/>
                <w:sz w:val="24"/>
                <w:szCs w:val="24"/>
                <w:lang w:val="en-US" w:eastAsia="zh-CN"/>
              </w:rPr>
              <w:t>2</w:t>
            </w:r>
            <w:r>
              <w:rPr>
                <w:rFonts w:hint="default" w:ascii="Times New Roman" w:hAnsi="Times New Roman" w:eastAsia="宋体" w:cs="Times New Roman"/>
                <w:b/>
                <w:kern w:val="2"/>
                <w:sz w:val="24"/>
                <w:szCs w:val="24"/>
              </w:rPr>
              <w:t>环境保护图形标志设置图形表</w:t>
            </w:r>
          </w:p>
          <w:tbl>
            <w:tblPr>
              <w:tblStyle w:val="13"/>
              <w:tblW w:w="765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31"/>
              <w:gridCol w:w="1626"/>
              <w:gridCol w:w="1611"/>
              <w:gridCol w:w="1611"/>
              <w:gridCol w:w="14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06" w:type="dxa"/>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108" w:firstLine="0" w:firstLineChars="0"/>
                    <w:jc w:val="center"/>
                    <w:textAlignment w:val="auto"/>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b/>
                      <w:bCs w:val="0"/>
                      <w:kern w:val="2"/>
                      <w:sz w:val="21"/>
                      <w:szCs w:val="21"/>
                      <w:lang w:val="en-US" w:eastAsia="zh-CN" w:bidi="ar-SA"/>
                    </w:rPr>
                    <w:t>排放口</w:t>
                  </w:r>
                </w:p>
              </w:tc>
              <w:tc>
                <w:tcPr>
                  <w:tcW w:w="1107"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108" w:firstLine="0" w:firstLineChars="0"/>
                    <w:jc w:val="center"/>
                    <w:textAlignment w:val="auto"/>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b/>
                      <w:bCs w:val="0"/>
                      <w:kern w:val="2"/>
                      <w:sz w:val="21"/>
                      <w:szCs w:val="21"/>
                      <w:lang w:val="en-US" w:eastAsia="zh-CN" w:bidi="ar-SA"/>
                    </w:rPr>
                    <w:t>废水排口</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108" w:firstLine="0" w:firstLineChars="0"/>
                    <w:jc w:val="center"/>
                    <w:textAlignment w:val="auto"/>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b/>
                      <w:bCs w:val="0"/>
                      <w:kern w:val="2"/>
                      <w:sz w:val="21"/>
                      <w:szCs w:val="21"/>
                      <w:lang w:val="en-US" w:eastAsia="zh-CN" w:bidi="ar-SA"/>
                    </w:rPr>
                    <w:t>废气排口</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108" w:firstLine="0" w:firstLineChars="0"/>
                    <w:jc w:val="center"/>
                    <w:textAlignment w:val="auto"/>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b/>
                      <w:bCs w:val="0"/>
                      <w:kern w:val="2"/>
                      <w:sz w:val="21"/>
                      <w:szCs w:val="21"/>
                      <w:lang w:val="en-US" w:eastAsia="zh-CN" w:bidi="ar-SA"/>
                    </w:rPr>
                    <w:t>固废</w:t>
                  </w:r>
                  <w:r>
                    <w:rPr>
                      <w:rFonts w:hint="eastAsia" w:ascii="Times New Roman" w:hAnsi="Times New Roman" w:eastAsia="宋体" w:cs="Times New Roman"/>
                      <w:b/>
                      <w:bCs w:val="0"/>
                      <w:kern w:val="2"/>
                      <w:sz w:val="21"/>
                      <w:szCs w:val="21"/>
                      <w:lang w:val="en-US" w:eastAsia="zh-CN" w:bidi="ar-SA"/>
                    </w:rPr>
                    <w:t>堆放区</w:t>
                  </w:r>
                </w:p>
              </w:tc>
              <w:tc>
                <w:tcPr>
                  <w:tcW w:w="100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108" w:firstLine="0" w:firstLineChars="0"/>
                    <w:jc w:val="center"/>
                    <w:textAlignment w:val="auto"/>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b/>
                      <w:bCs w:val="0"/>
                      <w:kern w:val="2"/>
                      <w:sz w:val="21"/>
                      <w:szCs w:val="21"/>
                      <w:lang w:val="en-US" w:eastAsia="zh-CN" w:bidi="ar-SA"/>
                    </w:rPr>
                    <w:t>噪声源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06" w:type="dxa"/>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108"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图形符号</w:t>
                  </w:r>
                </w:p>
              </w:tc>
              <w:tc>
                <w:tcPr>
                  <w:tcW w:w="1107"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108" w:firstLine="0" w:firstLineChars="0"/>
                    <w:jc w:val="both"/>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drawing>
                      <wp:anchor distT="0" distB="0" distL="114300" distR="114300" simplePos="0" relativeHeight="251664384" behindDoc="1" locked="0" layoutInCell="1" allowOverlap="1">
                        <wp:simplePos x="0" y="0"/>
                        <wp:positionH relativeFrom="column">
                          <wp:posOffset>59055</wp:posOffset>
                        </wp:positionH>
                        <wp:positionV relativeFrom="paragraph">
                          <wp:posOffset>200025</wp:posOffset>
                        </wp:positionV>
                        <wp:extent cx="817245" cy="817245"/>
                        <wp:effectExtent l="0" t="0" r="1905" b="1905"/>
                        <wp:wrapTight wrapText="bothSides">
                          <wp:wrapPolygon>
                            <wp:start x="0" y="0"/>
                            <wp:lineTo x="0" y="21147"/>
                            <wp:lineTo x="21147" y="21147"/>
                            <wp:lineTo x="21147" y="0"/>
                            <wp:lineTo x="0" y="0"/>
                          </wp:wrapPolygon>
                        </wp:wrapTight>
                        <wp:docPr id="8" name="图片 10"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点击看大图及详细资料"/>
                                <pic:cNvPicPr>
                                  <a:picLocks noChangeAspect="1"/>
                                </pic:cNvPicPr>
                              </pic:nvPicPr>
                              <pic:blipFill>
                                <a:blip r:embed="rId22"/>
                                <a:stretch>
                                  <a:fillRect/>
                                </a:stretch>
                              </pic:blipFill>
                              <pic:spPr>
                                <a:xfrm>
                                  <a:off x="0" y="0"/>
                                  <a:ext cx="817245" cy="817245"/>
                                </a:xfrm>
                                <a:prstGeom prst="rect">
                                  <a:avLst/>
                                </a:prstGeom>
                                <a:noFill/>
                                <a:ln>
                                  <a:noFill/>
                                </a:ln>
                              </pic:spPr>
                            </pic:pic>
                          </a:graphicData>
                        </a:graphic>
                      </wp:anchor>
                    </w:drawing>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108"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drawing>
                      <wp:anchor distT="0" distB="0" distL="114935" distR="114935" simplePos="0" relativeHeight="251665408" behindDoc="1" locked="0" layoutInCell="1" allowOverlap="1">
                        <wp:simplePos x="0" y="0"/>
                        <wp:positionH relativeFrom="column">
                          <wp:posOffset>59055</wp:posOffset>
                        </wp:positionH>
                        <wp:positionV relativeFrom="paragraph">
                          <wp:posOffset>190500</wp:posOffset>
                        </wp:positionV>
                        <wp:extent cx="817245" cy="817245"/>
                        <wp:effectExtent l="0" t="0" r="1905" b="1905"/>
                        <wp:wrapTight wrapText="bothSides">
                          <wp:wrapPolygon>
                            <wp:start x="0" y="0"/>
                            <wp:lineTo x="0" y="21147"/>
                            <wp:lineTo x="21147" y="21147"/>
                            <wp:lineTo x="21147" y="0"/>
                            <wp:lineTo x="0" y="0"/>
                          </wp:wrapPolygon>
                        </wp:wrapTight>
                        <wp:docPr id="175" name="图片 11"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1" descr="点击看大图及详细资料"/>
                                <pic:cNvPicPr>
                                  <a:picLocks noChangeAspect="1"/>
                                </pic:cNvPicPr>
                              </pic:nvPicPr>
                              <pic:blipFill>
                                <a:blip r:embed="rId23"/>
                                <a:stretch>
                                  <a:fillRect/>
                                </a:stretch>
                              </pic:blipFill>
                              <pic:spPr>
                                <a:xfrm>
                                  <a:off x="0" y="0"/>
                                  <a:ext cx="817245" cy="817245"/>
                                </a:xfrm>
                                <a:prstGeom prst="rect">
                                  <a:avLst/>
                                </a:prstGeom>
                                <a:noFill/>
                                <a:ln>
                                  <a:noFill/>
                                </a:ln>
                              </pic:spPr>
                            </pic:pic>
                          </a:graphicData>
                        </a:graphic>
                      </wp:anchor>
                    </w:drawing>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108"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drawing>
                      <wp:anchor distT="0" distB="0" distL="114935" distR="114935" simplePos="0" relativeHeight="251666432" behindDoc="1" locked="0" layoutInCell="1" allowOverlap="1">
                        <wp:simplePos x="0" y="0"/>
                        <wp:positionH relativeFrom="column">
                          <wp:posOffset>40005</wp:posOffset>
                        </wp:positionH>
                        <wp:positionV relativeFrom="paragraph">
                          <wp:posOffset>190500</wp:posOffset>
                        </wp:positionV>
                        <wp:extent cx="824865" cy="817245"/>
                        <wp:effectExtent l="0" t="0" r="13335" b="1905"/>
                        <wp:wrapTight wrapText="bothSides">
                          <wp:wrapPolygon>
                            <wp:start x="0" y="0"/>
                            <wp:lineTo x="0" y="21147"/>
                            <wp:lineTo x="20952" y="21147"/>
                            <wp:lineTo x="20952" y="0"/>
                            <wp:lineTo x="0" y="0"/>
                          </wp:wrapPolygon>
                        </wp:wrapTight>
                        <wp:docPr id="71" name="图片 12"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 descr="点击看大图及详细资料"/>
                                <pic:cNvPicPr>
                                  <a:picLocks noChangeAspect="1"/>
                                </pic:cNvPicPr>
                              </pic:nvPicPr>
                              <pic:blipFill>
                                <a:blip r:embed="rId24"/>
                                <a:stretch>
                                  <a:fillRect/>
                                </a:stretch>
                              </pic:blipFill>
                              <pic:spPr>
                                <a:xfrm>
                                  <a:off x="0" y="0"/>
                                  <a:ext cx="824865" cy="817245"/>
                                </a:xfrm>
                                <a:prstGeom prst="rect">
                                  <a:avLst/>
                                </a:prstGeom>
                                <a:noFill/>
                                <a:ln>
                                  <a:noFill/>
                                </a:ln>
                              </pic:spPr>
                            </pic:pic>
                          </a:graphicData>
                        </a:graphic>
                      </wp:anchor>
                    </w:drawing>
                  </w:r>
                </w:p>
              </w:tc>
              <w:tc>
                <w:tcPr>
                  <w:tcW w:w="100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108"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drawing>
                      <wp:anchor distT="0" distB="0" distL="114935" distR="114935" simplePos="0" relativeHeight="251667456" behindDoc="1" locked="0" layoutInCell="1" allowOverlap="1">
                        <wp:simplePos x="0" y="0"/>
                        <wp:positionH relativeFrom="column">
                          <wp:posOffset>10160</wp:posOffset>
                        </wp:positionH>
                        <wp:positionV relativeFrom="paragraph">
                          <wp:posOffset>200025</wp:posOffset>
                        </wp:positionV>
                        <wp:extent cx="817245" cy="817245"/>
                        <wp:effectExtent l="0" t="0" r="1905" b="1905"/>
                        <wp:wrapTight wrapText="bothSides">
                          <wp:wrapPolygon>
                            <wp:start x="0" y="0"/>
                            <wp:lineTo x="0" y="21147"/>
                            <wp:lineTo x="21147" y="21147"/>
                            <wp:lineTo x="21147" y="0"/>
                            <wp:lineTo x="0" y="0"/>
                          </wp:wrapPolygon>
                        </wp:wrapTight>
                        <wp:docPr id="182" name="图片 13"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3" descr="点击看大图及详细资料"/>
                                <pic:cNvPicPr>
                                  <a:picLocks noChangeAspect="1"/>
                                </pic:cNvPicPr>
                              </pic:nvPicPr>
                              <pic:blipFill>
                                <a:blip r:embed="rId25"/>
                                <a:stretch>
                                  <a:fillRect/>
                                </a:stretch>
                              </pic:blipFill>
                              <pic:spPr>
                                <a:xfrm>
                                  <a:off x="0" y="0"/>
                                  <a:ext cx="817245" cy="817245"/>
                                </a:xfrm>
                                <a:prstGeom prst="rect">
                                  <a:avLst/>
                                </a:prstGeom>
                                <a:noFill/>
                                <a:ln>
                                  <a:noFill/>
                                </a:ln>
                              </pic:spPr>
                            </pic:pic>
                          </a:graphicData>
                        </a:graphic>
                      </wp:anchor>
                    </w:drawing>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06" w:type="dxa"/>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108"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背景颜色</w:t>
                  </w:r>
                </w:p>
              </w:tc>
              <w:tc>
                <w:tcPr>
                  <w:tcW w:w="4305" w:type="dxa"/>
                  <w:gridSpan w:val="4"/>
                  <w:tcBorders>
                    <w:right w:val="single" w:color="auto" w:sz="12"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80" w:lineRule="exact"/>
                    <w:ind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绿色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06" w:type="dxa"/>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108"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图形颜色</w:t>
                  </w:r>
                </w:p>
              </w:tc>
              <w:tc>
                <w:tcPr>
                  <w:tcW w:w="4305" w:type="dxa"/>
                  <w:gridSpan w:val="4"/>
                  <w:tcBorders>
                    <w:right w:val="single" w:color="auto" w:sz="12" w:space="0"/>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白色</w:t>
                  </w:r>
                </w:p>
              </w:tc>
            </w:tr>
          </w:tbl>
          <w:p>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本项目应按《危险废物识别标志设置技术规范》（HJ 1276—2022）规定制作危险废物标签、危险废物贮存分区标志、贮存设施标志，其中危险废物标签设置在危险废物容器或包装物上，由文字、编码和图形符号等组合而成，用于向相关人群传递危险废物特定信息，以警示危险废物潜在环境危害的标志；危险废物贮存分区标志设置在危险废物贮存设施内部，用于显示危险废物贮存设施内贮存分区规划和危险废物贮存情况， 以避免潜在环境危害的警告性信息标志；贮存设施标志设置在贮存危险废物的设施、场所，用于引起人们对危险废物贮存活动的注意，以避免潜在环境危害的警告性区域信息标志。</w:t>
            </w:r>
          </w:p>
          <w:p>
            <w:pPr>
              <w:keepNext w:val="0"/>
              <w:keepLines w:val="0"/>
              <w:pageBreakBefore w:val="0"/>
              <w:widowControl/>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eastAsia="宋体" w:cs="Times New Roman"/>
                <w:b/>
                <w:bCs/>
                <w:color w:val="000000"/>
                <w:kern w:val="2"/>
                <w:sz w:val="21"/>
                <w:szCs w:val="24"/>
                <w:highlight w:val="none"/>
                <w:lang w:val="en-US" w:eastAsia="zh-CN" w:bidi="ar-SA"/>
              </w:rPr>
            </w:pPr>
            <w:r>
              <w:rPr>
                <w:rFonts w:ascii="Times New Roman" w:hAnsi="Times New Roman" w:eastAsia="宋体" w:cs="Times New Roman"/>
                <w:b/>
                <w:bCs/>
                <w:color w:val="000000"/>
                <w:kern w:val="2"/>
                <w:sz w:val="24"/>
                <w:szCs w:val="24"/>
                <w:highlight w:val="none"/>
                <w:lang w:val="en-US" w:eastAsia="zh-CN" w:bidi="ar-SA"/>
              </w:rPr>
              <w:t>表</w:t>
            </w:r>
            <w:r>
              <w:rPr>
                <w:rFonts w:hint="eastAsia" w:ascii="Times New Roman" w:hAnsi="Times New Roman" w:eastAsia="宋体" w:cs="Times New Roman"/>
                <w:b/>
                <w:bCs/>
                <w:color w:val="000000"/>
                <w:kern w:val="2"/>
                <w:sz w:val="24"/>
                <w:szCs w:val="24"/>
                <w:highlight w:val="none"/>
                <w:lang w:val="en-US" w:eastAsia="zh-CN" w:bidi="ar-SA"/>
              </w:rPr>
              <w:t>5.1-3危险废物识别标志</w:t>
            </w:r>
          </w:p>
          <w:tbl>
            <w:tblPr>
              <w:tblStyle w:val="13"/>
              <w:tblW w:w="76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009"/>
              <w:gridCol w:w="2009"/>
              <w:gridCol w:w="18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9"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val="0"/>
                      <w:bCs w:val="0"/>
                      <w:color w:val="000000"/>
                      <w:kern w:val="2"/>
                      <w:sz w:val="21"/>
                      <w:szCs w:val="21"/>
                      <w:highlight w:val="none"/>
                    </w:rPr>
                  </w:pPr>
                  <w:r>
                    <w:rPr>
                      <w:rFonts w:hint="eastAsia" w:ascii="Times New Roman" w:hAnsi="Times New Roman" w:eastAsia="宋体" w:cs="宋体"/>
                      <w:b w:val="0"/>
                      <w:bCs w:val="0"/>
                      <w:color w:val="000000"/>
                      <w:kern w:val="2"/>
                      <w:sz w:val="21"/>
                      <w:szCs w:val="21"/>
                      <w:highlight w:val="none"/>
                      <w:lang w:bidi="ar"/>
                    </w:rPr>
                    <w:t>排放口</w:t>
                  </w:r>
                </w:p>
              </w:tc>
              <w:tc>
                <w:tcPr>
                  <w:tcW w:w="131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宋体"/>
                      <w:b w:val="0"/>
                      <w:bCs w:val="0"/>
                      <w:color w:val="000000"/>
                      <w:kern w:val="2"/>
                      <w:sz w:val="21"/>
                      <w:szCs w:val="21"/>
                      <w:highlight w:val="none"/>
                      <w:lang w:val="en-US" w:eastAsia="zh-CN" w:bidi="ar"/>
                    </w:rPr>
                  </w:pPr>
                  <w:r>
                    <w:rPr>
                      <w:rFonts w:hint="default" w:ascii="Times New Roman" w:hAnsi="Times New Roman" w:eastAsia="宋体" w:cs="宋体"/>
                      <w:b w:val="0"/>
                      <w:bCs w:val="0"/>
                      <w:color w:val="000000"/>
                      <w:kern w:val="2"/>
                      <w:sz w:val="21"/>
                      <w:szCs w:val="21"/>
                      <w:highlight w:val="none"/>
                      <w:lang w:val="en-US" w:eastAsia="zh-CN" w:bidi="ar"/>
                    </w:rPr>
                    <w:t>危险废物标签</w:t>
                  </w:r>
                </w:p>
              </w:tc>
              <w:tc>
                <w:tcPr>
                  <w:tcW w:w="1312"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val="0"/>
                      <w:bCs w:val="0"/>
                      <w:color w:val="000000"/>
                      <w:kern w:val="2"/>
                      <w:sz w:val="21"/>
                      <w:szCs w:val="21"/>
                      <w:highlight w:val="none"/>
                    </w:rPr>
                  </w:pPr>
                  <w:r>
                    <w:rPr>
                      <w:rFonts w:hint="eastAsia" w:ascii="Times New Roman" w:hAnsi="Times New Roman" w:eastAsia="宋体" w:cs="Times New Roman"/>
                      <w:b w:val="0"/>
                      <w:bCs w:val="0"/>
                      <w:color w:val="000000"/>
                      <w:kern w:val="2"/>
                      <w:sz w:val="21"/>
                      <w:szCs w:val="21"/>
                      <w:highlight w:val="none"/>
                      <w:lang w:val="en-US" w:eastAsia="zh-CN"/>
                    </w:rPr>
                    <w:t>危险废物贮存分区标志</w:t>
                  </w:r>
                </w:p>
              </w:tc>
              <w:tc>
                <w:tcPr>
                  <w:tcW w:w="1235"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2"/>
                      <w:sz w:val="21"/>
                      <w:szCs w:val="21"/>
                      <w:highlight w:val="none"/>
                      <w:lang w:val="en-US" w:eastAsia="zh-CN"/>
                    </w:rPr>
                  </w:pPr>
                  <w:r>
                    <w:rPr>
                      <w:rFonts w:hint="default" w:ascii="Times New Roman" w:hAnsi="Times New Roman" w:eastAsia="宋体" w:cs="Times New Roman"/>
                      <w:b w:val="0"/>
                      <w:bCs w:val="0"/>
                      <w:color w:val="000000"/>
                      <w:kern w:val="2"/>
                      <w:sz w:val="21"/>
                      <w:szCs w:val="21"/>
                      <w:highlight w:val="none"/>
                      <w:lang w:val="en-US" w:eastAsia="zh-CN"/>
                    </w:rPr>
                    <w:t>贮存设施标志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9"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val="0"/>
                      <w:bCs w:val="0"/>
                      <w:color w:val="000000"/>
                      <w:kern w:val="2"/>
                      <w:sz w:val="21"/>
                      <w:szCs w:val="21"/>
                      <w:highlight w:val="none"/>
                    </w:rPr>
                  </w:pPr>
                  <w:r>
                    <w:rPr>
                      <w:rFonts w:hint="eastAsia" w:ascii="Times New Roman" w:hAnsi="Times New Roman" w:eastAsia="宋体" w:cs="宋体"/>
                      <w:b w:val="0"/>
                      <w:bCs w:val="0"/>
                      <w:color w:val="000000"/>
                      <w:kern w:val="2"/>
                      <w:sz w:val="21"/>
                      <w:szCs w:val="21"/>
                      <w:highlight w:val="none"/>
                      <w:lang w:bidi="ar"/>
                    </w:rPr>
                    <w:t>图形符号</w:t>
                  </w:r>
                </w:p>
              </w:tc>
              <w:tc>
                <w:tcPr>
                  <w:tcW w:w="1312"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宋体"/>
                      <w:b w:val="0"/>
                      <w:bCs w:val="0"/>
                      <w:color w:val="000000"/>
                      <w:kern w:val="2"/>
                      <w:sz w:val="21"/>
                      <w:szCs w:val="21"/>
                      <w:highlight w:val="none"/>
                      <w:lang w:eastAsia="zh-CN" w:bidi="ar"/>
                    </w:rPr>
                  </w:pPr>
                  <w:r>
                    <w:rPr>
                      <w:rFonts w:hint="eastAsia" w:ascii="Times New Roman" w:hAnsi="Times New Roman" w:eastAsia="宋体" w:cs="宋体"/>
                      <w:b w:val="0"/>
                      <w:bCs w:val="0"/>
                      <w:color w:val="000000"/>
                      <w:kern w:val="2"/>
                      <w:sz w:val="21"/>
                      <w:szCs w:val="21"/>
                      <w:highlight w:val="none"/>
                      <w:lang w:eastAsia="zh-CN" w:bidi="ar"/>
                    </w:rPr>
                    <w:drawing>
                      <wp:inline distT="0" distB="0" distL="114300" distR="114300">
                        <wp:extent cx="1136015" cy="1153160"/>
                        <wp:effectExtent l="0" t="0" r="6985" b="8890"/>
                        <wp:docPr id="72" name="图片 72" descr="172018815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720188156976"/>
                                <pic:cNvPicPr>
                                  <a:picLocks noChangeAspect="1"/>
                                </pic:cNvPicPr>
                              </pic:nvPicPr>
                              <pic:blipFill>
                                <a:blip r:embed="rId26"/>
                                <a:stretch>
                                  <a:fillRect/>
                                </a:stretch>
                              </pic:blipFill>
                              <pic:spPr>
                                <a:xfrm>
                                  <a:off x="0" y="0"/>
                                  <a:ext cx="1136015" cy="1153160"/>
                                </a:xfrm>
                                <a:prstGeom prst="rect">
                                  <a:avLst/>
                                </a:prstGeom>
                              </pic:spPr>
                            </pic:pic>
                          </a:graphicData>
                        </a:graphic>
                      </wp:inline>
                    </w:drawing>
                  </w:r>
                </w:p>
              </w:tc>
              <w:tc>
                <w:tcPr>
                  <w:tcW w:w="1312"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2"/>
                      <w:sz w:val="21"/>
                      <w:szCs w:val="21"/>
                      <w:highlight w:val="none"/>
                      <w:lang w:eastAsia="zh-CN"/>
                    </w:rPr>
                  </w:pPr>
                  <w:r>
                    <w:rPr>
                      <w:rFonts w:hint="eastAsia" w:ascii="Times New Roman" w:hAnsi="Times New Roman" w:eastAsia="宋体" w:cs="Times New Roman"/>
                      <w:b w:val="0"/>
                      <w:bCs w:val="0"/>
                      <w:color w:val="000000"/>
                      <w:kern w:val="2"/>
                      <w:sz w:val="21"/>
                      <w:szCs w:val="21"/>
                      <w:highlight w:val="none"/>
                      <w:lang w:eastAsia="zh-CN"/>
                    </w:rPr>
                    <w:drawing>
                      <wp:inline distT="0" distB="0" distL="114300" distR="114300">
                        <wp:extent cx="1134745" cy="1150620"/>
                        <wp:effectExtent l="0" t="0" r="8255" b="11430"/>
                        <wp:docPr id="230" name="图片 230" descr="172710347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1727103475639"/>
                                <pic:cNvPicPr>
                                  <a:picLocks noChangeAspect="1"/>
                                </pic:cNvPicPr>
                              </pic:nvPicPr>
                              <pic:blipFill>
                                <a:blip r:embed="rId27"/>
                                <a:stretch>
                                  <a:fillRect/>
                                </a:stretch>
                              </pic:blipFill>
                              <pic:spPr>
                                <a:xfrm>
                                  <a:off x="0" y="0"/>
                                  <a:ext cx="1134745" cy="1150620"/>
                                </a:xfrm>
                                <a:prstGeom prst="rect">
                                  <a:avLst/>
                                </a:prstGeom>
                              </pic:spPr>
                            </pic:pic>
                          </a:graphicData>
                        </a:graphic>
                      </wp:inline>
                    </w:drawing>
                  </w:r>
                </w:p>
              </w:tc>
              <w:tc>
                <w:tcPr>
                  <w:tcW w:w="1235"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2"/>
                      <w:sz w:val="21"/>
                      <w:szCs w:val="21"/>
                      <w:highlight w:val="none"/>
                      <w:lang w:eastAsia="zh-CN"/>
                    </w:rPr>
                  </w:pPr>
                  <w:r>
                    <w:rPr>
                      <w:rFonts w:hint="eastAsia" w:ascii="Times New Roman" w:hAnsi="Times New Roman" w:eastAsia="宋体" w:cs="Times New Roman"/>
                      <w:b w:val="0"/>
                      <w:bCs w:val="0"/>
                      <w:color w:val="000000"/>
                      <w:kern w:val="2"/>
                      <w:sz w:val="21"/>
                      <w:szCs w:val="21"/>
                      <w:highlight w:val="none"/>
                      <w:lang w:eastAsia="zh-CN"/>
                    </w:rPr>
                    <w:drawing>
                      <wp:inline distT="0" distB="0" distL="114300" distR="114300">
                        <wp:extent cx="1063625" cy="1674495"/>
                        <wp:effectExtent l="0" t="0" r="3175" b="1905"/>
                        <wp:docPr id="74" name="图片 74" descr="ff77c9374d31cdd66bee2b267f28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ff77c9374d31cdd66bee2b267f285b4"/>
                                <pic:cNvPicPr>
                                  <a:picLocks noChangeAspect="1"/>
                                </pic:cNvPicPr>
                              </pic:nvPicPr>
                              <pic:blipFill>
                                <a:blip r:embed="rId28"/>
                                <a:stretch>
                                  <a:fillRect/>
                                </a:stretch>
                              </pic:blipFill>
                              <pic:spPr>
                                <a:xfrm>
                                  <a:off x="0" y="0"/>
                                  <a:ext cx="1063625" cy="167449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9"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宋体"/>
                      <w:b w:val="0"/>
                      <w:bCs w:val="0"/>
                      <w:color w:val="000000"/>
                      <w:kern w:val="2"/>
                      <w:sz w:val="21"/>
                      <w:szCs w:val="21"/>
                      <w:highlight w:val="none"/>
                      <w:lang w:val="en-US" w:eastAsia="zh-CN" w:bidi="ar"/>
                    </w:rPr>
                  </w:pPr>
                  <w:r>
                    <w:rPr>
                      <w:rFonts w:hint="eastAsia" w:ascii="Times New Roman" w:hAnsi="Times New Roman" w:eastAsia="宋体" w:cs="宋体"/>
                      <w:b w:val="0"/>
                      <w:bCs w:val="0"/>
                      <w:color w:val="000000"/>
                      <w:kern w:val="2"/>
                      <w:sz w:val="21"/>
                      <w:szCs w:val="21"/>
                      <w:highlight w:val="none"/>
                      <w:lang w:val="en-US" w:eastAsia="zh-CN" w:bidi="ar"/>
                    </w:rPr>
                    <w:t>设置位置</w:t>
                  </w:r>
                </w:p>
              </w:tc>
              <w:tc>
                <w:tcPr>
                  <w:tcW w:w="1312"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宋体"/>
                      <w:b w:val="0"/>
                      <w:bCs w:val="0"/>
                      <w:color w:val="000000"/>
                      <w:kern w:val="2"/>
                      <w:sz w:val="21"/>
                      <w:szCs w:val="21"/>
                      <w:highlight w:val="none"/>
                      <w:lang w:eastAsia="zh-CN" w:bidi="ar"/>
                    </w:rPr>
                  </w:pPr>
                  <w:r>
                    <w:rPr>
                      <w:rFonts w:hint="eastAsia" w:ascii="Times New Roman" w:hAnsi="Times New Roman" w:eastAsia="宋体" w:cs="宋体"/>
                      <w:b w:val="0"/>
                      <w:bCs w:val="0"/>
                      <w:color w:val="000000"/>
                      <w:kern w:val="2"/>
                      <w:sz w:val="21"/>
                      <w:szCs w:val="21"/>
                      <w:highlight w:val="none"/>
                      <w:lang w:eastAsia="zh-CN" w:bidi="ar"/>
                    </w:rPr>
                    <w:t xml:space="preserve">危险废物标签的设置位置应明显可见且易读，不应被容器、包装物自身的任何部分或其他标签 遮挡。危险废物标签在各种包装上的粘贴位置分别为: a） 袋类包装：位于包装明显处； </w:t>
                  </w:r>
                  <w:r>
                    <w:rPr>
                      <w:rFonts w:hint="eastAsia" w:ascii="Times New Roman" w:hAnsi="Times New Roman" w:eastAsia="宋体" w:cs="宋体"/>
                      <w:b w:val="0"/>
                      <w:bCs w:val="0"/>
                      <w:color w:val="000000"/>
                      <w:kern w:val="2"/>
                      <w:sz w:val="21"/>
                      <w:szCs w:val="21"/>
                      <w:highlight w:val="none"/>
                      <w:lang w:val="en-US" w:eastAsia="zh-CN" w:bidi="ar"/>
                    </w:rPr>
                    <w:t>b</w:t>
                  </w:r>
                  <w:r>
                    <w:rPr>
                      <w:rFonts w:hint="eastAsia" w:ascii="Times New Roman" w:hAnsi="Times New Roman" w:eastAsia="宋体" w:cs="宋体"/>
                      <w:b w:val="0"/>
                      <w:bCs w:val="0"/>
                      <w:color w:val="000000"/>
                      <w:kern w:val="2"/>
                      <w:sz w:val="21"/>
                      <w:szCs w:val="21"/>
                      <w:highlight w:val="none"/>
                      <w:lang w:eastAsia="zh-CN" w:bidi="ar"/>
                    </w:rPr>
                    <w:t>）桶类包装：位于桶身或桶盖</w:t>
                  </w:r>
                </w:p>
              </w:tc>
              <w:tc>
                <w:tcPr>
                  <w:tcW w:w="1312"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2"/>
                      <w:sz w:val="21"/>
                      <w:szCs w:val="21"/>
                      <w:highlight w:val="none"/>
                      <w:lang w:eastAsia="zh-CN"/>
                    </w:rPr>
                  </w:pPr>
                  <w:r>
                    <w:rPr>
                      <w:rFonts w:hint="eastAsia" w:ascii="Times New Roman" w:hAnsi="Times New Roman" w:eastAsia="宋体" w:cs="Times New Roman"/>
                      <w:b w:val="0"/>
                      <w:bCs w:val="0"/>
                      <w:color w:val="000000"/>
                      <w:kern w:val="2"/>
                      <w:sz w:val="21"/>
                      <w:szCs w:val="21"/>
                      <w:highlight w:val="none"/>
                      <w:lang w:eastAsia="zh-CN"/>
                    </w:rPr>
                    <w:t>宜在危险废物贮存设施内的每一个贮存分区处设置危险废物贮存分区标志。 危险废物贮存分区标志宜设置在该贮存分区前的通道位置或墙壁、栏杆等易于观察的位置</w:t>
                  </w:r>
                </w:p>
              </w:tc>
              <w:tc>
                <w:tcPr>
                  <w:tcW w:w="1235"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2"/>
                      <w:sz w:val="21"/>
                      <w:szCs w:val="21"/>
                      <w:highlight w:val="none"/>
                      <w:lang w:eastAsia="zh-CN"/>
                    </w:rPr>
                  </w:pPr>
                  <w:r>
                    <w:rPr>
                      <w:rFonts w:hint="eastAsia" w:ascii="Times New Roman" w:hAnsi="Times New Roman" w:eastAsia="宋体" w:cs="Times New Roman"/>
                      <w:b w:val="0"/>
                      <w:bCs w:val="0"/>
                      <w:color w:val="000000"/>
                      <w:kern w:val="2"/>
                      <w:sz w:val="21"/>
                      <w:szCs w:val="21"/>
                      <w:highlight w:val="none"/>
                      <w:lang w:eastAsia="zh-CN"/>
                    </w:rPr>
                    <w:t>在场所外入口处的墙壁或栏杆显著位置；附着式标志的设置高度，应尽量与视线高度一致</w:t>
                  </w:r>
                </w:p>
              </w:tc>
            </w:tr>
          </w:tbl>
          <w:p>
            <w:pPr>
              <w:widowControl w:val="0"/>
              <w:overflowPunct w:val="0"/>
              <w:autoSpaceDE w:val="0"/>
              <w:autoSpaceDN w:val="0"/>
              <w:adjustRightInd w:val="0"/>
              <w:snapToGrid w:val="0"/>
              <w:spacing w:before="0" w:after="0" w:line="360" w:lineRule="exact"/>
              <w:ind w:right="0"/>
              <w:jc w:val="both"/>
              <w:rPr>
                <w:rFonts w:hint="eastAsia" w:ascii="Times New Roman" w:hAnsi="Times New Roman" w:eastAsia="宋体" w:cs="宋体"/>
                <w:snapToGrid w:val="0"/>
                <w:sz w:val="24"/>
                <w:szCs w:val="21"/>
                <w:lang w:val="en-US" w:eastAsia="zh-CN" w:bidi="ar-SA"/>
              </w:rPr>
            </w:pPr>
          </w:p>
          <w:p>
            <w:pPr>
              <w:widowControl w:val="0"/>
              <w:overflowPunct w:val="0"/>
              <w:autoSpaceDE w:val="0"/>
              <w:autoSpaceDN w:val="0"/>
              <w:adjustRightInd w:val="0"/>
              <w:snapToGrid w:val="0"/>
              <w:spacing w:before="0" w:after="0" w:line="360" w:lineRule="exact"/>
              <w:ind w:right="0"/>
              <w:jc w:val="both"/>
              <w:rPr>
                <w:rFonts w:hint="eastAsia" w:ascii="Times New Roman" w:hAnsi="Times New Roman" w:eastAsia="宋体" w:cs="宋体"/>
                <w:snapToGrid w:val="0"/>
                <w:sz w:val="24"/>
                <w:szCs w:val="21"/>
                <w:lang w:val="en-US" w:eastAsia="zh-CN" w:bidi="ar-SA"/>
              </w:rPr>
            </w:pPr>
          </w:p>
          <w:p>
            <w:pPr>
              <w:widowControl w:val="0"/>
              <w:overflowPunct w:val="0"/>
              <w:autoSpaceDE w:val="0"/>
              <w:autoSpaceDN w:val="0"/>
              <w:adjustRightInd w:val="0"/>
              <w:snapToGrid w:val="0"/>
              <w:spacing w:before="0" w:after="0" w:line="360" w:lineRule="exact"/>
              <w:ind w:right="0"/>
              <w:jc w:val="both"/>
              <w:rPr>
                <w:rFonts w:hint="eastAsia" w:ascii="Times New Roman" w:hAnsi="Times New Roman" w:eastAsia="宋体" w:cs="宋体"/>
                <w:snapToGrid w:val="0"/>
                <w:sz w:val="24"/>
                <w:szCs w:val="21"/>
                <w:lang w:val="en-US" w:eastAsia="zh-CN" w:bidi="ar-SA"/>
              </w:rPr>
            </w:pPr>
          </w:p>
          <w:p>
            <w:pPr>
              <w:widowControl w:val="0"/>
              <w:overflowPunct w:val="0"/>
              <w:autoSpaceDE w:val="0"/>
              <w:autoSpaceDN w:val="0"/>
              <w:adjustRightInd w:val="0"/>
              <w:snapToGrid w:val="0"/>
              <w:spacing w:before="0" w:after="0" w:line="360" w:lineRule="exact"/>
              <w:ind w:right="0"/>
              <w:jc w:val="both"/>
              <w:rPr>
                <w:rFonts w:hint="eastAsia" w:ascii="Times New Roman" w:hAnsi="Times New Roman" w:eastAsia="宋体" w:cs="宋体"/>
                <w:snapToGrid w:val="0"/>
                <w:sz w:val="24"/>
                <w:szCs w:val="21"/>
                <w:lang w:val="en-US" w:eastAsia="zh-CN" w:bidi="ar-SA"/>
              </w:rPr>
            </w:pPr>
          </w:p>
          <w:p>
            <w:pPr>
              <w:widowControl w:val="0"/>
              <w:overflowPunct w:val="0"/>
              <w:autoSpaceDE w:val="0"/>
              <w:autoSpaceDN w:val="0"/>
              <w:adjustRightInd w:val="0"/>
              <w:snapToGrid w:val="0"/>
              <w:spacing w:before="0" w:after="0" w:line="360" w:lineRule="exact"/>
              <w:ind w:right="0"/>
              <w:jc w:val="both"/>
              <w:rPr>
                <w:rFonts w:hint="eastAsia" w:ascii="Times New Roman" w:hAnsi="Times New Roman" w:eastAsia="宋体" w:cs="宋体"/>
                <w:snapToGrid w:val="0"/>
                <w:sz w:val="24"/>
                <w:szCs w:val="21"/>
                <w:lang w:val="en-US" w:eastAsia="zh-CN" w:bidi="ar-SA"/>
              </w:rPr>
            </w:pPr>
          </w:p>
          <w:p>
            <w:pPr>
              <w:widowControl w:val="0"/>
              <w:overflowPunct w:val="0"/>
              <w:autoSpaceDE w:val="0"/>
              <w:autoSpaceDN w:val="0"/>
              <w:adjustRightInd w:val="0"/>
              <w:snapToGrid w:val="0"/>
              <w:spacing w:before="0" w:after="0" w:line="360" w:lineRule="exact"/>
              <w:ind w:right="0"/>
              <w:jc w:val="both"/>
              <w:rPr>
                <w:rFonts w:hint="eastAsia" w:ascii="Times New Roman" w:hAnsi="Times New Roman" w:eastAsia="宋体" w:cs="宋体"/>
                <w:snapToGrid w:val="0"/>
                <w:sz w:val="24"/>
                <w:szCs w:val="21"/>
                <w:lang w:val="en-US" w:eastAsia="zh-CN" w:bidi="ar-SA"/>
              </w:rPr>
            </w:pPr>
          </w:p>
          <w:p>
            <w:pPr>
              <w:widowControl w:val="0"/>
              <w:overflowPunct w:val="0"/>
              <w:autoSpaceDE w:val="0"/>
              <w:autoSpaceDN w:val="0"/>
              <w:adjustRightInd w:val="0"/>
              <w:snapToGrid w:val="0"/>
              <w:spacing w:before="0" w:after="0" w:line="360" w:lineRule="exact"/>
              <w:ind w:right="0"/>
              <w:jc w:val="both"/>
              <w:rPr>
                <w:rFonts w:hint="eastAsia" w:ascii="Times New Roman" w:hAnsi="Times New Roman" w:eastAsia="宋体" w:cs="宋体"/>
                <w:snapToGrid w:val="0"/>
                <w:sz w:val="24"/>
                <w:szCs w:val="21"/>
                <w:lang w:val="en-US" w:eastAsia="zh-CN" w:bidi="ar-SA"/>
              </w:rPr>
            </w:pPr>
          </w:p>
          <w:p>
            <w:pPr>
              <w:widowControl w:val="0"/>
              <w:overflowPunct w:val="0"/>
              <w:autoSpaceDE w:val="0"/>
              <w:autoSpaceDN w:val="0"/>
              <w:adjustRightInd w:val="0"/>
              <w:snapToGrid w:val="0"/>
              <w:spacing w:before="0" w:after="0" w:line="360" w:lineRule="exact"/>
              <w:ind w:right="0"/>
              <w:jc w:val="both"/>
              <w:rPr>
                <w:rFonts w:hint="eastAsia" w:ascii="Times New Roman" w:hAnsi="Times New Roman" w:eastAsia="宋体" w:cs="宋体"/>
                <w:snapToGrid w:val="0"/>
                <w:sz w:val="24"/>
                <w:szCs w:val="21"/>
                <w:lang w:val="en-US" w:eastAsia="zh-CN" w:bidi="ar-SA"/>
              </w:rPr>
            </w:pPr>
          </w:p>
          <w:p>
            <w:pPr>
              <w:widowControl w:val="0"/>
              <w:overflowPunct w:val="0"/>
              <w:autoSpaceDE w:val="0"/>
              <w:autoSpaceDN w:val="0"/>
              <w:adjustRightInd w:val="0"/>
              <w:snapToGrid w:val="0"/>
              <w:spacing w:before="0" w:after="0" w:line="360" w:lineRule="exact"/>
              <w:ind w:right="0"/>
              <w:jc w:val="both"/>
              <w:rPr>
                <w:rFonts w:hint="default" w:ascii="Times New Roman" w:hAnsi="Times New Roman" w:eastAsia="宋体" w:cs="宋体"/>
                <w:snapToGrid w:val="0"/>
                <w:sz w:val="24"/>
                <w:szCs w:val="21"/>
                <w:lang w:val="en-US" w:eastAsia="zh-CN" w:bidi="ar-SA"/>
              </w:rPr>
            </w:pPr>
          </w:p>
        </w:tc>
      </w:tr>
    </w:tbl>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val="0"/>
        <w:overflowPunct w:val="0"/>
        <w:autoSpaceDE w:val="0"/>
        <w:autoSpaceDN w:val="0"/>
        <w:bidi w:val="0"/>
        <w:adjustRightInd w:val="0"/>
        <w:snapToGrid w:val="0"/>
        <w:spacing w:before="0" w:after="0" w:line="560" w:lineRule="exact"/>
        <w:ind w:left="0" w:right="0" w:firstLine="0" w:firstLineChars="0"/>
        <w:jc w:val="center"/>
        <w:outlineLvl w:val="0"/>
        <w:rPr>
          <w:rFonts w:hint="eastAsia" w:ascii="Times New Roman" w:hAnsi="Times New Roman" w:eastAsia="宋体" w:cs="宋体"/>
          <w:b/>
          <w:kern w:val="44"/>
          <w:sz w:val="28"/>
          <w:szCs w:val="22"/>
          <w:lang w:val="en-US" w:eastAsia="zh-CN" w:bidi="ar-SA"/>
        </w:rPr>
      </w:pPr>
      <w:bookmarkStart w:id="102" w:name="_Toc16460"/>
      <w:bookmarkStart w:id="103" w:name="_Toc31367"/>
      <w:bookmarkStart w:id="104" w:name="_Toc14416"/>
      <w:bookmarkStart w:id="105" w:name="_Toc29259"/>
      <w:bookmarkStart w:id="106" w:name="_Toc3035"/>
      <w:bookmarkStart w:id="107" w:name="_Toc2787"/>
      <w:bookmarkStart w:id="108" w:name="_Toc4152"/>
      <w:bookmarkStart w:id="109" w:name="_Toc24715"/>
      <w:r>
        <w:rPr>
          <w:rFonts w:hint="eastAsia" w:ascii="Times New Roman" w:hAnsi="Times New Roman" w:eastAsia="宋体" w:cs="宋体"/>
          <w:b/>
          <w:kern w:val="44"/>
          <w:sz w:val="28"/>
          <w:szCs w:val="22"/>
          <w:lang w:val="en-US" w:eastAsia="zh-CN" w:bidi="ar-SA"/>
        </w:rPr>
        <w:t>六、结论</w:t>
      </w:r>
      <w:bookmarkEnd w:id="102"/>
      <w:bookmarkEnd w:id="103"/>
      <w:bookmarkEnd w:id="104"/>
      <w:bookmarkEnd w:id="105"/>
      <w:bookmarkEnd w:id="106"/>
      <w:bookmarkEnd w:id="107"/>
      <w:bookmarkEnd w:id="108"/>
      <w:bookmarkEnd w:id="109"/>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vAlign w:val="top"/>
          </w:tcPr>
          <w:p>
            <w:pPr>
              <w:widowControl w:val="0"/>
              <w:overflowPunct w:val="0"/>
              <w:autoSpaceDE w:val="0"/>
              <w:autoSpaceDN w:val="0"/>
              <w:bidi w:val="0"/>
              <w:adjustRightInd w:val="0"/>
              <w:snapToGrid w:val="0"/>
              <w:spacing w:before="0" w:after="0" w:line="560" w:lineRule="exact"/>
              <w:ind w:left="0" w:right="0" w:firstLine="562" w:firstLineChars="200"/>
              <w:jc w:val="left"/>
              <w:outlineLvl w:val="1"/>
              <w:rPr>
                <w:rFonts w:ascii="Times New Roman" w:hAnsi="Times New Roman" w:eastAsia="宋体" w:cs="黑体"/>
                <w:b/>
                <w:sz w:val="28"/>
                <w:szCs w:val="30"/>
                <w:lang w:val="en-US" w:eastAsia="zh-CN" w:bidi="ar-SA"/>
              </w:rPr>
            </w:pPr>
            <w:r>
              <w:rPr>
                <w:rFonts w:ascii="Times New Roman" w:hAnsi="Times New Roman" w:eastAsia="宋体" w:cs="黑体"/>
                <w:b/>
                <w:sz w:val="28"/>
                <w:szCs w:val="30"/>
                <w:lang w:val="en-US" w:eastAsia="zh-CN" w:bidi="ar-SA"/>
              </w:rPr>
              <w:t>6</w:t>
            </w:r>
            <w:r>
              <w:rPr>
                <w:rFonts w:hint="eastAsia" w:ascii="Times New Roman" w:hAnsi="Times New Roman" w:eastAsia="宋体" w:cs="黑体"/>
                <w:b/>
                <w:sz w:val="28"/>
                <w:szCs w:val="30"/>
                <w:lang w:val="en-US" w:eastAsia="zh-Hans" w:bidi="ar-SA"/>
              </w:rPr>
              <w:t>.</w:t>
            </w:r>
            <w:r>
              <w:rPr>
                <w:rFonts w:hint="default" w:ascii="Times New Roman" w:hAnsi="Times New Roman" w:eastAsia="宋体" w:cs="黑体"/>
                <w:b/>
                <w:sz w:val="28"/>
                <w:szCs w:val="30"/>
                <w:lang w:val="en-US" w:eastAsia="zh-Hans" w:bidi="ar-SA"/>
              </w:rPr>
              <w:t>1</w:t>
            </w:r>
            <w:r>
              <w:rPr>
                <w:rFonts w:ascii="Times New Roman" w:hAnsi="Times New Roman" w:eastAsia="宋体" w:cs="黑体"/>
                <w:b/>
                <w:sz w:val="28"/>
                <w:szCs w:val="30"/>
                <w:lang w:val="en-US" w:eastAsia="zh-CN" w:bidi="ar-SA"/>
              </w:rPr>
              <w:t>结论</w:t>
            </w:r>
          </w:p>
          <w:p>
            <w:pPr>
              <w:overflowPunct w:val="0"/>
              <w:autoSpaceDE w:val="0"/>
              <w:autoSpaceDN w:val="0"/>
              <w:bidi w:val="0"/>
              <w:adjustRightInd w:val="0"/>
              <w:snapToGrid w:val="0"/>
              <w:spacing w:before="0" w:after="0" w:line="500" w:lineRule="exact"/>
              <w:ind w:left="0" w:right="0" w:firstLine="480" w:firstLineChars="200"/>
              <w:jc w:val="left"/>
              <w:rPr>
                <w:rFonts w:ascii="Times New Roman" w:hAnsi="Times New Roman" w:eastAsia="宋体" w:cs="宋体"/>
              </w:rPr>
            </w:pPr>
            <w:r>
              <w:rPr>
                <w:rFonts w:hint="eastAsia" w:ascii="Times New Roman" w:hAnsi="Times New Roman" w:eastAsia="宋体" w:cs="宋体"/>
                <w:lang w:val="en-US" w:eastAsia="zh-CN"/>
              </w:rPr>
              <w:t>综上所述，本项目具有较明显的社会经济效益，项目所在地环境质量较好，项目对周围环境的污染程度较轻，本项目所产生的废气、废水、噪声、固废在采取相应的治理措施后，可满足相应的国家排放标准。通过对本项目环境影响评价，只要在本项目的建设中认真执行环保“三同时”，具体落实本环评中提出的各污染防治措施，从环保角度看，本项目的建设是可行的。</w:t>
            </w:r>
          </w:p>
          <w:p>
            <w:pPr>
              <w:widowControl w:val="0"/>
              <w:overflowPunct w:val="0"/>
              <w:autoSpaceDE w:val="0"/>
              <w:autoSpaceDN w:val="0"/>
              <w:bidi w:val="0"/>
              <w:adjustRightInd w:val="0"/>
              <w:snapToGrid w:val="0"/>
              <w:spacing w:before="0" w:after="0" w:line="560" w:lineRule="exact"/>
              <w:ind w:left="0" w:right="0" w:firstLine="562" w:firstLineChars="200"/>
              <w:jc w:val="left"/>
              <w:outlineLvl w:val="1"/>
              <w:rPr>
                <w:rFonts w:ascii="Times New Roman" w:hAnsi="Times New Roman" w:eastAsia="宋体" w:cs="黑体"/>
                <w:b/>
                <w:sz w:val="28"/>
                <w:szCs w:val="30"/>
                <w:lang w:val="en-US" w:eastAsia="zh-CN" w:bidi="ar-SA"/>
              </w:rPr>
            </w:pPr>
            <w:r>
              <w:rPr>
                <w:rFonts w:ascii="Times New Roman" w:hAnsi="Times New Roman" w:eastAsia="宋体" w:cs="黑体"/>
                <w:b/>
                <w:sz w:val="28"/>
                <w:szCs w:val="30"/>
                <w:lang w:val="en-US" w:eastAsia="zh-CN" w:bidi="ar-SA"/>
              </w:rPr>
              <w:t>6</w:t>
            </w:r>
            <w:r>
              <w:rPr>
                <w:rFonts w:hint="eastAsia" w:ascii="Times New Roman" w:hAnsi="Times New Roman" w:eastAsia="宋体" w:cs="黑体"/>
                <w:b/>
                <w:sz w:val="28"/>
                <w:szCs w:val="30"/>
                <w:lang w:val="en-US" w:eastAsia="zh-Hans" w:bidi="ar-SA"/>
              </w:rPr>
              <w:t>.</w:t>
            </w:r>
            <w:r>
              <w:rPr>
                <w:rFonts w:hint="default" w:ascii="Times New Roman" w:hAnsi="Times New Roman" w:eastAsia="宋体" w:cs="黑体"/>
                <w:b/>
                <w:sz w:val="28"/>
                <w:szCs w:val="30"/>
                <w:lang w:val="en-US" w:eastAsia="zh-Hans" w:bidi="ar-SA"/>
              </w:rPr>
              <w:t>2</w:t>
            </w:r>
            <w:r>
              <w:rPr>
                <w:rFonts w:ascii="Times New Roman" w:hAnsi="Times New Roman" w:eastAsia="宋体" w:cs="黑体"/>
                <w:b/>
                <w:sz w:val="28"/>
                <w:szCs w:val="30"/>
                <w:lang w:val="en-US" w:eastAsia="zh-CN" w:bidi="ar-SA"/>
              </w:rPr>
              <w:t>建议</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right="0" w:firstLine="480" w:firstLineChars="200"/>
              <w:jc w:val="both"/>
              <w:textAlignment w:val="auto"/>
              <w:rPr>
                <w:rFonts w:ascii="Times New Roman" w:hAnsi="Times New Roman" w:eastAsia="宋体" w:cs="宋体"/>
              </w:rPr>
            </w:pPr>
            <w:r>
              <w:rPr>
                <w:rFonts w:hint="eastAsia" w:ascii="Times New Roman" w:hAnsi="Times New Roman" w:eastAsia="宋体" w:cs="宋体"/>
              </w:rPr>
              <w:t>加强管理，建立各种健全的生产环保规章制度，严格在岗人员操作管理，与此同时，加强设备、管道、各项治污措施的定期检修和维护工作。</w:t>
            </w:r>
          </w:p>
          <w:p>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both"/>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both"/>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both"/>
              <w:rPr>
                <w:rFonts w:hint="default" w:ascii="Times New Roman" w:hAnsi="Times New Roman" w:eastAsia="宋体" w:cs="宋体"/>
                <w:sz w:val="24"/>
                <w:szCs w:val="24"/>
                <w:vertAlign w:val="baseline"/>
                <w:lang w:val="en-US" w:eastAsia="zh-CN" w:bidi="ar-SA"/>
              </w:rPr>
            </w:pPr>
          </w:p>
          <w:p>
            <w:pPr>
              <w:widowControl w:val="0"/>
              <w:overflowPunct w:val="0"/>
              <w:autoSpaceDE w:val="0"/>
              <w:autoSpaceDN w:val="0"/>
              <w:adjustRightInd w:val="0"/>
              <w:snapToGrid w:val="0"/>
              <w:spacing w:before="0" w:after="0" w:line="400" w:lineRule="exact"/>
              <w:ind w:left="0" w:right="0" w:firstLine="0" w:firstLineChars="0"/>
              <w:jc w:val="both"/>
              <w:rPr>
                <w:rFonts w:hint="default" w:ascii="Times New Roman" w:hAnsi="Times New Roman" w:eastAsia="宋体" w:cs="宋体"/>
                <w:sz w:val="24"/>
                <w:szCs w:val="24"/>
                <w:vertAlign w:val="baseline"/>
                <w:lang w:val="en-US" w:eastAsia="zh-CN" w:bidi="ar-SA"/>
              </w:rPr>
            </w:pPr>
          </w:p>
        </w:tc>
      </w:tr>
    </w:tbl>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right="0" w:firstLine="640" w:firstLineChars="200"/>
        <w:jc w:val="left"/>
        <w:textAlignment w:val="auto"/>
        <w:outlineLvl w:val="0"/>
        <w:rPr>
          <w:rFonts w:ascii="Times New Roman" w:hAnsi="Times New Roman" w:eastAsia="黑体" w:cs="Times New Roman"/>
          <w:snapToGrid w:val="0"/>
          <w:color w:val="000000"/>
          <w:kern w:val="0"/>
          <w:sz w:val="32"/>
          <w:szCs w:val="32"/>
          <w:highlight w:val="none"/>
          <w:lang w:val="en-US" w:eastAsia="zh-CN" w:bidi="ar-SA"/>
        </w:rPr>
      </w:pPr>
      <w:bookmarkStart w:id="110" w:name="_Toc31582"/>
      <w:bookmarkStart w:id="111" w:name="_Toc3929"/>
      <w:bookmarkStart w:id="112" w:name="_Toc18074"/>
      <w:bookmarkStart w:id="113" w:name="_Toc10718"/>
      <w:bookmarkStart w:id="114" w:name="_Toc6309"/>
      <w:bookmarkStart w:id="115" w:name="_Toc5923"/>
      <w:r>
        <w:rPr>
          <w:rFonts w:hint="eastAsia" w:ascii="Times New Roman" w:hAnsi="Times New Roman" w:eastAsia="黑体" w:cs="Times New Roman"/>
          <w:snapToGrid w:val="0"/>
          <w:color w:val="000000"/>
          <w:kern w:val="0"/>
          <w:sz w:val="32"/>
          <w:szCs w:val="32"/>
          <w:highlight w:val="none"/>
          <w:lang w:val="en-US" w:eastAsia="zh-CN" w:bidi="ar-SA"/>
        </w:rPr>
        <w:t>附表</w:t>
      </w:r>
      <w:bookmarkEnd w:id="110"/>
      <w:bookmarkEnd w:id="111"/>
      <w:bookmarkEnd w:id="112"/>
      <w:bookmarkEnd w:id="113"/>
      <w:bookmarkEnd w:id="114"/>
      <w:bookmarkEnd w:id="115"/>
    </w:p>
    <w:p>
      <w:pPr>
        <w:overflowPunct w:val="0"/>
        <w:autoSpaceDE w:val="0"/>
        <w:autoSpaceDN w:val="0"/>
        <w:bidi w:val="0"/>
        <w:adjustRightInd w:val="0"/>
        <w:snapToGrid w:val="0"/>
        <w:spacing w:before="0" w:after="0" w:line="500" w:lineRule="exact"/>
        <w:ind w:left="0" w:right="0" w:firstLine="562" w:firstLineChars="200"/>
        <w:jc w:val="center"/>
        <w:outlineLvl w:val="0"/>
        <w:rPr>
          <w:rFonts w:hint="eastAsia" w:ascii="Times New Roman" w:hAnsi="Times New Roman" w:eastAsia="宋体" w:cs="宋体"/>
          <w:b/>
          <w:bCs/>
          <w:sz w:val="28"/>
          <w:szCs w:val="28"/>
          <w:lang w:val="en-US" w:eastAsia="zh-CN"/>
        </w:rPr>
      </w:pPr>
      <w:bookmarkStart w:id="116" w:name="_Toc11485"/>
      <w:bookmarkStart w:id="117" w:name="_Toc31124"/>
      <w:bookmarkStart w:id="118" w:name="_Toc28588"/>
      <w:bookmarkStart w:id="119" w:name="_Toc15838"/>
      <w:bookmarkStart w:id="120" w:name="_Toc17"/>
      <w:bookmarkStart w:id="121" w:name="_Toc32240"/>
      <w:r>
        <w:rPr>
          <w:rFonts w:hint="eastAsia" w:ascii="Times New Roman" w:hAnsi="Times New Roman" w:eastAsia="宋体" w:cs="宋体"/>
          <w:b/>
          <w:bCs/>
          <w:sz w:val="28"/>
          <w:szCs w:val="28"/>
          <w:lang w:val="en-US" w:eastAsia="zh-CN"/>
        </w:rPr>
        <w:t>建设项目污染物排放量汇总表</w:t>
      </w:r>
      <w:bookmarkEnd w:id="116"/>
      <w:bookmarkEnd w:id="117"/>
      <w:bookmarkEnd w:id="118"/>
      <w:bookmarkEnd w:id="119"/>
      <w:bookmarkEnd w:id="120"/>
      <w:bookmarkEnd w:id="121"/>
    </w:p>
    <w:tbl>
      <w:tblPr>
        <w:tblStyle w:val="1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984"/>
        <w:gridCol w:w="1701"/>
        <w:gridCol w:w="1276"/>
        <w:gridCol w:w="1701"/>
        <w:gridCol w:w="1559"/>
        <w:gridCol w:w="1761"/>
        <w:gridCol w:w="1616"/>
        <w:gridCol w:w="11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21" w:type="dxa"/>
            <w:tcBorders>
              <w:tl2br w:val="single" w:color="auto" w:sz="4" w:space="0"/>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right="0" w:firstLine="396" w:firstLineChars="200"/>
              <w:jc w:val="right"/>
              <w:textAlignment w:val="auto"/>
              <w:rPr>
                <w:rFonts w:hint="eastAsia" w:ascii="Times New Roman" w:hAnsi="Times New Roman" w:eastAsia="黑体" w:cs="宋体"/>
                <w:snapToGrid w:val="0"/>
                <w:color w:val="000000"/>
                <w:spacing w:val="-6"/>
                <w:kern w:val="21"/>
                <w:sz w:val="21"/>
                <w:szCs w:val="21"/>
                <w:highlight w:val="none"/>
                <w:lang w:val="en-US" w:eastAsia="zh-CN" w:bidi="ar-SA"/>
              </w:rPr>
            </w:pPr>
            <w:r>
              <w:rPr>
                <w:rFonts w:hint="eastAsia" w:ascii="Times New Roman" w:hAnsi="Times New Roman" w:eastAsia="黑体" w:cs="宋体"/>
                <w:snapToGrid w:val="0"/>
                <w:color w:val="000000"/>
                <w:spacing w:val="-6"/>
                <w:kern w:val="21"/>
                <w:sz w:val="21"/>
                <w:szCs w:val="21"/>
                <w:highlight w:val="none"/>
                <w:lang w:val="en-US" w:eastAsia="zh-CN" w:bidi="ar-SA"/>
              </w:rPr>
              <w:t>项目</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left"/>
              <w:textAlignment w:val="auto"/>
              <w:rPr>
                <w:rFonts w:hint="eastAsia" w:ascii="Times New Roman" w:hAnsi="Times New Roman" w:eastAsia="黑体" w:cs="宋体"/>
                <w:snapToGrid w:val="0"/>
                <w:color w:val="000000"/>
                <w:spacing w:val="-6"/>
                <w:kern w:val="21"/>
                <w:sz w:val="21"/>
                <w:szCs w:val="21"/>
                <w:highlight w:val="none"/>
                <w:lang w:val="en-US" w:eastAsia="zh-CN" w:bidi="ar-SA"/>
              </w:rPr>
            </w:pPr>
            <w:r>
              <w:rPr>
                <w:rFonts w:hint="eastAsia" w:ascii="Times New Roman" w:hAnsi="Times New Roman" w:eastAsia="黑体" w:cs="宋体"/>
                <w:snapToGrid w:val="0"/>
                <w:color w:val="000000"/>
                <w:spacing w:val="-6"/>
                <w:kern w:val="21"/>
                <w:sz w:val="21"/>
                <w:szCs w:val="21"/>
                <w:highlight w:val="none"/>
                <w:lang w:val="en-US" w:eastAsia="zh-CN" w:bidi="ar-SA"/>
              </w:rPr>
              <w:t>分类</w:t>
            </w:r>
          </w:p>
        </w:tc>
        <w:tc>
          <w:tcPr>
            <w:tcW w:w="1984"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宋体"/>
                <w:snapToGrid w:val="0"/>
                <w:color w:val="000000"/>
                <w:spacing w:val="-6"/>
                <w:kern w:val="21"/>
                <w:sz w:val="21"/>
                <w:szCs w:val="21"/>
                <w:highlight w:val="none"/>
                <w:lang w:val="en-US" w:eastAsia="zh-CN" w:bidi="ar-SA"/>
              </w:rPr>
            </w:pPr>
            <w:r>
              <w:rPr>
                <w:rFonts w:hint="eastAsia" w:ascii="Times New Roman" w:hAnsi="Times New Roman" w:eastAsia="黑体" w:cs="宋体"/>
                <w:snapToGrid w:val="0"/>
                <w:color w:val="000000"/>
                <w:spacing w:val="-6"/>
                <w:kern w:val="21"/>
                <w:sz w:val="21"/>
                <w:szCs w:val="21"/>
                <w:highlight w:val="none"/>
                <w:lang w:val="en-US" w:eastAsia="zh-CN" w:bidi="ar-SA"/>
              </w:rPr>
              <w:t>污染物名称</w:t>
            </w:r>
          </w:p>
        </w:tc>
        <w:tc>
          <w:tcPr>
            <w:tcW w:w="1701"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Times New Roman"/>
                <w:snapToGrid w:val="0"/>
                <w:color w:val="000000"/>
                <w:spacing w:val="-6"/>
                <w:kern w:val="21"/>
                <w:sz w:val="21"/>
                <w:szCs w:val="21"/>
                <w:highlight w:val="none"/>
                <w:lang w:val="en-US" w:eastAsia="zh-CN" w:bidi="ar-SA"/>
              </w:rPr>
            </w:pPr>
            <w:r>
              <w:rPr>
                <w:rFonts w:ascii="Times New Roman" w:hAnsi="Times New Roman" w:eastAsia="黑体" w:cs="Times New Roman"/>
                <w:snapToGrid w:val="0"/>
                <w:color w:val="000000"/>
                <w:spacing w:val="-6"/>
                <w:kern w:val="21"/>
                <w:sz w:val="21"/>
                <w:szCs w:val="21"/>
                <w:highlight w:val="none"/>
                <w:lang w:val="en-US" w:eastAsia="zh-CN" w:bidi="ar-SA"/>
              </w:rPr>
              <w:t>现有工程</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000000"/>
                <w:spacing w:val="-6"/>
                <w:kern w:val="21"/>
                <w:sz w:val="21"/>
                <w:szCs w:val="21"/>
                <w:highlight w:val="none"/>
                <w:lang w:val="en-US" w:eastAsia="zh-CN" w:bidi="ar-SA"/>
              </w:rPr>
            </w:pPr>
            <w:r>
              <w:rPr>
                <w:rFonts w:ascii="Times New Roman" w:hAnsi="Times New Roman" w:eastAsia="黑体" w:cs="Times New Roman"/>
                <w:snapToGrid w:val="0"/>
                <w:color w:val="000000"/>
                <w:spacing w:val="-6"/>
                <w:kern w:val="21"/>
                <w:sz w:val="21"/>
                <w:szCs w:val="21"/>
                <w:highlight w:val="none"/>
                <w:lang w:val="en-US" w:eastAsia="zh-CN" w:bidi="ar-SA"/>
              </w:rPr>
              <w:t>排放量（固</w:t>
            </w:r>
            <w:r>
              <w:rPr>
                <w:rFonts w:hint="eastAsia" w:ascii="Times New Roman" w:hAnsi="Times New Roman" w:eastAsia="黑体" w:cs="Times New Roman"/>
                <w:snapToGrid w:val="0"/>
                <w:color w:val="000000"/>
                <w:spacing w:val="-6"/>
                <w:kern w:val="21"/>
                <w:sz w:val="21"/>
                <w:szCs w:val="21"/>
                <w:highlight w:val="none"/>
                <w:lang w:val="en-US" w:eastAsia="zh-CN" w:bidi="ar-SA"/>
              </w:rPr>
              <w:t>体</w:t>
            </w:r>
            <w:r>
              <w:rPr>
                <w:rFonts w:ascii="Times New Roman" w:hAnsi="Times New Roman" w:eastAsia="黑体" w:cs="Times New Roman"/>
                <w:snapToGrid w:val="0"/>
                <w:color w:val="000000"/>
                <w:spacing w:val="-6"/>
                <w:kern w:val="21"/>
                <w:sz w:val="21"/>
                <w:szCs w:val="21"/>
                <w:highlight w:val="none"/>
                <w:lang w:val="en-US" w:eastAsia="zh-CN" w:bidi="ar-SA"/>
              </w:rPr>
              <w:t>废</w:t>
            </w:r>
            <w:r>
              <w:rPr>
                <w:rFonts w:hint="eastAsia" w:ascii="Times New Roman" w:hAnsi="Times New Roman" w:eastAsia="黑体" w:cs="Times New Roman"/>
                <w:snapToGrid w:val="0"/>
                <w:color w:val="000000"/>
                <w:spacing w:val="-6"/>
                <w:kern w:val="21"/>
                <w:sz w:val="21"/>
                <w:szCs w:val="21"/>
                <w:highlight w:val="none"/>
                <w:lang w:val="en-US" w:eastAsia="zh-CN" w:bidi="ar-SA"/>
              </w:rPr>
              <w:t>物</w:t>
            </w:r>
            <w:r>
              <w:rPr>
                <w:rFonts w:ascii="Times New Roman" w:hAnsi="Times New Roman" w:eastAsia="黑体" w:cs="Times New Roman"/>
                <w:snapToGrid w:val="0"/>
                <w:color w:val="000000"/>
                <w:spacing w:val="-6"/>
                <w:kern w:val="21"/>
                <w:sz w:val="21"/>
                <w:szCs w:val="21"/>
                <w:highlight w:val="none"/>
                <w:lang w:val="en-US" w:eastAsia="zh-CN" w:bidi="ar-SA"/>
              </w:rPr>
              <w:t>产生量）</w:t>
            </w:r>
            <w:r>
              <w:rPr>
                <w:rFonts w:ascii="Times New Roman" w:hAnsi="Times New Roman" w:eastAsia="黑体" w:cs="Times New Roman"/>
                <w:snapToGrid w:val="0"/>
                <w:color w:val="000000"/>
                <w:spacing w:val="-6"/>
                <w:kern w:val="21"/>
                <w:sz w:val="21"/>
                <w:szCs w:val="21"/>
                <w:highlight w:val="none"/>
                <w:lang w:val="en-US" w:eastAsia="zh-CN" w:bidi="ar-SA"/>
              </w:rPr>
              <w:fldChar w:fldCharType="begin"/>
            </w:r>
            <w:r>
              <w:rPr>
                <w:rFonts w:ascii="Times New Roman" w:hAnsi="Times New Roman" w:eastAsia="黑体" w:cs="Times New Roman"/>
                <w:snapToGrid w:val="0"/>
                <w:color w:val="000000"/>
                <w:spacing w:val="-6"/>
                <w:kern w:val="21"/>
                <w:sz w:val="21"/>
                <w:szCs w:val="21"/>
                <w:highlight w:val="none"/>
                <w:lang w:val="en-US" w:eastAsia="zh-CN" w:bidi="ar-SA"/>
              </w:rPr>
              <w:instrText xml:space="preserve"> = 1 \* GB3 \* MERGEFORMAT </w:instrText>
            </w:r>
            <w:r>
              <w:rPr>
                <w:rFonts w:ascii="Times New Roman" w:hAnsi="Times New Roman" w:eastAsia="黑体" w:cs="Times New Roman"/>
                <w:snapToGrid w:val="0"/>
                <w:color w:val="000000"/>
                <w:spacing w:val="-6"/>
                <w:kern w:val="21"/>
                <w:sz w:val="21"/>
                <w:szCs w:val="21"/>
                <w:highlight w:val="none"/>
                <w:lang w:val="en-US" w:eastAsia="zh-CN" w:bidi="ar-SA"/>
              </w:rPr>
              <w:fldChar w:fldCharType="separate"/>
            </w:r>
            <w:r>
              <w:rPr>
                <w:rFonts w:hint="eastAsia" w:ascii="Times New Roman" w:hAnsi="Times New Roman" w:eastAsia="黑体" w:cs="宋体"/>
                <w:color w:val="000000"/>
                <w:kern w:val="2"/>
                <w:sz w:val="21"/>
                <w:szCs w:val="21"/>
                <w:highlight w:val="none"/>
                <w:lang w:val="en-US" w:eastAsia="zh-CN" w:bidi="ar-SA"/>
              </w:rPr>
              <w:t>①</w:t>
            </w:r>
            <w:r>
              <w:rPr>
                <w:rFonts w:ascii="Times New Roman" w:hAnsi="Times New Roman" w:eastAsia="黑体" w:cs="Times New Roman"/>
                <w:snapToGrid w:val="0"/>
                <w:color w:val="000000"/>
                <w:spacing w:val="-6"/>
                <w:kern w:val="21"/>
                <w:sz w:val="21"/>
                <w:szCs w:val="21"/>
                <w:highlight w:val="none"/>
                <w:lang w:val="en-US" w:eastAsia="zh-CN" w:bidi="ar-SA"/>
              </w:rPr>
              <w:fldChar w:fldCharType="end"/>
            </w:r>
          </w:p>
        </w:tc>
        <w:tc>
          <w:tcPr>
            <w:tcW w:w="127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000000"/>
                <w:spacing w:val="-6"/>
                <w:kern w:val="21"/>
                <w:sz w:val="21"/>
                <w:szCs w:val="21"/>
                <w:highlight w:val="none"/>
                <w:lang w:val="en-US" w:eastAsia="zh-CN" w:bidi="ar-SA"/>
              </w:rPr>
            </w:pPr>
            <w:r>
              <w:rPr>
                <w:rFonts w:ascii="Times New Roman" w:hAnsi="Times New Roman" w:eastAsia="黑体" w:cs="Times New Roman"/>
                <w:snapToGrid w:val="0"/>
                <w:color w:val="000000"/>
                <w:spacing w:val="-6"/>
                <w:kern w:val="21"/>
                <w:sz w:val="21"/>
                <w:szCs w:val="21"/>
                <w:highlight w:val="none"/>
                <w:lang w:val="en-US" w:eastAsia="zh-CN" w:bidi="ar-SA"/>
              </w:rPr>
              <w:t>现有工程</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000000"/>
                <w:spacing w:val="-6"/>
                <w:kern w:val="21"/>
                <w:sz w:val="21"/>
                <w:szCs w:val="21"/>
                <w:highlight w:val="none"/>
                <w:lang w:val="en-US" w:eastAsia="zh-CN" w:bidi="ar-SA"/>
              </w:rPr>
            </w:pPr>
            <w:r>
              <w:rPr>
                <w:rFonts w:ascii="Times New Roman" w:hAnsi="Times New Roman" w:eastAsia="黑体" w:cs="Times New Roman"/>
                <w:snapToGrid w:val="0"/>
                <w:color w:val="000000"/>
                <w:spacing w:val="-6"/>
                <w:kern w:val="21"/>
                <w:sz w:val="21"/>
                <w:szCs w:val="21"/>
                <w:highlight w:val="none"/>
                <w:lang w:val="en-US" w:eastAsia="zh-CN" w:bidi="ar-SA"/>
              </w:rPr>
              <w:t>许可排放量</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right="0" w:firstLine="396" w:firstLineChars="200"/>
              <w:jc w:val="center"/>
              <w:textAlignment w:val="auto"/>
              <w:rPr>
                <w:rFonts w:ascii="Times New Roman" w:hAnsi="Times New Roman" w:eastAsia="黑体" w:cs="Times New Roman"/>
                <w:snapToGrid w:val="0"/>
                <w:color w:val="000000"/>
                <w:spacing w:val="-6"/>
                <w:kern w:val="21"/>
                <w:sz w:val="21"/>
                <w:szCs w:val="21"/>
                <w:highlight w:val="none"/>
                <w:lang w:val="en-US" w:eastAsia="zh-CN" w:bidi="ar-SA"/>
              </w:rPr>
            </w:pPr>
            <w:r>
              <w:rPr>
                <w:rFonts w:ascii="Times New Roman" w:hAnsi="Times New Roman" w:eastAsia="黑体" w:cs="Times New Roman"/>
                <w:snapToGrid w:val="0"/>
                <w:color w:val="000000"/>
                <w:spacing w:val="-6"/>
                <w:kern w:val="21"/>
                <w:sz w:val="21"/>
                <w:szCs w:val="21"/>
                <w:highlight w:val="none"/>
                <w:lang w:val="en-US" w:eastAsia="zh-CN" w:bidi="ar-SA"/>
              </w:rPr>
              <w:fldChar w:fldCharType="begin"/>
            </w:r>
            <w:r>
              <w:rPr>
                <w:rFonts w:ascii="Times New Roman" w:hAnsi="Times New Roman" w:eastAsia="黑体" w:cs="Times New Roman"/>
                <w:snapToGrid w:val="0"/>
                <w:color w:val="000000"/>
                <w:spacing w:val="-6"/>
                <w:kern w:val="21"/>
                <w:sz w:val="21"/>
                <w:szCs w:val="21"/>
                <w:highlight w:val="none"/>
                <w:lang w:val="en-US" w:eastAsia="zh-CN" w:bidi="ar-SA"/>
              </w:rPr>
              <w:instrText xml:space="preserve"> = 2 \* GB3 \* MERGEFORMAT </w:instrText>
            </w:r>
            <w:r>
              <w:rPr>
                <w:rFonts w:ascii="Times New Roman" w:hAnsi="Times New Roman" w:eastAsia="黑体" w:cs="Times New Roman"/>
                <w:snapToGrid w:val="0"/>
                <w:color w:val="000000"/>
                <w:spacing w:val="-6"/>
                <w:kern w:val="21"/>
                <w:sz w:val="21"/>
                <w:szCs w:val="21"/>
                <w:highlight w:val="none"/>
                <w:lang w:val="en-US" w:eastAsia="zh-CN" w:bidi="ar-SA"/>
              </w:rPr>
              <w:fldChar w:fldCharType="separate"/>
            </w:r>
            <w:r>
              <w:rPr>
                <w:rFonts w:hint="eastAsia" w:ascii="Times New Roman" w:hAnsi="Times New Roman" w:eastAsia="黑体" w:cs="宋体"/>
                <w:snapToGrid w:val="0"/>
                <w:color w:val="000000"/>
                <w:spacing w:val="-6"/>
                <w:kern w:val="21"/>
                <w:sz w:val="21"/>
                <w:szCs w:val="21"/>
                <w:highlight w:val="none"/>
                <w:lang w:val="en-US" w:eastAsia="zh-CN" w:bidi="ar-SA"/>
              </w:rPr>
              <w:t>②</w:t>
            </w:r>
            <w:r>
              <w:rPr>
                <w:rFonts w:ascii="Times New Roman" w:hAnsi="Times New Roman" w:eastAsia="黑体" w:cs="Times New Roman"/>
                <w:snapToGrid w:val="0"/>
                <w:color w:val="000000"/>
                <w:spacing w:val="-6"/>
                <w:kern w:val="21"/>
                <w:sz w:val="21"/>
                <w:szCs w:val="21"/>
                <w:highlight w:val="none"/>
                <w:lang w:val="en-US" w:eastAsia="zh-CN" w:bidi="ar-SA"/>
              </w:rPr>
              <w:fldChar w:fldCharType="end"/>
            </w:r>
          </w:p>
        </w:tc>
        <w:tc>
          <w:tcPr>
            <w:tcW w:w="1701"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Times New Roman"/>
                <w:snapToGrid w:val="0"/>
                <w:color w:val="000000"/>
                <w:spacing w:val="-6"/>
                <w:kern w:val="21"/>
                <w:sz w:val="21"/>
                <w:szCs w:val="21"/>
                <w:highlight w:val="none"/>
                <w:lang w:val="en-US" w:eastAsia="zh-CN" w:bidi="ar-SA"/>
              </w:rPr>
            </w:pPr>
            <w:r>
              <w:rPr>
                <w:rFonts w:ascii="Times New Roman" w:hAnsi="Times New Roman" w:eastAsia="黑体" w:cs="Times New Roman"/>
                <w:snapToGrid w:val="0"/>
                <w:color w:val="000000"/>
                <w:spacing w:val="-6"/>
                <w:kern w:val="21"/>
                <w:sz w:val="21"/>
                <w:szCs w:val="21"/>
                <w:highlight w:val="none"/>
                <w:lang w:val="en-US" w:eastAsia="zh-CN" w:bidi="ar-SA"/>
              </w:rPr>
              <w:t>在建工程</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000000"/>
                <w:spacing w:val="-6"/>
                <w:kern w:val="21"/>
                <w:sz w:val="21"/>
                <w:szCs w:val="21"/>
                <w:highlight w:val="none"/>
                <w:lang w:val="en-US" w:eastAsia="zh-CN" w:bidi="ar-SA"/>
              </w:rPr>
            </w:pPr>
            <w:r>
              <w:rPr>
                <w:rFonts w:ascii="Times New Roman" w:hAnsi="Times New Roman" w:eastAsia="黑体" w:cs="Times New Roman"/>
                <w:snapToGrid w:val="0"/>
                <w:color w:val="000000"/>
                <w:spacing w:val="-6"/>
                <w:kern w:val="21"/>
                <w:sz w:val="21"/>
                <w:szCs w:val="21"/>
                <w:highlight w:val="none"/>
                <w:lang w:val="en-US" w:eastAsia="zh-CN" w:bidi="ar-SA"/>
              </w:rPr>
              <w:t>排放量（固</w:t>
            </w:r>
            <w:r>
              <w:rPr>
                <w:rFonts w:hint="eastAsia" w:ascii="Times New Roman" w:hAnsi="Times New Roman" w:eastAsia="黑体" w:cs="Times New Roman"/>
                <w:snapToGrid w:val="0"/>
                <w:color w:val="000000"/>
                <w:spacing w:val="-6"/>
                <w:kern w:val="21"/>
                <w:sz w:val="21"/>
                <w:szCs w:val="21"/>
                <w:highlight w:val="none"/>
                <w:lang w:val="en-US" w:eastAsia="zh-CN" w:bidi="ar-SA"/>
              </w:rPr>
              <w:t>体</w:t>
            </w:r>
            <w:r>
              <w:rPr>
                <w:rFonts w:ascii="Times New Roman" w:hAnsi="Times New Roman" w:eastAsia="黑体" w:cs="Times New Roman"/>
                <w:snapToGrid w:val="0"/>
                <w:color w:val="000000"/>
                <w:spacing w:val="-6"/>
                <w:kern w:val="21"/>
                <w:sz w:val="21"/>
                <w:szCs w:val="21"/>
                <w:highlight w:val="none"/>
                <w:lang w:val="en-US" w:eastAsia="zh-CN" w:bidi="ar-SA"/>
              </w:rPr>
              <w:t>废</w:t>
            </w:r>
            <w:r>
              <w:rPr>
                <w:rFonts w:hint="eastAsia" w:ascii="Times New Roman" w:hAnsi="Times New Roman" w:eastAsia="黑体" w:cs="Times New Roman"/>
                <w:snapToGrid w:val="0"/>
                <w:color w:val="000000"/>
                <w:spacing w:val="-6"/>
                <w:kern w:val="21"/>
                <w:sz w:val="21"/>
                <w:szCs w:val="21"/>
                <w:highlight w:val="none"/>
                <w:lang w:val="en-US" w:eastAsia="zh-CN" w:bidi="ar-SA"/>
              </w:rPr>
              <w:t>物</w:t>
            </w:r>
            <w:r>
              <w:rPr>
                <w:rFonts w:ascii="Times New Roman" w:hAnsi="Times New Roman" w:eastAsia="黑体" w:cs="Times New Roman"/>
                <w:snapToGrid w:val="0"/>
                <w:color w:val="000000"/>
                <w:spacing w:val="-6"/>
                <w:kern w:val="21"/>
                <w:sz w:val="21"/>
                <w:szCs w:val="21"/>
                <w:highlight w:val="none"/>
                <w:lang w:val="en-US" w:eastAsia="zh-CN" w:bidi="ar-SA"/>
              </w:rPr>
              <w:t>产生量）</w:t>
            </w:r>
            <w:r>
              <w:rPr>
                <w:rFonts w:ascii="Times New Roman" w:hAnsi="Times New Roman" w:eastAsia="黑体" w:cs="Times New Roman"/>
                <w:snapToGrid w:val="0"/>
                <w:color w:val="000000"/>
                <w:spacing w:val="-6"/>
                <w:kern w:val="21"/>
                <w:sz w:val="21"/>
                <w:szCs w:val="21"/>
                <w:highlight w:val="none"/>
                <w:lang w:val="en-US" w:eastAsia="zh-CN" w:bidi="ar-SA"/>
              </w:rPr>
              <w:fldChar w:fldCharType="begin"/>
            </w:r>
            <w:r>
              <w:rPr>
                <w:rFonts w:ascii="Times New Roman" w:hAnsi="Times New Roman" w:eastAsia="黑体" w:cs="Times New Roman"/>
                <w:snapToGrid w:val="0"/>
                <w:color w:val="000000"/>
                <w:spacing w:val="-6"/>
                <w:kern w:val="21"/>
                <w:sz w:val="21"/>
                <w:szCs w:val="21"/>
                <w:highlight w:val="none"/>
                <w:lang w:val="en-US" w:eastAsia="zh-CN" w:bidi="ar-SA"/>
              </w:rPr>
              <w:instrText xml:space="preserve"> = 3 \* GB3 \* MERGEFORMAT </w:instrText>
            </w:r>
            <w:r>
              <w:rPr>
                <w:rFonts w:ascii="Times New Roman" w:hAnsi="Times New Roman" w:eastAsia="黑体" w:cs="Times New Roman"/>
                <w:snapToGrid w:val="0"/>
                <w:color w:val="000000"/>
                <w:spacing w:val="-6"/>
                <w:kern w:val="21"/>
                <w:sz w:val="21"/>
                <w:szCs w:val="21"/>
                <w:highlight w:val="none"/>
                <w:lang w:val="en-US" w:eastAsia="zh-CN" w:bidi="ar-SA"/>
              </w:rPr>
              <w:fldChar w:fldCharType="separate"/>
            </w:r>
            <w:r>
              <w:rPr>
                <w:rFonts w:hint="eastAsia" w:ascii="Times New Roman" w:hAnsi="Times New Roman" w:eastAsia="黑体" w:cs="宋体"/>
                <w:color w:val="000000"/>
                <w:kern w:val="2"/>
                <w:sz w:val="21"/>
                <w:szCs w:val="21"/>
                <w:highlight w:val="none"/>
                <w:lang w:val="en-US" w:eastAsia="zh-CN" w:bidi="ar-SA"/>
              </w:rPr>
              <w:t>③</w:t>
            </w:r>
            <w:r>
              <w:rPr>
                <w:rFonts w:ascii="Times New Roman" w:hAnsi="Times New Roman" w:eastAsia="黑体" w:cs="Times New Roman"/>
                <w:snapToGrid w:val="0"/>
                <w:color w:val="000000"/>
                <w:spacing w:val="-6"/>
                <w:kern w:val="21"/>
                <w:sz w:val="21"/>
                <w:szCs w:val="21"/>
                <w:highlight w:val="none"/>
                <w:lang w:val="en-US" w:eastAsia="zh-CN" w:bidi="ar-SA"/>
              </w:rPr>
              <w:fldChar w:fldCharType="end"/>
            </w:r>
          </w:p>
        </w:tc>
        <w:tc>
          <w:tcPr>
            <w:tcW w:w="1559"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Times New Roman"/>
                <w:snapToGrid w:val="0"/>
                <w:color w:val="000000"/>
                <w:spacing w:val="-6"/>
                <w:kern w:val="21"/>
                <w:sz w:val="21"/>
                <w:szCs w:val="21"/>
                <w:highlight w:val="none"/>
                <w:lang w:val="en-US" w:eastAsia="zh-CN" w:bidi="ar-SA"/>
              </w:rPr>
            </w:pPr>
            <w:r>
              <w:rPr>
                <w:rFonts w:ascii="Times New Roman" w:hAnsi="Times New Roman" w:eastAsia="黑体" w:cs="Times New Roman"/>
                <w:snapToGrid w:val="0"/>
                <w:color w:val="000000"/>
                <w:spacing w:val="-6"/>
                <w:kern w:val="21"/>
                <w:sz w:val="21"/>
                <w:szCs w:val="21"/>
                <w:highlight w:val="none"/>
                <w:lang w:val="en-US" w:eastAsia="zh-CN" w:bidi="ar-SA"/>
              </w:rPr>
              <w:t>本项目</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000000"/>
                <w:spacing w:val="-6"/>
                <w:kern w:val="21"/>
                <w:sz w:val="21"/>
                <w:szCs w:val="21"/>
                <w:highlight w:val="none"/>
                <w:lang w:val="en-US" w:eastAsia="zh-CN" w:bidi="ar-SA"/>
              </w:rPr>
            </w:pPr>
            <w:r>
              <w:rPr>
                <w:rFonts w:ascii="Times New Roman" w:hAnsi="Times New Roman" w:eastAsia="黑体" w:cs="Times New Roman"/>
                <w:snapToGrid w:val="0"/>
                <w:color w:val="000000"/>
                <w:spacing w:val="-6"/>
                <w:kern w:val="21"/>
                <w:sz w:val="21"/>
                <w:szCs w:val="21"/>
                <w:highlight w:val="none"/>
                <w:lang w:val="en-US" w:eastAsia="zh-CN" w:bidi="ar-SA"/>
              </w:rPr>
              <w:t>排放量（固</w:t>
            </w:r>
            <w:r>
              <w:rPr>
                <w:rFonts w:hint="eastAsia" w:ascii="Times New Roman" w:hAnsi="Times New Roman" w:eastAsia="黑体" w:cs="Times New Roman"/>
                <w:snapToGrid w:val="0"/>
                <w:color w:val="000000"/>
                <w:spacing w:val="-6"/>
                <w:kern w:val="21"/>
                <w:sz w:val="21"/>
                <w:szCs w:val="21"/>
                <w:highlight w:val="none"/>
                <w:lang w:val="en-US" w:eastAsia="zh-CN" w:bidi="ar-SA"/>
              </w:rPr>
              <w:t>体</w:t>
            </w:r>
            <w:r>
              <w:rPr>
                <w:rFonts w:ascii="Times New Roman" w:hAnsi="Times New Roman" w:eastAsia="黑体" w:cs="Times New Roman"/>
                <w:snapToGrid w:val="0"/>
                <w:color w:val="000000"/>
                <w:spacing w:val="-6"/>
                <w:kern w:val="21"/>
                <w:sz w:val="21"/>
                <w:szCs w:val="21"/>
                <w:highlight w:val="none"/>
                <w:lang w:val="en-US" w:eastAsia="zh-CN" w:bidi="ar-SA"/>
              </w:rPr>
              <w:t>废</w:t>
            </w:r>
            <w:r>
              <w:rPr>
                <w:rFonts w:hint="eastAsia" w:ascii="Times New Roman" w:hAnsi="Times New Roman" w:eastAsia="黑体" w:cs="Times New Roman"/>
                <w:snapToGrid w:val="0"/>
                <w:color w:val="000000"/>
                <w:spacing w:val="-6"/>
                <w:kern w:val="21"/>
                <w:sz w:val="21"/>
                <w:szCs w:val="21"/>
                <w:highlight w:val="none"/>
                <w:lang w:val="en-US" w:eastAsia="zh-CN" w:bidi="ar-SA"/>
              </w:rPr>
              <w:t>物</w:t>
            </w:r>
            <w:r>
              <w:rPr>
                <w:rFonts w:ascii="Times New Roman" w:hAnsi="Times New Roman" w:eastAsia="黑体" w:cs="Times New Roman"/>
                <w:snapToGrid w:val="0"/>
                <w:color w:val="000000"/>
                <w:spacing w:val="-6"/>
                <w:kern w:val="21"/>
                <w:sz w:val="21"/>
                <w:szCs w:val="21"/>
                <w:highlight w:val="none"/>
                <w:lang w:val="en-US" w:eastAsia="zh-CN" w:bidi="ar-SA"/>
              </w:rPr>
              <w:t>产生量）</w:t>
            </w:r>
            <w:r>
              <w:rPr>
                <w:rFonts w:ascii="Times New Roman" w:hAnsi="Times New Roman" w:eastAsia="黑体" w:cs="Times New Roman"/>
                <w:snapToGrid w:val="0"/>
                <w:color w:val="000000"/>
                <w:spacing w:val="-6"/>
                <w:kern w:val="21"/>
                <w:sz w:val="21"/>
                <w:szCs w:val="21"/>
                <w:highlight w:val="none"/>
                <w:lang w:val="en-US" w:eastAsia="zh-CN" w:bidi="ar-SA"/>
              </w:rPr>
              <w:fldChar w:fldCharType="begin"/>
            </w:r>
            <w:r>
              <w:rPr>
                <w:rFonts w:ascii="Times New Roman" w:hAnsi="Times New Roman" w:eastAsia="黑体" w:cs="Times New Roman"/>
                <w:snapToGrid w:val="0"/>
                <w:color w:val="000000"/>
                <w:spacing w:val="-6"/>
                <w:kern w:val="21"/>
                <w:sz w:val="21"/>
                <w:szCs w:val="21"/>
                <w:highlight w:val="none"/>
                <w:lang w:val="en-US" w:eastAsia="zh-CN" w:bidi="ar-SA"/>
              </w:rPr>
              <w:instrText xml:space="preserve"> = 4 \* GB3 \* MERGEFORMAT </w:instrText>
            </w:r>
            <w:r>
              <w:rPr>
                <w:rFonts w:ascii="Times New Roman" w:hAnsi="Times New Roman" w:eastAsia="黑体" w:cs="Times New Roman"/>
                <w:snapToGrid w:val="0"/>
                <w:color w:val="000000"/>
                <w:spacing w:val="-6"/>
                <w:kern w:val="21"/>
                <w:sz w:val="21"/>
                <w:szCs w:val="21"/>
                <w:highlight w:val="none"/>
                <w:lang w:val="en-US" w:eastAsia="zh-CN" w:bidi="ar-SA"/>
              </w:rPr>
              <w:fldChar w:fldCharType="separate"/>
            </w:r>
            <w:r>
              <w:rPr>
                <w:rFonts w:hint="eastAsia" w:ascii="Times New Roman" w:hAnsi="Times New Roman" w:eastAsia="黑体" w:cs="宋体"/>
                <w:color w:val="000000"/>
                <w:kern w:val="2"/>
                <w:sz w:val="21"/>
                <w:szCs w:val="21"/>
                <w:highlight w:val="none"/>
                <w:lang w:val="en-US" w:eastAsia="zh-CN" w:bidi="ar-SA"/>
              </w:rPr>
              <w:t>④</w:t>
            </w:r>
            <w:r>
              <w:rPr>
                <w:rFonts w:ascii="Times New Roman" w:hAnsi="Times New Roman" w:eastAsia="黑体" w:cs="Times New Roman"/>
                <w:snapToGrid w:val="0"/>
                <w:color w:val="000000"/>
                <w:spacing w:val="-6"/>
                <w:kern w:val="21"/>
                <w:sz w:val="21"/>
                <w:szCs w:val="21"/>
                <w:highlight w:val="none"/>
                <w:lang w:val="en-US" w:eastAsia="zh-CN" w:bidi="ar-SA"/>
              </w:rPr>
              <w:fldChar w:fldCharType="end"/>
            </w:r>
          </w:p>
        </w:tc>
        <w:tc>
          <w:tcPr>
            <w:tcW w:w="1761"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Times New Roman"/>
                <w:snapToGrid w:val="0"/>
                <w:color w:val="000000"/>
                <w:spacing w:val="-16"/>
                <w:kern w:val="21"/>
                <w:sz w:val="21"/>
                <w:szCs w:val="21"/>
                <w:highlight w:val="none"/>
                <w:lang w:val="en-US" w:eastAsia="zh-CN" w:bidi="ar-SA"/>
              </w:rPr>
            </w:pPr>
            <w:r>
              <w:rPr>
                <w:rFonts w:ascii="Times New Roman" w:hAnsi="Times New Roman" w:eastAsia="黑体" w:cs="Times New Roman"/>
                <w:snapToGrid w:val="0"/>
                <w:color w:val="000000"/>
                <w:spacing w:val="-16"/>
                <w:kern w:val="21"/>
                <w:sz w:val="21"/>
                <w:szCs w:val="21"/>
                <w:highlight w:val="none"/>
                <w:lang w:val="en-US" w:eastAsia="zh-CN" w:bidi="ar-SA"/>
              </w:rPr>
              <w:t>以新带老削减量</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000000"/>
                <w:spacing w:val="-16"/>
                <w:kern w:val="21"/>
                <w:sz w:val="21"/>
                <w:szCs w:val="21"/>
                <w:highlight w:val="none"/>
                <w:lang w:val="en-US" w:eastAsia="zh-CN" w:bidi="ar-SA"/>
              </w:rPr>
            </w:pPr>
            <w:r>
              <w:rPr>
                <w:rFonts w:ascii="Times New Roman" w:hAnsi="Times New Roman" w:eastAsia="黑体" w:cs="Times New Roman"/>
                <w:snapToGrid w:val="0"/>
                <w:color w:val="000000"/>
                <w:spacing w:val="-16"/>
                <w:kern w:val="21"/>
                <w:sz w:val="21"/>
                <w:szCs w:val="21"/>
                <w:highlight w:val="none"/>
                <w:lang w:val="en-US" w:eastAsia="zh-CN" w:bidi="ar-SA"/>
              </w:rPr>
              <w:t>（新建项目不填）</w:t>
            </w:r>
            <w:r>
              <w:rPr>
                <w:rFonts w:ascii="Times New Roman" w:hAnsi="Times New Roman" w:eastAsia="黑体" w:cs="Times New Roman"/>
                <w:snapToGrid w:val="0"/>
                <w:color w:val="000000"/>
                <w:spacing w:val="-16"/>
                <w:kern w:val="21"/>
                <w:sz w:val="21"/>
                <w:szCs w:val="21"/>
                <w:highlight w:val="none"/>
                <w:lang w:val="en-US" w:eastAsia="zh-CN" w:bidi="ar-SA"/>
              </w:rPr>
              <w:fldChar w:fldCharType="begin"/>
            </w:r>
            <w:r>
              <w:rPr>
                <w:rFonts w:ascii="Times New Roman" w:hAnsi="Times New Roman" w:eastAsia="黑体" w:cs="Times New Roman"/>
                <w:snapToGrid w:val="0"/>
                <w:color w:val="000000"/>
                <w:spacing w:val="-16"/>
                <w:kern w:val="21"/>
                <w:sz w:val="21"/>
                <w:szCs w:val="21"/>
                <w:highlight w:val="none"/>
                <w:lang w:val="en-US" w:eastAsia="zh-CN" w:bidi="ar-SA"/>
              </w:rPr>
              <w:instrText xml:space="preserve"> = 5 \* GB3 \* MERGEFORMAT </w:instrText>
            </w:r>
            <w:r>
              <w:rPr>
                <w:rFonts w:ascii="Times New Roman" w:hAnsi="Times New Roman" w:eastAsia="黑体" w:cs="Times New Roman"/>
                <w:snapToGrid w:val="0"/>
                <w:color w:val="000000"/>
                <w:spacing w:val="-16"/>
                <w:kern w:val="21"/>
                <w:sz w:val="21"/>
                <w:szCs w:val="21"/>
                <w:highlight w:val="none"/>
                <w:lang w:val="en-US" w:eastAsia="zh-CN" w:bidi="ar-SA"/>
              </w:rPr>
              <w:fldChar w:fldCharType="separate"/>
            </w:r>
            <w:r>
              <w:rPr>
                <w:rFonts w:hint="eastAsia" w:ascii="Times New Roman" w:hAnsi="Times New Roman" w:eastAsia="黑体" w:cs="宋体"/>
                <w:color w:val="000000"/>
                <w:kern w:val="2"/>
                <w:sz w:val="21"/>
                <w:szCs w:val="21"/>
                <w:highlight w:val="none"/>
                <w:lang w:val="en-US" w:eastAsia="zh-CN" w:bidi="ar-SA"/>
              </w:rPr>
              <w:t>⑤</w:t>
            </w:r>
            <w:r>
              <w:rPr>
                <w:rFonts w:ascii="Times New Roman" w:hAnsi="Times New Roman" w:eastAsia="黑体" w:cs="Times New Roman"/>
                <w:snapToGrid w:val="0"/>
                <w:color w:val="000000"/>
                <w:spacing w:val="-16"/>
                <w:kern w:val="21"/>
                <w:sz w:val="21"/>
                <w:szCs w:val="21"/>
                <w:highlight w:val="none"/>
                <w:lang w:val="en-US" w:eastAsia="zh-CN" w:bidi="ar-SA"/>
              </w:rPr>
              <w:fldChar w:fldCharType="end"/>
            </w:r>
          </w:p>
        </w:tc>
        <w:tc>
          <w:tcPr>
            <w:tcW w:w="161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Times New Roman"/>
                <w:snapToGrid w:val="0"/>
                <w:color w:val="000000"/>
                <w:spacing w:val="-16"/>
                <w:kern w:val="21"/>
                <w:sz w:val="21"/>
                <w:szCs w:val="21"/>
                <w:highlight w:val="none"/>
                <w:lang w:val="en-US" w:eastAsia="zh-CN" w:bidi="ar-SA"/>
              </w:rPr>
            </w:pPr>
            <w:r>
              <w:rPr>
                <w:rFonts w:ascii="Times New Roman" w:hAnsi="Times New Roman" w:eastAsia="黑体" w:cs="Times New Roman"/>
                <w:snapToGrid w:val="0"/>
                <w:color w:val="000000"/>
                <w:spacing w:val="-16"/>
                <w:kern w:val="21"/>
                <w:sz w:val="21"/>
                <w:szCs w:val="21"/>
                <w:highlight w:val="none"/>
                <w:lang w:val="en-US" w:eastAsia="zh-CN" w:bidi="ar-SA"/>
              </w:rPr>
              <w:t>本项目建成后</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000000"/>
                <w:spacing w:val="-16"/>
                <w:kern w:val="21"/>
                <w:sz w:val="21"/>
                <w:szCs w:val="21"/>
                <w:highlight w:val="none"/>
                <w:lang w:val="en-US" w:eastAsia="zh-CN" w:bidi="ar-SA"/>
              </w:rPr>
            </w:pPr>
            <w:r>
              <w:rPr>
                <w:rFonts w:hint="eastAsia" w:ascii="Times New Roman" w:hAnsi="Times New Roman" w:eastAsia="黑体" w:cs="Times New Roman"/>
                <w:snapToGrid w:val="0"/>
                <w:color w:val="000000"/>
                <w:spacing w:val="-16"/>
                <w:kern w:val="21"/>
                <w:sz w:val="21"/>
                <w:szCs w:val="21"/>
                <w:highlight w:val="none"/>
                <w:lang w:val="en-US" w:eastAsia="zh-CN" w:bidi="ar-SA"/>
              </w:rPr>
              <w:t>全厂</w:t>
            </w:r>
            <w:r>
              <w:rPr>
                <w:rFonts w:ascii="Times New Roman" w:hAnsi="Times New Roman" w:eastAsia="黑体" w:cs="Times New Roman"/>
                <w:snapToGrid w:val="0"/>
                <w:color w:val="000000"/>
                <w:spacing w:val="-16"/>
                <w:kern w:val="21"/>
                <w:sz w:val="21"/>
                <w:szCs w:val="21"/>
                <w:highlight w:val="none"/>
                <w:lang w:val="en-US" w:eastAsia="zh-CN" w:bidi="ar-SA"/>
              </w:rPr>
              <w:t>排放量（固</w:t>
            </w:r>
            <w:r>
              <w:rPr>
                <w:rFonts w:hint="eastAsia" w:ascii="Times New Roman" w:hAnsi="Times New Roman" w:eastAsia="黑体" w:cs="Times New Roman"/>
                <w:snapToGrid w:val="0"/>
                <w:color w:val="000000"/>
                <w:spacing w:val="-16"/>
                <w:kern w:val="21"/>
                <w:sz w:val="21"/>
                <w:szCs w:val="21"/>
                <w:highlight w:val="none"/>
                <w:lang w:val="en-US" w:eastAsia="zh-CN" w:bidi="ar-SA"/>
              </w:rPr>
              <w:t>体</w:t>
            </w:r>
            <w:r>
              <w:rPr>
                <w:rFonts w:ascii="Times New Roman" w:hAnsi="Times New Roman" w:eastAsia="黑体" w:cs="Times New Roman"/>
                <w:snapToGrid w:val="0"/>
                <w:color w:val="000000"/>
                <w:spacing w:val="-16"/>
                <w:kern w:val="21"/>
                <w:sz w:val="21"/>
                <w:szCs w:val="21"/>
                <w:highlight w:val="none"/>
                <w:lang w:val="en-US" w:eastAsia="zh-CN" w:bidi="ar-SA"/>
              </w:rPr>
              <w:t>废</w:t>
            </w:r>
            <w:r>
              <w:rPr>
                <w:rFonts w:hint="eastAsia" w:ascii="Times New Roman" w:hAnsi="Times New Roman" w:eastAsia="黑体" w:cs="Times New Roman"/>
                <w:snapToGrid w:val="0"/>
                <w:color w:val="000000"/>
                <w:spacing w:val="-16"/>
                <w:kern w:val="21"/>
                <w:sz w:val="21"/>
                <w:szCs w:val="21"/>
                <w:highlight w:val="none"/>
                <w:lang w:val="en-US" w:eastAsia="zh-CN" w:bidi="ar-SA"/>
              </w:rPr>
              <w:t>物</w:t>
            </w:r>
            <w:r>
              <w:rPr>
                <w:rFonts w:ascii="Times New Roman" w:hAnsi="Times New Roman" w:eastAsia="黑体" w:cs="Times New Roman"/>
                <w:snapToGrid w:val="0"/>
                <w:color w:val="000000"/>
                <w:spacing w:val="-16"/>
                <w:kern w:val="21"/>
                <w:sz w:val="21"/>
                <w:szCs w:val="21"/>
                <w:highlight w:val="none"/>
                <w:lang w:val="en-US" w:eastAsia="zh-CN" w:bidi="ar-SA"/>
              </w:rPr>
              <w:t>产生量）</w:t>
            </w:r>
            <w:r>
              <w:rPr>
                <w:rFonts w:ascii="Times New Roman" w:hAnsi="Times New Roman" w:eastAsia="黑体" w:cs="Times New Roman"/>
                <w:snapToGrid w:val="0"/>
                <w:color w:val="000000"/>
                <w:spacing w:val="-16"/>
                <w:kern w:val="21"/>
                <w:sz w:val="21"/>
                <w:szCs w:val="21"/>
                <w:highlight w:val="none"/>
                <w:lang w:val="en-US" w:eastAsia="zh-CN" w:bidi="ar-SA"/>
              </w:rPr>
              <w:fldChar w:fldCharType="begin"/>
            </w:r>
            <w:r>
              <w:rPr>
                <w:rFonts w:ascii="Times New Roman" w:hAnsi="Times New Roman" w:eastAsia="黑体" w:cs="Times New Roman"/>
                <w:snapToGrid w:val="0"/>
                <w:color w:val="000000"/>
                <w:spacing w:val="-16"/>
                <w:kern w:val="21"/>
                <w:sz w:val="21"/>
                <w:szCs w:val="21"/>
                <w:highlight w:val="none"/>
                <w:lang w:val="en-US" w:eastAsia="zh-CN" w:bidi="ar-SA"/>
              </w:rPr>
              <w:instrText xml:space="preserve"> = 6 \* GB3 \* MERGEFORMAT </w:instrText>
            </w:r>
            <w:r>
              <w:rPr>
                <w:rFonts w:ascii="Times New Roman" w:hAnsi="Times New Roman" w:eastAsia="黑体" w:cs="Times New Roman"/>
                <w:snapToGrid w:val="0"/>
                <w:color w:val="000000"/>
                <w:spacing w:val="-16"/>
                <w:kern w:val="21"/>
                <w:sz w:val="21"/>
                <w:szCs w:val="21"/>
                <w:highlight w:val="none"/>
                <w:lang w:val="en-US" w:eastAsia="zh-CN" w:bidi="ar-SA"/>
              </w:rPr>
              <w:fldChar w:fldCharType="separate"/>
            </w:r>
            <w:r>
              <w:rPr>
                <w:rFonts w:hint="eastAsia" w:ascii="Times New Roman" w:hAnsi="Times New Roman" w:eastAsia="黑体" w:cs="宋体"/>
                <w:color w:val="000000"/>
                <w:kern w:val="2"/>
                <w:sz w:val="21"/>
                <w:szCs w:val="21"/>
                <w:highlight w:val="none"/>
                <w:lang w:val="en-US" w:eastAsia="zh-CN" w:bidi="ar-SA"/>
              </w:rPr>
              <w:t>⑥</w:t>
            </w:r>
            <w:r>
              <w:rPr>
                <w:rFonts w:ascii="Times New Roman" w:hAnsi="Times New Roman" w:eastAsia="黑体" w:cs="Times New Roman"/>
                <w:snapToGrid w:val="0"/>
                <w:color w:val="000000"/>
                <w:spacing w:val="-16"/>
                <w:kern w:val="21"/>
                <w:sz w:val="21"/>
                <w:szCs w:val="21"/>
                <w:highlight w:val="none"/>
                <w:lang w:val="en-US" w:eastAsia="zh-CN" w:bidi="ar-SA"/>
              </w:rPr>
              <w:fldChar w:fldCharType="end"/>
            </w:r>
          </w:p>
        </w:tc>
        <w:tc>
          <w:tcPr>
            <w:tcW w:w="1169"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000000"/>
                <w:spacing w:val="-6"/>
                <w:kern w:val="21"/>
                <w:sz w:val="21"/>
                <w:szCs w:val="21"/>
                <w:highlight w:val="none"/>
                <w:lang w:val="en-US" w:eastAsia="zh-CN" w:bidi="ar-SA"/>
              </w:rPr>
            </w:pPr>
            <w:r>
              <w:rPr>
                <w:rFonts w:ascii="Times New Roman" w:hAnsi="Times New Roman" w:eastAsia="黑体" w:cs="Times New Roman"/>
                <w:snapToGrid w:val="0"/>
                <w:color w:val="000000"/>
                <w:spacing w:val="-6"/>
                <w:kern w:val="21"/>
                <w:sz w:val="21"/>
                <w:szCs w:val="21"/>
                <w:highlight w:val="none"/>
                <w:lang w:val="en-US" w:eastAsia="zh-CN" w:bidi="ar-SA"/>
              </w:rPr>
              <w:t>变化量</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000000"/>
                <w:spacing w:val="-6"/>
                <w:kern w:val="21"/>
                <w:sz w:val="21"/>
                <w:szCs w:val="21"/>
                <w:highlight w:val="none"/>
                <w:lang w:val="en-US" w:eastAsia="zh-CN" w:bidi="ar-SA"/>
              </w:rPr>
            </w:pPr>
            <w:r>
              <w:rPr>
                <w:rFonts w:ascii="Times New Roman" w:hAnsi="Times New Roman" w:eastAsia="黑体" w:cs="Times New Roman"/>
                <w:snapToGrid w:val="0"/>
                <w:color w:val="000000"/>
                <w:spacing w:val="-6"/>
                <w:kern w:val="21"/>
                <w:sz w:val="21"/>
                <w:szCs w:val="21"/>
                <w:highlight w:val="none"/>
                <w:lang w:val="en-US" w:eastAsia="zh-CN" w:bidi="ar-SA"/>
              </w:rPr>
              <w:fldChar w:fldCharType="begin"/>
            </w:r>
            <w:r>
              <w:rPr>
                <w:rFonts w:ascii="Times New Roman" w:hAnsi="Times New Roman" w:eastAsia="黑体" w:cs="Times New Roman"/>
                <w:snapToGrid w:val="0"/>
                <w:color w:val="000000"/>
                <w:spacing w:val="-6"/>
                <w:kern w:val="21"/>
                <w:sz w:val="21"/>
                <w:szCs w:val="21"/>
                <w:highlight w:val="none"/>
                <w:lang w:val="en-US" w:eastAsia="zh-CN" w:bidi="ar-SA"/>
              </w:rPr>
              <w:instrText xml:space="preserve"> = 7 \* GB3 \* MERGEFORMAT </w:instrText>
            </w:r>
            <w:r>
              <w:rPr>
                <w:rFonts w:ascii="Times New Roman" w:hAnsi="Times New Roman" w:eastAsia="黑体" w:cs="Times New Roman"/>
                <w:snapToGrid w:val="0"/>
                <w:color w:val="000000"/>
                <w:spacing w:val="-6"/>
                <w:kern w:val="21"/>
                <w:sz w:val="21"/>
                <w:szCs w:val="21"/>
                <w:highlight w:val="none"/>
                <w:lang w:val="en-US" w:eastAsia="zh-CN" w:bidi="ar-SA"/>
              </w:rPr>
              <w:fldChar w:fldCharType="separate"/>
            </w:r>
            <w:r>
              <w:rPr>
                <w:rFonts w:hint="eastAsia" w:ascii="Times New Roman" w:hAnsi="Times New Roman" w:eastAsia="黑体" w:cs="宋体"/>
                <w:color w:val="000000"/>
                <w:kern w:val="2"/>
                <w:sz w:val="21"/>
                <w:szCs w:val="21"/>
                <w:highlight w:val="none"/>
                <w:lang w:val="en-US" w:eastAsia="zh-CN" w:bidi="ar-SA"/>
              </w:rPr>
              <w:t>⑦</w:t>
            </w:r>
            <w:r>
              <w:rPr>
                <w:rFonts w:ascii="Times New Roman" w:hAnsi="Times New Roman" w:eastAsia="黑体" w:cs="Times New Roman"/>
                <w:snapToGrid w:val="0"/>
                <w:color w:val="000000"/>
                <w:spacing w:val="-6"/>
                <w:kern w:val="21"/>
                <w:sz w:val="21"/>
                <w:szCs w:val="21"/>
                <w:highlight w:val="none"/>
                <w:lang w:val="en-US" w:eastAsia="zh-CN" w:bidi="ar-SA"/>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Merge w:val="restart"/>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r>
              <w:rPr>
                <w:rFonts w:hint="eastAsia" w:ascii="Times New Roman" w:hAnsi="Times New Roman" w:eastAsia="宋体" w:cs="宋体"/>
                <w:snapToGrid w:val="0"/>
                <w:color w:val="000000"/>
                <w:kern w:val="21"/>
                <w:sz w:val="21"/>
                <w:szCs w:val="21"/>
                <w:highlight w:val="none"/>
                <w:lang w:val="en-US" w:eastAsia="zh-CN" w:bidi="ar-SA"/>
              </w:rPr>
              <w:t>废气</w:t>
            </w:r>
          </w:p>
        </w:tc>
        <w:tc>
          <w:tcPr>
            <w:tcW w:w="1984"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宋体"/>
                <w:snapToGrid w:val="0"/>
                <w:color w:val="000000"/>
                <w:kern w:val="21"/>
                <w:sz w:val="21"/>
                <w:szCs w:val="21"/>
                <w:highlight w:val="none"/>
                <w:lang w:val="en-US" w:eastAsia="zh-CN"/>
              </w:rPr>
            </w:pPr>
            <w:r>
              <w:rPr>
                <w:rStyle w:val="28"/>
                <w:rFonts w:hint="eastAsia"/>
                <w:color w:val="000000"/>
                <w:kern w:val="2"/>
                <w:lang w:val="en-US" w:eastAsia="zh-CN" w:bidi="ar"/>
              </w:rPr>
              <w:t>有组织非甲烷总烃</w:t>
            </w:r>
            <w:r>
              <w:rPr>
                <w:rStyle w:val="28"/>
                <w:color w:val="000000"/>
                <w:kern w:val="2"/>
                <w:lang w:val="en-US" w:eastAsia="zh-CN" w:bidi="ar"/>
              </w:rPr>
              <w:t>（</w:t>
            </w:r>
            <w:r>
              <w:rPr>
                <w:rStyle w:val="29"/>
                <w:rFonts w:eastAsia="宋体"/>
                <w:color w:val="000000"/>
                <w:kern w:val="2"/>
                <w:lang w:val="en-US" w:eastAsia="zh-CN" w:bidi="ar"/>
              </w:rPr>
              <w:t>t/a</w:t>
            </w:r>
            <w:r>
              <w:rPr>
                <w:rStyle w:val="28"/>
                <w:color w:val="000000"/>
                <w:kern w:val="2"/>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000000"/>
                <w:kern w:val="21"/>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eastAsia" w:cs="Times New Roman"/>
                <w:i w:val="0"/>
                <w:iCs w:val="0"/>
                <w:color w:val="000000"/>
                <w:kern w:val="0"/>
                <w:sz w:val="21"/>
                <w:szCs w:val="21"/>
                <w:u w:val="none"/>
                <w:lang w:val="en-US" w:eastAsia="zh-CN" w:bidi="ar"/>
              </w:rPr>
              <w:t>1.40</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1" w:type="dxa"/>
            <w:vMerge w:val="continue"/>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p>
        </w:tc>
        <w:tc>
          <w:tcPr>
            <w:tcW w:w="1984"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Style w:val="28"/>
                <w:rFonts w:hint="eastAsia"/>
                <w:color w:val="000000"/>
                <w:kern w:val="2"/>
                <w:lang w:val="en-US" w:eastAsia="zh-CN" w:bidi="ar"/>
              </w:rPr>
              <w:t>无组织非甲烷总烃</w:t>
            </w:r>
            <w:r>
              <w:rPr>
                <w:rStyle w:val="28"/>
                <w:color w:val="000000"/>
                <w:kern w:val="2"/>
                <w:lang w:val="en-US" w:eastAsia="zh-CN" w:bidi="ar"/>
              </w:rPr>
              <w:t>（</w:t>
            </w:r>
            <w:r>
              <w:rPr>
                <w:rStyle w:val="29"/>
                <w:rFonts w:eastAsia="宋体"/>
                <w:color w:val="000000"/>
                <w:kern w:val="2"/>
                <w:lang w:val="en-US" w:eastAsia="zh-CN" w:bidi="ar"/>
              </w:rPr>
              <w:t>t/a</w:t>
            </w:r>
            <w:r>
              <w:rPr>
                <w:rStyle w:val="28"/>
                <w:color w:val="000000"/>
                <w:kern w:val="2"/>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eastAsia" w:cs="Times New Roman"/>
                <w:i w:val="0"/>
                <w:iCs w:val="0"/>
                <w:color w:val="000000"/>
                <w:kern w:val="0"/>
                <w:sz w:val="21"/>
                <w:szCs w:val="21"/>
                <w:u w:val="none"/>
                <w:lang w:val="en-US" w:eastAsia="zh-CN" w:bidi="ar"/>
              </w:rPr>
              <w:t>0.87</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eastAsia" w:cs="Times New Roman"/>
                <w:i w:val="0"/>
                <w:iCs w:val="0"/>
                <w:color w:val="000000"/>
                <w:kern w:val="0"/>
                <w:sz w:val="21"/>
                <w:szCs w:val="21"/>
                <w:u w:val="none"/>
                <w:lang w:val="en-US" w:eastAsia="zh-CN" w:bidi="ar"/>
              </w:rPr>
              <w:t>0.87</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1" w:type="dxa"/>
            <w:vMerge w:val="continue"/>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p>
        </w:tc>
        <w:tc>
          <w:tcPr>
            <w:tcW w:w="1984"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Style w:val="28"/>
                <w:rFonts w:hint="default" w:ascii="Times New Roman" w:hAnsi="Times New Roman" w:eastAsia="宋体" w:cs="宋体"/>
                <w:color w:val="000000"/>
                <w:kern w:val="2"/>
                <w:lang w:val="en-US" w:eastAsia="zh-CN" w:bidi="ar"/>
              </w:rPr>
            </w:pPr>
            <w:r>
              <w:rPr>
                <w:rStyle w:val="28"/>
                <w:rFonts w:hint="eastAsia"/>
                <w:color w:val="000000"/>
                <w:kern w:val="2"/>
                <w:lang w:val="en-US" w:eastAsia="zh-CN" w:bidi="ar"/>
              </w:rPr>
              <w:t>氯化氢</w:t>
            </w:r>
            <w:r>
              <w:rPr>
                <w:rStyle w:val="28"/>
                <w:color w:val="000000"/>
                <w:kern w:val="2"/>
                <w:lang w:val="en-US" w:eastAsia="zh-CN" w:bidi="ar"/>
              </w:rPr>
              <w:t>（</w:t>
            </w:r>
            <w:r>
              <w:rPr>
                <w:rStyle w:val="29"/>
                <w:rFonts w:hint="eastAsia" w:eastAsia="宋体"/>
                <w:color w:val="000000"/>
                <w:kern w:val="2"/>
                <w:lang w:val="en-US" w:eastAsia="zh-CN" w:bidi="ar"/>
              </w:rPr>
              <w:t>kg</w:t>
            </w:r>
            <w:r>
              <w:rPr>
                <w:rStyle w:val="29"/>
                <w:rFonts w:eastAsia="宋体"/>
                <w:color w:val="000000"/>
                <w:kern w:val="2"/>
                <w:lang w:val="en-US" w:eastAsia="zh-CN" w:bidi="ar"/>
              </w:rPr>
              <w:t>/a</w:t>
            </w:r>
            <w:r>
              <w:rPr>
                <w:rStyle w:val="28"/>
                <w:color w:val="000000"/>
                <w:kern w:val="2"/>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0.005</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1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0.005</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1" w:type="dxa"/>
            <w:vMerge w:val="continue"/>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p>
        </w:tc>
        <w:tc>
          <w:tcPr>
            <w:tcW w:w="1984"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Style w:val="28"/>
                <w:rFonts w:hint="default"/>
                <w:color w:val="000000"/>
                <w:kern w:val="2"/>
                <w:lang w:val="en-US" w:eastAsia="zh-CN" w:bidi="ar"/>
              </w:rPr>
            </w:pPr>
            <w:r>
              <w:rPr>
                <w:rStyle w:val="28"/>
                <w:rFonts w:hint="eastAsia"/>
                <w:color w:val="000000"/>
                <w:kern w:val="2"/>
                <w:lang w:val="en-US" w:eastAsia="zh-CN" w:bidi="ar"/>
              </w:rPr>
              <w:t>颗粒物</w:t>
            </w:r>
            <w:r>
              <w:rPr>
                <w:rStyle w:val="28"/>
                <w:color w:val="000000"/>
                <w:kern w:val="2"/>
                <w:lang w:val="en-US" w:eastAsia="zh-CN" w:bidi="ar"/>
              </w:rPr>
              <w:t>（</w:t>
            </w:r>
            <w:r>
              <w:rPr>
                <w:rStyle w:val="29"/>
                <w:rFonts w:eastAsia="宋体"/>
                <w:color w:val="000000"/>
                <w:kern w:val="2"/>
                <w:lang w:val="en-US" w:eastAsia="zh-CN" w:bidi="ar"/>
              </w:rPr>
              <w:t>t/a</w:t>
            </w:r>
            <w:r>
              <w:rPr>
                <w:rStyle w:val="28"/>
                <w:color w:val="000000"/>
                <w:kern w:val="2"/>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0.0004</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16" w:type="dxa"/>
            <w:noWrap w:val="0"/>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0.0004</w:t>
            </w:r>
          </w:p>
        </w:tc>
        <w:tc>
          <w:tcPr>
            <w:tcW w:w="116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1" w:type="dxa"/>
            <w:vMerge w:val="restart"/>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废水</w:t>
            </w:r>
          </w:p>
        </w:tc>
        <w:tc>
          <w:tcPr>
            <w:tcW w:w="1984" w:type="dxa"/>
            <w:noWrap w:val="0"/>
            <w:vAlign w:val="center"/>
          </w:tcPr>
          <w:p>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宋体"/>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COD</w:t>
            </w:r>
            <w:r>
              <w:rPr>
                <w:rStyle w:val="28"/>
                <w:color w:val="auto"/>
                <w:kern w:val="2"/>
                <w:lang w:val="en-US" w:eastAsia="zh-CN" w:bidi="ar"/>
              </w:rPr>
              <w:t>（</w:t>
            </w:r>
            <w:r>
              <w:rPr>
                <w:rStyle w:val="29"/>
                <w:rFonts w:eastAsia="宋体"/>
                <w:color w:val="auto"/>
                <w:kern w:val="2"/>
                <w:lang w:val="en-US" w:eastAsia="zh-CN" w:bidi="ar"/>
              </w:rPr>
              <w:t>t/a</w:t>
            </w:r>
            <w:r>
              <w:rPr>
                <w:rStyle w:val="28"/>
                <w:color w:val="auto"/>
                <w:kern w:val="2"/>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0.19</w:t>
            </w:r>
          </w:p>
        </w:tc>
        <w:tc>
          <w:tcPr>
            <w:tcW w:w="176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61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0.19</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1" w:type="dxa"/>
            <w:vMerge w:val="continue"/>
            <w:noWrap w:val="0"/>
            <w:vAlign w:val="center"/>
          </w:tcPr>
          <w:p>
            <w:pPr>
              <w:widowControl w:val="0"/>
              <w:overflowPunct w:val="0"/>
              <w:autoSpaceDE w:val="0"/>
              <w:autoSpaceDN w:val="0"/>
              <w:adjustRightInd w:val="0"/>
              <w:snapToGrid w:val="0"/>
              <w:spacing w:before="0" w:beforeLines="0" w:after="0" w:afterLines="0" w:line="240" w:lineRule="auto"/>
              <w:ind w:left="0" w:right="0" w:firstLine="420" w:firstLineChars="200"/>
              <w:jc w:val="center"/>
              <w:rPr>
                <w:rFonts w:hint="eastAsia" w:ascii="Times New Roman" w:hAnsi="Times New Roman" w:eastAsia="宋体" w:cs="宋体"/>
                <w:snapToGrid w:val="0"/>
                <w:color w:val="auto"/>
                <w:kern w:val="21"/>
                <w:sz w:val="21"/>
                <w:szCs w:val="21"/>
                <w:highlight w:val="none"/>
                <w:lang w:val="en-US" w:eastAsia="zh-CN" w:bidi="ar-SA"/>
              </w:rPr>
            </w:pPr>
          </w:p>
        </w:tc>
        <w:tc>
          <w:tcPr>
            <w:tcW w:w="1984" w:type="dxa"/>
            <w:noWrap w:val="0"/>
            <w:vAlign w:val="center"/>
          </w:tcPr>
          <w:p>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宋体"/>
                <w:snapToGrid w:val="0"/>
                <w:color w:val="auto"/>
                <w:kern w:val="21"/>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氨氮（</w:t>
            </w:r>
            <w:r>
              <w:rPr>
                <w:rStyle w:val="29"/>
                <w:rFonts w:eastAsia="宋体"/>
                <w:color w:val="auto"/>
                <w:kern w:val="2"/>
                <w:lang w:val="en-US" w:eastAsia="zh-CN" w:bidi="ar"/>
              </w:rPr>
              <w:t>t/a</w:t>
            </w:r>
            <w:r>
              <w:rPr>
                <w:rStyle w:val="28"/>
                <w:color w:val="auto"/>
                <w:kern w:val="2"/>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0.01</w:t>
            </w:r>
          </w:p>
        </w:tc>
        <w:tc>
          <w:tcPr>
            <w:tcW w:w="176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61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0.01</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1" w:type="dxa"/>
            <w:vMerge w:val="restart"/>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r>
              <w:rPr>
                <w:rFonts w:hint="eastAsia" w:ascii="Times New Roman" w:hAnsi="Times New Roman" w:eastAsia="宋体" w:cs="宋体"/>
                <w:snapToGrid w:val="0"/>
                <w:color w:val="000000"/>
                <w:kern w:val="21"/>
                <w:sz w:val="21"/>
                <w:szCs w:val="21"/>
                <w:highlight w:val="none"/>
                <w:lang w:val="en-US" w:eastAsia="zh-CN" w:bidi="ar-SA"/>
              </w:rPr>
              <w:t>工业固体废物</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废包装材料</w:t>
            </w:r>
            <w:r>
              <w:rPr>
                <w:rStyle w:val="28"/>
                <w:color w:val="000000"/>
                <w:kern w:val="2"/>
                <w:lang w:val="en-US" w:eastAsia="zh-CN" w:bidi="ar"/>
              </w:rPr>
              <w:t>（</w:t>
            </w:r>
            <w:r>
              <w:rPr>
                <w:rStyle w:val="29"/>
                <w:rFonts w:eastAsia="宋体"/>
                <w:color w:val="000000"/>
                <w:kern w:val="2"/>
                <w:lang w:val="en-US" w:eastAsia="zh-CN" w:bidi="ar"/>
              </w:rPr>
              <w:t>t/a</w:t>
            </w:r>
            <w:r>
              <w:rPr>
                <w:rStyle w:val="28"/>
                <w:color w:val="000000"/>
                <w:kern w:val="2"/>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0.5</w:t>
            </w:r>
          </w:p>
        </w:tc>
        <w:tc>
          <w:tcPr>
            <w:tcW w:w="176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61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0.5</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1" w:type="dxa"/>
            <w:vMerge w:val="continue"/>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宋体"/>
                <w:snapToGrid w:val="0"/>
                <w:color w:val="000000"/>
                <w:kern w:val="21"/>
                <w:sz w:val="21"/>
                <w:szCs w:val="21"/>
                <w:highlight w:val="none"/>
                <w:lang w:val="en-US" w:eastAsia="zh-CN"/>
              </w:rPr>
            </w:pPr>
            <w:r>
              <w:rPr>
                <w:rStyle w:val="28"/>
                <w:rFonts w:hint="eastAsia"/>
                <w:color w:val="000000"/>
                <w:kern w:val="2"/>
                <w:lang w:val="en-US" w:eastAsia="zh-CN" w:bidi="ar"/>
              </w:rPr>
              <w:t>废金属线</w:t>
            </w:r>
            <w:r>
              <w:rPr>
                <w:rStyle w:val="28"/>
                <w:color w:val="000000"/>
                <w:kern w:val="2"/>
                <w:lang w:val="en-US" w:eastAsia="zh-CN" w:bidi="ar"/>
              </w:rPr>
              <w:t>（</w:t>
            </w:r>
            <w:r>
              <w:rPr>
                <w:rStyle w:val="29"/>
                <w:rFonts w:eastAsia="宋体"/>
                <w:color w:val="000000"/>
                <w:kern w:val="2"/>
                <w:lang w:val="en-US" w:eastAsia="zh-CN" w:bidi="ar"/>
              </w:rPr>
              <w:t>t/a</w:t>
            </w:r>
            <w:r>
              <w:rPr>
                <w:rStyle w:val="28"/>
                <w:color w:val="000000"/>
                <w:kern w:val="2"/>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000000"/>
                <w:kern w:val="21"/>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000000"/>
                <w:kern w:val="21"/>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lang w:val="en-US" w:eastAsia="zh-CN"/>
              </w:rPr>
            </w:pPr>
            <w:r>
              <w:rPr>
                <w:rFonts w:hint="eastAsia" w:cs="Times New Roman"/>
                <w:color w:val="000000"/>
                <w:kern w:val="0"/>
                <w:sz w:val="21"/>
                <w:szCs w:val="21"/>
                <w:highlight w:val="none"/>
                <w:lang w:val="en-US" w:eastAsia="zh-CN" w:bidi="ar"/>
              </w:rPr>
              <w:t>6.5</w:t>
            </w:r>
          </w:p>
        </w:tc>
        <w:tc>
          <w:tcPr>
            <w:tcW w:w="176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color w:val="000000"/>
                <w:kern w:val="2"/>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1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cs="Times New Roman"/>
                <w:color w:val="000000"/>
                <w:kern w:val="0"/>
                <w:sz w:val="21"/>
                <w:szCs w:val="21"/>
                <w:highlight w:val="none"/>
                <w:lang w:val="en-US" w:eastAsia="zh-CN" w:bidi="ar"/>
              </w:rPr>
              <w:t>6.5</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1" w:type="dxa"/>
            <w:vMerge w:val="continue"/>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Style w:val="28"/>
                <w:rFonts w:hint="default" w:ascii="Times New Roman" w:hAnsi="Times New Roman" w:eastAsia="宋体" w:cs="宋体"/>
                <w:color w:val="000000"/>
                <w:kern w:val="2"/>
                <w:lang w:val="en-US" w:eastAsia="zh-CN" w:bidi="ar"/>
              </w:rPr>
            </w:pPr>
            <w:r>
              <w:rPr>
                <w:rStyle w:val="28"/>
                <w:rFonts w:hint="eastAsia"/>
                <w:color w:val="000000"/>
                <w:kern w:val="2"/>
                <w:lang w:val="en-US" w:eastAsia="zh-CN" w:bidi="ar"/>
              </w:rPr>
              <w:t>废塑料</w:t>
            </w:r>
            <w:r>
              <w:rPr>
                <w:rStyle w:val="28"/>
                <w:color w:val="000000"/>
                <w:kern w:val="2"/>
                <w:lang w:val="en-US" w:eastAsia="zh-CN" w:bidi="ar"/>
              </w:rPr>
              <w:t>（</w:t>
            </w:r>
            <w:r>
              <w:rPr>
                <w:rStyle w:val="29"/>
                <w:rFonts w:eastAsia="宋体"/>
                <w:color w:val="000000"/>
                <w:kern w:val="2"/>
                <w:lang w:val="en-US" w:eastAsia="zh-CN" w:bidi="ar"/>
              </w:rPr>
              <w:t>t/a</w:t>
            </w:r>
            <w:r>
              <w:rPr>
                <w:rStyle w:val="28"/>
                <w:color w:val="000000"/>
                <w:kern w:val="2"/>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1</w:t>
            </w:r>
          </w:p>
        </w:tc>
        <w:tc>
          <w:tcPr>
            <w:tcW w:w="176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61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1</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1" w:type="dxa"/>
            <w:vMerge w:val="continue"/>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不合格品</w:t>
            </w:r>
            <w:r>
              <w:rPr>
                <w:rStyle w:val="28"/>
                <w:color w:val="000000"/>
                <w:kern w:val="2"/>
                <w:lang w:val="en-US" w:eastAsia="zh-CN" w:bidi="ar"/>
              </w:rPr>
              <w:t>（</w:t>
            </w:r>
            <w:r>
              <w:rPr>
                <w:rStyle w:val="29"/>
                <w:rFonts w:eastAsia="宋体"/>
                <w:color w:val="000000"/>
                <w:kern w:val="2"/>
                <w:lang w:val="en-US" w:eastAsia="zh-CN" w:bidi="ar"/>
              </w:rPr>
              <w:t>t/a</w:t>
            </w:r>
            <w:r>
              <w:rPr>
                <w:rStyle w:val="28"/>
                <w:color w:val="000000"/>
                <w:kern w:val="2"/>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auto"/>
                <w:kern w:val="0"/>
                <w:sz w:val="21"/>
                <w:szCs w:val="21"/>
                <w:highlight w:val="none"/>
                <w:lang w:val="en-US" w:eastAsia="zh-CN" w:bidi="ar"/>
              </w:rPr>
              <w:t>10</w:t>
            </w:r>
          </w:p>
        </w:tc>
        <w:tc>
          <w:tcPr>
            <w:tcW w:w="176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1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auto"/>
                <w:kern w:val="0"/>
                <w:sz w:val="21"/>
                <w:szCs w:val="21"/>
                <w:highlight w:val="none"/>
                <w:lang w:val="en-US" w:eastAsia="zh-CN" w:bidi="ar"/>
              </w:rPr>
              <w:t>10</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1" w:type="dxa"/>
            <w:vMerge w:val="continue"/>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除尘灰</w:t>
            </w:r>
            <w:r>
              <w:rPr>
                <w:rStyle w:val="28"/>
                <w:color w:val="000000"/>
                <w:kern w:val="2"/>
                <w:lang w:val="en-US" w:eastAsia="zh-CN" w:bidi="ar"/>
              </w:rPr>
              <w:t>（</w:t>
            </w:r>
            <w:r>
              <w:rPr>
                <w:rStyle w:val="29"/>
                <w:rFonts w:hint="eastAsia" w:eastAsia="宋体"/>
                <w:color w:val="000000"/>
                <w:kern w:val="2"/>
                <w:lang w:val="en-US" w:eastAsia="zh-CN" w:bidi="ar"/>
              </w:rPr>
              <w:t>kg</w:t>
            </w:r>
            <w:r>
              <w:rPr>
                <w:rStyle w:val="29"/>
                <w:rFonts w:eastAsia="宋体"/>
                <w:color w:val="000000"/>
                <w:kern w:val="2"/>
                <w:lang w:val="en-US" w:eastAsia="zh-CN" w:bidi="ar"/>
              </w:rPr>
              <w:t>/a</w:t>
            </w:r>
            <w:r>
              <w:rPr>
                <w:rStyle w:val="28"/>
                <w:color w:val="000000"/>
                <w:kern w:val="2"/>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7.6</w:t>
            </w:r>
          </w:p>
        </w:tc>
        <w:tc>
          <w:tcPr>
            <w:tcW w:w="176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1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7.6</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21" w:type="dxa"/>
            <w:vMerge w:val="continue"/>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废油墨盒</w:t>
            </w:r>
            <w:r>
              <w:rPr>
                <w:rStyle w:val="28"/>
                <w:color w:val="000000"/>
                <w:kern w:val="2"/>
                <w:lang w:val="en-US" w:eastAsia="zh-CN" w:bidi="ar"/>
              </w:rPr>
              <w:t>（</w:t>
            </w:r>
            <w:r>
              <w:rPr>
                <w:rStyle w:val="29"/>
                <w:rFonts w:eastAsia="宋体"/>
                <w:color w:val="000000"/>
                <w:kern w:val="2"/>
                <w:lang w:val="en-US" w:eastAsia="zh-CN" w:bidi="ar"/>
              </w:rPr>
              <w:t>t/a</w:t>
            </w:r>
            <w:r>
              <w:rPr>
                <w:rStyle w:val="28"/>
                <w:color w:val="000000"/>
                <w:kern w:val="2"/>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auto"/>
                <w:kern w:val="0"/>
                <w:sz w:val="21"/>
                <w:szCs w:val="21"/>
                <w:highlight w:val="none"/>
                <w:lang w:val="en-US" w:eastAsia="zh-CN" w:bidi="ar"/>
              </w:rPr>
              <w:t>0.14</w:t>
            </w:r>
          </w:p>
        </w:tc>
        <w:tc>
          <w:tcPr>
            <w:tcW w:w="176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1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auto"/>
                <w:kern w:val="0"/>
                <w:sz w:val="21"/>
                <w:szCs w:val="21"/>
                <w:highlight w:val="none"/>
                <w:lang w:val="en-US" w:eastAsia="zh-CN" w:bidi="ar"/>
              </w:rPr>
              <w:t>0.14</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21" w:type="dxa"/>
            <w:vMerge w:val="continue"/>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p>
        </w:tc>
        <w:tc>
          <w:tcPr>
            <w:tcW w:w="1984" w:type="dxa"/>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r>
              <w:rPr>
                <w:rFonts w:hint="eastAsia" w:ascii="Times New Roman" w:hAnsi="Times New Roman" w:eastAsia="宋体" w:cs="宋体"/>
                <w:snapToGrid w:val="0"/>
                <w:color w:val="000000"/>
                <w:kern w:val="21"/>
                <w:sz w:val="21"/>
                <w:szCs w:val="21"/>
                <w:highlight w:val="none"/>
                <w:lang w:val="en-US" w:eastAsia="zh-CN" w:bidi="ar-SA"/>
              </w:rPr>
              <w:t>废机油（t/a）</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0.2</w:t>
            </w:r>
          </w:p>
        </w:tc>
        <w:tc>
          <w:tcPr>
            <w:tcW w:w="176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61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0.2</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21" w:type="dxa"/>
            <w:vMerge w:val="continue"/>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p>
        </w:tc>
        <w:tc>
          <w:tcPr>
            <w:tcW w:w="1984" w:type="dxa"/>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default" w:ascii="Times New Roman" w:hAnsi="Times New Roman" w:eastAsia="宋体" w:cs="宋体"/>
                <w:snapToGrid w:val="0"/>
                <w:color w:val="000000"/>
                <w:kern w:val="21"/>
                <w:sz w:val="21"/>
                <w:szCs w:val="21"/>
                <w:highlight w:val="none"/>
                <w:lang w:val="en-US" w:eastAsia="zh-CN" w:bidi="ar-SA"/>
              </w:rPr>
            </w:pPr>
            <w:r>
              <w:rPr>
                <w:rFonts w:hint="eastAsia" w:cs="宋体"/>
                <w:snapToGrid w:val="0"/>
                <w:color w:val="000000"/>
                <w:kern w:val="21"/>
                <w:sz w:val="21"/>
                <w:szCs w:val="21"/>
                <w:highlight w:val="none"/>
                <w:lang w:val="en-US" w:eastAsia="zh-CN" w:bidi="ar-SA"/>
              </w:rPr>
              <w:t>废活性炭</w:t>
            </w:r>
            <w:r>
              <w:rPr>
                <w:rFonts w:hint="eastAsia" w:ascii="Times New Roman" w:hAnsi="Times New Roman" w:eastAsia="宋体" w:cs="宋体"/>
                <w:snapToGrid w:val="0"/>
                <w:color w:val="000000"/>
                <w:kern w:val="21"/>
                <w:sz w:val="21"/>
                <w:szCs w:val="21"/>
                <w:highlight w:val="none"/>
                <w:lang w:val="en-US" w:eastAsia="zh-CN" w:bidi="ar-SA"/>
              </w:rPr>
              <w:t>（t/a）</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3.51</w:t>
            </w:r>
          </w:p>
        </w:tc>
        <w:tc>
          <w:tcPr>
            <w:tcW w:w="176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61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3.51</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21" w:type="dxa"/>
            <w:vMerge w:val="continue"/>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p>
        </w:tc>
        <w:tc>
          <w:tcPr>
            <w:tcW w:w="1984" w:type="dxa"/>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default" w:ascii="Times New Roman" w:hAnsi="Times New Roman" w:eastAsia="宋体" w:cs="宋体"/>
                <w:snapToGrid w:val="0"/>
                <w:color w:val="000000"/>
                <w:kern w:val="21"/>
                <w:sz w:val="21"/>
                <w:szCs w:val="21"/>
                <w:highlight w:val="none"/>
                <w:lang w:val="en-US" w:eastAsia="zh-CN" w:bidi="ar-SA"/>
              </w:rPr>
            </w:pPr>
            <w:r>
              <w:rPr>
                <w:rFonts w:hint="eastAsia" w:cs="宋体"/>
                <w:snapToGrid w:val="0"/>
                <w:color w:val="000000"/>
                <w:kern w:val="21"/>
                <w:sz w:val="21"/>
                <w:szCs w:val="21"/>
                <w:highlight w:val="none"/>
                <w:lang w:val="en-US" w:eastAsia="zh-CN" w:bidi="ar-SA"/>
              </w:rPr>
              <w:t>废催化剂</w:t>
            </w:r>
            <w:r>
              <w:rPr>
                <w:rFonts w:hint="eastAsia" w:ascii="Times New Roman" w:hAnsi="Times New Roman" w:eastAsia="宋体" w:cs="宋体"/>
                <w:snapToGrid w:val="0"/>
                <w:color w:val="000000"/>
                <w:kern w:val="21"/>
                <w:sz w:val="21"/>
                <w:szCs w:val="21"/>
                <w:highlight w:val="none"/>
                <w:lang w:val="en-US" w:eastAsia="zh-CN" w:bidi="ar-SA"/>
              </w:rPr>
              <w:t>（t/3a）</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176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61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21" w:type="dxa"/>
            <w:vMerge w:val="continue"/>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p>
        </w:tc>
        <w:tc>
          <w:tcPr>
            <w:tcW w:w="1984" w:type="dxa"/>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default" w:cs="宋体"/>
                <w:snapToGrid w:val="0"/>
                <w:color w:val="000000"/>
                <w:kern w:val="21"/>
                <w:sz w:val="21"/>
                <w:szCs w:val="21"/>
                <w:highlight w:val="none"/>
                <w:lang w:val="en-US" w:eastAsia="zh-CN" w:bidi="ar-SA"/>
              </w:rPr>
            </w:pPr>
            <w:r>
              <w:rPr>
                <w:rFonts w:hint="eastAsia" w:cs="宋体"/>
                <w:snapToGrid w:val="0"/>
                <w:color w:val="000000"/>
                <w:kern w:val="21"/>
                <w:sz w:val="21"/>
                <w:szCs w:val="21"/>
                <w:highlight w:val="none"/>
                <w:lang w:val="en-US" w:eastAsia="zh-CN" w:bidi="ar-SA"/>
              </w:rPr>
              <w:t>废盐酸</w:t>
            </w:r>
            <w:r>
              <w:rPr>
                <w:rFonts w:hint="eastAsia" w:ascii="Times New Roman" w:hAnsi="Times New Roman" w:eastAsia="宋体" w:cs="宋体"/>
                <w:snapToGrid w:val="0"/>
                <w:color w:val="000000"/>
                <w:kern w:val="21"/>
                <w:sz w:val="21"/>
                <w:szCs w:val="21"/>
                <w:highlight w:val="none"/>
                <w:lang w:val="en-US" w:eastAsia="zh-CN" w:bidi="ar-SA"/>
              </w:rPr>
              <w:t>（t/a）</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176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61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21" w:type="dxa"/>
            <w:vMerge w:val="continue"/>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000000"/>
                <w:kern w:val="21"/>
                <w:sz w:val="21"/>
                <w:szCs w:val="21"/>
                <w:highlight w:val="none"/>
                <w:lang w:val="en-US" w:eastAsia="zh-CN" w:bidi="ar-SA"/>
              </w:rPr>
            </w:pPr>
          </w:p>
        </w:tc>
        <w:tc>
          <w:tcPr>
            <w:tcW w:w="1984" w:type="dxa"/>
            <w:noWrap w:val="0"/>
            <w:vAlign w:val="center"/>
          </w:tcPr>
          <w:p>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default" w:cs="宋体"/>
                <w:snapToGrid w:val="0"/>
                <w:color w:val="000000"/>
                <w:kern w:val="21"/>
                <w:sz w:val="21"/>
                <w:szCs w:val="21"/>
                <w:highlight w:val="none"/>
                <w:lang w:val="en-US" w:eastAsia="zh-CN" w:bidi="ar-SA"/>
              </w:rPr>
            </w:pPr>
            <w:r>
              <w:rPr>
                <w:rFonts w:hint="eastAsia" w:cs="宋体"/>
                <w:snapToGrid w:val="0"/>
                <w:color w:val="000000"/>
                <w:kern w:val="21"/>
                <w:sz w:val="21"/>
                <w:szCs w:val="21"/>
                <w:highlight w:val="none"/>
                <w:lang w:val="en-US" w:eastAsia="zh-CN" w:bidi="ar-SA"/>
              </w:rPr>
              <w:t>废填料（m</w:t>
            </w:r>
            <w:r>
              <w:rPr>
                <w:rFonts w:hint="eastAsia" w:cs="宋体"/>
                <w:snapToGrid w:val="0"/>
                <w:color w:val="000000"/>
                <w:kern w:val="21"/>
                <w:sz w:val="21"/>
                <w:szCs w:val="21"/>
                <w:highlight w:val="none"/>
                <w:vertAlign w:val="superscript"/>
                <w:lang w:val="en-US" w:eastAsia="zh-CN" w:bidi="ar-SA"/>
              </w:rPr>
              <w:t>3</w:t>
            </w:r>
            <w:r>
              <w:rPr>
                <w:rFonts w:hint="eastAsia" w:cs="宋体"/>
                <w:snapToGrid w:val="0"/>
                <w:color w:val="000000"/>
                <w:kern w:val="21"/>
                <w:sz w:val="21"/>
                <w:szCs w:val="21"/>
                <w:highlight w:val="none"/>
                <w:lang w:val="en-US" w:eastAsia="zh-CN" w:bidi="ar-SA"/>
              </w:rPr>
              <w:t>/3a）</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7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70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55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3.82</w:t>
            </w:r>
          </w:p>
        </w:tc>
        <w:tc>
          <w:tcPr>
            <w:tcW w:w="1761"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616"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3.82</w:t>
            </w:r>
          </w:p>
        </w:tc>
        <w:tc>
          <w:tcPr>
            <w:tcW w:w="1169" w:type="dxa"/>
            <w:noWrap w:val="0"/>
            <w:vAlign w:val="center"/>
          </w:tcPr>
          <w:p>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bl>
    <w:p>
      <w:pPr>
        <w:pStyle w:val="18"/>
      </w:pPr>
    </w:p>
    <w:sectPr>
      <w:headerReference r:id="rId9" w:type="default"/>
      <w:footerReference r:id="rId10"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overflowPunct w:val="0"/>
      <w:autoSpaceDE w:val="0"/>
      <w:autoSpaceDN w:val="0"/>
      <w:adjustRightInd w:val="0"/>
      <w:snapToGrid w:val="0"/>
      <w:spacing w:before="0" w:after="0" w:line="500" w:lineRule="exact"/>
      <w:ind w:left="0" w:right="0" w:firstLine="360" w:firstLineChars="200"/>
      <w:jc w:val="left"/>
      <w:rPr>
        <w:rFonts w:ascii="Times New Roman" w:hAnsi="Times New Roman" w:eastAsia="宋体" w:cs="宋体"/>
        <w:sz w:val="18"/>
        <w:szCs w:val="22"/>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overflowPunct w:val="0"/>
      <w:autoSpaceDE w:val="0"/>
      <w:autoSpaceDN w:val="0"/>
      <w:adjustRightInd w:val="0"/>
      <w:snapToGrid w:val="0"/>
      <w:spacing w:before="0" w:after="0" w:line="500" w:lineRule="exact"/>
      <w:ind w:left="0" w:right="0" w:firstLine="360" w:firstLineChars="200"/>
      <w:jc w:val="center"/>
      <w:rPr>
        <w:rFonts w:hint="eastAsia" w:ascii="宋体" w:hAnsi="宋体" w:eastAsia="宋体" w:cs="宋体"/>
        <w:sz w:val="18"/>
        <w:szCs w:val="22"/>
        <w:lang w:val="en-US" w:eastAsia="zh-CN" w:bidi="ar-SA"/>
      </w:rPr>
    </w:pPr>
    <w:r>
      <w:rPr>
        <w:rFonts w:ascii="Times New Roman" w:hAnsi="Times New Roman" w:eastAsia="宋体" w:cs="宋体"/>
        <w:sz w:val="18"/>
        <w:szCs w:val="22"/>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6Pn47AgAAc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BXo+fjsCAABzBAAADgAAAAAAAAABACAAAAAfAQAAZHJzL2Uyb0Rv&#10;Yy54bWxQSwUGAAAAAAYABgBZAQAAzAUAAAAA&#10;">
              <v:fill on="f" focussize="0,0"/>
              <v:stroke on="f" weight="0.5pt"/>
              <v:imagedata o:title=""/>
              <o:lock v:ext="edit" aspectratio="f"/>
              <v:textbox inset="0mm,0mm,0mm,0mm" style="mso-fit-shape-to-text:t;">
                <w:txbxContent>
                  <w:p>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overflowPunct w:val="0"/>
      <w:autoSpaceDE w:val="0"/>
      <w:autoSpaceDN w:val="0"/>
      <w:adjustRightInd w:val="0"/>
      <w:snapToGrid w:val="0"/>
      <w:spacing w:before="0" w:after="0" w:line="500" w:lineRule="exact"/>
      <w:ind w:left="0" w:right="0" w:firstLine="360" w:firstLineChars="200"/>
      <w:jc w:val="center"/>
      <w:rPr>
        <w:rFonts w:hint="eastAsia" w:ascii="宋体" w:hAnsi="宋体" w:eastAsia="宋体" w:cs="宋体"/>
        <w:sz w:val="18"/>
        <w:szCs w:val="22"/>
        <w:lang w:val="en-US" w:eastAsia="zh-CN" w:bidi="ar-SA"/>
      </w:rPr>
    </w:pPr>
    <w:r>
      <w:rPr>
        <w:rFonts w:ascii="Times New Roman" w:hAnsi="Times New Roman" w:eastAsia="宋体" w:cs="宋体"/>
        <w:sz w:val="18"/>
        <w:szCs w:val="22"/>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ZkQM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FJJopdPz04/vp&#10;58Pp1zeCOwjUWj9D3L1FZOjemQ5jM9x7XEbeXeVU/AUjAj+wjhd5RRcIj4+mk+k0h4vDNxyAnz0+&#10;t86H98IoEo2COvQvycoOGx/60CEkZtNm3UiZeig1aQt69fpN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MZkQM5AgAAcQQAAA4AAAAAAAAAAQAgAAAAHwEAAGRycy9lMm9Eb2Mu&#10;eG1sUEsFBgAAAAAGAAYAWQEAAMoFAAAAAA==&#10;">
              <v:fill on="f" focussize="0,0"/>
              <v:stroke on="f" weight="0.5pt"/>
              <v:imagedata o:title=""/>
              <o:lock v:ext="edit" aspectratio="f"/>
              <v:textbox inset="0mm,0mm,0mm,0mm" style="mso-fit-shape-to-text:t;">
                <w:txbxContent>
                  <w:p>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overflowPunct w:val="0"/>
      <w:autoSpaceDE w:val="0"/>
      <w:autoSpaceDN w:val="0"/>
      <w:adjustRightInd w:val="0"/>
      <w:snapToGrid w:val="0"/>
      <w:spacing w:before="0" w:after="0" w:line="500" w:lineRule="exact"/>
      <w:ind w:left="0" w:right="0" w:firstLine="360" w:firstLineChars="200"/>
      <w:jc w:val="center"/>
      <w:rPr>
        <w:rFonts w:hint="eastAsia" w:ascii="宋体" w:hAnsi="宋体" w:eastAsia="宋体" w:cs="宋体"/>
        <w:sz w:val="18"/>
        <w:szCs w:val="22"/>
        <w:lang w:val="en-US" w:eastAsia="zh-CN" w:bidi="ar-SA"/>
      </w:rPr>
    </w:pPr>
    <w:r>
      <w:rPr>
        <w:rFonts w:ascii="Times New Roman" w:hAnsi="Times New Roman" w:eastAsia="宋体" w:cs="宋体"/>
        <w:sz w:val="18"/>
        <w:szCs w:val="22"/>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BOvQ4AgAAc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6QE69DgCAABzBAAADgAAAAAAAAABACAAAAAfAQAAZHJzL2Uyb0RvYy54&#10;bWxQSwUGAAAAAAYABgBZAQAAyQUAAAAA&#10;">
              <v:fill on="f" focussize="0,0"/>
              <v:stroke on="f" weight="0.5pt"/>
              <v:imagedata o:title=""/>
              <o:lock v:ext="edit" aspectratio="f"/>
              <v:textbox inset="0mm,0mm,0mm,0mm" style="mso-fit-shape-to-text:t;">
                <w:txbxContent>
                  <w:p>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overflowPunct w:val="0"/>
      <w:autoSpaceDE w:val="0"/>
      <w:autoSpaceDN w:val="0"/>
      <w:adjustRightInd w:val="0"/>
      <w:snapToGrid w:val="0"/>
      <w:spacing w:before="0" w:after="0" w:line="240" w:lineRule="atLeast"/>
      <w:ind w:left="0" w:right="0" w:firstLine="360" w:firstLineChars="200"/>
      <w:jc w:val="center"/>
      <w:rPr>
        <w:rFonts w:ascii="Times New Roman" w:hAnsi="Times New Roman" w:eastAsia="宋体" w:cs="宋体"/>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overflowPunct w:val="0"/>
      <w:autoSpaceDE w:val="0"/>
      <w:autoSpaceDN w:val="0"/>
      <w:adjustRightInd w:val="0"/>
      <w:snapToGrid w:val="0"/>
      <w:spacing w:before="0" w:after="0" w:line="240" w:lineRule="atLeast"/>
      <w:ind w:left="0" w:right="0" w:firstLine="360" w:firstLineChars="200"/>
      <w:jc w:val="center"/>
      <w:rPr>
        <w:rFonts w:ascii="Times New Roman" w:hAnsi="Times New Roman" w:eastAsia="宋体" w:cs="宋体"/>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033BEC"/>
    <w:multiLevelType w:val="singleLevel"/>
    <w:tmpl w:val="CC033BEC"/>
    <w:lvl w:ilvl="0" w:tentative="0">
      <w:start w:val="1"/>
      <w:numFmt w:val="decimal"/>
      <w:suff w:val="nothing"/>
      <w:lvlText w:val="（%1）"/>
      <w:lvlJc w:val="left"/>
    </w:lvl>
  </w:abstractNum>
  <w:abstractNum w:abstractNumId="1">
    <w:nsid w:val="DB724213"/>
    <w:multiLevelType w:val="singleLevel"/>
    <w:tmpl w:val="DB724213"/>
    <w:lvl w:ilvl="0" w:tentative="0">
      <w:start w:val="1"/>
      <w:numFmt w:val="decimal"/>
      <w:suff w:val="nothing"/>
      <w:lvlText w:val="（%1）"/>
      <w:lvlJc w:val="left"/>
      <w:pPr>
        <w:ind w:left="-2"/>
      </w:pPr>
    </w:lvl>
  </w:abstractNum>
  <w:abstractNum w:abstractNumId="2">
    <w:nsid w:val="F6FC6D99"/>
    <w:multiLevelType w:val="singleLevel"/>
    <w:tmpl w:val="F6FC6D99"/>
    <w:lvl w:ilvl="0" w:tentative="0">
      <w:start w:val="1"/>
      <w:numFmt w:val="decimal"/>
      <w:suff w:val="nothing"/>
      <w:lvlText w:val="（%1）"/>
      <w:lvlJc w:val="left"/>
      <w:pPr>
        <w:ind w:left="-2"/>
      </w:pPr>
    </w:lvl>
  </w:abstractNum>
  <w:abstractNum w:abstractNumId="3">
    <w:nsid w:val="12C5D4FB"/>
    <w:multiLevelType w:val="singleLevel"/>
    <w:tmpl w:val="12C5D4FB"/>
    <w:lvl w:ilvl="0" w:tentative="0">
      <w:start w:val="1"/>
      <w:numFmt w:val="decimal"/>
      <w:suff w:val="nothing"/>
      <w:lvlText w:val="（%1）"/>
      <w:lvlJc w:val="left"/>
    </w:lvl>
  </w:abstractNum>
  <w:abstractNum w:abstractNumId="4">
    <w:nsid w:val="215BDC7C"/>
    <w:multiLevelType w:val="singleLevel"/>
    <w:tmpl w:val="215BDC7C"/>
    <w:lvl w:ilvl="0" w:tentative="0">
      <w:start w:val="2"/>
      <w:numFmt w:val="chineseCounting"/>
      <w:suff w:val="nothing"/>
      <w:lvlText w:val="%1、"/>
      <w:lvlJc w:val="left"/>
      <w:rPr>
        <w:rFonts w:hint="eastAsia"/>
      </w:rPr>
    </w:lvl>
  </w:abstractNum>
  <w:abstractNum w:abstractNumId="5">
    <w:nsid w:val="39C348FB"/>
    <w:multiLevelType w:val="singleLevel"/>
    <w:tmpl w:val="39C348FB"/>
    <w:lvl w:ilvl="0" w:tentative="0">
      <w:start w:val="1"/>
      <w:numFmt w:val="decimal"/>
      <w:suff w:val="nothing"/>
      <w:lvlText w:val="（%1）"/>
      <w:lvlJc w:val="left"/>
      <w:pPr>
        <w:ind w:left="-2"/>
      </w:pPr>
    </w:lvl>
  </w:abstractNum>
  <w:abstractNum w:abstractNumId="6">
    <w:nsid w:val="5E2B1243"/>
    <w:multiLevelType w:val="singleLevel"/>
    <w:tmpl w:val="5E2B1243"/>
    <w:lvl w:ilvl="0" w:tentative="0">
      <w:start w:val="3"/>
      <w:numFmt w:val="chineseCounting"/>
      <w:suff w:val="nothing"/>
      <w:lvlText w:val="%1、"/>
      <w:lvlJc w:val="left"/>
      <w:rPr>
        <w:rFonts w:hint="eastAsia"/>
      </w:rPr>
    </w:lvl>
  </w:abstractNum>
  <w:num w:numId="1">
    <w:abstractNumId w:val="4"/>
  </w:num>
  <w:num w:numId="2">
    <w:abstractNumId w:val="1"/>
  </w:num>
  <w:num w:numId="3">
    <w:abstractNumId w:val="2"/>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xMDdkMGM0ZWE5NzRhNmQ3MTAwMTIwOWMzZmZjMTUifQ=="/>
  </w:docVars>
  <w:rsids>
    <w:rsidRoot w:val="450D71BC"/>
    <w:rsid w:val="018C132A"/>
    <w:rsid w:val="12474D4E"/>
    <w:rsid w:val="15A65278"/>
    <w:rsid w:val="1CBC035D"/>
    <w:rsid w:val="1DB71006"/>
    <w:rsid w:val="212D0FA3"/>
    <w:rsid w:val="23F270BC"/>
    <w:rsid w:val="3463722E"/>
    <w:rsid w:val="34925FB9"/>
    <w:rsid w:val="3C5927DC"/>
    <w:rsid w:val="3D483DD2"/>
    <w:rsid w:val="450D71BC"/>
    <w:rsid w:val="47B14EB4"/>
    <w:rsid w:val="50D9258F"/>
    <w:rsid w:val="5E3F10F5"/>
    <w:rsid w:val="659857A9"/>
    <w:rsid w:val="663470AD"/>
    <w:rsid w:val="69C94A17"/>
    <w:rsid w:val="6D295D90"/>
    <w:rsid w:val="74613A19"/>
    <w:rsid w:val="7B20011D"/>
    <w:rsid w:val="7D537C91"/>
    <w:rsid w:val="7FC270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20" w:lineRule="exact"/>
      <w:jc w:val="both"/>
    </w:pPr>
    <w:rPr>
      <w:rFonts w:ascii="Times New Roman" w:hAnsi="Times New Roman" w:eastAsia="宋体" w:cs="宋体"/>
      <w:color w:val="auto"/>
      <w:sz w:val="24"/>
      <w:szCs w:val="22"/>
      <w:lang w:val="en-US" w:eastAsia="zh-CN" w:bidi="ar-SA"/>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6">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customStyle="1" w:styleId="2">
    <w:name w:val="Default"/>
    <w:basedOn w:val="3"/>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1 表头"/>
    <w:basedOn w:val="1"/>
    <w:autoRedefine/>
    <w:qFormat/>
    <w:uiPriority w:val="0"/>
    <w:pPr>
      <w:adjustRightInd w:val="0"/>
      <w:snapToGrid w:val="0"/>
      <w:spacing w:line="240" w:lineRule="auto"/>
      <w:ind w:firstLine="0" w:firstLineChars="0"/>
      <w:jc w:val="center"/>
    </w:pPr>
    <w:rPr>
      <w:b/>
      <w:color w:val="000000"/>
      <w:sz w:val="21"/>
      <w:szCs w:val="21"/>
    </w:rPr>
  </w:style>
  <w:style w:type="paragraph" w:styleId="7">
    <w:name w:val="Normal Indent"/>
    <w:basedOn w:val="1"/>
    <w:next w:val="1"/>
    <w:autoRedefine/>
    <w:qFormat/>
    <w:uiPriority w:val="0"/>
    <w:pPr>
      <w:ind w:firstLine="420"/>
    </w:pPr>
    <w:rPr>
      <w:szCs w:val="24"/>
    </w:rPr>
  </w:style>
  <w:style w:type="paragraph" w:styleId="8">
    <w:name w:val="Body Text"/>
    <w:basedOn w:val="1"/>
    <w:next w:val="1"/>
    <w:autoRedefine/>
    <w:qFormat/>
    <w:uiPriority w:val="1"/>
    <w:rPr>
      <w:rFonts w:ascii="宋体" w:hAnsi="宋体"/>
      <w:szCs w:val="24"/>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next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autoRedefine/>
    <w:qFormat/>
    <w:uiPriority w:val="0"/>
  </w:style>
  <w:style w:type="paragraph" w:styleId="12">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表格内"/>
    <w:basedOn w:val="1"/>
    <w:autoRedefine/>
    <w:qFormat/>
    <w:uiPriority w:val="0"/>
    <w:pPr>
      <w:spacing w:line="360" w:lineRule="exact"/>
      <w:jc w:val="center"/>
    </w:pPr>
    <w:rPr>
      <w:snapToGrid w:val="0"/>
      <w:szCs w:val="21"/>
    </w:rPr>
  </w:style>
  <w:style w:type="paragraph" w:customStyle="1" w:styleId="19">
    <w:name w:val="表格中字"/>
    <w:autoRedefine/>
    <w:qFormat/>
    <w:uiPriority w:val="0"/>
    <w:pPr>
      <w:widowControl w:val="0"/>
      <w:overflowPunct w:val="0"/>
      <w:autoSpaceDE w:val="0"/>
      <w:autoSpaceDN w:val="0"/>
      <w:adjustRightInd w:val="0"/>
      <w:snapToGrid w:val="0"/>
      <w:spacing w:line="300" w:lineRule="atLeast"/>
      <w:jc w:val="center"/>
      <w:textAlignment w:val="baseline"/>
    </w:pPr>
    <w:rPr>
      <w:rFonts w:ascii="Times New Roman" w:hAnsi="Times New Roman" w:eastAsia="宋体" w:cs="Times New Roman"/>
      <w:sz w:val="21"/>
      <w:lang w:val="en-US" w:eastAsia="zh-CN" w:bidi="ar-SA"/>
    </w:rPr>
  </w:style>
  <w:style w:type="paragraph" w:customStyle="1" w:styleId="20">
    <w:name w:val="报告表正文"/>
    <w:basedOn w:val="1"/>
    <w:autoRedefine/>
    <w:qFormat/>
    <w:uiPriority w:val="0"/>
    <w:pPr>
      <w:wordWrap w:val="0"/>
      <w:topLinePunct/>
      <w:adjustRightInd w:val="0"/>
      <w:spacing w:line="360" w:lineRule="auto"/>
      <w:ind w:left="0" w:right="0" w:firstLine="488"/>
      <w:jc w:val="left"/>
      <w:textAlignment w:val="baseline"/>
    </w:pPr>
    <w:rPr>
      <w:rFonts w:ascii="Times New Roman" w:hAnsi="Times New Roman" w:eastAsia="Times New Roman" w:cs="宋体"/>
      <w:szCs w:val="20"/>
    </w:rPr>
  </w:style>
  <w:style w:type="paragraph" w:customStyle="1" w:styleId="21">
    <w:name w:val="纯文本1"/>
    <w:basedOn w:val="1"/>
    <w:autoRedefine/>
    <w:qFormat/>
    <w:uiPriority w:val="0"/>
    <w:rPr>
      <w:rFonts w:ascii="宋体" w:hAnsi="Courier New" w:cs="Courier New"/>
      <w:kern w:val="2"/>
      <w:sz w:val="21"/>
      <w:szCs w:val="21"/>
    </w:rPr>
  </w:style>
  <w:style w:type="paragraph" w:customStyle="1" w:styleId="22">
    <w:name w:val="表格内容1"/>
    <w:basedOn w:val="1"/>
    <w:autoRedefine/>
    <w:qFormat/>
    <w:uiPriority w:val="0"/>
    <w:pPr>
      <w:widowControl/>
      <w:spacing w:line="240" w:lineRule="auto"/>
      <w:ind w:firstLine="0" w:firstLineChars="0"/>
      <w:jc w:val="center"/>
    </w:pPr>
    <w:rPr>
      <w:kern w:val="0"/>
      <w:sz w:val="21"/>
      <w:szCs w:val="21"/>
      <w:lang w:eastAsia="en-US" w:bidi="en-US"/>
    </w:rPr>
  </w:style>
  <w:style w:type="paragraph" w:customStyle="1" w:styleId="23">
    <w:name w:val="表头A"/>
    <w:basedOn w:val="24"/>
    <w:autoRedefine/>
    <w:qFormat/>
    <w:uiPriority w:val="0"/>
    <w:pPr>
      <w:spacing w:line="400" w:lineRule="exact"/>
      <w:ind w:firstLine="0" w:firstLineChars="0"/>
    </w:pPr>
    <w:rPr>
      <w:rFonts w:ascii="Times New Roman" w:hAnsi="Times New Roman"/>
    </w:rPr>
  </w:style>
  <w:style w:type="paragraph" w:customStyle="1" w:styleId="24">
    <w:name w:val="表头"/>
    <w:basedOn w:val="7"/>
    <w:next w:val="1"/>
    <w:autoRedefine/>
    <w:qFormat/>
    <w:uiPriority w:val="0"/>
    <w:pPr>
      <w:spacing w:line="320" w:lineRule="atLeast"/>
      <w:jc w:val="center"/>
    </w:pPr>
    <w:rPr>
      <w:rFonts w:ascii="宋体" w:hAnsi="宋体"/>
      <w:b/>
      <w:color w:val="000000"/>
    </w:rPr>
  </w:style>
  <w:style w:type="paragraph" w:customStyle="1" w:styleId="25">
    <w:name w:val="表内字"/>
    <w:basedOn w:val="1"/>
    <w:autoRedefine/>
    <w:qFormat/>
    <w:uiPriority w:val="0"/>
    <w:pPr>
      <w:jc w:val="center"/>
    </w:pPr>
    <w:rPr>
      <w:sz w:val="21"/>
      <w:szCs w:val="24"/>
    </w:rPr>
  </w:style>
  <w:style w:type="table" w:customStyle="1" w:styleId="26">
    <w:name w:val="Table Normal"/>
    <w:autoRedefine/>
    <w:semiHidden/>
    <w:unhideWhenUsed/>
    <w:qFormat/>
    <w:uiPriority w:val="0"/>
    <w:tblPr>
      <w:tblCellMar>
        <w:top w:w="0" w:type="dxa"/>
        <w:left w:w="0" w:type="dxa"/>
        <w:bottom w:w="0" w:type="dxa"/>
        <w:right w:w="0" w:type="dxa"/>
      </w:tblCellMar>
    </w:tblPr>
  </w:style>
  <w:style w:type="paragraph" w:customStyle="1" w:styleId="27">
    <w:name w:val="Table Text"/>
    <w:basedOn w:val="1"/>
    <w:autoRedefine/>
    <w:semiHidden/>
    <w:qFormat/>
    <w:uiPriority w:val="0"/>
    <w:rPr>
      <w:rFonts w:ascii="微软雅黑" w:hAnsi="微软雅黑" w:eastAsia="微软雅黑" w:cs="微软雅黑"/>
      <w:sz w:val="22"/>
      <w:szCs w:val="22"/>
      <w:lang w:val="en-US" w:eastAsia="en-US" w:bidi="ar-SA"/>
    </w:rPr>
  </w:style>
  <w:style w:type="character" w:customStyle="1" w:styleId="28">
    <w:name w:val="font51"/>
    <w:basedOn w:val="15"/>
    <w:autoRedefine/>
    <w:qFormat/>
    <w:uiPriority w:val="0"/>
    <w:rPr>
      <w:rFonts w:hint="eastAsia" w:ascii="宋体" w:hAnsi="宋体" w:eastAsia="宋体" w:cs="宋体"/>
      <w:color w:val="000000"/>
      <w:sz w:val="21"/>
      <w:szCs w:val="21"/>
      <w:u w:val="none"/>
    </w:rPr>
  </w:style>
  <w:style w:type="character" w:customStyle="1" w:styleId="29">
    <w:name w:val="font21"/>
    <w:basedOn w:val="15"/>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53019</Words>
  <Characters>59953</Characters>
  <Lines>0</Lines>
  <Paragraphs>0</Paragraphs>
  <TotalTime>3</TotalTime>
  <ScaleCrop>false</ScaleCrop>
  <LinksUpToDate>false</LinksUpToDate>
  <CharactersWithSpaces>60938</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2024-08-09T09:57:00Z</dcterms:created>
  <dc:creator>Alessandra＊</dc:creator>
  <cp:lastModifiedBy>Alessandra＊</cp:lastModifiedBy>
  <dcterms:modified xsi:type="dcterms:W3CDTF">2024-09-25T03:13:42Z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8F78637135E148378A77F3F9E46AF264_11</vt:lpwstr>
  </property>
</Properties>
</file>